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21.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header3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34.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3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23CA3" w14:textId="7B72EC66" w:rsidR="00146544" w:rsidRDefault="008E5973" w:rsidP="00217896">
      <w:pPr>
        <w:pStyle w:val="Title"/>
        <w:pBdr>
          <w:bottom w:val="single" w:sz="4" w:space="1" w:color="auto"/>
        </w:pBdr>
      </w:pPr>
      <w:bookmarkStart w:id="0" w:name="_GoBack"/>
      <w:bookmarkEnd w:id="0"/>
      <w:r>
        <w:t xml:space="preserve">Final report for the review of biosecurity import requirements for </w:t>
      </w:r>
      <w:r w:rsidR="00146544" w:rsidRPr="009754AA">
        <w:t>Tahitian</w:t>
      </w:r>
      <w:r w:rsidR="00146544">
        <w:t xml:space="preserve"> limes from the Cook Islands, Niue, Samoa, Tonga and Vanuatu</w:t>
      </w:r>
    </w:p>
    <w:p w14:paraId="03367CB3" w14:textId="2260E0BC" w:rsidR="00146544" w:rsidRDefault="000E2D3C" w:rsidP="005835E9">
      <w:pPr>
        <w:ind w:right="139"/>
        <w:jc w:val="right"/>
      </w:pPr>
      <w:r>
        <w:t>March</w:t>
      </w:r>
      <w:r w:rsidR="000E37D4">
        <w:t xml:space="preserve"> </w:t>
      </w:r>
      <w:r w:rsidR="002B1BD3">
        <w:t>201</w:t>
      </w:r>
      <w:r w:rsidR="00FF170E">
        <w:t>8</w:t>
      </w:r>
    </w:p>
    <w:p w14:paraId="5C5A852A" w14:textId="77777777" w:rsidR="00146544" w:rsidRDefault="00CD7BEF">
      <w:pPr>
        <w:pStyle w:val="Picture"/>
      </w:pPr>
      <w:r>
        <w:drawing>
          <wp:inline distT="0" distB="0" distL="0" distR="0" wp14:anchorId="595E17F6" wp14:editId="09CA27CA">
            <wp:extent cx="5759450" cy="572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security biosphere.jpg"/>
                    <pic:cNvPicPr/>
                  </pic:nvPicPr>
                  <pic:blipFill>
                    <a:blip r:embed="rId8">
                      <a:extLst>
                        <a:ext uri="{28A0092B-C50C-407E-A947-70E740481C1C}">
                          <a14:useLocalDpi xmlns:a14="http://schemas.microsoft.com/office/drawing/2010/main" val="0"/>
                        </a:ext>
                      </a:extLst>
                    </a:blip>
                    <a:stretch>
                      <a:fillRect/>
                    </a:stretch>
                  </pic:blipFill>
                  <pic:spPr>
                    <a:xfrm>
                      <a:off x="0" y="0"/>
                      <a:ext cx="5759450" cy="5721985"/>
                    </a:xfrm>
                    <a:prstGeom prst="rect">
                      <a:avLst/>
                    </a:prstGeom>
                  </pic:spPr>
                </pic:pic>
              </a:graphicData>
            </a:graphic>
          </wp:inline>
        </w:drawing>
      </w:r>
    </w:p>
    <w:p w14:paraId="17B3878F" w14:textId="77777777" w:rsidR="006A16D1" w:rsidRDefault="006A16D1">
      <w:pPr>
        <w:pStyle w:val="Picture"/>
        <w:sectPr w:rsidR="006A16D1" w:rsidSect="00F93782">
          <w:headerReference w:type="even" r:id="rId9"/>
          <w:headerReference w:type="default" r:id="rId10"/>
          <w:footerReference w:type="even" r:id="rId11"/>
          <w:footerReference w:type="default" r:id="rId12"/>
          <w:headerReference w:type="first" r:id="rId13"/>
          <w:footerReference w:type="first" r:id="rId14"/>
          <w:type w:val="oddPage"/>
          <w:pgSz w:w="11906" w:h="16838"/>
          <w:pgMar w:top="1418" w:right="1418" w:bottom="1418" w:left="1418" w:header="567" w:footer="283" w:gutter="0"/>
          <w:cols w:space="708"/>
          <w:docGrid w:linePitch="360"/>
        </w:sectPr>
      </w:pPr>
    </w:p>
    <w:p w14:paraId="5D64479F" w14:textId="22B2B363" w:rsidR="00146544" w:rsidRDefault="00146544">
      <w:pPr>
        <w:pStyle w:val="Picture"/>
        <w:rPr>
          <w:noProof w:val="0"/>
          <w:sz w:val="18"/>
          <w:lang w:eastAsia="en-US"/>
        </w:rPr>
      </w:pPr>
      <w:r>
        <w:rPr>
          <w:noProof w:val="0"/>
          <w:sz w:val="18"/>
          <w:lang w:eastAsia="en-US"/>
        </w:rPr>
        <w:lastRenderedPageBreak/>
        <w:t>© Commonwealth of Australia 201</w:t>
      </w:r>
      <w:r w:rsidR="00FF170E">
        <w:rPr>
          <w:noProof w:val="0"/>
          <w:sz w:val="18"/>
          <w:lang w:eastAsia="en-US"/>
        </w:rPr>
        <w:t>8</w:t>
      </w:r>
    </w:p>
    <w:p w14:paraId="6B1C9452" w14:textId="77777777" w:rsidR="00146544" w:rsidRDefault="00146544">
      <w:pPr>
        <w:pStyle w:val="TableText"/>
        <w:rPr>
          <w:rFonts w:ascii="Calibri" w:hAnsi="Calibri"/>
          <w:b/>
        </w:rPr>
      </w:pPr>
      <w:r>
        <w:rPr>
          <w:rFonts w:ascii="Calibri" w:hAnsi="Calibri"/>
          <w:b/>
        </w:rPr>
        <w:t>Ownership of intellectual property rights</w:t>
      </w:r>
    </w:p>
    <w:p w14:paraId="42730DC4" w14:textId="77777777" w:rsidR="00146544" w:rsidRDefault="00146544">
      <w:pPr>
        <w:pStyle w:val="TableText"/>
        <w:spacing w:after="240"/>
      </w:pPr>
      <w:r>
        <w:t>Unless otherwise noted, copyright (and any other intellectual property rights, if any) in this publication is owned by the Commonwealth of Australia (referred to as the Commonwealth).</w:t>
      </w:r>
    </w:p>
    <w:p w14:paraId="52E3FB55" w14:textId="77777777" w:rsidR="00146544" w:rsidRDefault="00146544">
      <w:pPr>
        <w:pStyle w:val="TableText"/>
        <w:rPr>
          <w:rFonts w:ascii="Calibri" w:hAnsi="Calibri"/>
          <w:b/>
        </w:rPr>
      </w:pPr>
      <w:r>
        <w:rPr>
          <w:rFonts w:ascii="Calibri" w:hAnsi="Calibri"/>
          <w:b/>
        </w:rPr>
        <w:t>Creative Commons licence</w:t>
      </w:r>
    </w:p>
    <w:p w14:paraId="0F2DD1A3" w14:textId="77777777" w:rsidR="00146544" w:rsidRDefault="00146544">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6BD000F3" w14:textId="77777777" w:rsidR="00146544" w:rsidRDefault="00146544">
      <w:pPr>
        <w:pStyle w:val="TableText"/>
        <w:spacing w:after="240"/>
      </w:pPr>
    </w:p>
    <w:p w14:paraId="25C166F6" w14:textId="77777777" w:rsidR="00146544" w:rsidRDefault="00146544">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Pr>
            <w:rStyle w:val="Hyperlink"/>
          </w:rPr>
          <w:t>creativecommons.org/licenses/by/3.0/au/deed.en</w:t>
        </w:r>
      </w:hyperlink>
      <w:r>
        <w:t xml:space="preserve">. The full licence terms are available from </w:t>
      </w:r>
      <w:hyperlink r:id="rId16" w:history="1">
        <w:r>
          <w:rPr>
            <w:rStyle w:val="Hyperlink"/>
          </w:rPr>
          <w:t>creativecommons.org/licenses/by/3.0/au/legalcode</w:t>
        </w:r>
      </w:hyperlink>
      <w:r>
        <w:t>.</w:t>
      </w:r>
    </w:p>
    <w:p w14:paraId="0797A870" w14:textId="77777777" w:rsidR="00146544" w:rsidRDefault="00146544">
      <w:pPr>
        <w:pStyle w:val="TableText"/>
        <w:spacing w:after="240"/>
      </w:pPr>
      <w:r>
        <w:t xml:space="preserve">Inquiries about the licence and any use of this document should be sent to </w:t>
      </w:r>
      <w:hyperlink r:id="rId17" w:history="1">
        <w:r>
          <w:rPr>
            <w:rStyle w:val="Hyperlink"/>
          </w:rPr>
          <w:t>copyright@agriculture.gov.au</w:t>
        </w:r>
      </w:hyperlink>
      <w:r>
        <w:t>.</w:t>
      </w:r>
    </w:p>
    <w:p w14:paraId="60258596" w14:textId="3C98B11C" w:rsidR="00146544" w:rsidRDefault="00146544">
      <w:pPr>
        <w:pStyle w:val="TableText"/>
        <w:spacing w:after="240"/>
      </w:pPr>
      <w:r>
        <w:t>This publication (and any material sourced from it) should be attributed as: Australian Department of Agriculture and Water Resources 201</w:t>
      </w:r>
      <w:r w:rsidR="00FF170E">
        <w:t>8</w:t>
      </w:r>
      <w:r>
        <w:t xml:space="preserve">, </w:t>
      </w:r>
      <w:r w:rsidR="00217896" w:rsidRPr="00217896">
        <w:rPr>
          <w:i/>
        </w:rPr>
        <w:t>Final report for the r</w:t>
      </w:r>
      <w:r w:rsidR="009754AA">
        <w:rPr>
          <w:i/>
        </w:rPr>
        <w:t xml:space="preserve">eview of biosecurity import </w:t>
      </w:r>
      <w:r w:rsidR="00DB2256">
        <w:rPr>
          <w:i/>
        </w:rPr>
        <w:t>requirements</w:t>
      </w:r>
      <w:r w:rsidR="009754AA">
        <w:rPr>
          <w:i/>
        </w:rPr>
        <w:t xml:space="preserve"> for T</w:t>
      </w:r>
      <w:r>
        <w:rPr>
          <w:i/>
        </w:rPr>
        <w:t xml:space="preserve">ahitian limes from the Cook Islands, Niue, Samoa, Tonga </w:t>
      </w:r>
      <w:r w:rsidR="009754AA">
        <w:rPr>
          <w:i/>
        </w:rPr>
        <w:t>and Vanuatu</w:t>
      </w:r>
      <w:r>
        <w:t>. CC BY 3.0</w:t>
      </w:r>
    </w:p>
    <w:p w14:paraId="1A82AE7A" w14:textId="77777777" w:rsidR="00146544" w:rsidRDefault="00146544">
      <w:pPr>
        <w:pStyle w:val="TableText"/>
        <w:rPr>
          <w:rFonts w:ascii="Calibri" w:hAnsi="Calibri"/>
          <w:b/>
        </w:rPr>
      </w:pPr>
      <w:r>
        <w:rPr>
          <w:rFonts w:ascii="Calibri" w:hAnsi="Calibri"/>
          <w:b/>
        </w:rPr>
        <w:t>Cataloguing data</w:t>
      </w:r>
    </w:p>
    <w:p w14:paraId="226C2FC6" w14:textId="48CF5856" w:rsidR="00146544" w:rsidRDefault="00146544">
      <w:pPr>
        <w:pStyle w:val="TableText"/>
        <w:spacing w:after="240"/>
      </w:pPr>
      <w:r>
        <w:t>Australian Government Department of Agriculture and Water Resources 201</w:t>
      </w:r>
      <w:r w:rsidR="00FF170E">
        <w:t>8</w:t>
      </w:r>
      <w:r>
        <w:t xml:space="preserve">, </w:t>
      </w:r>
      <w:r w:rsidR="00217896" w:rsidRPr="00217896">
        <w:rPr>
          <w:i/>
        </w:rPr>
        <w:t>Final report for the r</w:t>
      </w:r>
      <w:r w:rsidR="009754AA" w:rsidRPr="00217896">
        <w:rPr>
          <w:i/>
        </w:rPr>
        <w:t>eview</w:t>
      </w:r>
      <w:r w:rsidR="009754AA">
        <w:rPr>
          <w:i/>
        </w:rPr>
        <w:t xml:space="preserve"> of biosecurity import </w:t>
      </w:r>
      <w:r w:rsidR="00DB2256">
        <w:rPr>
          <w:i/>
        </w:rPr>
        <w:t>requirements</w:t>
      </w:r>
      <w:r w:rsidR="009754AA">
        <w:rPr>
          <w:i/>
        </w:rPr>
        <w:t xml:space="preserve"> for Tahitian limes from the Cook Islands, Niue, Samoa, Tonga and Vanuatu</w:t>
      </w:r>
      <w:r>
        <w:t>. Department of Agriculture and Water Resources, Canberra.</w:t>
      </w:r>
    </w:p>
    <w:p w14:paraId="2B719446" w14:textId="77777777" w:rsidR="00146544" w:rsidRDefault="00146544">
      <w:pPr>
        <w:pStyle w:val="TableText"/>
        <w:spacing w:after="240"/>
      </w:pPr>
      <w:r>
        <w:t xml:space="preserve">This publication is available at </w:t>
      </w:r>
      <w:hyperlink r:id="rId18" w:history="1">
        <w:r>
          <w:rPr>
            <w:rStyle w:val="Hyperlink"/>
          </w:rPr>
          <w:t>agriculture.gov.au</w:t>
        </w:r>
      </w:hyperlink>
      <w:r>
        <w:t>.</w:t>
      </w:r>
    </w:p>
    <w:p w14:paraId="3F521700" w14:textId="77777777" w:rsidR="00146544" w:rsidRDefault="00146544">
      <w:pPr>
        <w:pStyle w:val="TableText"/>
      </w:pPr>
      <w:r>
        <w:t>Australian Government Department of Agriculture and Water Resources</w:t>
      </w:r>
      <w:r>
        <w:br/>
        <w:t>GPO Box 858 Canberra ACT 2601</w:t>
      </w:r>
    </w:p>
    <w:p w14:paraId="4B491F1C" w14:textId="77777777" w:rsidR="00146544" w:rsidRDefault="00146544">
      <w:pPr>
        <w:pStyle w:val="TableText"/>
        <w:tabs>
          <w:tab w:val="left" w:pos="1134"/>
        </w:tabs>
      </w:pPr>
      <w:r>
        <w:t xml:space="preserve">Switchboard: </w:t>
      </w:r>
      <w:r>
        <w:tab/>
        <w:t>+61 2 6272 3933 or 1800 900 090</w:t>
      </w:r>
    </w:p>
    <w:p w14:paraId="4F3B5348" w14:textId="77777777" w:rsidR="00146544" w:rsidRDefault="00146544">
      <w:pPr>
        <w:pStyle w:val="TableText"/>
        <w:tabs>
          <w:tab w:val="left" w:pos="1134"/>
        </w:tabs>
      </w:pPr>
      <w:r>
        <w:t xml:space="preserve">Facsimile: </w:t>
      </w:r>
      <w:r>
        <w:tab/>
        <w:t>+61 2 6272 3307</w:t>
      </w:r>
    </w:p>
    <w:p w14:paraId="31F6D064" w14:textId="77777777" w:rsidR="00146544" w:rsidRDefault="00146544">
      <w:pPr>
        <w:pStyle w:val="TableText"/>
        <w:tabs>
          <w:tab w:val="left" w:pos="1134"/>
        </w:tabs>
        <w:spacing w:after="240"/>
      </w:pPr>
      <w:r>
        <w:t>Email:</w:t>
      </w:r>
      <w:r>
        <w:tab/>
      </w:r>
      <w:hyperlink r:id="rId19" w:history="1">
        <w:r>
          <w:rPr>
            <w:rStyle w:val="Hyperlink"/>
          </w:rPr>
          <w:t>plant@agriculture.gov.au</w:t>
        </w:r>
      </w:hyperlink>
    </w:p>
    <w:p w14:paraId="64A560FF" w14:textId="77777777" w:rsidR="00146544" w:rsidRDefault="00146544">
      <w:pPr>
        <w:pStyle w:val="TableText"/>
        <w:rPr>
          <w:rFonts w:ascii="Calibri" w:hAnsi="Calibri"/>
          <w:b/>
        </w:rPr>
      </w:pPr>
      <w:r>
        <w:rPr>
          <w:rFonts w:ascii="Calibri" w:hAnsi="Calibri"/>
          <w:b/>
        </w:rPr>
        <w:t>Liability</w:t>
      </w:r>
    </w:p>
    <w:p w14:paraId="3786FA38" w14:textId="77777777" w:rsidR="00146544" w:rsidRDefault="00146544">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5A2D1644" w14:textId="77777777" w:rsidR="00452195" w:rsidRDefault="00452195">
      <w:pPr>
        <w:pStyle w:val="TableText"/>
        <w:spacing w:after="240"/>
      </w:pPr>
    </w:p>
    <w:p w14:paraId="0EBC27DE" w14:textId="77777777" w:rsidR="00C96BE9" w:rsidRDefault="00C96BE9">
      <w:pPr>
        <w:pStyle w:val="TOCHeading"/>
        <w:sectPr w:rsidR="00C96BE9" w:rsidSect="006A16D1">
          <w:headerReference w:type="even" r:id="rId20"/>
          <w:headerReference w:type="default" r:id="rId21"/>
          <w:pgSz w:w="11906" w:h="16838"/>
          <w:pgMar w:top="1418" w:right="1418" w:bottom="1418" w:left="1418" w:header="567" w:footer="283" w:gutter="0"/>
          <w:cols w:space="708"/>
          <w:docGrid w:linePitch="360"/>
        </w:sectPr>
      </w:pPr>
    </w:p>
    <w:p w14:paraId="6352181C" w14:textId="77777777" w:rsidR="00146544" w:rsidRDefault="00146544">
      <w:pPr>
        <w:pStyle w:val="TOCHeading"/>
      </w:pPr>
      <w:r>
        <w:lastRenderedPageBreak/>
        <w:t>Contents</w:t>
      </w:r>
    </w:p>
    <w:p w14:paraId="32AAFB7E" w14:textId="75E09B00" w:rsidR="0073283D" w:rsidRDefault="00146544">
      <w:pPr>
        <w:pStyle w:val="TOC1"/>
        <w:rPr>
          <w:rFonts w:asciiTheme="minorHAnsi" w:eastAsiaTheme="minorEastAsia" w:hAnsiTheme="minorHAnsi"/>
          <w:b w:val="0"/>
          <w:lang w:eastAsia="en-AU"/>
        </w:rPr>
      </w:pPr>
      <w:r>
        <w:rPr>
          <w:szCs w:val="24"/>
        </w:rPr>
        <w:fldChar w:fldCharType="begin"/>
      </w:r>
      <w:r>
        <w:instrText xml:space="preserve"> TOC \o "1-2" \u </w:instrText>
      </w:r>
      <w:r>
        <w:rPr>
          <w:szCs w:val="24"/>
        </w:rPr>
        <w:fldChar w:fldCharType="separate"/>
      </w:r>
      <w:r w:rsidR="0073283D">
        <w:t>1</w:t>
      </w:r>
      <w:r w:rsidR="0073283D">
        <w:rPr>
          <w:rFonts w:asciiTheme="minorHAnsi" w:eastAsiaTheme="minorEastAsia" w:hAnsiTheme="minorHAnsi"/>
          <w:b w:val="0"/>
          <w:lang w:eastAsia="en-AU"/>
        </w:rPr>
        <w:tab/>
      </w:r>
      <w:r w:rsidR="0073283D">
        <w:t>Introduction</w:t>
      </w:r>
      <w:r w:rsidR="0073283D">
        <w:tab/>
      </w:r>
      <w:r w:rsidR="0073283D">
        <w:fldChar w:fldCharType="begin"/>
      </w:r>
      <w:r w:rsidR="0073283D">
        <w:instrText xml:space="preserve"> PAGEREF _Toc501716476 \h </w:instrText>
      </w:r>
      <w:r w:rsidR="0073283D">
        <w:fldChar w:fldCharType="separate"/>
      </w:r>
      <w:r w:rsidR="00EB4542">
        <w:t>1</w:t>
      </w:r>
      <w:r w:rsidR="0073283D">
        <w:fldChar w:fldCharType="end"/>
      </w:r>
    </w:p>
    <w:p w14:paraId="647ED6D4" w14:textId="77777777" w:rsidR="0073283D" w:rsidRDefault="0073283D">
      <w:pPr>
        <w:pStyle w:val="TOC2"/>
        <w:tabs>
          <w:tab w:val="left" w:pos="1100"/>
        </w:tabs>
        <w:rPr>
          <w:rFonts w:asciiTheme="minorHAnsi" w:eastAsiaTheme="minorEastAsia" w:hAnsiTheme="minorHAnsi"/>
          <w:lang w:eastAsia="en-AU"/>
        </w:rPr>
      </w:pPr>
      <w:r>
        <w:t>1.1</w:t>
      </w:r>
      <w:r>
        <w:rPr>
          <w:rFonts w:asciiTheme="minorHAnsi" w:eastAsiaTheme="minorEastAsia" w:hAnsiTheme="minorHAnsi"/>
          <w:lang w:eastAsia="en-AU"/>
        </w:rPr>
        <w:tab/>
      </w:r>
      <w:r>
        <w:t>Australia’s biosecurity policy framework</w:t>
      </w:r>
      <w:r>
        <w:tab/>
      </w:r>
      <w:r>
        <w:fldChar w:fldCharType="begin"/>
      </w:r>
      <w:r>
        <w:instrText xml:space="preserve"> PAGEREF _Toc501716477 \h </w:instrText>
      </w:r>
      <w:r>
        <w:fldChar w:fldCharType="separate"/>
      </w:r>
      <w:r w:rsidR="00EB4542">
        <w:t>1</w:t>
      </w:r>
      <w:r>
        <w:fldChar w:fldCharType="end"/>
      </w:r>
    </w:p>
    <w:p w14:paraId="71047CD9" w14:textId="77777777" w:rsidR="0073283D" w:rsidRDefault="0073283D">
      <w:pPr>
        <w:pStyle w:val="TOC2"/>
        <w:tabs>
          <w:tab w:val="left" w:pos="1100"/>
        </w:tabs>
        <w:rPr>
          <w:rFonts w:asciiTheme="minorHAnsi" w:eastAsiaTheme="minorEastAsia" w:hAnsiTheme="minorHAnsi"/>
          <w:lang w:eastAsia="en-AU"/>
        </w:rPr>
      </w:pPr>
      <w:r>
        <w:t>1.2</w:t>
      </w:r>
      <w:r>
        <w:rPr>
          <w:rFonts w:asciiTheme="minorHAnsi" w:eastAsiaTheme="minorEastAsia" w:hAnsiTheme="minorHAnsi"/>
          <w:lang w:eastAsia="en-AU"/>
        </w:rPr>
        <w:tab/>
      </w:r>
      <w:r>
        <w:t>This review of biosecurity import requirements</w:t>
      </w:r>
      <w:r>
        <w:tab/>
      </w:r>
      <w:r>
        <w:fldChar w:fldCharType="begin"/>
      </w:r>
      <w:r>
        <w:instrText xml:space="preserve"> PAGEREF _Toc501716478 \h </w:instrText>
      </w:r>
      <w:r>
        <w:fldChar w:fldCharType="separate"/>
      </w:r>
      <w:r w:rsidR="00EB4542">
        <w:t>1</w:t>
      </w:r>
      <w:r>
        <w:fldChar w:fldCharType="end"/>
      </w:r>
    </w:p>
    <w:p w14:paraId="54367802" w14:textId="77777777" w:rsidR="0073283D" w:rsidRDefault="0073283D">
      <w:pPr>
        <w:pStyle w:val="TOC1"/>
        <w:rPr>
          <w:rFonts w:asciiTheme="minorHAnsi" w:eastAsiaTheme="minorEastAsia" w:hAnsiTheme="minorHAnsi"/>
          <w:b w:val="0"/>
          <w:lang w:eastAsia="en-AU"/>
        </w:rPr>
      </w:pPr>
      <w:r>
        <w:t>2</w:t>
      </w:r>
      <w:r>
        <w:rPr>
          <w:rFonts w:asciiTheme="minorHAnsi" w:eastAsiaTheme="minorEastAsia" w:hAnsiTheme="minorHAnsi"/>
          <w:b w:val="0"/>
          <w:lang w:eastAsia="en-AU"/>
        </w:rPr>
        <w:tab/>
      </w:r>
      <w:r>
        <w:t>Method for pest risk analysis</w:t>
      </w:r>
      <w:r>
        <w:tab/>
      </w:r>
      <w:r>
        <w:fldChar w:fldCharType="begin"/>
      </w:r>
      <w:r>
        <w:instrText xml:space="preserve"> PAGEREF _Toc501716479 \h </w:instrText>
      </w:r>
      <w:r>
        <w:fldChar w:fldCharType="separate"/>
      </w:r>
      <w:r w:rsidR="00EB4542">
        <w:t>5</w:t>
      </w:r>
      <w:r>
        <w:fldChar w:fldCharType="end"/>
      </w:r>
    </w:p>
    <w:p w14:paraId="48A6C336" w14:textId="77777777" w:rsidR="0073283D" w:rsidRDefault="0073283D">
      <w:pPr>
        <w:pStyle w:val="TOC2"/>
        <w:tabs>
          <w:tab w:val="left" w:pos="1100"/>
        </w:tabs>
        <w:rPr>
          <w:rFonts w:asciiTheme="minorHAnsi" w:eastAsiaTheme="minorEastAsia" w:hAnsiTheme="minorHAnsi"/>
          <w:lang w:eastAsia="en-AU"/>
        </w:rPr>
      </w:pPr>
      <w:r>
        <w:t>2.1</w:t>
      </w:r>
      <w:r>
        <w:rPr>
          <w:rFonts w:asciiTheme="minorHAnsi" w:eastAsiaTheme="minorEastAsia" w:hAnsiTheme="minorHAnsi"/>
          <w:lang w:eastAsia="en-AU"/>
        </w:rPr>
        <w:tab/>
      </w:r>
      <w:r>
        <w:t>Stage 1 Initiation</w:t>
      </w:r>
      <w:r>
        <w:tab/>
      </w:r>
      <w:r>
        <w:fldChar w:fldCharType="begin"/>
      </w:r>
      <w:r>
        <w:instrText xml:space="preserve"> PAGEREF _Toc501716480 \h </w:instrText>
      </w:r>
      <w:r>
        <w:fldChar w:fldCharType="separate"/>
      </w:r>
      <w:r w:rsidR="00EB4542">
        <w:t>5</w:t>
      </w:r>
      <w:r>
        <w:fldChar w:fldCharType="end"/>
      </w:r>
    </w:p>
    <w:p w14:paraId="409BCA54" w14:textId="77777777" w:rsidR="0073283D" w:rsidRDefault="0073283D">
      <w:pPr>
        <w:pStyle w:val="TOC2"/>
        <w:tabs>
          <w:tab w:val="left" w:pos="1100"/>
        </w:tabs>
        <w:rPr>
          <w:rFonts w:asciiTheme="minorHAnsi" w:eastAsiaTheme="minorEastAsia" w:hAnsiTheme="minorHAnsi"/>
          <w:lang w:eastAsia="en-AU"/>
        </w:rPr>
      </w:pPr>
      <w:r>
        <w:t>2.2</w:t>
      </w:r>
      <w:r>
        <w:rPr>
          <w:rFonts w:asciiTheme="minorHAnsi" w:eastAsiaTheme="minorEastAsia" w:hAnsiTheme="minorHAnsi"/>
          <w:lang w:eastAsia="en-AU"/>
        </w:rPr>
        <w:tab/>
      </w:r>
      <w:r>
        <w:t>Stage 2 Pest risk assessment</w:t>
      </w:r>
      <w:r>
        <w:tab/>
      </w:r>
      <w:r>
        <w:fldChar w:fldCharType="begin"/>
      </w:r>
      <w:r>
        <w:instrText xml:space="preserve"> PAGEREF _Toc501716481 \h </w:instrText>
      </w:r>
      <w:r>
        <w:fldChar w:fldCharType="separate"/>
      </w:r>
      <w:r w:rsidR="00EB4542">
        <w:t>6</w:t>
      </w:r>
      <w:r>
        <w:fldChar w:fldCharType="end"/>
      </w:r>
    </w:p>
    <w:p w14:paraId="33ADDEF2" w14:textId="5F1389DC" w:rsidR="0073283D" w:rsidRDefault="0073283D">
      <w:pPr>
        <w:pStyle w:val="TOC2"/>
        <w:tabs>
          <w:tab w:val="left" w:pos="1100"/>
        </w:tabs>
        <w:rPr>
          <w:rFonts w:asciiTheme="minorHAnsi" w:eastAsiaTheme="minorEastAsia" w:hAnsiTheme="minorHAnsi"/>
          <w:lang w:eastAsia="en-AU"/>
        </w:rPr>
      </w:pPr>
      <w:r>
        <w:t>2.3</w:t>
      </w:r>
      <w:r>
        <w:rPr>
          <w:rFonts w:asciiTheme="minorHAnsi" w:eastAsiaTheme="minorEastAsia" w:hAnsiTheme="minorHAnsi"/>
          <w:lang w:eastAsia="en-AU"/>
        </w:rPr>
        <w:tab/>
      </w:r>
      <w:r>
        <w:t>Stage 3 Pest risk management</w:t>
      </w:r>
      <w:r>
        <w:tab/>
      </w:r>
      <w:r>
        <w:fldChar w:fldCharType="begin"/>
      </w:r>
      <w:r>
        <w:instrText xml:space="preserve"> PAGEREF _Toc501716482 \h </w:instrText>
      </w:r>
      <w:r>
        <w:fldChar w:fldCharType="separate"/>
      </w:r>
      <w:r w:rsidR="00EB4542">
        <w:t>13</w:t>
      </w:r>
      <w:r>
        <w:fldChar w:fldCharType="end"/>
      </w:r>
    </w:p>
    <w:p w14:paraId="304EA901" w14:textId="77777777" w:rsidR="0073283D" w:rsidRDefault="0073283D">
      <w:pPr>
        <w:pStyle w:val="TOC1"/>
        <w:rPr>
          <w:rFonts w:asciiTheme="minorHAnsi" w:eastAsiaTheme="minorEastAsia" w:hAnsiTheme="minorHAnsi"/>
          <w:b w:val="0"/>
          <w:lang w:eastAsia="en-AU"/>
        </w:rPr>
      </w:pPr>
      <w:r>
        <w:t>3</w:t>
      </w:r>
      <w:r>
        <w:rPr>
          <w:rFonts w:asciiTheme="minorHAnsi" w:eastAsiaTheme="minorEastAsia" w:hAnsiTheme="minorHAnsi"/>
          <w:b w:val="0"/>
          <w:lang w:eastAsia="en-AU"/>
        </w:rPr>
        <w:tab/>
      </w:r>
      <w:r>
        <w:t>Commercial production practices for Tahitian limes</w:t>
      </w:r>
      <w:r>
        <w:tab/>
      </w:r>
      <w:r>
        <w:fldChar w:fldCharType="begin"/>
      </w:r>
      <w:r>
        <w:instrText xml:space="preserve"> PAGEREF _Toc501716483 \h </w:instrText>
      </w:r>
      <w:r>
        <w:fldChar w:fldCharType="separate"/>
      </w:r>
      <w:r w:rsidR="00EB4542">
        <w:t>15</w:t>
      </w:r>
      <w:r>
        <w:fldChar w:fldCharType="end"/>
      </w:r>
    </w:p>
    <w:p w14:paraId="54B662F4" w14:textId="77777777" w:rsidR="0073283D" w:rsidRDefault="0073283D">
      <w:pPr>
        <w:pStyle w:val="TOC2"/>
        <w:tabs>
          <w:tab w:val="left" w:pos="1100"/>
        </w:tabs>
        <w:rPr>
          <w:rFonts w:asciiTheme="minorHAnsi" w:eastAsiaTheme="minorEastAsia" w:hAnsiTheme="minorHAnsi"/>
          <w:lang w:eastAsia="en-AU"/>
        </w:rPr>
      </w:pPr>
      <w:r>
        <w:t>3.1</w:t>
      </w:r>
      <w:r>
        <w:rPr>
          <w:rFonts w:asciiTheme="minorHAnsi" w:eastAsiaTheme="minorEastAsia" w:hAnsiTheme="minorHAnsi"/>
          <w:lang w:eastAsia="en-AU"/>
        </w:rPr>
        <w:tab/>
      </w:r>
      <w:r>
        <w:t>Considerations used in estimating unrestricted risk</w:t>
      </w:r>
      <w:r>
        <w:tab/>
      </w:r>
      <w:r>
        <w:fldChar w:fldCharType="begin"/>
      </w:r>
      <w:r>
        <w:instrText xml:space="preserve"> PAGEREF _Toc501716484 \h </w:instrText>
      </w:r>
      <w:r>
        <w:fldChar w:fldCharType="separate"/>
      </w:r>
      <w:r w:rsidR="00EB4542">
        <w:t>15</w:t>
      </w:r>
      <w:r>
        <w:fldChar w:fldCharType="end"/>
      </w:r>
    </w:p>
    <w:p w14:paraId="73FF1170" w14:textId="77777777" w:rsidR="0073283D" w:rsidRDefault="0073283D">
      <w:pPr>
        <w:pStyle w:val="TOC2"/>
        <w:tabs>
          <w:tab w:val="left" w:pos="1100"/>
        </w:tabs>
        <w:rPr>
          <w:rFonts w:asciiTheme="minorHAnsi" w:eastAsiaTheme="minorEastAsia" w:hAnsiTheme="minorHAnsi"/>
          <w:lang w:eastAsia="en-AU"/>
        </w:rPr>
      </w:pPr>
      <w:r>
        <w:t>3.2</w:t>
      </w:r>
      <w:r>
        <w:rPr>
          <w:rFonts w:asciiTheme="minorHAnsi" w:eastAsiaTheme="minorEastAsia" w:hAnsiTheme="minorHAnsi"/>
          <w:lang w:eastAsia="en-AU"/>
        </w:rPr>
        <w:tab/>
      </w:r>
      <w:r>
        <w:t>The Cook Islands, Niue, Samoa, Tonga and Vanuatu</w:t>
      </w:r>
      <w:r>
        <w:tab/>
      </w:r>
      <w:r>
        <w:fldChar w:fldCharType="begin"/>
      </w:r>
      <w:r>
        <w:instrText xml:space="preserve"> PAGEREF _Toc501716485 \h </w:instrText>
      </w:r>
      <w:r>
        <w:fldChar w:fldCharType="separate"/>
      </w:r>
      <w:r w:rsidR="00EB4542">
        <w:t>15</w:t>
      </w:r>
      <w:r>
        <w:fldChar w:fldCharType="end"/>
      </w:r>
    </w:p>
    <w:p w14:paraId="1B4CFDFC" w14:textId="77777777" w:rsidR="0073283D" w:rsidRDefault="0073283D">
      <w:pPr>
        <w:pStyle w:val="TOC2"/>
        <w:tabs>
          <w:tab w:val="left" w:pos="1100"/>
        </w:tabs>
        <w:rPr>
          <w:rFonts w:asciiTheme="minorHAnsi" w:eastAsiaTheme="minorEastAsia" w:hAnsiTheme="minorHAnsi"/>
          <w:lang w:eastAsia="en-AU"/>
        </w:rPr>
      </w:pPr>
      <w:r>
        <w:t>3.3</w:t>
      </w:r>
      <w:r>
        <w:rPr>
          <w:rFonts w:asciiTheme="minorHAnsi" w:eastAsiaTheme="minorEastAsia" w:hAnsiTheme="minorHAnsi"/>
          <w:lang w:eastAsia="en-AU"/>
        </w:rPr>
        <w:tab/>
      </w:r>
      <w:r>
        <w:t>Pre-harvest</w:t>
      </w:r>
      <w:r>
        <w:tab/>
      </w:r>
      <w:r>
        <w:fldChar w:fldCharType="begin"/>
      </w:r>
      <w:r>
        <w:instrText xml:space="preserve"> PAGEREF _Toc501716486 \h </w:instrText>
      </w:r>
      <w:r>
        <w:fldChar w:fldCharType="separate"/>
      </w:r>
      <w:r w:rsidR="00EB4542">
        <w:t>17</w:t>
      </w:r>
      <w:r>
        <w:fldChar w:fldCharType="end"/>
      </w:r>
    </w:p>
    <w:p w14:paraId="73B86F9B" w14:textId="77777777" w:rsidR="0073283D" w:rsidRDefault="0073283D">
      <w:pPr>
        <w:pStyle w:val="TOC2"/>
        <w:tabs>
          <w:tab w:val="left" w:pos="1100"/>
        </w:tabs>
        <w:rPr>
          <w:rFonts w:asciiTheme="minorHAnsi" w:eastAsiaTheme="minorEastAsia" w:hAnsiTheme="minorHAnsi"/>
          <w:lang w:eastAsia="en-AU"/>
        </w:rPr>
      </w:pPr>
      <w:r>
        <w:t>3.4</w:t>
      </w:r>
      <w:r>
        <w:rPr>
          <w:rFonts w:asciiTheme="minorHAnsi" w:eastAsiaTheme="minorEastAsia" w:hAnsiTheme="minorHAnsi"/>
          <w:lang w:eastAsia="en-AU"/>
        </w:rPr>
        <w:tab/>
      </w:r>
      <w:r>
        <w:t>Harvesting and handling procedures</w:t>
      </w:r>
      <w:r>
        <w:tab/>
      </w:r>
      <w:r>
        <w:fldChar w:fldCharType="begin"/>
      </w:r>
      <w:r>
        <w:instrText xml:space="preserve"> PAGEREF _Toc501716487 \h </w:instrText>
      </w:r>
      <w:r>
        <w:fldChar w:fldCharType="separate"/>
      </w:r>
      <w:r w:rsidR="00EB4542">
        <w:t>17</w:t>
      </w:r>
      <w:r>
        <w:fldChar w:fldCharType="end"/>
      </w:r>
    </w:p>
    <w:p w14:paraId="059E7CF5" w14:textId="77777777" w:rsidR="0073283D" w:rsidRDefault="0073283D">
      <w:pPr>
        <w:pStyle w:val="TOC2"/>
        <w:tabs>
          <w:tab w:val="left" w:pos="1100"/>
        </w:tabs>
        <w:rPr>
          <w:rFonts w:asciiTheme="minorHAnsi" w:eastAsiaTheme="minorEastAsia" w:hAnsiTheme="minorHAnsi"/>
          <w:lang w:eastAsia="en-AU"/>
        </w:rPr>
      </w:pPr>
      <w:r>
        <w:t>3.5</w:t>
      </w:r>
      <w:r>
        <w:rPr>
          <w:rFonts w:asciiTheme="minorHAnsi" w:eastAsiaTheme="minorEastAsia" w:hAnsiTheme="minorHAnsi"/>
          <w:lang w:eastAsia="en-AU"/>
        </w:rPr>
        <w:tab/>
      </w:r>
      <w:r>
        <w:t>Post-harvest</w:t>
      </w:r>
      <w:r>
        <w:tab/>
      </w:r>
      <w:r>
        <w:fldChar w:fldCharType="begin"/>
      </w:r>
      <w:r>
        <w:instrText xml:space="preserve"> PAGEREF _Toc501716488 \h </w:instrText>
      </w:r>
      <w:r>
        <w:fldChar w:fldCharType="separate"/>
      </w:r>
      <w:r w:rsidR="00EB4542">
        <w:t>18</w:t>
      </w:r>
      <w:r>
        <w:fldChar w:fldCharType="end"/>
      </w:r>
    </w:p>
    <w:p w14:paraId="2C2C68FE" w14:textId="77777777" w:rsidR="0073283D" w:rsidRDefault="0073283D">
      <w:pPr>
        <w:pStyle w:val="TOC2"/>
        <w:tabs>
          <w:tab w:val="left" w:pos="1100"/>
        </w:tabs>
        <w:rPr>
          <w:rFonts w:asciiTheme="minorHAnsi" w:eastAsiaTheme="minorEastAsia" w:hAnsiTheme="minorHAnsi"/>
          <w:lang w:eastAsia="en-AU"/>
        </w:rPr>
      </w:pPr>
      <w:r>
        <w:t>3.6</w:t>
      </w:r>
      <w:r>
        <w:rPr>
          <w:rFonts w:asciiTheme="minorHAnsi" w:eastAsiaTheme="minorEastAsia" w:hAnsiTheme="minorHAnsi"/>
          <w:lang w:eastAsia="en-AU"/>
        </w:rPr>
        <w:tab/>
      </w:r>
      <w:r>
        <w:t>Export capability</w:t>
      </w:r>
      <w:r>
        <w:tab/>
      </w:r>
      <w:r>
        <w:fldChar w:fldCharType="begin"/>
      </w:r>
      <w:r>
        <w:instrText xml:space="preserve"> PAGEREF _Toc501716489 \h </w:instrText>
      </w:r>
      <w:r>
        <w:fldChar w:fldCharType="separate"/>
      </w:r>
      <w:r w:rsidR="00EB4542">
        <w:t>18</w:t>
      </w:r>
      <w:r>
        <w:fldChar w:fldCharType="end"/>
      </w:r>
    </w:p>
    <w:p w14:paraId="3EC4B5A2" w14:textId="77777777" w:rsidR="0073283D" w:rsidRDefault="0073283D">
      <w:pPr>
        <w:pStyle w:val="TOC1"/>
        <w:rPr>
          <w:rFonts w:asciiTheme="minorHAnsi" w:eastAsiaTheme="minorEastAsia" w:hAnsiTheme="minorHAnsi"/>
          <w:b w:val="0"/>
          <w:lang w:eastAsia="en-AU"/>
        </w:rPr>
      </w:pPr>
      <w:r>
        <w:t>4</w:t>
      </w:r>
      <w:r>
        <w:rPr>
          <w:rFonts w:asciiTheme="minorHAnsi" w:eastAsiaTheme="minorEastAsia" w:hAnsiTheme="minorHAnsi"/>
          <w:b w:val="0"/>
          <w:lang w:eastAsia="en-AU"/>
        </w:rPr>
        <w:tab/>
      </w:r>
      <w:r>
        <w:t>Pest risk assessments for quarantine pests</w:t>
      </w:r>
      <w:r>
        <w:tab/>
      </w:r>
      <w:r>
        <w:fldChar w:fldCharType="begin"/>
      </w:r>
      <w:r>
        <w:instrText xml:space="preserve"> PAGEREF _Toc501716490 \h </w:instrText>
      </w:r>
      <w:r>
        <w:fldChar w:fldCharType="separate"/>
      </w:r>
      <w:r w:rsidR="00EB4542">
        <w:t>19</w:t>
      </w:r>
      <w:r>
        <w:fldChar w:fldCharType="end"/>
      </w:r>
    </w:p>
    <w:p w14:paraId="1B78EE22" w14:textId="77777777" w:rsidR="0073283D" w:rsidRDefault="0073283D">
      <w:pPr>
        <w:pStyle w:val="TOC2"/>
        <w:tabs>
          <w:tab w:val="left" w:pos="1100"/>
        </w:tabs>
        <w:rPr>
          <w:rFonts w:asciiTheme="minorHAnsi" w:eastAsiaTheme="minorEastAsia" w:hAnsiTheme="minorHAnsi"/>
          <w:lang w:eastAsia="en-AU"/>
        </w:rPr>
      </w:pPr>
      <w:r>
        <w:t>4.1</w:t>
      </w:r>
      <w:r>
        <w:rPr>
          <w:rFonts w:asciiTheme="minorHAnsi" w:eastAsiaTheme="minorEastAsia" w:hAnsiTheme="minorHAnsi"/>
          <w:lang w:eastAsia="en-AU"/>
        </w:rPr>
        <w:tab/>
      </w:r>
      <w:r>
        <w:t>Caribbean black scale</w:t>
      </w:r>
      <w:r>
        <w:tab/>
      </w:r>
      <w:r>
        <w:fldChar w:fldCharType="begin"/>
      </w:r>
      <w:r>
        <w:instrText xml:space="preserve"> PAGEREF _Toc501716491 \h </w:instrText>
      </w:r>
      <w:r>
        <w:fldChar w:fldCharType="separate"/>
      </w:r>
      <w:r w:rsidR="00EB4542">
        <w:t>20</w:t>
      </w:r>
      <w:r>
        <w:fldChar w:fldCharType="end"/>
      </w:r>
    </w:p>
    <w:p w14:paraId="09543F82" w14:textId="77777777" w:rsidR="0073283D" w:rsidRDefault="0073283D">
      <w:pPr>
        <w:pStyle w:val="TOC2"/>
        <w:tabs>
          <w:tab w:val="left" w:pos="1100"/>
        </w:tabs>
        <w:rPr>
          <w:rFonts w:asciiTheme="minorHAnsi" w:eastAsiaTheme="minorEastAsia" w:hAnsiTheme="minorHAnsi"/>
          <w:lang w:eastAsia="en-AU"/>
        </w:rPr>
      </w:pPr>
      <w:r>
        <w:t>4.2</w:t>
      </w:r>
      <w:r>
        <w:rPr>
          <w:rFonts w:asciiTheme="minorHAnsi" w:eastAsiaTheme="minorEastAsia" w:hAnsiTheme="minorHAnsi"/>
          <w:lang w:eastAsia="en-AU"/>
        </w:rPr>
        <w:tab/>
      </w:r>
      <w:r>
        <w:t>Armoured scales</w:t>
      </w:r>
      <w:r>
        <w:tab/>
      </w:r>
      <w:r>
        <w:fldChar w:fldCharType="begin"/>
      </w:r>
      <w:r>
        <w:instrText xml:space="preserve"> PAGEREF _Toc501716492 \h </w:instrText>
      </w:r>
      <w:r>
        <w:fldChar w:fldCharType="separate"/>
      </w:r>
      <w:r w:rsidR="00EB4542">
        <w:t>26</w:t>
      </w:r>
      <w:r>
        <w:fldChar w:fldCharType="end"/>
      </w:r>
    </w:p>
    <w:p w14:paraId="001517B3" w14:textId="77777777" w:rsidR="0073283D" w:rsidRDefault="0073283D">
      <w:pPr>
        <w:pStyle w:val="TOC2"/>
        <w:tabs>
          <w:tab w:val="left" w:pos="1100"/>
        </w:tabs>
        <w:rPr>
          <w:rFonts w:asciiTheme="minorHAnsi" w:eastAsiaTheme="minorEastAsia" w:hAnsiTheme="minorHAnsi"/>
          <w:lang w:eastAsia="en-AU"/>
        </w:rPr>
      </w:pPr>
      <w:r>
        <w:t>4.3</w:t>
      </w:r>
      <w:r>
        <w:rPr>
          <w:rFonts w:asciiTheme="minorHAnsi" w:eastAsiaTheme="minorEastAsia" w:hAnsiTheme="minorHAnsi"/>
          <w:lang w:eastAsia="en-AU"/>
        </w:rPr>
        <w:tab/>
      </w:r>
      <w:r>
        <w:t>Mealybugs</w:t>
      </w:r>
      <w:r>
        <w:tab/>
      </w:r>
      <w:r>
        <w:fldChar w:fldCharType="begin"/>
      </w:r>
      <w:r>
        <w:instrText xml:space="preserve"> PAGEREF _Toc501716493 \h </w:instrText>
      </w:r>
      <w:r>
        <w:fldChar w:fldCharType="separate"/>
      </w:r>
      <w:r w:rsidR="00EB4542">
        <w:t>28</w:t>
      </w:r>
      <w:r>
        <w:fldChar w:fldCharType="end"/>
      </w:r>
    </w:p>
    <w:p w14:paraId="443AEDB7" w14:textId="77777777" w:rsidR="0073283D" w:rsidRDefault="0073283D">
      <w:pPr>
        <w:pStyle w:val="TOC2"/>
        <w:tabs>
          <w:tab w:val="left" w:pos="1100"/>
        </w:tabs>
        <w:rPr>
          <w:rFonts w:asciiTheme="minorHAnsi" w:eastAsiaTheme="minorEastAsia" w:hAnsiTheme="minorHAnsi"/>
          <w:lang w:eastAsia="en-AU"/>
        </w:rPr>
      </w:pPr>
      <w:r>
        <w:t>4.4</w:t>
      </w:r>
      <w:r>
        <w:rPr>
          <w:rFonts w:asciiTheme="minorHAnsi" w:eastAsiaTheme="minorEastAsia" w:hAnsiTheme="minorHAnsi"/>
          <w:lang w:eastAsia="en-AU"/>
        </w:rPr>
        <w:tab/>
      </w:r>
      <w:r>
        <w:t>Citrus scab</w:t>
      </w:r>
      <w:r>
        <w:tab/>
      </w:r>
      <w:r>
        <w:fldChar w:fldCharType="begin"/>
      </w:r>
      <w:r>
        <w:instrText xml:space="preserve"> PAGEREF _Toc501716494 \h </w:instrText>
      </w:r>
      <w:r>
        <w:fldChar w:fldCharType="separate"/>
      </w:r>
      <w:r w:rsidR="00EB4542">
        <w:t>30</w:t>
      </w:r>
      <w:r>
        <w:fldChar w:fldCharType="end"/>
      </w:r>
    </w:p>
    <w:p w14:paraId="23BE6E75" w14:textId="7DF384B6" w:rsidR="0073283D" w:rsidRDefault="0073283D">
      <w:pPr>
        <w:pStyle w:val="TOC2"/>
        <w:tabs>
          <w:tab w:val="left" w:pos="1100"/>
        </w:tabs>
        <w:rPr>
          <w:rFonts w:asciiTheme="minorHAnsi" w:eastAsiaTheme="minorEastAsia" w:hAnsiTheme="minorHAnsi"/>
          <w:lang w:eastAsia="en-AU"/>
        </w:rPr>
      </w:pPr>
      <w:r>
        <w:t>4.5</w:t>
      </w:r>
      <w:r>
        <w:rPr>
          <w:rFonts w:asciiTheme="minorHAnsi" w:eastAsiaTheme="minorEastAsia" w:hAnsiTheme="minorHAnsi"/>
          <w:lang w:eastAsia="en-AU"/>
        </w:rPr>
        <w:tab/>
      </w:r>
      <w:r>
        <w:t>Summary of the assessment of pests of Tahitian limes</w:t>
      </w:r>
      <w:r>
        <w:tab/>
      </w:r>
      <w:r>
        <w:fldChar w:fldCharType="begin"/>
      </w:r>
      <w:r>
        <w:instrText xml:space="preserve"> PAGEREF _Toc501716495 \h </w:instrText>
      </w:r>
      <w:r>
        <w:fldChar w:fldCharType="separate"/>
      </w:r>
      <w:r w:rsidR="00EB4542">
        <w:t>35</w:t>
      </w:r>
      <w:r>
        <w:fldChar w:fldCharType="end"/>
      </w:r>
    </w:p>
    <w:p w14:paraId="5BA051F9" w14:textId="02373E38" w:rsidR="0073283D" w:rsidRDefault="0073283D">
      <w:pPr>
        <w:pStyle w:val="TOC2"/>
        <w:tabs>
          <w:tab w:val="left" w:pos="1100"/>
        </w:tabs>
        <w:rPr>
          <w:rFonts w:asciiTheme="minorHAnsi" w:eastAsiaTheme="minorEastAsia" w:hAnsiTheme="minorHAnsi"/>
          <w:lang w:eastAsia="en-AU"/>
        </w:rPr>
      </w:pPr>
      <w:r>
        <w:t>4.6</w:t>
      </w:r>
      <w:r>
        <w:rPr>
          <w:rFonts w:asciiTheme="minorHAnsi" w:eastAsiaTheme="minorEastAsia" w:hAnsiTheme="minorHAnsi"/>
          <w:lang w:eastAsia="en-AU"/>
        </w:rPr>
        <w:tab/>
      </w:r>
      <w:r>
        <w:t>Pest risk assessment conclusions</w:t>
      </w:r>
      <w:r>
        <w:tab/>
      </w:r>
      <w:r>
        <w:fldChar w:fldCharType="begin"/>
      </w:r>
      <w:r>
        <w:instrText xml:space="preserve"> PAGEREF _Toc501716496 \h </w:instrText>
      </w:r>
      <w:r>
        <w:fldChar w:fldCharType="separate"/>
      </w:r>
      <w:r w:rsidR="00EB4542">
        <w:t>36</w:t>
      </w:r>
      <w:r>
        <w:fldChar w:fldCharType="end"/>
      </w:r>
    </w:p>
    <w:p w14:paraId="3075A4A2" w14:textId="1C5AA6D0" w:rsidR="0073283D" w:rsidRDefault="0073283D">
      <w:pPr>
        <w:pStyle w:val="TOC1"/>
        <w:rPr>
          <w:rFonts w:asciiTheme="minorHAnsi" w:eastAsiaTheme="minorEastAsia" w:hAnsiTheme="minorHAnsi"/>
          <w:b w:val="0"/>
          <w:lang w:eastAsia="en-AU"/>
        </w:rPr>
      </w:pPr>
      <w:r>
        <w:t>5</w:t>
      </w:r>
      <w:r>
        <w:rPr>
          <w:rFonts w:asciiTheme="minorHAnsi" w:eastAsiaTheme="minorEastAsia" w:hAnsiTheme="minorHAnsi"/>
          <w:b w:val="0"/>
          <w:lang w:eastAsia="en-AU"/>
        </w:rPr>
        <w:tab/>
      </w:r>
      <w:r>
        <w:t>Pest risk management</w:t>
      </w:r>
      <w:r>
        <w:tab/>
      </w:r>
      <w:r>
        <w:fldChar w:fldCharType="begin"/>
      </w:r>
      <w:r>
        <w:instrText xml:space="preserve"> PAGEREF _Toc501716497 \h </w:instrText>
      </w:r>
      <w:r>
        <w:fldChar w:fldCharType="separate"/>
      </w:r>
      <w:r w:rsidR="00EB4542">
        <w:t>38</w:t>
      </w:r>
      <w:r>
        <w:fldChar w:fldCharType="end"/>
      </w:r>
    </w:p>
    <w:p w14:paraId="2C39B943" w14:textId="5CBE4371" w:rsidR="0073283D" w:rsidRDefault="0073283D">
      <w:pPr>
        <w:pStyle w:val="TOC2"/>
        <w:tabs>
          <w:tab w:val="left" w:pos="1100"/>
        </w:tabs>
        <w:rPr>
          <w:rFonts w:asciiTheme="minorHAnsi" w:eastAsiaTheme="minorEastAsia" w:hAnsiTheme="minorHAnsi"/>
          <w:lang w:eastAsia="en-AU"/>
        </w:rPr>
      </w:pPr>
      <w:r>
        <w:t>5.1</w:t>
      </w:r>
      <w:r>
        <w:rPr>
          <w:rFonts w:asciiTheme="minorHAnsi" w:eastAsiaTheme="minorEastAsia" w:hAnsiTheme="minorHAnsi"/>
          <w:lang w:eastAsia="en-AU"/>
        </w:rPr>
        <w:tab/>
      </w:r>
      <w:r>
        <w:t>Pest risk management measures and phytosanitary procedures</w:t>
      </w:r>
      <w:r>
        <w:tab/>
      </w:r>
      <w:r>
        <w:fldChar w:fldCharType="begin"/>
      </w:r>
      <w:r>
        <w:instrText xml:space="preserve"> PAGEREF _Toc501716498 \h </w:instrText>
      </w:r>
      <w:r>
        <w:fldChar w:fldCharType="separate"/>
      </w:r>
      <w:r w:rsidR="00EB4542">
        <w:t>38</w:t>
      </w:r>
      <w:r>
        <w:fldChar w:fldCharType="end"/>
      </w:r>
    </w:p>
    <w:p w14:paraId="3D851416" w14:textId="6BC5A8A3" w:rsidR="0073283D" w:rsidRDefault="0073283D">
      <w:pPr>
        <w:pStyle w:val="TOC2"/>
        <w:tabs>
          <w:tab w:val="left" w:pos="1100"/>
        </w:tabs>
        <w:rPr>
          <w:rFonts w:asciiTheme="minorHAnsi" w:eastAsiaTheme="minorEastAsia" w:hAnsiTheme="minorHAnsi"/>
          <w:lang w:eastAsia="en-AU"/>
        </w:rPr>
      </w:pPr>
      <w:r>
        <w:t>5.2</w:t>
      </w:r>
      <w:r>
        <w:rPr>
          <w:rFonts w:asciiTheme="minorHAnsi" w:eastAsiaTheme="minorEastAsia" w:hAnsiTheme="minorHAnsi"/>
          <w:lang w:eastAsia="en-AU"/>
        </w:rPr>
        <w:tab/>
      </w:r>
      <w:r>
        <w:t>Operational system for the maintenance and verification of phytosanitary status</w:t>
      </w:r>
      <w:r>
        <w:tab/>
      </w:r>
      <w:r>
        <w:fldChar w:fldCharType="begin"/>
      </w:r>
      <w:r>
        <w:instrText xml:space="preserve"> PAGEREF _Toc501716499 \h </w:instrText>
      </w:r>
      <w:r>
        <w:fldChar w:fldCharType="separate"/>
      </w:r>
      <w:r w:rsidR="00EB4542">
        <w:t>40</w:t>
      </w:r>
      <w:r>
        <w:fldChar w:fldCharType="end"/>
      </w:r>
    </w:p>
    <w:p w14:paraId="3560542E" w14:textId="0A2E3AA5" w:rsidR="0073283D" w:rsidRDefault="0073283D">
      <w:pPr>
        <w:pStyle w:val="TOC2"/>
        <w:tabs>
          <w:tab w:val="left" w:pos="1100"/>
        </w:tabs>
        <w:rPr>
          <w:rFonts w:asciiTheme="minorHAnsi" w:eastAsiaTheme="minorEastAsia" w:hAnsiTheme="minorHAnsi"/>
          <w:lang w:eastAsia="en-AU"/>
        </w:rPr>
      </w:pPr>
      <w:r>
        <w:t>5.3</w:t>
      </w:r>
      <w:r>
        <w:rPr>
          <w:rFonts w:asciiTheme="minorHAnsi" w:eastAsiaTheme="minorEastAsia" w:hAnsiTheme="minorHAnsi"/>
          <w:lang w:eastAsia="en-AU"/>
        </w:rPr>
        <w:tab/>
      </w:r>
      <w:r>
        <w:t>Uncategorised pests</w:t>
      </w:r>
      <w:r>
        <w:tab/>
      </w:r>
      <w:r>
        <w:fldChar w:fldCharType="begin"/>
      </w:r>
      <w:r>
        <w:instrText xml:space="preserve"> PAGEREF _Toc501716500 \h </w:instrText>
      </w:r>
      <w:r>
        <w:fldChar w:fldCharType="separate"/>
      </w:r>
      <w:r w:rsidR="00EB4542">
        <w:t>41</w:t>
      </w:r>
      <w:r>
        <w:fldChar w:fldCharType="end"/>
      </w:r>
    </w:p>
    <w:p w14:paraId="4B8A276D" w14:textId="2A8C7155" w:rsidR="0073283D" w:rsidRDefault="0073283D">
      <w:pPr>
        <w:pStyle w:val="TOC2"/>
        <w:tabs>
          <w:tab w:val="left" w:pos="1100"/>
        </w:tabs>
        <w:rPr>
          <w:rFonts w:asciiTheme="minorHAnsi" w:eastAsiaTheme="minorEastAsia" w:hAnsiTheme="minorHAnsi"/>
          <w:lang w:eastAsia="en-AU"/>
        </w:rPr>
      </w:pPr>
      <w:r>
        <w:t>5.4</w:t>
      </w:r>
      <w:r>
        <w:rPr>
          <w:rFonts w:asciiTheme="minorHAnsi" w:eastAsiaTheme="minorEastAsia" w:hAnsiTheme="minorHAnsi"/>
          <w:lang w:eastAsia="en-AU"/>
        </w:rPr>
        <w:tab/>
      </w:r>
      <w:r>
        <w:t>Review of policy</w:t>
      </w:r>
      <w:r>
        <w:tab/>
      </w:r>
      <w:r>
        <w:fldChar w:fldCharType="begin"/>
      </w:r>
      <w:r>
        <w:instrText xml:space="preserve"> PAGEREF _Toc501716501 \h </w:instrText>
      </w:r>
      <w:r>
        <w:fldChar w:fldCharType="separate"/>
      </w:r>
      <w:r w:rsidR="00EB4542">
        <w:t>42</w:t>
      </w:r>
      <w:r>
        <w:fldChar w:fldCharType="end"/>
      </w:r>
    </w:p>
    <w:p w14:paraId="0E175BB7" w14:textId="68E495DB" w:rsidR="0073283D" w:rsidRDefault="0073283D">
      <w:pPr>
        <w:pStyle w:val="TOC2"/>
        <w:tabs>
          <w:tab w:val="left" w:pos="1100"/>
        </w:tabs>
        <w:rPr>
          <w:rFonts w:asciiTheme="minorHAnsi" w:eastAsiaTheme="minorEastAsia" w:hAnsiTheme="minorHAnsi"/>
          <w:lang w:eastAsia="en-AU"/>
        </w:rPr>
      </w:pPr>
      <w:r>
        <w:t>5.5</w:t>
      </w:r>
      <w:r>
        <w:rPr>
          <w:rFonts w:asciiTheme="minorHAnsi" w:eastAsiaTheme="minorEastAsia" w:hAnsiTheme="minorHAnsi"/>
          <w:lang w:eastAsia="en-AU"/>
        </w:rPr>
        <w:tab/>
      </w:r>
      <w:r>
        <w:t>Meeting Australia’s food laws</w:t>
      </w:r>
      <w:r>
        <w:tab/>
      </w:r>
      <w:r>
        <w:fldChar w:fldCharType="begin"/>
      </w:r>
      <w:r>
        <w:instrText xml:space="preserve"> PAGEREF _Toc501716502 \h </w:instrText>
      </w:r>
      <w:r>
        <w:fldChar w:fldCharType="separate"/>
      </w:r>
      <w:r w:rsidR="00EB4542">
        <w:t>42</w:t>
      </w:r>
      <w:r>
        <w:fldChar w:fldCharType="end"/>
      </w:r>
    </w:p>
    <w:p w14:paraId="31262A29" w14:textId="2455D371" w:rsidR="0073283D" w:rsidRDefault="0073283D">
      <w:pPr>
        <w:pStyle w:val="TOC1"/>
        <w:rPr>
          <w:rFonts w:asciiTheme="minorHAnsi" w:eastAsiaTheme="minorEastAsia" w:hAnsiTheme="minorHAnsi"/>
          <w:b w:val="0"/>
          <w:lang w:eastAsia="en-AU"/>
        </w:rPr>
      </w:pPr>
      <w:r>
        <w:t>6</w:t>
      </w:r>
      <w:r>
        <w:rPr>
          <w:rFonts w:asciiTheme="minorHAnsi" w:eastAsiaTheme="minorEastAsia" w:hAnsiTheme="minorHAnsi"/>
          <w:b w:val="0"/>
          <w:lang w:eastAsia="en-AU"/>
        </w:rPr>
        <w:tab/>
      </w:r>
      <w:r>
        <w:t>Conclusion</w:t>
      </w:r>
      <w:r>
        <w:tab/>
      </w:r>
      <w:r>
        <w:fldChar w:fldCharType="begin"/>
      </w:r>
      <w:r>
        <w:instrText xml:space="preserve"> PAGEREF _Toc501716503 \h </w:instrText>
      </w:r>
      <w:r>
        <w:fldChar w:fldCharType="separate"/>
      </w:r>
      <w:r w:rsidR="00EB4542">
        <w:t>43</w:t>
      </w:r>
      <w:r>
        <w:fldChar w:fldCharType="end"/>
      </w:r>
    </w:p>
    <w:p w14:paraId="202C46F4" w14:textId="0B9D6A93" w:rsidR="0073283D" w:rsidRDefault="0073283D">
      <w:pPr>
        <w:pStyle w:val="TOC1"/>
        <w:tabs>
          <w:tab w:val="left" w:pos="1540"/>
        </w:tabs>
        <w:rPr>
          <w:rFonts w:asciiTheme="minorHAnsi" w:eastAsiaTheme="minorEastAsia" w:hAnsiTheme="minorHAnsi"/>
          <w:b w:val="0"/>
          <w:lang w:eastAsia="en-AU"/>
        </w:rPr>
      </w:pPr>
      <w:r>
        <w:t>Appendix A</w:t>
      </w:r>
      <w:r>
        <w:rPr>
          <w:rFonts w:asciiTheme="minorHAnsi" w:eastAsiaTheme="minorEastAsia" w:hAnsiTheme="minorHAnsi"/>
          <w:b w:val="0"/>
          <w:lang w:eastAsia="en-AU"/>
        </w:rPr>
        <w:tab/>
      </w:r>
      <w:r>
        <w:t>Categorisation of pests of fresh Tahitian limes from the Cook Islands, Niue, Samoa, Tonga and Vanuatu</w:t>
      </w:r>
      <w:r>
        <w:tab/>
      </w:r>
      <w:r>
        <w:fldChar w:fldCharType="begin"/>
      </w:r>
      <w:r>
        <w:instrText xml:space="preserve"> PAGEREF _Toc501716504 \h </w:instrText>
      </w:r>
      <w:r>
        <w:fldChar w:fldCharType="separate"/>
      </w:r>
      <w:r w:rsidR="00EB4542">
        <w:t>44</w:t>
      </w:r>
      <w:r>
        <w:fldChar w:fldCharType="end"/>
      </w:r>
    </w:p>
    <w:p w14:paraId="5DAAD33C" w14:textId="310E38AF" w:rsidR="0073283D" w:rsidRDefault="0073283D">
      <w:pPr>
        <w:pStyle w:val="TOC1"/>
        <w:tabs>
          <w:tab w:val="left" w:pos="1540"/>
        </w:tabs>
        <w:rPr>
          <w:rFonts w:asciiTheme="minorHAnsi" w:eastAsiaTheme="minorEastAsia" w:hAnsiTheme="minorHAnsi"/>
          <w:b w:val="0"/>
          <w:lang w:eastAsia="en-AU"/>
        </w:rPr>
      </w:pPr>
      <w:r>
        <w:t>Appendix B</w:t>
      </w:r>
      <w:r>
        <w:rPr>
          <w:rFonts w:asciiTheme="minorHAnsi" w:eastAsiaTheme="minorEastAsia" w:hAnsiTheme="minorHAnsi"/>
          <w:b w:val="0"/>
          <w:lang w:eastAsia="en-AU"/>
        </w:rPr>
        <w:tab/>
      </w:r>
      <w:r>
        <w:t>Issues raised in stakeholder comments</w:t>
      </w:r>
      <w:r>
        <w:tab/>
      </w:r>
      <w:r>
        <w:fldChar w:fldCharType="begin"/>
      </w:r>
      <w:r>
        <w:instrText xml:space="preserve"> PAGEREF _Toc501716505 \h </w:instrText>
      </w:r>
      <w:r>
        <w:fldChar w:fldCharType="separate"/>
      </w:r>
      <w:r w:rsidR="00EB4542">
        <w:t>65</w:t>
      </w:r>
      <w:r>
        <w:fldChar w:fldCharType="end"/>
      </w:r>
    </w:p>
    <w:p w14:paraId="7D768168" w14:textId="363AF2FD" w:rsidR="0073283D" w:rsidRDefault="0073283D">
      <w:pPr>
        <w:pStyle w:val="TOC1"/>
        <w:rPr>
          <w:rFonts w:asciiTheme="minorHAnsi" w:eastAsiaTheme="minorEastAsia" w:hAnsiTheme="minorHAnsi"/>
          <w:b w:val="0"/>
          <w:lang w:eastAsia="en-AU"/>
        </w:rPr>
      </w:pPr>
      <w:r>
        <w:t>Glossary</w:t>
      </w:r>
      <w:r>
        <w:tab/>
      </w:r>
      <w:r>
        <w:fldChar w:fldCharType="begin"/>
      </w:r>
      <w:r>
        <w:instrText xml:space="preserve"> PAGEREF _Toc501716506 \h </w:instrText>
      </w:r>
      <w:r>
        <w:fldChar w:fldCharType="separate"/>
      </w:r>
      <w:r w:rsidR="00EB4542">
        <w:t>69</w:t>
      </w:r>
      <w:r>
        <w:fldChar w:fldCharType="end"/>
      </w:r>
    </w:p>
    <w:p w14:paraId="464F601A" w14:textId="78113F9E" w:rsidR="0073283D" w:rsidRDefault="0073283D">
      <w:pPr>
        <w:pStyle w:val="TOC1"/>
        <w:rPr>
          <w:rFonts w:asciiTheme="minorHAnsi" w:eastAsiaTheme="minorEastAsia" w:hAnsiTheme="minorHAnsi"/>
          <w:b w:val="0"/>
          <w:lang w:eastAsia="en-AU"/>
        </w:rPr>
      </w:pPr>
      <w:r>
        <w:t>References</w:t>
      </w:r>
      <w:r>
        <w:tab/>
      </w:r>
      <w:r>
        <w:fldChar w:fldCharType="begin"/>
      </w:r>
      <w:r>
        <w:instrText xml:space="preserve"> PAGEREF _Toc501716507 \h </w:instrText>
      </w:r>
      <w:r>
        <w:fldChar w:fldCharType="separate"/>
      </w:r>
      <w:r w:rsidR="00EB4542">
        <w:t>71</w:t>
      </w:r>
      <w:r>
        <w:fldChar w:fldCharType="end"/>
      </w:r>
    </w:p>
    <w:p w14:paraId="54F2FC5B" w14:textId="51C9402A" w:rsidR="00C96BE9" w:rsidRDefault="00146544" w:rsidP="00C96BE9">
      <w:r>
        <w:fldChar w:fldCharType="end"/>
      </w:r>
    </w:p>
    <w:p w14:paraId="08C81198" w14:textId="77777777" w:rsidR="00C96BE9" w:rsidRDefault="00C96BE9" w:rsidP="000B13FC">
      <w:pPr>
        <w:pStyle w:val="Heading1nonumbers"/>
        <w:sectPr w:rsidR="00C96BE9" w:rsidSect="00A851CF">
          <w:headerReference w:type="default" r:id="rId22"/>
          <w:footerReference w:type="default" r:id="rId23"/>
          <w:pgSz w:w="11906" w:h="16838"/>
          <w:pgMar w:top="1418" w:right="1418" w:bottom="1418" w:left="1418" w:header="567" w:footer="283" w:gutter="0"/>
          <w:pgNumType w:fmt="lowerRoman" w:start="1"/>
          <w:cols w:space="708"/>
          <w:docGrid w:linePitch="360"/>
        </w:sectPr>
      </w:pPr>
      <w:bookmarkStart w:id="1" w:name="_Toc462824187"/>
      <w:bookmarkStart w:id="2" w:name="_Toc462839992"/>
    </w:p>
    <w:p w14:paraId="7E57A239" w14:textId="77777777" w:rsidR="000B13FC" w:rsidRDefault="005177B2" w:rsidP="000B13FC">
      <w:pPr>
        <w:pStyle w:val="Heading1nonumbers"/>
      </w:pPr>
      <w:bookmarkStart w:id="3" w:name="_Toc477962016"/>
      <w:bookmarkStart w:id="4" w:name="_Toc492890680"/>
      <w:bookmarkStart w:id="5" w:name="_Toc493770559"/>
      <w:bookmarkStart w:id="6" w:name="_Toc501716472"/>
      <w:r>
        <w:t>Tables</w:t>
      </w:r>
      <w:bookmarkEnd w:id="1"/>
      <w:bookmarkEnd w:id="2"/>
      <w:bookmarkEnd w:id="3"/>
      <w:bookmarkEnd w:id="4"/>
      <w:bookmarkEnd w:id="5"/>
      <w:bookmarkEnd w:id="6"/>
    </w:p>
    <w:p w14:paraId="60B61B20" w14:textId="4DC63C03" w:rsidR="0073283D" w:rsidRDefault="00452195">
      <w:pPr>
        <w:pStyle w:val="TableofFigures"/>
        <w:tabs>
          <w:tab w:val="right" w:leader="dot" w:pos="9060"/>
        </w:tabs>
        <w:rPr>
          <w:rFonts w:asciiTheme="minorHAnsi" w:eastAsiaTheme="minorEastAsia" w:hAnsiTheme="minorHAnsi"/>
          <w:noProof/>
          <w:lang w:eastAsia="en-AU"/>
        </w:rPr>
      </w:pPr>
      <w:r>
        <w:rPr>
          <w:rFonts w:ascii="Calibri" w:eastAsia="Times New Roman" w:hAnsi="Calibri"/>
          <w:color w:val="D52B1E"/>
          <w:sz w:val="34"/>
          <w:szCs w:val="28"/>
          <w:lang w:val="en-US"/>
        </w:rPr>
        <w:fldChar w:fldCharType="begin"/>
      </w:r>
      <w:r>
        <w:instrText xml:space="preserve"> TOC \t "Caption" \c </w:instrText>
      </w:r>
      <w:r>
        <w:rPr>
          <w:rFonts w:ascii="Calibri" w:eastAsia="Times New Roman" w:hAnsi="Calibri"/>
          <w:color w:val="D52B1E"/>
          <w:sz w:val="34"/>
          <w:szCs w:val="28"/>
          <w:lang w:val="en-US"/>
        </w:rPr>
        <w:fldChar w:fldCharType="separate"/>
      </w:r>
      <w:r w:rsidR="0073283D">
        <w:rPr>
          <w:noProof/>
        </w:rPr>
        <w:t>Table 2.1 Nomenclature of qualitative likelihoods</w:t>
      </w:r>
      <w:r w:rsidR="0073283D">
        <w:rPr>
          <w:noProof/>
        </w:rPr>
        <w:tab/>
      </w:r>
      <w:r w:rsidR="0073283D">
        <w:rPr>
          <w:noProof/>
        </w:rPr>
        <w:fldChar w:fldCharType="begin"/>
      </w:r>
      <w:r w:rsidR="0073283D">
        <w:rPr>
          <w:noProof/>
        </w:rPr>
        <w:instrText xml:space="preserve"> PAGEREF _Toc501716545 \h </w:instrText>
      </w:r>
      <w:r w:rsidR="0073283D">
        <w:rPr>
          <w:noProof/>
        </w:rPr>
      </w:r>
      <w:r w:rsidR="0073283D">
        <w:rPr>
          <w:noProof/>
        </w:rPr>
        <w:fldChar w:fldCharType="separate"/>
      </w:r>
      <w:r w:rsidR="003C54B1">
        <w:rPr>
          <w:noProof/>
        </w:rPr>
        <w:t>8</w:t>
      </w:r>
      <w:r w:rsidR="0073283D">
        <w:rPr>
          <w:noProof/>
        </w:rPr>
        <w:fldChar w:fldCharType="end"/>
      </w:r>
    </w:p>
    <w:p w14:paraId="453B8FE3" w14:textId="77777777" w:rsidR="0073283D" w:rsidRDefault="0073283D">
      <w:pPr>
        <w:pStyle w:val="TableofFigures"/>
        <w:tabs>
          <w:tab w:val="right" w:leader="dot" w:pos="9060"/>
        </w:tabs>
        <w:rPr>
          <w:rFonts w:asciiTheme="minorHAnsi" w:eastAsiaTheme="minorEastAsia" w:hAnsiTheme="minorHAnsi"/>
          <w:noProof/>
          <w:lang w:eastAsia="en-AU"/>
        </w:rPr>
      </w:pPr>
      <w:r>
        <w:rPr>
          <w:noProof/>
        </w:rPr>
        <w:t>Table 2.2 Assessment matrix of rules for combining likelihoods</w:t>
      </w:r>
      <w:r>
        <w:rPr>
          <w:noProof/>
        </w:rPr>
        <w:tab/>
      </w:r>
      <w:r>
        <w:rPr>
          <w:noProof/>
        </w:rPr>
        <w:fldChar w:fldCharType="begin"/>
      </w:r>
      <w:r>
        <w:rPr>
          <w:noProof/>
        </w:rPr>
        <w:instrText xml:space="preserve"> PAGEREF _Toc501716546 \h </w:instrText>
      </w:r>
      <w:r>
        <w:rPr>
          <w:noProof/>
        </w:rPr>
      </w:r>
      <w:r>
        <w:rPr>
          <w:noProof/>
        </w:rPr>
        <w:fldChar w:fldCharType="separate"/>
      </w:r>
      <w:r w:rsidR="003C54B1">
        <w:rPr>
          <w:noProof/>
        </w:rPr>
        <w:t>9</w:t>
      </w:r>
      <w:r>
        <w:rPr>
          <w:noProof/>
        </w:rPr>
        <w:fldChar w:fldCharType="end"/>
      </w:r>
    </w:p>
    <w:p w14:paraId="190BDB92" w14:textId="688AC946" w:rsidR="0073283D" w:rsidRDefault="0073283D">
      <w:pPr>
        <w:pStyle w:val="TableofFigures"/>
        <w:tabs>
          <w:tab w:val="right" w:leader="dot" w:pos="9060"/>
        </w:tabs>
        <w:rPr>
          <w:rFonts w:asciiTheme="minorHAnsi" w:eastAsiaTheme="minorEastAsia" w:hAnsiTheme="minorHAnsi"/>
          <w:noProof/>
          <w:lang w:eastAsia="en-AU"/>
        </w:rPr>
      </w:pPr>
      <w:r>
        <w:rPr>
          <w:noProof/>
        </w:rPr>
        <w:t>Table 2.3 Decision rules for determining the consequence impact scores</w:t>
      </w:r>
      <w:r>
        <w:rPr>
          <w:noProof/>
        </w:rPr>
        <w:tab/>
      </w:r>
      <w:r>
        <w:rPr>
          <w:noProof/>
        </w:rPr>
        <w:fldChar w:fldCharType="begin"/>
      </w:r>
      <w:r>
        <w:rPr>
          <w:noProof/>
        </w:rPr>
        <w:instrText xml:space="preserve"> PAGEREF _Toc501716547 \h </w:instrText>
      </w:r>
      <w:r>
        <w:rPr>
          <w:noProof/>
        </w:rPr>
      </w:r>
      <w:r>
        <w:rPr>
          <w:noProof/>
        </w:rPr>
        <w:fldChar w:fldCharType="separate"/>
      </w:r>
      <w:r w:rsidR="003C54B1">
        <w:rPr>
          <w:noProof/>
        </w:rPr>
        <w:t>11</w:t>
      </w:r>
      <w:r>
        <w:rPr>
          <w:noProof/>
        </w:rPr>
        <w:fldChar w:fldCharType="end"/>
      </w:r>
    </w:p>
    <w:p w14:paraId="76F33D49" w14:textId="4E8DFA6C" w:rsidR="0073283D" w:rsidRDefault="0073283D">
      <w:pPr>
        <w:pStyle w:val="TableofFigures"/>
        <w:tabs>
          <w:tab w:val="right" w:leader="dot" w:pos="9060"/>
        </w:tabs>
        <w:rPr>
          <w:rFonts w:asciiTheme="minorHAnsi" w:eastAsiaTheme="minorEastAsia" w:hAnsiTheme="minorHAnsi"/>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_Toc501716548 \h </w:instrText>
      </w:r>
      <w:r>
        <w:rPr>
          <w:noProof/>
        </w:rPr>
      </w:r>
      <w:r>
        <w:rPr>
          <w:noProof/>
        </w:rPr>
        <w:fldChar w:fldCharType="separate"/>
      </w:r>
      <w:r w:rsidR="003C54B1">
        <w:rPr>
          <w:noProof/>
        </w:rPr>
        <w:t>11</w:t>
      </w:r>
      <w:r>
        <w:rPr>
          <w:noProof/>
        </w:rPr>
        <w:fldChar w:fldCharType="end"/>
      </w:r>
    </w:p>
    <w:p w14:paraId="6C832422" w14:textId="2934548E" w:rsidR="0073283D" w:rsidRDefault="0073283D">
      <w:pPr>
        <w:pStyle w:val="TableofFigures"/>
        <w:tabs>
          <w:tab w:val="right" w:leader="dot" w:pos="9060"/>
        </w:tabs>
        <w:rPr>
          <w:rFonts w:asciiTheme="minorHAnsi" w:eastAsiaTheme="minorEastAsia" w:hAnsiTheme="minorHAnsi"/>
          <w:noProof/>
          <w:lang w:eastAsia="en-AU"/>
        </w:rPr>
      </w:pPr>
      <w:r>
        <w:rPr>
          <w:noProof/>
        </w:rPr>
        <w:t>Table 2.5 Risk estimation matrix</w:t>
      </w:r>
      <w:r>
        <w:rPr>
          <w:noProof/>
        </w:rPr>
        <w:tab/>
      </w:r>
      <w:r>
        <w:rPr>
          <w:noProof/>
        </w:rPr>
        <w:fldChar w:fldCharType="begin"/>
      </w:r>
      <w:r>
        <w:rPr>
          <w:noProof/>
        </w:rPr>
        <w:instrText xml:space="preserve"> PAGEREF _Toc501716549 \h </w:instrText>
      </w:r>
      <w:r>
        <w:rPr>
          <w:noProof/>
        </w:rPr>
      </w:r>
      <w:r>
        <w:rPr>
          <w:noProof/>
        </w:rPr>
        <w:fldChar w:fldCharType="separate"/>
      </w:r>
      <w:r w:rsidR="003C54B1">
        <w:rPr>
          <w:noProof/>
        </w:rPr>
        <w:t>12</w:t>
      </w:r>
      <w:r>
        <w:rPr>
          <w:noProof/>
        </w:rPr>
        <w:fldChar w:fldCharType="end"/>
      </w:r>
    </w:p>
    <w:p w14:paraId="010992C0" w14:textId="77777777" w:rsidR="0073283D" w:rsidRDefault="0073283D">
      <w:pPr>
        <w:pStyle w:val="TableofFigures"/>
        <w:tabs>
          <w:tab w:val="right" w:leader="dot" w:pos="9060"/>
        </w:tabs>
        <w:rPr>
          <w:rFonts w:asciiTheme="minorHAnsi" w:eastAsiaTheme="minorEastAsia" w:hAnsiTheme="minorHAnsi"/>
          <w:noProof/>
          <w:lang w:eastAsia="en-AU"/>
        </w:rPr>
      </w:pPr>
      <w:r>
        <w:rPr>
          <w:noProof/>
        </w:rPr>
        <w:t>Table 4.1 Quarantine pests of Tahitian limes</w:t>
      </w:r>
      <w:r>
        <w:rPr>
          <w:noProof/>
        </w:rPr>
        <w:tab/>
      </w:r>
      <w:r>
        <w:rPr>
          <w:noProof/>
        </w:rPr>
        <w:fldChar w:fldCharType="begin"/>
      </w:r>
      <w:r>
        <w:rPr>
          <w:noProof/>
        </w:rPr>
        <w:instrText xml:space="preserve"> PAGEREF _Toc501716551 \h </w:instrText>
      </w:r>
      <w:r>
        <w:rPr>
          <w:noProof/>
        </w:rPr>
      </w:r>
      <w:r>
        <w:rPr>
          <w:noProof/>
        </w:rPr>
        <w:fldChar w:fldCharType="separate"/>
      </w:r>
      <w:r w:rsidR="003C54B1">
        <w:rPr>
          <w:noProof/>
        </w:rPr>
        <w:t>19</w:t>
      </w:r>
      <w:r>
        <w:rPr>
          <w:noProof/>
        </w:rPr>
        <w:fldChar w:fldCharType="end"/>
      </w:r>
    </w:p>
    <w:p w14:paraId="708C9830" w14:textId="3216AC5B" w:rsidR="0073283D" w:rsidRDefault="0073283D">
      <w:pPr>
        <w:pStyle w:val="TableofFigures"/>
        <w:tabs>
          <w:tab w:val="right" w:leader="dot" w:pos="9060"/>
        </w:tabs>
        <w:rPr>
          <w:rFonts w:asciiTheme="minorHAnsi" w:eastAsiaTheme="minorEastAsia" w:hAnsiTheme="minorHAnsi"/>
          <w:noProof/>
          <w:lang w:eastAsia="en-AU"/>
        </w:rPr>
      </w:pPr>
      <w:r>
        <w:rPr>
          <w:noProof/>
        </w:rPr>
        <w:t>Table 4.2 Summary of unrestricted risk estimates for pests associated with Tahitian limes</w:t>
      </w:r>
      <w:r>
        <w:rPr>
          <w:noProof/>
        </w:rPr>
        <w:tab/>
      </w:r>
      <w:r>
        <w:rPr>
          <w:noProof/>
        </w:rPr>
        <w:fldChar w:fldCharType="begin"/>
      </w:r>
      <w:r>
        <w:rPr>
          <w:noProof/>
        </w:rPr>
        <w:instrText xml:space="preserve"> PAGEREF _Toc501716553 \h </w:instrText>
      </w:r>
      <w:r>
        <w:rPr>
          <w:noProof/>
        </w:rPr>
      </w:r>
      <w:r>
        <w:rPr>
          <w:noProof/>
        </w:rPr>
        <w:fldChar w:fldCharType="separate"/>
      </w:r>
      <w:r w:rsidR="003C54B1">
        <w:rPr>
          <w:noProof/>
        </w:rPr>
        <w:t>37</w:t>
      </w:r>
      <w:r>
        <w:rPr>
          <w:noProof/>
        </w:rPr>
        <w:fldChar w:fldCharType="end"/>
      </w:r>
    </w:p>
    <w:p w14:paraId="2F04EA91" w14:textId="77777777" w:rsidR="00A5627C" w:rsidRDefault="00452195" w:rsidP="00A5627C">
      <w:pPr>
        <w:pStyle w:val="Heading1nonumbers"/>
      </w:pPr>
      <w:r>
        <w:fldChar w:fldCharType="end"/>
      </w:r>
      <w:bookmarkStart w:id="7" w:name="_Toc477962017"/>
      <w:bookmarkStart w:id="8" w:name="_Toc492890681"/>
      <w:bookmarkStart w:id="9" w:name="_Toc493770560"/>
      <w:bookmarkStart w:id="10" w:name="_Toc501716473"/>
      <w:r w:rsidR="00A5627C">
        <w:t>Figures</w:t>
      </w:r>
      <w:bookmarkEnd w:id="7"/>
      <w:bookmarkEnd w:id="8"/>
      <w:bookmarkEnd w:id="9"/>
      <w:bookmarkEnd w:id="10"/>
    </w:p>
    <w:p w14:paraId="6AA7813C" w14:textId="73A0276F" w:rsidR="00A5627C" w:rsidRDefault="00A5627C" w:rsidP="00A5627C">
      <w:pPr>
        <w:pStyle w:val="TableofFigures"/>
        <w:tabs>
          <w:tab w:val="right" w:leader="dot" w:pos="9060"/>
        </w:tabs>
        <w:rPr>
          <w:rFonts w:asciiTheme="minorHAnsi" w:eastAsiaTheme="minorEastAsia" w:hAnsiTheme="minorHAnsi"/>
          <w:noProof/>
          <w:lang w:eastAsia="en-AU"/>
        </w:rPr>
      </w:pPr>
      <w:r>
        <w:rPr>
          <w:rFonts w:ascii="Calibri" w:eastAsia="Times New Roman" w:hAnsi="Calibri"/>
          <w:color w:val="D52B1E"/>
          <w:sz w:val="34"/>
          <w:szCs w:val="28"/>
          <w:lang w:val="en-US"/>
        </w:rPr>
        <w:fldChar w:fldCharType="begin"/>
      </w:r>
      <w:r>
        <w:instrText xml:space="preserve"> TOC \t "Caption" \c </w:instrText>
      </w:r>
      <w:r>
        <w:rPr>
          <w:rFonts w:ascii="Calibri" w:eastAsia="Times New Roman" w:hAnsi="Calibri"/>
          <w:color w:val="D52B1E"/>
          <w:sz w:val="34"/>
          <w:szCs w:val="28"/>
          <w:lang w:val="en-US"/>
        </w:rPr>
        <w:fldChar w:fldCharType="separate"/>
      </w:r>
      <w:r>
        <w:rPr>
          <w:noProof/>
        </w:rPr>
        <w:t>Figure 1 Tahitian limes packed for export, Port Vila, Vanuatu</w:t>
      </w:r>
      <w:r>
        <w:rPr>
          <w:noProof/>
        </w:rPr>
        <w:tab/>
      </w:r>
      <w:r>
        <w:rPr>
          <w:noProof/>
        </w:rPr>
        <w:fldChar w:fldCharType="begin"/>
      </w:r>
      <w:r>
        <w:rPr>
          <w:noProof/>
        </w:rPr>
        <w:instrText xml:space="preserve"> PAGEREF _Toc462906060 \h </w:instrText>
      </w:r>
      <w:r>
        <w:rPr>
          <w:noProof/>
        </w:rPr>
      </w:r>
      <w:r>
        <w:rPr>
          <w:noProof/>
        </w:rPr>
        <w:fldChar w:fldCharType="separate"/>
      </w:r>
      <w:r w:rsidR="003C54B1">
        <w:rPr>
          <w:noProof/>
        </w:rPr>
        <w:t>2</w:t>
      </w:r>
      <w:r>
        <w:rPr>
          <w:noProof/>
        </w:rPr>
        <w:fldChar w:fldCharType="end"/>
      </w:r>
    </w:p>
    <w:p w14:paraId="3715BC5B" w14:textId="6725C1CC" w:rsidR="00A5627C" w:rsidRDefault="00A5627C" w:rsidP="00A5627C">
      <w:pPr>
        <w:pStyle w:val="TableofFigures"/>
        <w:tabs>
          <w:tab w:val="right" w:leader="dot" w:pos="9060"/>
        </w:tabs>
        <w:rPr>
          <w:rFonts w:asciiTheme="minorHAnsi" w:eastAsiaTheme="minorEastAsia" w:hAnsiTheme="minorHAnsi"/>
          <w:noProof/>
          <w:lang w:eastAsia="en-AU"/>
        </w:rPr>
      </w:pPr>
      <w:r>
        <w:rPr>
          <w:noProof/>
        </w:rPr>
        <w:t xml:space="preserve">Figure </w:t>
      </w:r>
      <w:r w:rsidR="00BB1FE4">
        <w:rPr>
          <w:noProof/>
        </w:rPr>
        <w:t>2</w:t>
      </w:r>
      <w:r>
        <w:rPr>
          <w:noProof/>
        </w:rPr>
        <w:t xml:space="preserve"> Location of Pacific Island countries considered in this report</w:t>
      </w:r>
      <w:r>
        <w:rPr>
          <w:noProof/>
        </w:rPr>
        <w:tab/>
      </w:r>
      <w:r>
        <w:rPr>
          <w:noProof/>
        </w:rPr>
        <w:fldChar w:fldCharType="begin"/>
      </w:r>
      <w:r>
        <w:rPr>
          <w:noProof/>
        </w:rPr>
        <w:instrText xml:space="preserve"> PAGEREF _Toc462906066 \h </w:instrText>
      </w:r>
      <w:r>
        <w:rPr>
          <w:noProof/>
        </w:rPr>
      </w:r>
      <w:r>
        <w:rPr>
          <w:noProof/>
        </w:rPr>
        <w:fldChar w:fldCharType="separate"/>
      </w:r>
      <w:r w:rsidR="003C54B1">
        <w:rPr>
          <w:noProof/>
        </w:rPr>
        <w:t>16</w:t>
      </w:r>
      <w:r>
        <w:rPr>
          <w:noProof/>
        </w:rPr>
        <w:fldChar w:fldCharType="end"/>
      </w:r>
    </w:p>
    <w:p w14:paraId="305048E0" w14:textId="44A97C20" w:rsidR="0073283D" w:rsidRDefault="00A5627C" w:rsidP="0073283D">
      <w:pPr>
        <w:pStyle w:val="TableofFigures"/>
        <w:tabs>
          <w:tab w:val="right" w:leader="dot" w:pos="9060"/>
        </w:tabs>
        <w:rPr>
          <w:rFonts w:asciiTheme="minorHAnsi" w:eastAsiaTheme="minorEastAsia" w:hAnsiTheme="minorHAnsi"/>
          <w:noProof/>
          <w:lang w:eastAsia="en-AU"/>
        </w:rPr>
      </w:pPr>
      <w:r>
        <w:rPr>
          <w:b/>
          <w:bCs/>
        </w:rPr>
        <w:fldChar w:fldCharType="end"/>
      </w:r>
      <w:r w:rsidR="0073283D">
        <w:rPr>
          <w:noProof/>
        </w:rPr>
        <w:t>Figure 3 Summary of pest categorisation and pest risk assessment outcomes</w:t>
      </w:r>
      <w:r w:rsidR="0073283D">
        <w:rPr>
          <w:noProof/>
        </w:rPr>
        <w:tab/>
      </w:r>
      <w:r w:rsidR="0073283D">
        <w:rPr>
          <w:noProof/>
        </w:rPr>
        <w:fldChar w:fldCharType="begin"/>
      </w:r>
      <w:r w:rsidR="0073283D">
        <w:rPr>
          <w:noProof/>
        </w:rPr>
        <w:instrText xml:space="preserve"> PAGEREF _Toc501716552 \h </w:instrText>
      </w:r>
      <w:r w:rsidR="0073283D">
        <w:rPr>
          <w:noProof/>
        </w:rPr>
      </w:r>
      <w:r w:rsidR="0073283D">
        <w:rPr>
          <w:noProof/>
        </w:rPr>
        <w:fldChar w:fldCharType="separate"/>
      </w:r>
      <w:r w:rsidR="003C54B1">
        <w:rPr>
          <w:noProof/>
        </w:rPr>
        <w:t>36</w:t>
      </w:r>
      <w:r w:rsidR="0073283D">
        <w:rPr>
          <w:noProof/>
        </w:rPr>
        <w:fldChar w:fldCharType="end"/>
      </w:r>
    </w:p>
    <w:p w14:paraId="57E7B591" w14:textId="77777777" w:rsidR="00A5627C" w:rsidRDefault="00A5627C" w:rsidP="00A5627C">
      <w:pPr>
        <w:rPr>
          <w:b/>
          <w:bCs/>
        </w:rPr>
      </w:pPr>
    </w:p>
    <w:p w14:paraId="6F2D5297" w14:textId="77777777" w:rsidR="00A5627C" w:rsidRDefault="00A5627C" w:rsidP="00452195"/>
    <w:p w14:paraId="38C65FAB" w14:textId="77777777" w:rsidR="00C96BE9" w:rsidRDefault="00C96BE9">
      <w:pPr>
        <w:pStyle w:val="Caption"/>
        <w:sectPr w:rsidR="00C96BE9" w:rsidSect="00A851CF">
          <w:headerReference w:type="even" r:id="rId24"/>
          <w:headerReference w:type="default" r:id="rId25"/>
          <w:footerReference w:type="even" r:id="rId26"/>
          <w:pgSz w:w="11906" w:h="16838"/>
          <w:pgMar w:top="1418" w:right="1418" w:bottom="1418" w:left="1418" w:header="567" w:footer="283" w:gutter="0"/>
          <w:pgNumType w:fmt="lowerRoman"/>
          <w:cols w:space="708"/>
          <w:docGrid w:linePitch="360"/>
        </w:sectPr>
      </w:pPr>
      <w:bookmarkStart w:id="11" w:name="_Toc445298275"/>
      <w:bookmarkStart w:id="12" w:name="_Toc455049814"/>
      <w:bookmarkStart w:id="13" w:name="_Toc455411684"/>
      <w:bookmarkStart w:id="14" w:name="_Toc456775484"/>
      <w:bookmarkStart w:id="15" w:name="_Toc456778784"/>
      <w:bookmarkStart w:id="16" w:name="_Toc457224283"/>
      <w:bookmarkStart w:id="17" w:name="_Toc457225443"/>
      <w:bookmarkStart w:id="18" w:name="_Toc457807137"/>
      <w:bookmarkStart w:id="19" w:name="_Toc459813419"/>
      <w:bookmarkStart w:id="20" w:name="_Toc460393667"/>
      <w:bookmarkStart w:id="21" w:name="_Toc461106448"/>
      <w:bookmarkStart w:id="22" w:name="_Toc462057939"/>
      <w:bookmarkStart w:id="23" w:name="_Toc462824093"/>
    </w:p>
    <w:p w14:paraId="2D5103DB" w14:textId="77777777" w:rsidR="00146544" w:rsidRDefault="00146544" w:rsidP="00A851CF">
      <w:pPr>
        <w:pStyle w:val="Heading1nonumbers"/>
      </w:pPr>
      <w:bookmarkStart w:id="24" w:name="_Toc477962018"/>
      <w:bookmarkStart w:id="25" w:name="_Toc492890682"/>
      <w:bookmarkStart w:id="26" w:name="_Toc493770561"/>
      <w:bookmarkStart w:id="27" w:name="_Toc501716474"/>
      <w:r>
        <w:t>Acronyms and abbreviations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DB2256" w:rsidRPr="00DB2256" w14:paraId="34912F0F" w14:textId="77777777" w:rsidTr="00F321F0">
        <w:trPr>
          <w:trHeight w:val="414"/>
          <w:tblHeader/>
        </w:trPr>
        <w:tc>
          <w:tcPr>
            <w:tcW w:w="1335" w:type="pct"/>
          </w:tcPr>
          <w:p w14:paraId="180DAF25" w14:textId="77777777" w:rsidR="00DB2256" w:rsidRPr="00DB2256" w:rsidRDefault="00DB2256" w:rsidP="00DB2256">
            <w:pPr>
              <w:keepNext/>
              <w:spacing w:before="60" w:after="60" w:line="240" w:lineRule="auto"/>
              <w:rPr>
                <w:b/>
                <w:sz w:val="18"/>
              </w:rPr>
            </w:pPr>
            <w:r w:rsidRPr="00DB2256">
              <w:rPr>
                <w:b/>
                <w:sz w:val="18"/>
              </w:rPr>
              <w:t>Term or abbreviation</w:t>
            </w:r>
          </w:p>
        </w:tc>
        <w:tc>
          <w:tcPr>
            <w:tcW w:w="3665" w:type="pct"/>
          </w:tcPr>
          <w:p w14:paraId="6004D5F6" w14:textId="77777777" w:rsidR="00DB2256" w:rsidRPr="00DB2256" w:rsidRDefault="00DB2256" w:rsidP="00DB2256">
            <w:pPr>
              <w:keepNext/>
              <w:spacing w:before="60" w:after="60" w:line="240" w:lineRule="auto"/>
              <w:rPr>
                <w:b/>
                <w:sz w:val="18"/>
              </w:rPr>
            </w:pPr>
            <w:r w:rsidRPr="00DB2256">
              <w:rPr>
                <w:b/>
                <w:sz w:val="18"/>
              </w:rPr>
              <w:t>Definition</w:t>
            </w:r>
          </w:p>
        </w:tc>
      </w:tr>
      <w:tr w:rsidR="00DB2256" w:rsidRPr="00DB2256" w14:paraId="1586AA7B" w14:textId="77777777" w:rsidTr="00F321F0">
        <w:trPr>
          <w:trHeight w:val="414"/>
        </w:trPr>
        <w:tc>
          <w:tcPr>
            <w:tcW w:w="1335" w:type="pct"/>
          </w:tcPr>
          <w:p w14:paraId="40C7337B" w14:textId="77777777" w:rsidR="00DB2256" w:rsidRPr="00DB2256" w:rsidRDefault="00DB2256" w:rsidP="00DB2256">
            <w:pPr>
              <w:spacing w:before="60" w:after="60" w:line="240" w:lineRule="auto"/>
              <w:rPr>
                <w:sz w:val="18"/>
              </w:rPr>
            </w:pPr>
            <w:r w:rsidRPr="00DB2256">
              <w:rPr>
                <w:sz w:val="18"/>
              </w:rPr>
              <w:t>ACT</w:t>
            </w:r>
          </w:p>
        </w:tc>
        <w:tc>
          <w:tcPr>
            <w:tcW w:w="3665" w:type="pct"/>
          </w:tcPr>
          <w:p w14:paraId="350ED824" w14:textId="77777777" w:rsidR="00DB2256" w:rsidRPr="00DB2256" w:rsidRDefault="00DB2256" w:rsidP="00DB2256">
            <w:pPr>
              <w:spacing w:before="60" w:after="60" w:line="240" w:lineRule="auto"/>
              <w:rPr>
                <w:sz w:val="18"/>
              </w:rPr>
            </w:pPr>
            <w:r w:rsidRPr="00DB2256">
              <w:rPr>
                <w:sz w:val="18"/>
              </w:rPr>
              <w:t>Australian Capital Territory</w:t>
            </w:r>
          </w:p>
        </w:tc>
      </w:tr>
      <w:tr w:rsidR="00DB2256" w:rsidRPr="00DB2256" w14:paraId="24EB6488" w14:textId="77777777" w:rsidTr="00F321F0">
        <w:trPr>
          <w:trHeight w:val="414"/>
        </w:trPr>
        <w:tc>
          <w:tcPr>
            <w:tcW w:w="1335" w:type="pct"/>
          </w:tcPr>
          <w:p w14:paraId="6A46FC82" w14:textId="77777777" w:rsidR="00DB2256" w:rsidRPr="00DB2256" w:rsidRDefault="00DB2256" w:rsidP="00DB2256">
            <w:pPr>
              <w:spacing w:before="60" w:after="60" w:line="240" w:lineRule="auto"/>
              <w:rPr>
                <w:sz w:val="18"/>
              </w:rPr>
            </w:pPr>
            <w:r w:rsidRPr="00DB2256">
              <w:rPr>
                <w:sz w:val="18"/>
              </w:rPr>
              <w:t>ALOP</w:t>
            </w:r>
          </w:p>
        </w:tc>
        <w:tc>
          <w:tcPr>
            <w:tcW w:w="3665" w:type="pct"/>
          </w:tcPr>
          <w:p w14:paraId="40520089" w14:textId="77777777" w:rsidR="00DB2256" w:rsidRPr="00DB2256" w:rsidRDefault="00DB2256" w:rsidP="00DB2256">
            <w:pPr>
              <w:spacing w:before="60" w:after="60" w:line="240" w:lineRule="auto"/>
              <w:rPr>
                <w:sz w:val="18"/>
              </w:rPr>
            </w:pPr>
            <w:r w:rsidRPr="00DB2256">
              <w:rPr>
                <w:sz w:val="18"/>
              </w:rPr>
              <w:t>Appropriate level of protection</w:t>
            </w:r>
          </w:p>
        </w:tc>
      </w:tr>
      <w:tr w:rsidR="00DB2256" w:rsidRPr="00DB2256" w14:paraId="373C3B8E" w14:textId="77777777" w:rsidTr="00F321F0">
        <w:trPr>
          <w:trHeight w:val="414"/>
        </w:trPr>
        <w:tc>
          <w:tcPr>
            <w:tcW w:w="1335" w:type="pct"/>
          </w:tcPr>
          <w:p w14:paraId="757C8A4C" w14:textId="77777777" w:rsidR="00DB2256" w:rsidRPr="00DB2256" w:rsidRDefault="00DB2256" w:rsidP="00DB2256">
            <w:pPr>
              <w:spacing w:before="60" w:after="60" w:line="240" w:lineRule="auto"/>
              <w:rPr>
                <w:sz w:val="18"/>
              </w:rPr>
            </w:pPr>
            <w:r w:rsidRPr="00DB2256">
              <w:rPr>
                <w:sz w:val="18"/>
              </w:rPr>
              <w:t>BA</w:t>
            </w:r>
          </w:p>
        </w:tc>
        <w:tc>
          <w:tcPr>
            <w:tcW w:w="3665" w:type="pct"/>
          </w:tcPr>
          <w:p w14:paraId="45D27E18" w14:textId="77777777" w:rsidR="00DB2256" w:rsidRPr="00DB2256" w:rsidRDefault="00DB2256" w:rsidP="009B05D0">
            <w:pPr>
              <w:spacing w:before="60" w:after="60" w:line="240" w:lineRule="auto"/>
              <w:rPr>
                <w:sz w:val="18"/>
              </w:rPr>
            </w:pPr>
            <w:r w:rsidRPr="00DB2256">
              <w:rPr>
                <w:sz w:val="18"/>
              </w:rPr>
              <w:t>Biosecurity A</w:t>
            </w:r>
            <w:r w:rsidR="009B05D0">
              <w:rPr>
                <w:sz w:val="18"/>
              </w:rPr>
              <w:t>ustralia (now the Department of Agriculture and Water Resources)</w:t>
            </w:r>
          </w:p>
        </w:tc>
      </w:tr>
      <w:tr w:rsidR="009B05D0" w:rsidRPr="00DB2256" w14:paraId="4C539681" w14:textId="77777777" w:rsidTr="009B05D0">
        <w:trPr>
          <w:trHeight w:val="414"/>
        </w:trPr>
        <w:tc>
          <w:tcPr>
            <w:tcW w:w="1335" w:type="pct"/>
          </w:tcPr>
          <w:p w14:paraId="1CC59273" w14:textId="77777777" w:rsidR="009B05D0" w:rsidRPr="00DB2256" w:rsidRDefault="009B05D0" w:rsidP="007F1F22">
            <w:pPr>
              <w:spacing w:before="60" w:after="60" w:line="240" w:lineRule="auto"/>
              <w:rPr>
                <w:sz w:val="18"/>
              </w:rPr>
            </w:pPr>
            <w:r>
              <w:rPr>
                <w:sz w:val="18"/>
              </w:rPr>
              <w:t>B</w:t>
            </w:r>
            <w:r w:rsidRPr="00DB2256">
              <w:rPr>
                <w:sz w:val="18"/>
              </w:rPr>
              <w:t>ICON</w:t>
            </w:r>
          </w:p>
        </w:tc>
        <w:tc>
          <w:tcPr>
            <w:tcW w:w="3665" w:type="pct"/>
          </w:tcPr>
          <w:p w14:paraId="629013C7" w14:textId="77777777" w:rsidR="009B05D0" w:rsidRPr="00DB2256" w:rsidRDefault="009B05D0" w:rsidP="007F1F22">
            <w:pPr>
              <w:spacing w:before="60" w:after="60" w:line="240" w:lineRule="auto"/>
              <w:rPr>
                <w:sz w:val="18"/>
              </w:rPr>
            </w:pPr>
            <w:r w:rsidRPr="00DB2256">
              <w:rPr>
                <w:sz w:val="18"/>
              </w:rPr>
              <w:t xml:space="preserve">Department of Agriculture and Water Resources </w:t>
            </w:r>
            <w:r>
              <w:rPr>
                <w:sz w:val="18"/>
              </w:rPr>
              <w:t xml:space="preserve">Biosecurity </w:t>
            </w:r>
            <w:r w:rsidRPr="00DB2256">
              <w:rPr>
                <w:sz w:val="18"/>
              </w:rPr>
              <w:t>Import Conditions database</w:t>
            </w:r>
          </w:p>
        </w:tc>
      </w:tr>
      <w:tr w:rsidR="00DB2256" w:rsidRPr="00DB2256" w14:paraId="1031C464" w14:textId="77777777" w:rsidTr="00F321F0">
        <w:trPr>
          <w:trHeight w:val="414"/>
        </w:trPr>
        <w:tc>
          <w:tcPr>
            <w:tcW w:w="1335" w:type="pct"/>
          </w:tcPr>
          <w:p w14:paraId="3DC1AB34" w14:textId="77777777" w:rsidR="00DB2256" w:rsidRPr="00DB2256" w:rsidRDefault="00DB2256" w:rsidP="00DB2256">
            <w:pPr>
              <w:spacing w:before="60" w:after="60" w:line="240" w:lineRule="auto"/>
              <w:rPr>
                <w:sz w:val="18"/>
              </w:rPr>
            </w:pPr>
            <w:r w:rsidRPr="00DB2256">
              <w:rPr>
                <w:sz w:val="18"/>
              </w:rPr>
              <w:t>CSIRO</w:t>
            </w:r>
          </w:p>
        </w:tc>
        <w:tc>
          <w:tcPr>
            <w:tcW w:w="3665" w:type="pct"/>
          </w:tcPr>
          <w:p w14:paraId="49D1C9A6" w14:textId="77777777" w:rsidR="00DB2256" w:rsidRPr="00DB2256" w:rsidRDefault="00DB2256" w:rsidP="00DB2256">
            <w:pPr>
              <w:spacing w:before="60" w:after="60" w:line="240" w:lineRule="auto"/>
              <w:rPr>
                <w:sz w:val="18"/>
              </w:rPr>
            </w:pPr>
            <w:r w:rsidRPr="00DB2256">
              <w:rPr>
                <w:sz w:val="18"/>
              </w:rPr>
              <w:t>Commonwealth Scientific and Industrial Research Organisation</w:t>
            </w:r>
          </w:p>
        </w:tc>
      </w:tr>
      <w:tr w:rsidR="00DB2256" w:rsidRPr="00DB2256" w14:paraId="32D7CD84" w14:textId="77777777" w:rsidTr="00F321F0">
        <w:trPr>
          <w:trHeight w:val="414"/>
        </w:trPr>
        <w:tc>
          <w:tcPr>
            <w:tcW w:w="1335" w:type="pct"/>
          </w:tcPr>
          <w:p w14:paraId="6047F70F" w14:textId="77777777" w:rsidR="00DB2256" w:rsidRPr="00DB2256" w:rsidRDefault="009B05D0" w:rsidP="00DB2256">
            <w:pPr>
              <w:spacing w:before="60" w:after="60" w:line="240" w:lineRule="auto"/>
              <w:rPr>
                <w:sz w:val="18"/>
              </w:rPr>
            </w:pPr>
            <w:r>
              <w:rPr>
                <w:sz w:val="18"/>
              </w:rPr>
              <w:t>DAFF</w:t>
            </w:r>
          </w:p>
        </w:tc>
        <w:tc>
          <w:tcPr>
            <w:tcW w:w="3665" w:type="pct"/>
          </w:tcPr>
          <w:p w14:paraId="43DDE645" w14:textId="77777777" w:rsidR="00DB2256" w:rsidRPr="00DB2256" w:rsidRDefault="009B05D0" w:rsidP="009B05D0">
            <w:pPr>
              <w:spacing w:before="60" w:after="60" w:line="240" w:lineRule="auto"/>
              <w:rPr>
                <w:sz w:val="18"/>
              </w:rPr>
            </w:pPr>
            <w:r w:rsidRPr="009B05D0">
              <w:rPr>
                <w:sz w:val="18"/>
              </w:rPr>
              <w:t>Department of Agriculture</w:t>
            </w:r>
            <w:r>
              <w:rPr>
                <w:sz w:val="18"/>
              </w:rPr>
              <w:t>, Fisheries and Forestry (</w:t>
            </w:r>
            <w:r w:rsidRPr="009B05D0">
              <w:rPr>
                <w:sz w:val="18"/>
              </w:rPr>
              <w:t>now the Department of Agriculture and Water Resources)</w:t>
            </w:r>
          </w:p>
        </w:tc>
      </w:tr>
      <w:tr w:rsidR="009B05D0" w:rsidRPr="00DB2256" w14:paraId="1DE24DAC" w14:textId="77777777" w:rsidTr="00F321F0">
        <w:trPr>
          <w:trHeight w:val="414"/>
        </w:trPr>
        <w:tc>
          <w:tcPr>
            <w:tcW w:w="1335" w:type="pct"/>
          </w:tcPr>
          <w:p w14:paraId="1BF422BD" w14:textId="77777777" w:rsidR="009B05D0" w:rsidRDefault="009B05D0" w:rsidP="00DB2256">
            <w:pPr>
              <w:spacing w:before="60" w:after="60" w:line="240" w:lineRule="auto"/>
              <w:rPr>
                <w:sz w:val="18"/>
              </w:rPr>
            </w:pPr>
            <w:r>
              <w:rPr>
                <w:sz w:val="18"/>
              </w:rPr>
              <w:t>DAWR</w:t>
            </w:r>
          </w:p>
        </w:tc>
        <w:tc>
          <w:tcPr>
            <w:tcW w:w="3665" w:type="pct"/>
          </w:tcPr>
          <w:p w14:paraId="7FE561B5" w14:textId="77777777" w:rsidR="009B05D0" w:rsidRPr="009B05D0" w:rsidRDefault="009B05D0" w:rsidP="009B05D0">
            <w:pPr>
              <w:spacing w:before="60" w:after="60" w:line="240" w:lineRule="auto"/>
              <w:rPr>
                <w:sz w:val="18"/>
              </w:rPr>
            </w:pPr>
            <w:r w:rsidRPr="009B05D0">
              <w:rPr>
                <w:sz w:val="18"/>
              </w:rPr>
              <w:t>Department of Agriculture and Water Resources</w:t>
            </w:r>
          </w:p>
        </w:tc>
      </w:tr>
      <w:tr w:rsidR="00DB2256" w:rsidRPr="00DB2256" w14:paraId="2B9DF4EA" w14:textId="77777777" w:rsidTr="00F321F0">
        <w:trPr>
          <w:trHeight w:val="414"/>
        </w:trPr>
        <w:tc>
          <w:tcPr>
            <w:tcW w:w="1335" w:type="pct"/>
          </w:tcPr>
          <w:p w14:paraId="0DCA8F23" w14:textId="77777777" w:rsidR="00DB2256" w:rsidRPr="00DB2256" w:rsidRDefault="00DB2256" w:rsidP="00DB2256">
            <w:pPr>
              <w:spacing w:before="60" w:after="60" w:line="240" w:lineRule="auto"/>
              <w:rPr>
                <w:sz w:val="18"/>
              </w:rPr>
            </w:pPr>
            <w:r w:rsidRPr="00DB2256">
              <w:rPr>
                <w:sz w:val="18"/>
              </w:rPr>
              <w:t>FAO</w:t>
            </w:r>
          </w:p>
        </w:tc>
        <w:tc>
          <w:tcPr>
            <w:tcW w:w="3665" w:type="pct"/>
          </w:tcPr>
          <w:p w14:paraId="2EE1E86A" w14:textId="77777777" w:rsidR="00DB2256" w:rsidRPr="00DB2256" w:rsidRDefault="00DB2256" w:rsidP="00DB2256">
            <w:pPr>
              <w:spacing w:before="60" w:after="60" w:line="240" w:lineRule="auto"/>
              <w:rPr>
                <w:sz w:val="18"/>
              </w:rPr>
            </w:pPr>
            <w:r w:rsidRPr="00DB2256">
              <w:rPr>
                <w:sz w:val="18"/>
              </w:rPr>
              <w:t>Food and Agriculture Organization of the United Nations</w:t>
            </w:r>
          </w:p>
        </w:tc>
      </w:tr>
      <w:tr w:rsidR="00DB2256" w:rsidRPr="00DB2256" w14:paraId="3D9B4F92" w14:textId="77777777" w:rsidTr="00F321F0">
        <w:trPr>
          <w:trHeight w:val="414"/>
        </w:trPr>
        <w:tc>
          <w:tcPr>
            <w:tcW w:w="1335" w:type="pct"/>
          </w:tcPr>
          <w:p w14:paraId="65C976A5" w14:textId="77777777" w:rsidR="00DB2256" w:rsidRPr="00DB2256" w:rsidRDefault="00DB2256" w:rsidP="00DB2256">
            <w:pPr>
              <w:spacing w:before="60" w:after="60" w:line="240" w:lineRule="auto"/>
              <w:rPr>
                <w:sz w:val="18"/>
              </w:rPr>
            </w:pPr>
            <w:r w:rsidRPr="00DB2256">
              <w:rPr>
                <w:sz w:val="18"/>
              </w:rPr>
              <w:t>IPC</w:t>
            </w:r>
          </w:p>
        </w:tc>
        <w:tc>
          <w:tcPr>
            <w:tcW w:w="3665" w:type="pct"/>
          </w:tcPr>
          <w:p w14:paraId="7CD97646" w14:textId="77777777" w:rsidR="00DB2256" w:rsidRPr="00DB2256" w:rsidRDefault="00DB2256" w:rsidP="00DB2256">
            <w:pPr>
              <w:spacing w:before="60" w:after="60" w:line="240" w:lineRule="auto"/>
              <w:rPr>
                <w:sz w:val="18"/>
              </w:rPr>
            </w:pPr>
            <w:r w:rsidRPr="00DB2256">
              <w:rPr>
                <w:sz w:val="18"/>
              </w:rPr>
              <w:t>International Phytosanitary Certificate</w:t>
            </w:r>
          </w:p>
        </w:tc>
      </w:tr>
      <w:tr w:rsidR="00DB2256" w:rsidRPr="00DB2256" w14:paraId="51E0F8E6" w14:textId="77777777" w:rsidTr="00F321F0">
        <w:trPr>
          <w:trHeight w:val="414"/>
        </w:trPr>
        <w:tc>
          <w:tcPr>
            <w:tcW w:w="1335" w:type="pct"/>
          </w:tcPr>
          <w:p w14:paraId="0A485C80" w14:textId="77777777" w:rsidR="00DB2256" w:rsidRPr="00DB2256" w:rsidRDefault="00DB2256" w:rsidP="00DB2256">
            <w:pPr>
              <w:spacing w:before="60" w:after="60" w:line="240" w:lineRule="auto"/>
              <w:rPr>
                <w:sz w:val="18"/>
              </w:rPr>
            </w:pPr>
            <w:r w:rsidRPr="00DB2256">
              <w:rPr>
                <w:sz w:val="18"/>
              </w:rPr>
              <w:t>IPPC</w:t>
            </w:r>
          </w:p>
        </w:tc>
        <w:tc>
          <w:tcPr>
            <w:tcW w:w="3665" w:type="pct"/>
          </w:tcPr>
          <w:p w14:paraId="1511406B" w14:textId="77777777" w:rsidR="00DB2256" w:rsidRPr="00DB2256" w:rsidRDefault="00DB2256" w:rsidP="00DB2256">
            <w:pPr>
              <w:spacing w:before="60" w:after="60" w:line="240" w:lineRule="auto"/>
              <w:rPr>
                <w:sz w:val="18"/>
              </w:rPr>
            </w:pPr>
            <w:r w:rsidRPr="00DB2256">
              <w:rPr>
                <w:sz w:val="18"/>
              </w:rPr>
              <w:t>International Plant Protection Convention</w:t>
            </w:r>
          </w:p>
        </w:tc>
      </w:tr>
      <w:tr w:rsidR="00DB2256" w:rsidRPr="00DB2256" w14:paraId="465C4803" w14:textId="77777777" w:rsidTr="00F321F0">
        <w:trPr>
          <w:trHeight w:val="414"/>
        </w:trPr>
        <w:tc>
          <w:tcPr>
            <w:tcW w:w="1335" w:type="pct"/>
          </w:tcPr>
          <w:p w14:paraId="3EB979F4" w14:textId="77777777" w:rsidR="00DB2256" w:rsidRPr="00DB2256" w:rsidRDefault="00DB2256" w:rsidP="00DB2256">
            <w:pPr>
              <w:spacing w:before="60" w:after="60" w:line="240" w:lineRule="auto"/>
              <w:rPr>
                <w:sz w:val="18"/>
              </w:rPr>
            </w:pPr>
            <w:r w:rsidRPr="00DB2256">
              <w:rPr>
                <w:sz w:val="18"/>
              </w:rPr>
              <w:t>IRA</w:t>
            </w:r>
          </w:p>
        </w:tc>
        <w:tc>
          <w:tcPr>
            <w:tcW w:w="3665" w:type="pct"/>
          </w:tcPr>
          <w:p w14:paraId="6C885CC8" w14:textId="77777777" w:rsidR="00DB2256" w:rsidRPr="00DB2256" w:rsidRDefault="00DB2256" w:rsidP="00DB2256">
            <w:pPr>
              <w:spacing w:before="60" w:after="60" w:line="240" w:lineRule="auto"/>
              <w:rPr>
                <w:sz w:val="18"/>
              </w:rPr>
            </w:pPr>
            <w:r w:rsidRPr="00DB2256">
              <w:rPr>
                <w:sz w:val="18"/>
              </w:rPr>
              <w:t>Import risk analysis</w:t>
            </w:r>
          </w:p>
        </w:tc>
      </w:tr>
      <w:tr w:rsidR="00DB2256" w:rsidRPr="00DB2256" w14:paraId="3CE3499D" w14:textId="77777777" w:rsidTr="00F321F0">
        <w:trPr>
          <w:trHeight w:val="414"/>
        </w:trPr>
        <w:tc>
          <w:tcPr>
            <w:tcW w:w="1335" w:type="pct"/>
          </w:tcPr>
          <w:p w14:paraId="5D436F88" w14:textId="77777777" w:rsidR="00DB2256" w:rsidRPr="00DB2256" w:rsidRDefault="00DB2256" w:rsidP="00DB2256">
            <w:pPr>
              <w:spacing w:before="60" w:after="60" w:line="240" w:lineRule="auto"/>
              <w:rPr>
                <w:sz w:val="18"/>
              </w:rPr>
            </w:pPr>
            <w:r w:rsidRPr="00DB2256">
              <w:rPr>
                <w:sz w:val="18"/>
              </w:rPr>
              <w:t>ISPM</w:t>
            </w:r>
          </w:p>
        </w:tc>
        <w:tc>
          <w:tcPr>
            <w:tcW w:w="3665" w:type="pct"/>
          </w:tcPr>
          <w:p w14:paraId="7F1AA971" w14:textId="77777777" w:rsidR="00DB2256" w:rsidRPr="00DB2256" w:rsidRDefault="00DB2256" w:rsidP="00DB2256">
            <w:pPr>
              <w:spacing w:before="60" w:after="60" w:line="240" w:lineRule="auto"/>
              <w:rPr>
                <w:sz w:val="18"/>
              </w:rPr>
            </w:pPr>
            <w:r w:rsidRPr="00DB2256">
              <w:rPr>
                <w:sz w:val="18"/>
              </w:rPr>
              <w:t>International Standard for Phytosanitary Measures</w:t>
            </w:r>
          </w:p>
        </w:tc>
      </w:tr>
      <w:tr w:rsidR="00DB2256" w:rsidRPr="00DB2256" w14:paraId="37F595F8" w14:textId="77777777" w:rsidTr="00F321F0">
        <w:trPr>
          <w:trHeight w:val="414"/>
        </w:trPr>
        <w:tc>
          <w:tcPr>
            <w:tcW w:w="1335" w:type="pct"/>
          </w:tcPr>
          <w:p w14:paraId="768BE5B9" w14:textId="77777777" w:rsidR="00DB2256" w:rsidRPr="00DB2256" w:rsidRDefault="00DB2256" w:rsidP="00DB2256">
            <w:pPr>
              <w:spacing w:before="60" w:after="60" w:line="240" w:lineRule="auto"/>
              <w:rPr>
                <w:sz w:val="18"/>
              </w:rPr>
            </w:pPr>
            <w:r w:rsidRPr="00DB2256">
              <w:rPr>
                <w:sz w:val="18"/>
              </w:rPr>
              <w:t>NSW</w:t>
            </w:r>
          </w:p>
        </w:tc>
        <w:tc>
          <w:tcPr>
            <w:tcW w:w="3665" w:type="pct"/>
          </w:tcPr>
          <w:p w14:paraId="6FF8D44E" w14:textId="77777777" w:rsidR="00DB2256" w:rsidRPr="00DB2256" w:rsidRDefault="00DB2256" w:rsidP="00DB2256">
            <w:pPr>
              <w:spacing w:before="60" w:after="60" w:line="240" w:lineRule="auto"/>
              <w:rPr>
                <w:sz w:val="18"/>
              </w:rPr>
            </w:pPr>
            <w:r w:rsidRPr="00DB2256">
              <w:rPr>
                <w:sz w:val="18"/>
              </w:rPr>
              <w:t>New South Wales</w:t>
            </w:r>
          </w:p>
        </w:tc>
      </w:tr>
      <w:tr w:rsidR="00DB2256" w:rsidRPr="00DB2256" w14:paraId="556A2975" w14:textId="77777777" w:rsidTr="00F321F0">
        <w:trPr>
          <w:trHeight w:val="414"/>
        </w:trPr>
        <w:tc>
          <w:tcPr>
            <w:tcW w:w="1335" w:type="pct"/>
          </w:tcPr>
          <w:p w14:paraId="638718A5" w14:textId="77777777" w:rsidR="00DB2256" w:rsidRPr="00DB2256" w:rsidRDefault="00DB2256" w:rsidP="00DB2256">
            <w:pPr>
              <w:spacing w:before="60" w:after="60" w:line="240" w:lineRule="auto"/>
              <w:rPr>
                <w:sz w:val="18"/>
              </w:rPr>
            </w:pPr>
            <w:r w:rsidRPr="00DB2256">
              <w:rPr>
                <w:sz w:val="18"/>
              </w:rPr>
              <w:t>NPPO</w:t>
            </w:r>
          </w:p>
        </w:tc>
        <w:tc>
          <w:tcPr>
            <w:tcW w:w="3665" w:type="pct"/>
          </w:tcPr>
          <w:p w14:paraId="50C94BB4" w14:textId="77777777" w:rsidR="00DB2256" w:rsidRPr="00DB2256" w:rsidRDefault="00DB2256" w:rsidP="00DB2256">
            <w:pPr>
              <w:spacing w:before="60" w:after="60" w:line="240" w:lineRule="auto"/>
              <w:rPr>
                <w:sz w:val="18"/>
              </w:rPr>
            </w:pPr>
            <w:r w:rsidRPr="00DB2256">
              <w:rPr>
                <w:sz w:val="18"/>
              </w:rPr>
              <w:t>National Plant Protection Organisation</w:t>
            </w:r>
          </w:p>
        </w:tc>
      </w:tr>
      <w:tr w:rsidR="00DB2256" w:rsidRPr="00DB2256" w14:paraId="2887CD9D" w14:textId="77777777" w:rsidTr="00F321F0">
        <w:trPr>
          <w:trHeight w:val="414"/>
        </w:trPr>
        <w:tc>
          <w:tcPr>
            <w:tcW w:w="1335" w:type="pct"/>
          </w:tcPr>
          <w:p w14:paraId="64C54B03" w14:textId="77777777" w:rsidR="00DB2256" w:rsidRPr="00DB2256" w:rsidRDefault="00DB2256" w:rsidP="00DB2256">
            <w:pPr>
              <w:spacing w:before="60" w:after="60" w:line="240" w:lineRule="auto"/>
              <w:rPr>
                <w:sz w:val="18"/>
              </w:rPr>
            </w:pPr>
            <w:r w:rsidRPr="00DB2256">
              <w:rPr>
                <w:sz w:val="18"/>
              </w:rPr>
              <w:t>NT</w:t>
            </w:r>
          </w:p>
        </w:tc>
        <w:tc>
          <w:tcPr>
            <w:tcW w:w="3665" w:type="pct"/>
          </w:tcPr>
          <w:p w14:paraId="7FDBA64D" w14:textId="77777777" w:rsidR="00DB2256" w:rsidRPr="00DB2256" w:rsidRDefault="00DB2256" w:rsidP="00DB2256">
            <w:pPr>
              <w:spacing w:before="60" w:after="60" w:line="240" w:lineRule="auto"/>
              <w:rPr>
                <w:sz w:val="18"/>
              </w:rPr>
            </w:pPr>
            <w:r w:rsidRPr="00DB2256">
              <w:rPr>
                <w:sz w:val="18"/>
              </w:rPr>
              <w:t>Northern Territory</w:t>
            </w:r>
          </w:p>
        </w:tc>
      </w:tr>
      <w:tr w:rsidR="00DB2256" w:rsidRPr="00DB2256" w14:paraId="165343D3" w14:textId="77777777" w:rsidTr="00F321F0">
        <w:trPr>
          <w:trHeight w:val="414"/>
        </w:trPr>
        <w:tc>
          <w:tcPr>
            <w:tcW w:w="1335" w:type="pct"/>
          </w:tcPr>
          <w:p w14:paraId="7CE7BA67" w14:textId="77777777" w:rsidR="00DB2256" w:rsidRPr="00DB2256" w:rsidRDefault="00DB2256" w:rsidP="00DB2256">
            <w:pPr>
              <w:spacing w:before="60" w:after="60" w:line="240" w:lineRule="auto"/>
              <w:rPr>
                <w:sz w:val="18"/>
              </w:rPr>
            </w:pPr>
            <w:r w:rsidRPr="00DB2256">
              <w:rPr>
                <w:sz w:val="18"/>
              </w:rPr>
              <w:t>PRA</w:t>
            </w:r>
          </w:p>
        </w:tc>
        <w:tc>
          <w:tcPr>
            <w:tcW w:w="3665" w:type="pct"/>
          </w:tcPr>
          <w:p w14:paraId="60E6EE5D" w14:textId="77777777" w:rsidR="00DB2256" w:rsidRPr="00DB2256" w:rsidRDefault="00DB2256" w:rsidP="00DB2256">
            <w:pPr>
              <w:spacing w:before="60" w:after="60" w:line="240" w:lineRule="auto"/>
              <w:rPr>
                <w:sz w:val="18"/>
              </w:rPr>
            </w:pPr>
            <w:r w:rsidRPr="00DB2256">
              <w:rPr>
                <w:sz w:val="18"/>
              </w:rPr>
              <w:t>Pest risk assessment</w:t>
            </w:r>
          </w:p>
        </w:tc>
      </w:tr>
      <w:tr w:rsidR="00DB2256" w:rsidRPr="00DB2256" w14:paraId="79140514" w14:textId="77777777" w:rsidTr="00F321F0">
        <w:trPr>
          <w:trHeight w:val="414"/>
        </w:trPr>
        <w:tc>
          <w:tcPr>
            <w:tcW w:w="1335" w:type="pct"/>
          </w:tcPr>
          <w:p w14:paraId="135DA78F" w14:textId="77777777" w:rsidR="00DB2256" w:rsidRPr="00DB2256" w:rsidRDefault="00DB2256" w:rsidP="00DB2256">
            <w:pPr>
              <w:spacing w:before="60" w:after="60" w:line="240" w:lineRule="auto"/>
              <w:rPr>
                <w:sz w:val="18"/>
              </w:rPr>
            </w:pPr>
            <w:r w:rsidRPr="00DB2256">
              <w:rPr>
                <w:sz w:val="18"/>
              </w:rPr>
              <w:t>Qld</w:t>
            </w:r>
          </w:p>
        </w:tc>
        <w:tc>
          <w:tcPr>
            <w:tcW w:w="3665" w:type="pct"/>
          </w:tcPr>
          <w:p w14:paraId="0AF1CB61" w14:textId="77777777" w:rsidR="00DB2256" w:rsidRPr="00DB2256" w:rsidRDefault="00DB2256" w:rsidP="00DB2256">
            <w:pPr>
              <w:spacing w:before="60" w:after="60" w:line="240" w:lineRule="auto"/>
              <w:rPr>
                <w:sz w:val="18"/>
              </w:rPr>
            </w:pPr>
            <w:r w:rsidRPr="00DB2256">
              <w:rPr>
                <w:sz w:val="18"/>
              </w:rPr>
              <w:t>Queensland</w:t>
            </w:r>
          </w:p>
        </w:tc>
      </w:tr>
      <w:tr w:rsidR="00DB2256" w:rsidRPr="00DB2256" w14:paraId="78532763" w14:textId="77777777" w:rsidTr="00F321F0">
        <w:trPr>
          <w:trHeight w:val="414"/>
        </w:trPr>
        <w:tc>
          <w:tcPr>
            <w:tcW w:w="1335" w:type="pct"/>
          </w:tcPr>
          <w:p w14:paraId="1013BCFD" w14:textId="77777777" w:rsidR="00DB2256" w:rsidRPr="00DB2256" w:rsidRDefault="00DB2256" w:rsidP="00DB2256">
            <w:pPr>
              <w:spacing w:before="60" w:after="60" w:line="240" w:lineRule="auto"/>
              <w:rPr>
                <w:sz w:val="18"/>
              </w:rPr>
            </w:pPr>
            <w:r w:rsidRPr="00DB2256">
              <w:rPr>
                <w:sz w:val="18"/>
              </w:rPr>
              <w:t>SA</w:t>
            </w:r>
          </w:p>
        </w:tc>
        <w:tc>
          <w:tcPr>
            <w:tcW w:w="3665" w:type="pct"/>
          </w:tcPr>
          <w:p w14:paraId="6045FEF7" w14:textId="77777777" w:rsidR="00DB2256" w:rsidRPr="00DB2256" w:rsidRDefault="00DB2256" w:rsidP="00DB2256">
            <w:pPr>
              <w:spacing w:before="60" w:after="60" w:line="240" w:lineRule="auto"/>
              <w:rPr>
                <w:sz w:val="18"/>
              </w:rPr>
            </w:pPr>
            <w:r w:rsidRPr="00DB2256">
              <w:rPr>
                <w:sz w:val="18"/>
              </w:rPr>
              <w:t>South Australia</w:t>
            </w:r>
          </w:p>
        </w:tc>
      </w:tr>
      <w:tr w:rsidR="00DB2256" w:rsidRPr="00DB2256" w14:paraId="7523D7A9" w14:textId="77777777" w:rsidTr="00F321F0">
        <w:trPr>
          <w:trHeight w:val="414"/>
        </w:trPr>
        <w:tc>
          <w:tcPr>
            <w:tcW w:w="1335" w:type="pct"/>
          </w:tcPr>
          <w:p w14:paraId="291B031E" w14:textId="77777777" w:rsidR="00DB2256" w:rsidRPr="00DB2256" w:rsidRDefault="00DB2256" w:rsidP="00DB2256">
            <w:pPr>
              <w:spacing w:before="60" w:after="60" w:line="240" w:lineRule="auto"/>
              <w:rPr>
                <w:sz w:val="18"/>
              </w:rPr>
            </w:pPr>
            <w:r w:rsidRPr="00DB2256">
              <w:rPr>
                <w:sz w:val="18"/>
              </w:rPr>
              <w:t>SPS</w:t>
            </w:r>
          </w:p>
        </w:tc>
        <w:tc>
          <w:tcPr>
            <w:tcW w:w="3665" w:type="pct"/>
          </w:tcPr>
          <w:p w14:paraId="0C535D02" w14:textId="77777777" w:rsidR="00DB2256" w:rsidRPr="00DB2256" w:rsidRDefault="00DB2256" w:rsidP="00DB2256">
            <w:pPr>
              <w:spacing w:before="60" w:after="60" w:line="240" w:lineRule="auto"/>
              <w:rPr>
                <w:sz w:val="18"/>
              </w:rPr>
            </w:pPr>
            <w:r w:rsidRPr="00DB2256">
              <w:rPr>
                <w:sz w:val="18"/>
              </w:rPr>
              <w:t>Sanitary and Phytosanitary</w:t>
            </w:r>
          </w:p>
        </w:tc>
      </w:tr>
      <w:tr w:rsidR="00DB2256" w:rsidRPr="00DB2256" w14:paraId="577820B2" w14:textId="77777777" w:rsidTr="00F321F0">
        <w:trPr>
          <w:trHeight w:val="414"/>
        </w:trPr>
        <w:tc>
          <w:tcPr>
            <w:tcW w:w="1335" w:type="pct"/>
          </w:tcPr>
          <w:p w14:paraId="7B156899" w14:textId="77777777" w:rsidR="00DB2256" w:rsidRPr="00DB2256" w:rsidRDefault="00DB2256" w:rsidP="00DB2256">
            <w:pPr>
              <w:spacing w:before="60" w:after="60" w:line="240" w:lineRule="auto"/>
              <w:rPr>
                <w:sz w:val="18"/>
              </w:rPr>
            </w:pPr>
            <w:r w:rsidRPr="00DB2256">
              <w:rPr>
                <w:sz w:val="18"/>
              </w:rPr>
              <w:t>Tas.</w:t>
            </w:r>
          </w:p>
        </w:tc>
        <w:tc>
          <w:tcPr>
            <w:tcW w:w="3665" w:type="pct"/>
          </w:tcPr>
          <w:p w14:paraId="7F5ABFAC" w14:textId="77777777" w:rsidR="00DB2256" w:rsidRPr="00DB2256" w:rsidRDefault="00DB2256" w:rsidP="00DB2256">
            <w:pPr>
              <w:spacing w:before="60" w:after="60" w:line="240" w:lineRule="auto"/>
              <w:rPr>
                <w:sz w:val="18"/>
              </w:rPr>
            </w:pPr>
            <w:r w:rsidRPr="00DB2256">
              <w:rPr>
                <w:sz w:val="18"/>
              </w:rPr>
              <w:t>Tasmania</w:t>
            </w:r>
          </w:p>
        </w:tc>
      </w:tr>
      <w:tr w:rsidR="00DB2256" w:rsidRPr="00DB2256" w14:paraId="6AA85D98" w14:textId="77777777" w:rsidTr="00F321F0">
        <w:trPr>
          <w:trHeight w:val="414"/>
        </w:trPr>
        <w:tc>
          <w:tcPr>
            <w:tcW w:w="1335" w:type="pct"/>
          </w:tcPr>
          <w:p w14:paraId="368B2634" w14:textId="77777777" w:rsidR="00DB2256" w:rsidRPr="00DB2256" w:rsidRDefault="00DB2256" w:rsidP="00DB2256">
            <w:pPr>
              <w:spacing w:before="60" w:after="60" w:line="240" w:lineRule="auto"/>
              <w:rPr>
                <w:sz w:val="18"/>
              </w:rPr>
            </w:pPr>
            <w:r w:rsidRPr="00DB2256">
              <w:rPr>
                <w:sz w:val="18"/>
              </w:rPr>
              <w:t>Vic.</w:t>
            </w:r>
          </w:p>
        </w:tc>
        <w:tc>
          <w:tcPr>
            <w:tcW w:w="3665" w:type="pct"/>
          </w:tcPr>
          <w:p w14:paraId="1345750E" w14:textId="77777777" w:rsidR="00DB2256" w:rsidRPr="00DB2256" w:rsidRDefault="00DB2256" w:rsidP="00DB2256">
            <w:pPr>
              <w:spacing w:before="60" w:after="60" w:line="240" w:lineRule="auto"/>
              <w:rPr>
                <w:sz w:val="18"/>
              </w:rPr>
            </w:pPr>
            <w:r w:rsidRPr="00DB2256">
              <w:rPr>
                <w:sz w:val="18"/>
              </w:rPr>
              <w:t>Victoria</w:t>
            </w:r>
          </w:p>
        </w:tc>
      </w:tr>
      <w:tr w:rsidR="00DB2256" w:rsidRPr="00DB2256" w14:paraId="578A4ACE" w14:textId="77777777" w:rsidTr="00F321F0">
        <w:trPr>
          <w:trHeight w:val="414"/>
        </w:trPr>
        <w:tc>
          <w:tcPr>
            <w:tcW w:w="1335" w:type="pct"/>
          </w:tcPr>
          <w:p w14:paraId="581B834F" w14:textId="77777777" w:rsidR="00DB2256" w:rsidRPr="00DB2256" w:rsidRDefault="00DB2256" w:rsidP="00DB2256">
            <w:pPr>
              <w:spacing w:before="60" w:after="60" w:line="240" w:lineRule="auto"/>
              <w:rPr>
                <w:sz w:val="18"/>
              </w:rPr>
            </w:pPr>
            <w:r w:rsidRPr="00DB2256">
              <w:rPr>
                <w:sz w:val="18"/>
              </w:rPr>
              <w:t>WA</w:t>
            </w:r>
          </w:p>
        </w:tc>
        <w:tc>
          <w:tcPr>
            <w:tcW w:w="3665" w:type="pct"/>
          </w:tcPr>
          <w:p w14:paraId="3289478A" w14:textId="77777777" w:rsidR="00DB2256" w:rsidRPr="00DB2256" w:rsidRDefault="00DB2256" w:rsidP="00DB2256">
            <w:pPr>
              <w:spacing w:before="60" w:after="60" w:line="240" w:lineRule="auto"/>
              <w:rPr>
                <w:sz w:val="18"/>
              </w:rPr>
            </w:pPr>
            <w:r w:rsidRPr="00DB2256">
              <w:rPr>
                <w:sz w:val="18"/>
              </w:rPr>
              <w:t>Western Australia</w:t>
            </w:r>
          </w:p>
        </w:tc>
      </w:tr>
      <w:tr w:rsidR="00DB2256" w:rsidRPr="00DB2256" w14:paraId="44703C5D" w14:textId="77777777" w:rsidTr="00F321F0">
        <w:trPr>
          <w:trHeight w:val="414"/>
        </w:trPr>
        <w:tc>
          <w:tcPr>
            <w:tcW w:w="1335" w:type="pct"/>
          </w:tcPr>
          <w:p w14:paraId="6F649A39" w14:textId="77777777" w:rsidR="00DB2256" w:rsidRPr="00DB2256" w:rsidRDefault="00DB2256" w:rsidP="00DB2256">
            <w:pPr>
              <w:spacing w:before="60" w:after="60" w:line="240" w:lineRule="auto"/>
              <w:rPr>
                <w:sz w:val="18"/>
              </w:rPr>
            </w:pPr>
            <w:r w:rsidRPr="00DB2256">
              <w:rPr>
                <w:sz w:val="18"/>
              </w:rPr>
              <w:t>WTO</w:t>
            </w:r>
          </w:p>
        </w:tc>
        <w:tc>
          <w:tcPr>
            <w:tcW w:w="3665" w:type="pct"/>
          </w:tcPr>
          <w:p w14:paraId="017D714D" w14:textId="77777777" w:rsidR="00DB2256" w:rsidRPr="00DB2256" w:rsidRDefault="00DB2256" w:rsidP="00DB2256">
            <w:pPr>
              <w:spacing w:before="60" w:after="60" w:line="240" w:lineRule="auto"/>
              <w:rPr>
                <w:sz w:val="18"/>
              </w:rPr>
            </w:pPr>
            <w:r w:rsidRPr="00DB2256">
              <w:rPr>
                <w:sz w:val="18"/>
              </w:rPr>
              <w:t>World Trade Organization</w:t>
            </w:r>
          </w:p>
        </w:tc>
      </w:tr>
    </w:tbl>
    <w:p w14:paraId="20C887C4" w14:textId="77777777" w:rsidR="00DB2256" w:rsidRDefault="00DB2256" w:rsidP="00DB2256"/>
    <w:p w14:paraId="480D3030" w14:textId="77777777" w:rsidR="00C96BE9" w:rsidRDefault="00C96BE9">
      <w:pPr>
        <w:pStyle w:val="Heading1nonumbers"/>
        <w:sectPr w:rsidR="00C96BE9" w:rsidSect="00A851CF">
          <w:headerReference w:type="default" r:id="rId27"/>
          <w:pgSz w:w="11906" w:h="16838"/>
          <w:pgMar w:top="1418" w:right="1418" w:bottom="1418" w:left="1418" w:header="567" w:footer="283" w:gutter="0"/>
          <w:pgNumType w:fmt="lowerRoman"/>
          <w:cols w:space="708"/>
          <w:docGrid w:linePitch="360"/>
        </w:sectPr>
      </w:pPr>
      <w:bookmarkStart w:id="28" w:name="_Toc449960571"/>
      <w:bookmarkStart w:id="29" w:name="_Toc462824188"/>
      <w:bookmarkStart w:id="30" w:name="_Toc462839993"/>
    </w:p>
    <w:p w14:paraId="3CFE6DF1" w14:textId="77777777" w:rsidR="00146544" w:rsidRDefault="00146544">
      <w:pPr>
        <w:pStyle w:val="Heading1nonumbers"/>
      </w:pPr>
      <w:bookmarkStart w:id="31" w:name="_Toc477962019"/>
      <w:bookmarkStart w:id="32" w:name="_Toc492890683"/>
      <w:bookmarkStart w:id="33" w:name="_Toc493770562"/>
      <w:bookmarkStart w:id="34" w:name="_Toc501716475"/>
      <w:r>
        <w:t>Summary</w:t>
      </w:r>
      <w:bookmarkEnd w:id="28"/>
      <w:bookmarkEnd w:id="29"/>
      <w:bookmarkEnd w:id="30"/>
      <w:bookmarkEnd w:id="31"/>
      <w:bookmarkEnd w:id="32"/>
      <w:bookmarkEnd w:id="33"/>
      <w:bookmarkEnd w:id="34"/>
    </w:p>
    <w:p w14:paraId="3B1F438B" w14:textId="557CBAED" w:rsidR="00681F25" w:rsidRDefault="001A4B67" w:rsidP="001A4B67">
      <w:r w:rsidRPr="00232F0B">
        <w:t xml:space="preserve">The Australian Government Department of </w:t>
      </w:r>
      <w:r w:rsidR="008E651E" w:rsidRPr="00232F0B">
        <w:t xml:space="preserve">Agriculture and Water </w:t>
      </w:r>
      <w:r w:rsidR="008E651E" w:rsidRPr="00572787">
        <w:t>Resources (the department</w:t>
      </w:r>
      <w:r w:rsidRPr="00232F0B">
        <w:t xml:space="preserve">) has prepared this report to assess the </w:t>
      </w:r>
      <w:r w:rsidR="00681F25">
        <w:t xml:space="preserve">biosecurity risk associated with the import of fresh Tahitian limes from </w:t>
      </w:r>
      <w:r w:rsidR="00FF170E">
        <w:t xml:space="preserve">the </w:t>
      </w:r>
      <w:r w:rsidRPr="00232F0B">
        <w:t xml:space="preserve">Cook Islands, Niue, Samoa, Tonga and Vanuatu </w:t>
      </w:r>
      <w:r w:rsidR="00681F25">
        <w:t>into Australia.</w:t>
      </w:r>
    </w:p>
    <w:p w14:paraId="0BA1C678" w14:textId="4A68A477" w:rsidR="00681F25" w:rsidRDefault="00681F25" w:rsidP="001A4B67">
      <w:r>
        <w:t xml:space="preserve">The department received formal </w:t>
      </w:r>
      <w:r w:rsidR="00320046">
        <w:t>requests from Samoa and Vanuatu</w:t>
      </w:r>
      <w:r>
        <w:t xml:space="preserve"> for ma</w:t>
      </w:r>
      <w:r w:rsidR="00D30808">
        <w:t>rket access for fresh Tahitian l</w:t>
      </w:r>
      <w:r>
        <w:t xml:space="preserve">imes. The Cook Islands, Niue and Tonga subsequently expressed interest in exporting fresh Tahitian limes to Australia. Given the similarities in pest status, all five countries have been included in </w:t>
      </w:r>
      <w:r w:rsidR="00572787">
        <w:t>this</w:t>
      </w:r>
      <w:r>
        <w:t xml:space="preserve"> risk analysis.</w:t>
      </w:r>
    </w:p>
    <w:p w14:paraId="26BDB29E" w14:textId="45CA4B49" w:rsidR="001A4B67" w:rsidRPr="00232F0B" w:rsidRDefault="001A4B67" w:rsidP="001A4B67">
      <w:r w:rsidRPr="00232F0B">
        <w:t xml:space="preserve">Australia permits the importation of fresh limes from </w:t>
      </w:r>
      <w:r w:rsidR="00681F25">
        <w:t>Egypt, New Caledonia, New Zealand, Spain and the United States of America (USA)</w:t>
      </w:r>
      <w:r w:rsidRPr="00232F0B">
        <w:t xml:space="preserve"> for human consumption provided they meet Austr</w:t>
      </w:r>
      <w:r w:rsidR="00DC58D9">
        <w:t>alian biosecurity requirements.</w:t>
      </w:r>
    </w:p>
    <w:p w14:paraId="3EC6A985" w14:textId="238E7ED6" w:rsidR="001A4B67" w:rsidRPr="00232F0B" w:rsidRDefault="001A4B67" w:rsidP="001A4B67">
      <w:r w:rsidRPr="00232F0B">
        <w:t xml:space="preserve">This report </w:t>
      </w:r>
      <w:r w:rsidR="0021768C">
        <w:t>recommends</w:t>
      </w:r>
      <w:r w:rsidRPr="00232F0B">
        <w:t xml:space="preserve"> that the importation of fresh Tahitian limes to Australia from all commercial production areas of </w:t>
      </w:r>
      <w:r w:rsidR="00A073FA">
        <w:t xml:space="preserve">the </w:t>
      </w:r>
      <w:r w:rsidRPr="00232F0B">
        <w:t>Cook Islands, Niue, Samoa, Tonga and Vanuatu be permitted, subject to a r</w:t>
      </w:r>
      <w:r w:rsidR="00DC58D9">
        <w:t>ange of biosecurity conditions.</w:t>
      </w:r>
    </w:p>
    <w:p w14:paraId="3B29DB4B" w14:textId="19F3CA9F" w:rsidR="001A4B67" w:rsidRPr="00232F0B" w:rsidRDefault="001A4B67" w:rsidP="001A4B67">
      <w:r w:rsidRPr="00232F0B">
        <w:t xml:space="preserve">This report contains details of pests </w:t>
      </w:r>
      <w:r w:rsidR="00320046" w:rsidRPr="00232F0B">
        <w:t xml:space="preserve">that are of quarantine concern to Australia </w:t>
      </w:r>
      <w:r w:rsidRPr="00232F0B">
        <w:t>with the potential to be associated with the importation of fresh Tahitian limes, the risk assessments for the identified quarantine pests</w:t>
      </w:r>
      <w:r w:rsidR="00320046">
        <w:t>,</w:t>
      </w:r>
      <w:r w:rsidRPr="00232F0B">
        <w:t xml:space="preserve"> and the </w:t>
      </w:r>
      <w:r w:rsidR="00A43AEB">
        <w:t>recommended</w:t>
      </w:r>
      <w:r w:rsidRPr="00232F0B">
        <w:t xml:space="preserve"> risk management measures to reduce the biosecurity risk to an acceptable level.</w:t>
      </w:r>
    </w:p>
    <w:p w14:paraId="02B6C084" w14:textId="308099A4" w:rsidR="00232F0B" w:rsidRPr="00DC58D9" w:rsidRDefault="001A4B67" w:rsidP="001A4B67">
      <w:r w:rsidRPr="009B4DE8">
        <w:t>Three pests have been identified as requ</w:t>
      </w:r>
      <w:r w:rsidR="00232F0B" w:rsidRPr="009B4DE8">
        <w:t>ir</w:t>
      </w:r>
      <w:r w:rsidR="009B4DE8">
        <w:t xml:space="preserve">ing risk management measures. All three pests are </w:t>
      </w:r>
      <w:r w:rsidR="00232F0B" w:rsidRPr="009B4DE8">
        <w:t>arthropods.</w:t>
      </w:r>
      <w:r w:rsidR="00A073FA">
        <w:t xml:space="preserve"> These pests are </w:t>
      </w:r>
      <w:r w:rsidR="00232F0B" w:rsidRPr="00D2060F">
        <w:rPr>
          <w:i/>
        </w:rPr>
        <w:t>Dysmicoccus neobrevipes</w:t>
      </w:r>
      <w:r w:rsidR="009B4DE8">
        <w:rPr>
          <w:i/>
        </w:rPr>
        <w:t xml:space="preserve"> </w:t>
      </w:r>
      <w:r w:rsidR="00070CD4">
        <w:t>(g</w:t>
      </w:r>
      <w:r w:rsidR="009B4DE8">
        <w:t>rey pineapple mealybug)</w:t>
      </w:r>
      <w:r w:rsidR="00232F0B">
        <w:t>,</w:t>
      </w:r>
      <w:r w:rsidR="00232F0B" w:rsidRPr="00D2060F">
        <w:t xml:space="preserve"> </w:t>
      </w:r>
      <w:r w:rsidR="00232F0B" w:rsidRPr="003C41A5">
        <w:rPr>
          <w:i/>
        </w:rPr>
        <w:t>Planococcus minor</w:t>
      </w:r>
      <w:r w:rsidR="009B4DE8">
        <w:rPr>
          <w:i/>
        </w:rPr>
        <w:t xml:space="preserve"> </w:t>
      </w:r>
      <w:r w:rsidR="009B4DE8">
        <w:t>(Pacific mealybug)</w:t>
      </w:r>
      <w:r w:rsidR="00232F0B" w:rsidRPr="003C41A5">
        <w:t xml:space="preserve"> </w:t>
      </w:r>
      <w:r w:rsidR="00232F0B">
        <w:t>and</w:t>
      </w:r>
      <w:r w:rsidR="00232F0B" w:rsidRPr="003C41A5">
        <w:t xml:space="preserve"> </w:t>
      </w:r>
      <w:r w:rsidR="00232F0B" w:rsidRPr="003C41A5">
        <w:rPr>
          <w:i/>
        </w:rPr>
        <w:t>Pseudococcus cryptus</w:t>
      </w:r>
      <w:r w:rsidR="009B4DE8">
        <w:rPr>
          <w:i/>
        </w:rPr>
        <w:t xml:space="preserve"> </w:t>
      </w:r>
      <w:r w:rsidR="00070CD4">
        <w:t>(c</w:t>
      </w:r>
      <w:r w:rsidR="009B4DE8">
        <w:t>ryptic mealybug)</w:t>
      </w:r>
      <w:r w:rsidR="00232F0B">
        <w:rPr>
          <w:i/>
        </w:rPr>
        <w:t>.</w:t>
      </w:r>
    </w:p>
    <w:p w14:paraId="4E06485E" w14:textId="7FCFC4F3" w:rsidR="00232F0B" w:rsidRDefault="000C36A8" w:rsidP="00232F0B">
      <w:r w:rsidRPr="00905366">
        <w:rPr>
          <w:i/>
        </w:rPr>
        <w:t>Planococcus minor</w:t>
      </w:r>
      <w:r w:rsidRPr="00905366">
        <w:t xml:space="preserve"> and </w:t>
      </w:r>
      <w:r w:rsidRPr="00905366">
        <w:rPr>
          <w:i/>
        </w:rPr>
        <w:t>Pseudococcus cryptus</w:t>
      </w:r>
      <w:r>
        <w:rPr>
          <w:i/>
        </w:rPr>
        <w:t xml:space="preserve"> </w:t>
      </w:r>
      <w:r w:rsidR="00A073FA">
        <w:t>were</w:t>
      </w:r>
      <w:r>
        <w:t xml:space="preserve"> assessed as being regional quarantine pests for Western Australia and </w:t>
      </w:r>
      <w:r w:rsidRPr="00D2060F">
        <w:rPr>
          <w:i/>
        </w:rPr>
        <w:t>Dysmicoccus neobrevipes</w:t>
      </w:r>
      <w:r>
        <w:rPr>
          <w:i/>
        </w:rPr>
        <w:t xml:space="preserve"> </w:t>
      </w:r>
      <w:r>
        <w:t>was assessed as being a quarantine pest</w:t>
      </w:r>
      <w:r w:rsidR="006E7AEA">
        <w:t xml:space="preserve"> for all </w:t>
      </w:r>
      <w:r w:rsidR="002C4400">
        <w:t>of Australia</w:t>
      </w:r>
      <w:r>
        <w:t xml:space="preserve">. </w:t>
      </w:r>
    </w:p>
    <w:p w14:paraId="7FABF9FF" w14:textId="1BBA3C56" w:rsidR="00DF29D7" w:rsidRDefault="009B4DE8" w:rsidP="001A4B67">
      <w:r>
        <w:t xml:space="preserve">This report </w:t>
      </w:r>
      <w:r w:rsidR="00B37D8E">
        <w:t>recommends</w:t>
      </w:r>
      <w:r w:rsidR="00232F0B">
        <w:t xml:space="preserve"> </w:t>
      </w:r>
      <w:r w:rsidR="00DF29D7">
        <w:t>risk management measures, combined with operational systems to reduce the risks posed by</w:t>
      </w:r>
      <w:r w:rsidR="00DC58D9">
        <w:t xml:space="preserve"> the three quarantine pests, to</w:t>
      </w:r>
      <w:r w:rsidR="00DF29D7">
        <w:t xml:space="preserve"> achieve the appropriate level of</w:t>
      </w:r>
      <w:r w:rsidR="00DC58D9">
        <w:t xml:space="preserve"> protection for Australia. The risk management measures include </w:t>
      </w:r>
      <w:r w:rsidR="00DF29D7">
        <w:t xml:space="preserve">a pre-export phytosanitary inspection </w:t>
      </w:r>
      <w:r w:rsidR="00200B8D">
        <w:t xml:space="preserve">to be </w:t>
      </w:r>
      <w:r w:rsidR="00DF29D7">
        <w:t>undertaken by the exporting country to ensure that each consignment is free of identified quarantine pests</w:t>
      </w:r>
      <w:r w:rsidR="000A0E18">
        <w:t>. All consignments will be inspected on arrival in Australia to verify the absence of pests</w:t>
      </w:r>
      <w:r w:rsidR="00E52C58">
        <w:t xml:space="preserve">. If </w:t>
      </w:r>
      <w:r w:rsidR="00DF29D7">
        <w:t>consignments are</w:t>
      </w:r>
      <w:r w:rsidR="00E52C58">
        <w:t xml:space="preserve"> found to be infested, they are subject to appropriate remedial</w:t>
      </w:r>
      <w:r w:rsidR="00DF29D7">
        <w:t xml:space="preserve"> action.</w:t>
      </w:r>
    </w:p>
    <w:p w14:paraId="02AAE86E" w14:textId="76251C4C" w:rsidR="004B1E6A" w:rsidRPr="001D5C7A" w:rsidRDefault="004B1E6A" w:rsidP="004B1E6A">
      <w:r w:rsidRPr="001D5C7A">
        <w:t xml:space="preserve">Written submissions on the draft report were received from </w:t>
      </w:r>
      <w:r w:rsidR="00101ECD" w:rsidRPr="001D5C7A">
        <w:t>six</w:t>
      </w:r>
      <w:r w:rsidRPr="001D5C7A">
        <w:rPr>
          <w:color w:val="FF0000"/>
        </w:rPr>
        <w:t xml:space="preserve"> </w:t>
      </w:r>
      <w:r w:rsidRPr="001D5C7A">
        <w:t>stakeholders. The final report takes into account stakeholder comments on the draft report. The department has made a number of changes to the risk analysis following consideration of stakeholder comments on the draft report and subsequent review of the literature. These changes include:</w:t>
      </w:r>
    </w:p>
    <w:p w14:paraId="365086D5" w14:textId="38B0F647" w:rsidR="00AC3B02" w:rsidRDefault="00312DFC" w:rsidP="00492287">
      <w:pPr>
        <w:pStyle w:val="ListBullet"/>
      </w:pPr>
      <w:r w:rsidRPr="001D5C7A">
        <w:t>Revi</w:t>
      </w:r>
      <w:r w:rsidR="001D5C7A" w:rsidRPr="001D5C7A">
        <w:t>ew</w:t>
      </w:r>
      <w:r w:rsidR="000E2D3C">
        <w:t>ing</w:t>
      </w:r>
      <w:r w:rsidR="001D5C7A" w:rsidRPr="001D5C7A">
        <w:t xml:space="preserve"> the pest risk assessment for </w:t>
      </w:r>
      <w:r w:rsidR="001D5C7A" w:rsidRPr="001D5C7A">
        <w:rPr>
          <w:i/>
        </w:rPr>
        <w:t>Elsino</w:t>
      </w:r>
      <w:r w:rsidR="002257C6">
        <w:rPr>
          <w:i/>
        </w:rPr>
        <w:t>ë</w:t>
      </w:r>
      <w:r w:rsidR="001D5C7A" w:rsidRPr="001D5C7A">
        <w:rPr>
          <w:i/>
        </w:rPr>
        <w:t xml:space="preserve"> fawcettii</w:t>
      </w:r>
      <w:r w:rsidR="001D5C7A" w:rsidRPr="001D5C7A">
        <w:t xml:space="preserve">, including </w:t>
      </w:r>
      <w:r w:rsidR="00492287">
        <w:t xml:space="preserve">revising the likelihood of importation from ‘low’ to ‘moderate’, and the </w:t>
      </w:r>
      <w:r w:rsidR="001D5C7A">
        <w:t>addition of new references</w:t>
      </w:r>
      <w:r w:rsidR="001C2704">
        <w:t>.</w:t>
      </w:r>
    </w:p>
    <w:p w14:paraId="314DFAC7" w14:textId="706D15BD" w:rsidR="001D5C7A" w:rsidRDefault="00AC3B02" w:rsidP="00492287">
      <w:pPr>
        <w:pStyle w:val="ListBullet"/>
      </w:pPr>
      <w:r>
        <w:t xml:space="preserve">Updating the pest categorisation table to clarify the host association of </w:t>
      </w:r>
      <w:r w:rsidRPr="00AC3B02">
        <w:rPr>
          <w:i/>
        </w:rPr>
        <w:t>Homalodisca vitripennis</w:t>
      </w:r>
      <w:r>
        <w:t xml:space="preserve"> with citrus fruit and its potential to be imported in trade</w:t>
      </w:r>
      <w:r w:rsidR="007D5556">
        <w:t>.</w:t>
      </w:r>
    </w:p>
    <w:p w14:paraId="71A3659A" w14:textId="1E9438AC" w:rsidR="004B1E6A" w:rsidRPr="001D5C7A" w:rsidRDefault="00C23CB8" w:rsidP="00C23CB8">
      <w:pPr>
        <w:pStyle w:val="ListBullet"/>
      </w:pPr>
      <w:r>
        <w:t>M</w:t>
      </w:r>
      <w:r w:rsidRPr="00C23CB8">
        <w:t>inor corrections, rewording and editorial changes for consistency</w:t>
      </w:r>
      <w:r>
        <w:t xml:space="preserve"> and</w:t>
      </w:r>
      <w:r w:rsidRPr="00C23CB8">
        <w:t xml:space="preserve"> clarity</w:t>
      </w:r>
      <w:r w:rsidR="001D5C7A">
        <w:t>.</w:t>
      </w:r>
      <w:r w:rsidR="001D5C7A" w:rsidRPr="001D5C7A">
        <w:t xml:space="preserve"> </w:t>
      </w:r>
    </w:p>
    <w:p w14:paraId="1BB4DED5" w14:textId="1C11387D" w:rsidR="00C23CB8" w:rsidRPr="00C23CB8" w:rsidRDefault="00AC3B02" w:rsidP="00C23CB8">
      <w:pPr>
        <w:pStyle w:val="ListBullet"/>
      </w:pPr>
      <w:r>
        <w:t>T</w:t>
      </w:r>
      <w:r w:rsidR="00C23CB8" w:rsidRPr="00C23CB8">
        <w:t xml:space="preserve">he addition of Appendix B ‘Issues raised in stakeholder comments’, which summarises </w:t>
      </w:r>
      <w:r w:rsidR="001C1ECC">
        <w:t xml:space="preserve">the </w:t>
      </w:r>
      <w:r w:rsidR="00C23CB8" w:rsidRPr="00C23CB8">
        <w:t>key stakeholder comments and how they were considered in the final report</w:t>
      </w:r>
      <w:r w:rsidR="00492287">
        <w:t>.</w:t>
      </w:r>
      <w:r w:rsidR="00C23CB8" w:rsidRPr="00C23CB8">
        <w:t xml:space="preserve"> </w:t>
      </w:r>
    </w:p>
    <w:p w14:paraId="704F068E" w14:textId="7128ABC4" w:rsidR="00C96BE9" w:rsidRPr="00C96BE9" w:rsidRDefault="00C96BE9" w:rsidP="00A851CF"/>
    <w:p w14:paraId="22BB60CF" w14:textId="77777777" w:rsidR="00C96BE9" w:rsidRDefault="00C96BE9" w:rsidP="00A851CF">
      <w:pPr>
        <w:sectPr w:rsidR="00C96BE9" w:rsidSect="00A851CF">
          <w:headerReference w:type="even" r:id="rId28"/>
          <w:headerReference w:type="default" r:id="rId29"/>
          <w:pgSz w:w="11906" w:h="16838"/>
          <w:pgMar w:top="1418" w:right="1418" w:bottom="1418" w:left="1418" w:header="567" w:footer="283" w:gutter="0"/>
          <w:pgNumType w:fmt="lowerRoman"/>
          <w:cols w:space="708"/>
          <w:docGrid w:linePitch="360"/>
        </w:sectPr>
      </w:pPr>
    </w:p>
    <w:p w14:paraId="097DBC58" w14:textId="77777777" w:rsidR="00146544" w:rsidRDefault="00146544">
      <w:pPr>
        <w:pStyle w:val="Heading1"/>
        <w:numPr>
          <w:ilvl w:val="0"/>
          <w:numId w:val="14"/>
        </w:numPr>
      </w:pPr>
      <w:bookmarkStart w:id="35" w:name="_Toc501716476"/>
      <w:r>
        <w:t>Introduction</w:t>
      </w:r>
      <w:bookmarkEnd w:id="35"/>
    </w:p>
    <w:p w14:paraId="37AF38F6" w14:textId="77777777" w:rsidR="00146544" w:rsidRDefault="00146544">
      <w:pPr>
        <w:pStyle w:val="Heading2"/>
      </w:pPr>
      <w:bookmarkStart w:id="36" w:name="_Toc448757372"/>
      <w:bookmarkStart w:id="37" w:name="_Toc449960573"/>
      <w:bookmarkStart w:id="38" w:name="_Toc501716477"/>
      <w:r>
        <w:t>Australia’s biosecurity policy framework</w:t>
      </w:r>
      <w:bookmarkEnd w:id="36"/>
      <w:bookmarkEnd w:id="37"/>
      <w:bookmarkEnd w:id="38"/>
    </w:p>
    <w:p w14:paraId="582909A9" w14:textId="77777777" w:rsidR="00146544" w:rsidRDefault="00146544">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39647F7F" w14:textId="53C90859" w:rsidR="00146544" w:rsidRDefault="00146544">
      <w:r>
        <w:t>The risk analysis process is an important part of Australia’s biosecurity policies. It enables the Australian Government to formally consider the risks that could be associated with import</w:t>
      </w:r>
      <w:r w:rsidR="003B0DD5">
        <w:t>ing</w:t>
      </w:r>
      <w:r>
        <w:t xml:space="preserve"> new products into Australia. If the risks are found to exceed Australia’s appropriate level of protection (ALOP), risk management measures are proposed to reduce the risk</w:t>
      </w:r>
      <w:r w:rsidR="0064392E">
        <w:t>s to an acceptable level. I</w:t>
      </w:r>
      <w:r>
        <w:t xml:space="preserve">f </w:t>
      </w:r>
      <w:r w:rsidR="0064392E">
        <w:t xml:space="preserve">the </w:t>
      </w:r>
      <w:r>
        <w:t xml:space="preserve">risks </w:t>
      </w:r>
      <w:r w:rsidR="0064392E">
        <w:t xml:space="preserve">cannot be mitigated </w:t>
      </w:r>
      <w:r>
        <w:t xml:space="preserve">to an acceptable level, </w:t>
      </w:r>
      <w:r w:rsidR="008E651E" w:rsidRPr="008E651E">
        <w:t>the goods will not be imported into Australia until suitable measures are identified.</w:t>
      </w:r>
    </w:p>
    <w:p w14:paraId="5F7C0294" w14:textId="77777777" w:rsidR="00146544" w:rsidRDefault="003B0DD5">
      <w:r>
        <w:t>Successive Australian g</w:t>
      </w:r>
      <w:r w:rsidR="00146544">
        <w:t xml:space="preserve">overnments have maintained a stringent, but not a zero risk, approach to the management of biosecurity risks. This is expressed in terms of </w:t>
      </w:r>
      <w:r w:rsidR="007D594B">
        <w:t xml:space="preserve">the ALOP for </w:t>
      </w:r>
      <w:r w:rsidR="00146544">
        <w:t>Australia, whic</w:t>
      </w:r>
      <w:r>
        <w:t xml:space="preserve">h </w:t>
      </w:r>
      <w:r w:rsidR="00146544">
        <w:t xml:space="preserve">is </w:t>
      </w:r>
      <w:r w:rsidR="007D594B">
        <w:t xml:space="preserve">defined in the </w:t>
      </w:r>
      <w:r w:rsidR="007D594B" w:rsidRPr="007D594B">
        <w:rPr>
          <w:i/>
        </w:rPr>
        <w:t>Biosecurity Act 2015</w:t>
      </w:r>
      <w:r w:rsidR="00146544">
        <w:t xml:space="preserve"> as providing a high level of protection aimed at reducing risk to a very low level, but not to zero.</w:t>
      </w:r>
    </w:p>
    <w:p w14:paraId="337BC0A2" w14:textId="77777777" w:rsidR="00146544" w:rsidRDefault="00146544">
      <w:r>
        <w:t>Australia’s risk analyses are undertaken by the department using technical and scientific experts in relevant fields, and involve consultation with stakeholders at various stages during the process. The assessment may take the form of a</w:t>
      </w:r>
      <w:r w:rsidR="00814F1F">
        <w:t xml:space="preserve"> biosecurity </w:t>
      </w:r>
      <w:r>
        <w:t>import risk analysis (</w:t>
      </w:r>
      <w:r w:rsidR="00814F1F">
        <w:t>B</w:t>
      </w:r>
      <w:r>
        <w:t xml:space="preserve">IRA), a </w:t>
      </w:r>
      <w:r w:rsidR="00814F1F">
        <w:t>review of b</w:t>
      </w:r>
      <w:r w:rsidR="008E5092">
        <w:t>iosecurity import requirements</w:t>
      </w:r>
      <w:r>
        <w:t xml:space="preserve">, or </w:t>
      </w:r>
      <w:r w:rsidR="00FD4217">
        <w:t>other</w:t>
      </w:r>
      <w:r w:rsidR="00FD4217" w:rsidRPr="00FD4217">
        <w:t xml:space="preserve"> non-regulated risk analys</w:t>
      </w:r>
      <w:r w:rsidR="00FD4217">
        <w:t>es</w:t>
      </w:r>
      <w:r w:rsidR="00FD4217" w:rsidRPr="00FD4217">
        <w:t xml:space="preserve"> such as pest-specific assessments, weed risk assessments</w:t>
      </w:r>
      <w:r w:rsidR="00FD4217">
        <w:t xml:space="preserve"> and</w:t>
      </w:r>
      <w:r w:rsidR="00FD4217" w:rsidRPr="00FD4217">
        <w:t xml:space="preserve"> biological control agent assessments</w:t>
      </w:r>
      <w:r w:rsidR="00FD4217">
        <w:t>.</w:t>
      </w:r>
    </w:p>
    <w:p w14:paraId="2D99CAAA" w14:textId="77777777" w:rsidR="00146544" w:rsidRDefault="00146544">
      <w:r w:rsidRPr="001A6F7C">
        <w:t xml:space="preserve">Further information about Australia’s biosecurity framework is provided in the </w:t>
      </w:r>
      <w:r w:rsidR="001A6F7C" w:rsidRPr="001A6F7C">
        <w:rPr>
          <w:i/>
        </w:rPr>
        <w:t>Biosecurity Import Risk Analysis Guidelines 201</w:t>
      </w:r>
      <w:r w:rsidR="00FD4217">
        <w:rPr>
          <w:i/>
        </w:rPr>
        <w:t>6</w:t>
      </w:r>
      <w:r w:rsidR="001A6F7C" w:rsidRPr="001A6F7C">
        <w:t>, available</w:t>
      </w:r>
      <w:r w:rsidRPr="001A6F7C">
        <w:t xml:space="preserve"> on the</w:t>
      </w:r>
      <w:r w:rsidR="001A6F7C" w:rsidRPr="001A6F7C">
        <w:t xml:space="preserve"> </w:t>
      </w:r>
      <w:hyperlink r:id="rId30" w:history="1">
        <w:r w:rsidR="001A6F7C">
          <w:rPr>
            <w:rStyle w:val="Hyperlink"/>
          </w:rPr>
          <w:t>Department of Agriculture and Water Resources website</w:t>
        </w:r>
      </w:hyperlink>
      <w:r w:rsidRPr="001A6F7C">
        <w:t>.</w:t>
      </w:r>
    </w:p>
    <w:p w14:paraId="00009E00" w14:textId="77777777" w:rsidR="00146544" w:rsidRDefault="00146544">
      <w:pPr>
        <w:pStyle w:val="Heading2"/>
      </w:pPr>
      <w:bookmarkStart w:id="39" w:name="_Toc448757373"/>
      <w:bookmarkStart w:id="40" w:name="_Toc449960574"/>
      <w:bookmarkStart w:id="41" w:name="_Toc501716478"/>
      <w:r>
        <w:t xml:space="preserve">This </w:t>
      </w:r>
      <w:r w:rsidR="009F11D6">
        <w:t xml:space="preserve">review of biosecurity import </w:t>
      </w:r>
      <w:bookmarkEnd w:id="39"/>
      <w:bookmarkEnd w:id="40"/>
      <w:r w:rsidR="008E5092">
        <w:t>requirements</w:t>
      </w:r>
      <w:bookmarkEnd w:id="41"/>
    </w:p>
    <w:p w14:paraId="32BA08FE" w14:textId="77777777" w:rsidR="00146544" w:rsidRDefault="00146544">
      <w:pPr>
        <w:pStyle w:val="Heading3"/>
      </w:pPr>
      <w:r>
        <w:t>Background</w:t>
      </w:r>
    </w:p>
    <w:p w14:paraId="25F7CB72" w14:textId="62521FAA" w:rsidR="00146544" w:rsidRDefault="00146544">
      <w:r>
        <w:t>Australia finalised import conditions for fresh Tahitian limes (</w:t>
      </w:r>
      <w:r>
        <w:rPr>
          <w:i/>
        </w:rPr>
        <w:t>Citrus latifolia</w:t>
      </w:r>
      <w:r>
        <w:t>) from New Caledonia</w:t>
      </w:r>
      <w:r w:rsidR="00077E7B">
        <w:t xml:space="preserve"> in August 2006</w:t>
      </w:r>
      <w:r w:rsidR="009F11D6">
        <w:t>, following the release of an import risk analysis</w:t>
      </w:r>
      <w:r>
        <w:t xml:space="preserve"> in </w:t>
      </w:r>
      <w:r w:rsidR="0070514B">
        <w:t xml:space="preserve">May </w:t>
      </w:r>
      <w:r>
        <w:t>2006 (B</w:t>
      </w:r>
      <w:r w:rsidR="0057016A">
        <w:t>A</w:t>
      </w:r>
      <w:r>
        <w:t xml:space="preserve"> 2006a). </w:t>
      </w:r>
      <w:r w:rsidR="000E4D78">
        <w:t xml:space="preserve">At that time </w:t>
      </w:r>
      <w:r w:rsidR="00372AB9">
        <w:t xml:space="preserve">Australia already permitted the importation of fresh </w:t>
      </w:r>
      <w:r w:rsidR="009D0F3D">
        <w:t>Tahitian limes from Egypt, New Zealand, Spain and the U</w:t>
      </w:r>
      <w:r w:rsidR="008E651E">
        <w:t>SA</w:t>
      </w:r>
      <w:r w:rsidR="009D0F3D">
        <w:t>.</w:t>
      </w:r>
    </w:p>
    <w:p w14:paraId="2E44AD81" w14:textId="77777777" w:rsidR="00146544" w:rsidRDefault="00146544">
      <w:r>
        <w:t xml:space="preserve">Vanuatu </w:t>
      </w:r>
      <w:r w:rsidR="003B0DD5">
        <w:t xml:space="preserve">initially </w:t>
      </w:r>
      <w:r>
        <w:t>requested market access</w:t>
      </w:r>
      <w:r w:rsidR="003B0DD5">
        <w:t xml:space="preserve"> for Tahitian limes</w:t>
      </w:r>
      <w:r>
        <w:t xml:space="preserve"> in August 2006, </w:t>
      </w:r>
      <w:r w:rsidR="003B0DD5">
        <w:t xml:space="preserve">and </w:t>
      </w:r>
      <w:r>
        <w:t>lodg</w:t>
      </w:r>
      <w:r w:rsidR="003B0DD5">
        <w:t>ed</w:t>
      </w:r>
      <w:r>
        <w:t xml:space="preserve"> a formal submission in August 2007. Samoa </w:t>
      </w:r>
      <w:r w:rsidR="00C35C60">
        <w:t xml:space="preserve">also </w:t>
      </w:r>
      <w:r w:rsidR="0070514B">
        <w:t>informed</w:t>
      </w:r>
      <w:r>
        <w:t xml:space="preserve"> Australia in 2006 that citrus, including Tahitian limes, was a high priority for market access. Additional information was received in </w:t>
      </w:r>
      <w:r w:rsidR="0070514B">
        <w:t xml:space="preserve">a formal submission in </w:t>
      </w:r>
      <w:r>
        <w:t xml:space="preserve">March 2007, outlining </w:t>
      </w:r>
      <w:r w:rsidR="003B0DD5">
        <w:t>Samoa’s</w:t>
      </w:r>
      <w:r>
        <w:t xml:space="preserve"> production practices </w:t>
      </w:r>
      <w:r w:rsidR="009D0F3D">
        <w:t>and proposed export procedures.</w:t>
      </w:r>
    </w:p>
    <w:p w14:paraId="1BC10695" w14:textId="7208F881" w:rsidR="00146544" w:rsidRDefault="00146544">
      <w:r>
        <w:t xml:space="preserve">The Cook Islands, Niue and Tonga subsequently indicated an interest in exporting limes to Australia, and these countries have been included in the </w:t>
      </w:r>
      <w:r w:rsidR="008E5092">
        <w:t>review of biosecurity import requirements</w:t>
      </w:r>
      <w:r>
        <w:t>.</w:t>
      </w:r>
      <w:r w:rsidR="0070514B">
        <w:t xml:space="preserve"> Given </w:t>
      </w:r>
      <w:r w:rsidR="002D32A8">
        <w:t>that the</w:t>
      </w:r>
      <w:r w:rsidR="0070514B">
        <w:t xml:space="preserve"> Cook Islands, Niue, Samoa, Tonga and Vanuatu</w:t>
      </w:r>
      <w:r w:rsidR="002D32A8">
        <w:t xml:space="preserve"> have a similar pest status</w:t>
      </w:r>
      <w:r w:rsidR="004369A2">
        <w:t xml:space="preserve"> the review </w:t>
      </w:r>
      <w:r w:rsidR="008E651E">
        <w:t>has assessed</w:t>
      </w:r>
      <w:r w:rsidR="004369A2">
        <w:t xml:space="preserve"> all five countries</w:t>
      </w:r>
      <w:r w:rsidR="000E4D78">
        <w:t xml:space="preserve"> simultaneously</w:t>
      </w:r>
      <w:r w:rsidR="004369A2">
        <w:t>.</w:t>
      </w:r>
    </w:p>
    <w:p w14:paraId="4654764D" w14:textId="0359A791" w:rsidR="00F77E52" w:rsidRDefault="008E5092" w:rsidP="00F77E52">
      <w:r>
        <w:t>T</w:t>
      </w:r>
      <w:r w:rsidR="00146544">
        <w:t xml:space="preserve">he department announced the commencement of this </w:t>
      </w:r>
      <w:r>
        <w:t>review of biosecurity import requirements</w:t>
      </w:r>
      <w:r w:rsidRPr="008E5092">
        <w:t xml:space="preserve"> </w:t>
      </w:r>
      <w:r>
        <w:t xml:space="preserve">on </w:t>
      </w:r>
      <w:r w:rsidRPr="009F0AF3">
        <w:t>15</w:t>
      </w:r>
      <w:r>
        <w:t xml:space="preserve"> </w:t>
      </w:r>
      <w:r w:rsidRPr="00540E25">
        <w:t>April 2</w:t>
      </w:r>
      <w:r>
        <w:t>016</w:t>
      </w:r>
      <w:r w:rsidR="00146544">
        <w:t>.</w:t>
      </w:r>
      <w:r w:rsidR="00217896">
        <w:t xml:space="preserve"> </w:t>
      </w:r>
      <w:r w:rsidR="00E722A3">
        <w:t>A</w:t>
      </w:r>
      <w:r w:rsidR="00F77E52">
        <w:t xml:space="preserve">n officer from the department visited Tahitian lime production areas in Vanuatu </w:t>
      </w:r>
      <w:r w:rsidR="00F77E52" w:rsidRPr="00A736A3">
        <w:t xml:space="preserve">to verify pest </w:t>
      </w:r>
      <w:r w:rsidR="00070CD4">
        <w:t>prevalence</w:t>
      </w:r>
      <w:r w:rsidR="00E722A3">
        <w:t xml:space="preserve"> in June 2016</w:t>
      </w:r>
      <w:r w:rsidR="00070CD4">
        <w:t>. P</w:t>
      </w:r>
      <w:r w:rsidR="00F77E52">
        <w:t xml:space="preserve">est management practices, harvesting methods, </w:t>
      </w:r>
      <w:r w:rsidR="00F77E52" w:rsidRPr="00A736A3">
        <w:t xml:space="preserve">processing and packing procedures for </w:t>
      </w:r>
      <w:r w:rsidR="00F77E52">
        <w:t>commercially produced limes</w:t>
      </w:r>
      <w:r w:rsidR="00070CD4">
        <w:t xml:space="preserve"> were also observed and discussed</w:t>
      </w:r>
      <w:r w:rsidR="00F77E52" w:rsidRPr="00A736A3">
        <w:t>.</w:t>
      </w:r>
    </w:p>
    <w:p w14:paraId="4EF4328A" w14:textId="10B1C3E6" w:rsidR="00217896" w:rsidRDefault="00217896" w:rsidP="00F77E52">
      <w:r>
        <w:t>The draft report was released for public comment on 6 June 2017.</w:t>
      </w:r>
    </w:p>
    <w:p w14:paraId="703F48D7" w14:textId="77777777" w:rsidR="00146544" w:rsidRDefault="00146544">
      <w:pPr>
        <w:pStyle w:val="Heading3"/>
      </w:pPr>
      <w:r>
        <w:t>Description of Tahitian limes</w:t>
      </w:r>
    </w:p>
    <w:p w14:paraId="46DA4F13" w14:textId="77777777" w:rsidR="00146544" w:rsidRDefault="00146544">
      <w:r>
        <w:rPr>
          <w:i/>
        </w:rPr>
        <w:t>Citrus latifolia</w:t>
      </w:r>
      <w:r>
        <w:t xml:space="preserve"> (family Rutaceae) has a number of common names including Tahitian lime, Persian lime and Bearss lime. The term Tahitian lime is used in this report to refer to </w:t>
      </w:r>
      <w:r>
        <w:rPr>
          <w:i/>
        </w:rPr>
        <w:t>Citrus latifolia</w:t>
      </w:r>
      <w:r w:rsidR="00B045B2">
        <w:t>.</w:t>
      </w:r>
    </w:p>
    <w:p w14:paraId="40186631" w14:textId="77777777" w:rsidR="00146544" w:rsidRDefault="00146544">
      <w:r>
        <w:t>The origins of the Tahitian lime are unclear, but it is likely to be a hybrid of West Indian lime (</w:t>
      </w:r>
      <w:r>
        <w:rPr>
          <w:i/>
        </w:rPr>
        <w:t>Citrus aurantifolia</w:t>
      </w:r>
      <w:r>
        <w:t>) and citron (</w:t>
      </w:r>
      <w:r>
        <w:rPr>
          <w:i/>
        </w:rPr>
        <w:t>Citrus medica</w:t>
      </w:r>
      <w:r>
        <w:t xml:space="preserve">) (Morton 1987). Previously it was considered to be a cultivar or subspecies of </w:t>
      </w:r>
      <w:r>
        <w:rPr>
          <w:i/>
        </w:rPr>
        <w:t>Citrus aurantifolia</w:t>
      </w:r>
      <w:r>
        <w:t xml:space="preserve">, and was not recognised as a separate species until 1951 (Grayum </w:t>
      </w:r>
      <w:r>
        <w:rPr>
          <w:i/>
        </w:rPr>
        <w:t>et al</w:t>
      </w:r>
      <w:r>
        <w:t>. 2012). It was probably introduced to the Mediterranean region from Persia (Iran) and later brought to Brazil by Portuguese traders. It was subsequently introduced to Australia from Brazil in 1824 (Morton 1987).</w:t>
      </w:r>
      <w:r w:rsidR="00781EF0">
        <w:t xml:space="preserve"> Tahitian lime</w:t>
      </w:r>
      <w:r w:rsidR="00386AFB">
        <w:t xml:space="preserve"> wa</w:t>
      </w:r>
      <w:r w:rsidR="00781EF0">
        <w:t>s introduced to California</w:t>
      </w:r>
      <w:r w:rsidR="003B7A73">
        <w:t xml:space="preserve"> from Tahiti (French Polynesia)</w:t>
      </w:r>
      <w:r w:rsidR="00781EF0">
        <w:t xml:space="preserve"> </w:t>
      </w:r>
      <w:r w:rsidR="003B7A73">
        <w:t>around 1850</w:t>
      </w:r>
      <w:r w:rsidR="008E5D05">
        <w:t xml:space="preserve">, purportedly </w:t>
      </w:r>
      <w:r w:rsidR="002B1576">
        <w:t xml:space="preserve">grown </w:t>
      </w:r>
      <w:r w:rsidR="008E5D05">
        <w:t xml:space="preserve">from seeds extracted </w:t>
      </w:r>
      <w:r w:rsidR="002B1576">
        <w:t>from</w:t>
      </w:r>
      <w:r w:rsidR="008E5D05">
        <w:t xml:space="preserve"> imported fruit (Barnidge-McIntyre 2010)</w:t>
      </w:r>
      <w:r w:rsidR="003B7A73">
        <w:t>, hence the common</w:t>
      </w:r>
      <w:r w:rsidR="00781EF0">
        <w:t xml:space="preserve"> name</w:t>
      </w:r>
      <w:r w:rsidR="003B7A73">
        <w:t>.</w:t>
      </w:r>
    </w:p>
    <w:p w14:paraId="03153AEC" w14:textId="7694CB65" w:rsidR="00146544" w:rsidRDefault="00146544">
      <w:r>
        <w:t>The Tahitian lime tree is medium to large in size, growing up to six metres</w:t>
      </w:r>
      <w:r w:rsidR="008E651E">
        <w:t xml:space="preserve"> in height</w:t>
      </w:r>
      <w:r>
        <w:t xml:space="preserve">, with nearly thornless, widespread, drooping branches (Morton 1987). The fruit </w:t>
      </w:r>
      <w:r w:rsidR="00EB3BA4">
        <w:t xml:space="preserve">(Figure 1) </w:t>
      </w:r>
      <w:r>
        <w:t>is typically 5.5 to 8</w:t>
      </w:r>
      <w:r w:rsidR="008E5092">
        <w:t>.0</w:t>
      </w:r>
      <w:r>
        <w:t xml:space="preserve"> centimetres long and 5</w:t>
      </w:r>
      <w:r w:rsidR="008E5092">
        <w:t>.0</w:t>
      </w:r>
      <w:r>
        <w:t xml:space="preserve"> to 7.5 centimetres wide (Grayum </w:t>
      </w:r>
      <w:r w:rsidRPr="008E5092">
        <w:rPr>
          <w:i/>
        </w:rPr>
        <w:t>et al</w:t>
      </w:r>
      <w:r>
        <w:t>. 2012), and oval, obovate, oblong or short-elliptical in shape. It is usually rounded at the base, and the apex is rounded with a short nipple (Morton 1987). The fruit is usually seedless, only rarely having one or a few seeds. Tahitian lime flowers have no viable pollen (Morton 1987).</w:t>
      </w:r>
    </w:p>
    <w:p w14:paraId="60823065" w14:textId="76D65580" w:rsidR="00EB3BA4" w:rsidRDefault="00EB3BA4" w:rsidP="00EB3BA4">
      <w:pPr>
        <w:pStyle w:val="Caption"/>
      </w:pPr>
      <w:bookmarkStart w:id="42" w:name="_Toc462906060"/>
      <w:bookmarkStart w:id="43" w:name="_Toc474223329"/>
      <w:bookmarkStart w:id="44" w:name="_Toc501716544"/>
      <w:r>
        <w:t>Figure 1 Tahitian limes packed for export, Port Vila, Vanuatu</w:t>
      </w:r>
      <w:bookmarkEnd w:id="42"/>
      <w:bookmarkEnd w:id="43"/>
      <w:bookmarkEnd w:id="44"/>
    </w:p>
    <w:p w14:paraId="7D878987" w14:textId="77777777" w:rsidR="00EB3BA4" w:rsidRDefault="00EB3BA4">
      <w:r>
        <w:rPr>
          <w:noProof/>
          <w:lang w:eastAsia="en-AU"/>
        </w:rPr>
        <w:drawing>
          <wp:inline distT="0" distB="0" distL="0" distR="0" wp14:anchorId="2B6527AE" wp14:editId="676B05B4">
            <wp:extent cx="3599078" cy="2699309"/>
            <wp:effectExtent l="19050" t="19050" r="20955" b="25400"/>
            <wp:docPr id="1" name="Picture 1" descr="Box of Tahitian lime fruit in Vanuatu" title="Tahitian limes packed f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311444.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641147" cy="27308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B3F408" w14:textId="77777777" w:rsidR="00146544" w:rsidRDefault="00702F6F">
      <w:r>
        <w:t>The fruit peel colour is vivid green to pale yellow in colour, but the p</w:t>
      </w:r>
      <w:r w:rsidR="00146544">
        <w:t xml:space="preserve">eel colour is not a good indicator of fruit maturity. </w:t>
      </w:r>
      <w:r>
        <w:t>There is little quality difference between light green and yellow limes, although c</w:t>
      </w:r>
      <w:r w:rsidR="00146544">
        <w:t xml:space="preserve">onsumer preference in many countries is for green lime fruit (Pranamornkith 2009). Therefore, </w:t>
      </w:r>
      <w:r>
        <w:t>limes</w:t>
      </w:r>
      <w:r w:rsidR="00146544">
        <w:t xml:space="preserve"> are usually harvested when they are fully developed, but the peel is still green in colour (Pranamornkith 2009). The fruit do not continue to ripen off the tree after harvest (non–climacteric), but the peel gradually loses its green colour in storage due to chlorophyll degradation (Pranamornkith 2009)</w:t>
      </w:r>
      <w:r w:rsidR="00333A95">
        <w:t>, eventually turning yellow</w:t>
      </w:r>
      <w:r w:rsidR="00146544">
        <w:t>.</w:t>
      </w:r>
    </w:p>
    <w:p w14:paraId="39A5B7A4" w14:textId="77777777" w:rsidR="00146544" w:rsidRDefault="00146544">
      <w:pPr>
        <w:pStyle w:val="Heading3"/>
      </w:pPr>
      <w:r>
        <w:t>Scope</w:t>
      </w:r>
    </w:p>
    <w:p w14:paraId="2582D52A" w14:textId="285D5359" w:rsidR="00146544" w:rsidRDefault="00146544">
      <w:r>
        <w:t xml:space="preserve">The scope of this risk analysis is to consider the biosecurity risks that may be associated with </w:t>
      </w:r>
      <w:r w:rsidR="002D32A8">
        <w:t>the importation of commercially-</w:t>
      </w:r>
      <w:r>
        <w:t>produced fresh Tahitian lime (</w:t>
      </w:r>
      <w:r>
        <w:rPr>
          <w:i/>
        </w:rPr>
        <w:t>Citrus latifolia</w:t>
      </w:r>
      <w:r>
        <w:t xml:space="preserve">) fruit from the Cook Islands, Niue, Samoa, Tonga and Vanuatu for human consumption. The assessment </w:t>
      </w:r>
      <w:r w:rsidR="008E651E">
        <w:t>doe</w:t>
      </w:r>
      <w:r>
        <w:t xml:space="preserve">s not consider other </w:t>
      </w:r>
      <w:r w:rsidR="00702F6F">
        <w:t>species</w:t>
      </w:r>
      <w:r>
        <w:t xml:space="preserve"> of limes (</w:t>
      </w:r>
      <w:r w:rsidR="002B1576">
        <w:t>West Indian</w:t>
      </w:r>
      <w:r>
        <w:t xml:space="preserve"> limes, kaffir limes, rangpur limes) or other citrus species. In this report, Tahitian limes are defined as individual lime fruit, which may include a small amount of attached fruit stalk</w:t>
      </w:r>
      <w:r w:rsidR="00333A95">
        <w:t xml:space="preserve"> and caly</w:t>
      </w:r>
      <w:r w:rsidR="00FF170E">
        <w:t>x</w:t>
      </w:r>
      <w:r>
        <w:t>, but not other plant parts such as leaves.</w:t>
      </w:r>
    </w:p>
    <w:p w14:paraId="273863C8" w14:textId="77777777" w:rsidR="00146544" w:rsidRDefault="00146544">
      <w:pPr>
        <w:pStyle w:val="Heading3"/>
      </w:pPr>
      <w:r>
        <w:t>Existing policy</w:t>
      </w:r>
    </w:p>
    <w:p w14:paraId="3958B9FC" w14:textId="77777777" w:rsidR="00146544" w:rsidRDefault="00146544">
      <w:pPr>
        <w:pStyle w:val="Heading4"/>
      </w:pPr>
      <w:r>
        <w:t>International policy</w:t>
      </w:r>
    </w:p>
    <w:p w14:paraId="0F1EE53A" w14:textId="5161C92B" w:rsidR="00146544" w:rsidRDefault="008E651E">
      <w:r>
        <w:t>In addition to</w:t>
      </w:r>
      <w:r w:rsidR="00146544">
        <w:t xml:space="preserve"> the importation of fresh Tahitian lime fruit</w:t>
      </w:r>
      <w:r w:rsidR="00C4319E">
        <w:t xml:space="preserve"> noted above (Section 1.2.1)</w:t>
      </w:r>
      <w:r>
        <w:t xml:space="preserve">, </w:t>
      </w:r>
      <w:r w:rsidR="00146544">
        <w:t>Australia also allows the importation of fresh West Indian limes (</w:t>
      </w:r>
      <w:r w:rsidR="00146544">
        <w:rPr>
          <w:i/>
        </w:rPr>
        <w:t>Citrus aurantifolia</w:t>
      </w:r>
      <w:r w:rsidR="00C4319E">
        <w:t xml:space="preserve">; </w:t>
      </w:r>
      <w:r w:rsidR="00146544">
        <w:t>also known as key limes</w:t>
      </w:r>
      <w:r w:rsidR="00C506D1">
        <w:t xml:space="preserve"> or Mexican limes</w:t>
      </w:r>
      <w:r w:rsidR="00146544">
        <w:t>), kaffir limes (</w:t>
      </w:r>
      <w:r w:rsidR="008E51D5">
        <w:rPr>
          <w:i/>
        </w:rPr>
        <w:t>Citrus hyst</w:t>
      </w:r>
      <w:r w:rsidR="00146544">
        <w:rPr>
          <w:i/>
        </w:rPr>
        <w:t>rix</w:t>
      </w:r>
      <w:r w:rsidR="00146544">
        <w:t>) and rangpur limes (</w:t>
      </w:r>
      <w:r w:rsidR="00146544">
        <w:rPr>
          <w:i/>
        </w:rPr>
        <w:t>Citrus limonia</w:t>
      </w:r>
      <w:r w:rsidR="00146544">
        <w:t>) from New Zealand, Spain and the U</w:t>
      </w:r>
      <w:r>
        <w:t>SA</w:t>
      </w:r>
      <w:r w:rsidR="00146544">
        <w:t>.</w:t>
      </w:r>
    </w:p>
    <w:p w14:paraId="2F4C891C" w14:textId="77777777" w:rsidR="00146544" w:rsidRDefault="00146544">
      <w:r>
        <w:t xml:space="preserve">The import requirements for fresh limes for human consumption </w:t>
      </w:r>
      <w:r w:rsidR="00DA3AB2">
        <w:t xml:space="preserve">from these countries </w:t>
      </w:r>
      <w:r>
        <w:t xml:space="preserve">can be found in the department’s </w:t>
      </w:r>
      <w:r w:rsidR="00E972B3">
        <w:t>Biosecurity I</w:t>
      </w:r>
      <w:r>
        <w:t xml:space="preserve">mport </w:t>
      </w:r>
      <w:r w:rsidR="00E972B3">
        <w:t>C</w:t>
      </w:r>
      <w:r>
        <w:t xml:space="preserve">onditions </w:t>
      </w:r>
      <w:r w:rsidR="00BE0076">
        <w:t xml:space="preserve">(BICON) </w:t>
      </w:r>
      <w:r>
        <w:t>database</w:t>
      </w:r>
      <w:r w:rsidR="00BE0076">
        <w:t xml:space="preserve"> on the</w:t>
      </w:r>
      <w:r>
        <w:t xml:space="preserve"> </w:t>
      </w:r>
      <w:hyperlink r:id="rId32" w:history="1">
        <w:r w:rsidR="00BE0076">
          <w:rPr>
            <w:rStyle w:val="Hyperlink"/>
          </w:rPr>
          <w:t>department's website</w:t>
        </w:r>
      </w:hyperlink>
      <w:r>
        <w:t>.</w:t>
      </w:r>
    </w:p>
    <w:p w14:paraId="2634C300" w14:textId="77777777" w:rsidR="00183B71" w:rsidRPr="00183B71" w:rsidRDefault="00183B71" w:rsidP="00183B71">
      <w:r w:rsidRPr="00183B71">
        <w:t>The department has considered all the pests previously identified in the existing policies and, where relevant, the information in those assessments has been taken into account in this risk analysis. The department has also reviewed the latest literature to ensure that information in previous assessments is still valid.</w:t>
      </w:r>
    </w:p>
    <w:p w14:paraId="5129A9F2" w14:textId="60C30BC7" w:rsidR="00146544" w:rsidRDefault="00146544">
      <w:r>
        <w:t>This assessment considers pests associated with Tahitian lime fruit</w:t>
      </w:r>
      <w:r w:rsidR="002D32A8">
        <w:t xml:space="preserve"> grown</w:t>
      </w:r>
      <w:r>
        <w:t xml:space="preserve"> in the Cook Islands, Niue, Samoa, Tonga and Vanuatu.</w:t>
      </w:r>
    </w:p>
    <w:p w14:paraId="466985AD" w14:textId="77777777" w:rsidR="00146544" w:rsidRDefault="00146544">
      <w:pPr>
        <w:pStyle w:val="Heading4"/>
      </w:pPr>
      <w:r>
        <w:t>Domestic arrangements</w:t>
      </w:r>
    </w:p>
    <w:p w14:paraId="593A12BD" w14:textId="77777777" w:rsidR="00146544" w:rsidRDefault="00146544">
      <w:r>
        <w:t>The Commonwealth Government is responsible for regulating the movement of plants and plant products into and out of Australia. However, the state and territory governments are responsible for plant health controls within their individual jurisdiction</w:t>
      </w:r>
      <w:r w:rsidR="008E651E">
        <w:t>s</w:t>
      </w:r>
      <w:r>
        <w:t>. Legislation relating to resource management or plant health may be used by state and territory government agencies to control interstate movement of plants and their products. Once plant and plant products have been cleared by Australian biosecurity officers, they may be subject to interstate movement conditions. It is the importer’s responsibility to identify, and ensure compliance with all requirements.</w:t>
      </w:r>
    </w:p>
    <w:p w14:paraId="23EDD526" w14:textId="77777777" w:rsidR="00146544" w:rsidRDefault="00146544">
      <w:pPr>
        <w:pStyle w:val="Heading3"/>
      </w:pPr>
      <w:r>
        <w:t>Contaminating pests</w:t>
      </w:r>
    </w:p>
    <w:p w14:paraId="7616C946" w14:textId="557393C2" w:rsidR="00146544" w:rsidRDefault="00146544">
      <w:r>
        <w:t>This report assesses pests with a known association with Tahitian lime fruit. However, other organisms may unintentionally be imported with the limes. These organisms are considered to be contaminating pests that could pose sanitary and phytosanitary risks</w:t>
      </w:r>
      <w:r w:rsidR="00BE0076">
        <w:t xml:space="preserve">. </w:t>
      </w:r>
      <w:r w:rsidR="00BE0076" w:rsidRPr="00BE0076">
        <w:t>These risks are identified and addressed using existing operational procedures</w:t>
      </w:r>
      <w:r w:rsidR="002934C7">
        <w:t>, which</w:t>
      </w:r>
      <w:r w:rsidR="00BE0076" w:rsidRPr="00BE0076">
        <w:t xml:space="preserve"> require</w:t>
      </w:r>
      <w:r w:rsidR="002934C7">
        <w:t>s</w:t>
      </w:r>
      <w:r w:rsidR="00BE0076" w:rsidRPr="00BE0076">
        <w:t xml:space="preserve"> a 600 unit inspection of all consignments, or equivalent</w:t>
      </w:r>
      <w:r w:rsidR="00FF170E">
        <w:t xml:space="preserve"> measures</w:t>
      </w:r>
      <w:r w:rsidR="00BE0076" w:rsidRPr="00BE0076">
        <w:t xml:space="preserve">. The department will investigate if any pest </w:t>
      </w:r>
      <w:r w:rsidR="002D32A8">
        <w:t xml:space="preserve">detected in an imported consignment is of </w:t>
      </w:r>
      <w:r w:rsidR="00BE0076" w:rsidRPr="00BE0076">
        <w:t>quarantine concern to Australia and require</w:t>
      </w:r>
      <w:r w:rsidR="002D32A8">
        <w:t>s</w:t>
      </w:r>
      <w:r w:rsidR="00BE0076" w:rsidRPr="00BE0076">
        <w:t xml:space="preserve"> remedial action.</w:t>
      </w:r>
    </w:p>
    <w:p w14:paraId="633484A7" w14:textId="77777777" w:rsidR="00146544" w:rsidRDefault="00146544">
      <w:pPr>
        <w:pStyle w:val="Heading3"/>
      </w:pPr>
      <w:r>
        <w:t>Consultation</w:t>
      </w:r>
    </w:p>
    <w:p w14:paraId="70D1EF2E" w14:textId="77777777" w:rsidR="00146544" w:rsidRDefault="00146544">
      <w:r>
        <w:t xml:space="preserve">The department notified stakeholders </w:t>
      </w:r>
      <w:r w:rsidR="002B1576">
        <w:t xml:space="preserve">on 15 April 2016 </w:t>
      </w:r>
      <w:r>
        <w:t>in Biosecurity Advice 2016/</w:t>
      </w:r>
      <w:r w:rsidR="0054796C">
        <w:t>12</w:t>
      </w:r>
      <w:r>
        <w:t xml:space="preserve"> of the formal commencement of a </w:t>
      </w:r>
      <w:r w:rsidR="00702F6F">
        <w:t>review of biosecurity import requirements</w:t>
      </w:r>
      <w:r>
        <w:t xml:space="preserve"> </w:t>
      </w:r>
      <w:r w:rsidR="00702F6F">
        <w:t xml:space="preserve">for </w:t>
      </w:r>
      <w:r>
        <w:t>fresh Tahitian lime fruit from the Cook Islands, Niue, Samoa, Tonga and Vanuatu.</w:t>
      </w:r>
    </w:p>
    <w:p w14:paraId="40D1A2DC" w14:textId="62BC8522" w:rsidR="00146544" w:rsidRDefault="00146544">
      <w:r>
        <w:t xml:space="preserve">A pest categorisation list was provided to the state and territory </w:t>
      </w:r>
      <w:r w:rsidR="000E4D78">
        <w:t>government</w:t>
      </w:r>
      <w:r>
        <w:t xml:space="preserve">s </w:t>
      </w:r>
      <w:r w:rsidR="00A616E1">
        <w:t xml:space="preserve">prior to the formal release of the draft report to ensure </w:t>
      </w:r>
      <w:r w:rsidR="00B7657F">
        <w:t xml:space="preserve">that any pests regulated by states and territories </w:t>
      </w:r>
      <w:r w:rsidR="00A616E1">
        <w:t>were identified</w:t>
      </w:r>
      <w:r w:rsidR="00B7657F">
        <w:t xml:space="preserve"> and considered accordingly</w:t>
      </w:r>
      <w:r>
        <w:t>.</w:t>
      </w:r>
      <w:r w:rsidR="00365A1D">
        <w:t xml:space="preserve"> </w:t>
      </w:r>
      <w:r w:rsidR="00B7657F">
        <w:t xml:space="preserve">The department consulted with the relevant state and territory governments in Australia and the NPPOs of the exporting countries during the preparation of the draft report, which </w:t>
      </w:r>
      <w:r w:rsidR="00365A1D">
        <w:t>was released on 6 June 2017</w:t>
      </w:r>
      <w:r w:rsidR="00B7657F">
        <w:t xml:space="preserve"> for a 60 day public consultation period.</w:t>
      </w:r>
      <w:r w:rsidR="00F01F92">
        <w:t xml:space="preserve"> Further consultation</w:t>
      </w:r>
      <w:r w:rsidR="004049D6">
        <w:t xml:space="preserve"> with the states and territories, NPPOs and the Australian citrus industry was undertaken during and after the stakeholder comment period.</w:t>
      </w:r>
      <w:r w:rsidR="00F01F92">
        <w:t xml:space="preserve"> </w:t>
      </w:r>
    </w:p>
    <w:p w14:paraId="62A14EAA" w14:textId="77777777" w:rsidR="00242B68" w:rsidRDefault="00242B68" w:rsidP="00D271BA"/>
    <w:p w14:paraId="6153B881" w14:textId="77777777" w:rsidR="00242B68" w:rsidRDefault="00242B68">
      <w:pPr>
        <w:pStyle w:val="Heading1"/>
        <w:sectPr w:rsidR="00242B68" w:rsidSect="00A851CF">
          <w:headerReference w:type="even" r:id="rId33"/>
          <w:headerReference w:type="default" r:id="rId34"/>
          <w:pgSz w:w="11906" w:h="16838"/>
          <w:pgMar w:top="1418" w:right="1418" w:bottom="1418" w:left="1418" w:header="567" w:footer="283" w:gutter="0"/>
          <w:pgNumType w:start="1"/>
          <w:cols w:space="708"/>
          <w:docGrid w:linePitch="360"/>
        </w:sectPr>
      </w:pPr>
    </w:p>
    <w:p w14:paraId="63DA2A84" w14:textId="77777777" w:rsidR="00146544" w:rsidRDefault="00146544">
      <w:pPr>
        <w:pStyle w:val="Heading1"/>
      </w:pPr>
      <w:bookmarkStart w:id="45" w:name="_Toc501716479"/>
      <w:r>
        <w:t>Method for pest risk analysis</w:t>
      </w:r>
      <w:bookmarkEnd w:id="45"/>
    </w:p>
    <w:p w14:paraId="439DFB3F" w14:textId="1A3137D3" w:rsidR="00146544" w:rsidRDefault="00146544">
      <w:r>
        <w:t>This chapter sets out the method used for the pest risk analysis (PRA) in this report. The department has conducted t</w:t>
      </w:r>
      <w:r w:rsidR="004E1F4E">
        <w:t>his PRA in accordance with the international s</w:t>
      </w:r>
      <w:r>
        <w:t xml:space="preserve">tandards for </w:t>
      </w:r>
      <w:r w:rsidR="004E1F4E">
        <w:t>p</w:t>
      </w:r>
      <w:r>
        <w:t xml:space="preserve">hytosanitary </w:t>
      </w:r>
      <w:r w:rsidR="004E1F4E">
        <w:t>m</w:t>
      </w:r>
      <w:r>
        <w:t xml:space="preserve">easures (ISPM), including ISPM 2: </w:t>
      </w:r>
      <w:r>
        <w:rPr>
          <w:i/>
        </w:rPr>
        <w:t>Framework for pest risk analysis</w:t>
      </w:r>
      <w:r>
        <w:t xml:space="preserve"> (FAO 2007) and ISPM 11: </w:t>
      </w:r>
      <w:r>
        <w:rPr>
          <w:i/>
        </w:rPr>
        <w:t>Pest risk analysis for quarantine pests</w:t>
      </w:r>
      <w:r>
        <w:t xml:space="preserve"> (FAO 2013)</w:t>
      </w:r>
      <w:r w:rsidR="004E1F4E">
        <w:t>. The ISPMs have been developed under the International Plant Protection Convention (IPPC) (FAO 20</w:t>
      </w:r>
      <w:r w:rsidR="009D43CA">
        <w:t>11</w:t>
      </w:r>
      <w:r w:rsidR="004E1F4E">
        <w:t>), which is recognised as the standard setting organisation for matters of plant health in t</w:t>
      </w:r>
      <w:r w:rsidR="00E15219">
        <w:t>he SPS Agreemen</w:t>
      </w:r>
      <w:r w:rsidR="004E1F4E">
        <w:t>t (WTO 1995).</w:t>
      </w:r>
    </w:p>
    <w:p w14:paraId="1EBC6BF1" w14:textId="77777777" w:rsidR="00146544" w:rsidRDefault="00146544">
      <w:r>
        <w:t>A PRA is ‘the process of evaluating biological or other scientific and economic evidence to determine whether an organism is a pest, whether it should be regulated, and the strength of any phytosanitary measures to be taken against it’ (</w:t>
      </w:r>
      <w:r w:rsidR="00CC1E5B">
        <w:t>FAO 2016</w:t>
      </w:r>
      <w:r>
        <w:t>). A pest is ‘any species, strain or biotype of plant, animal, or pathogenic agent injurious to plants or plant products’ (</w:t>
      </w:r>
      <w:r w:rsidR="00CC1E5B">
        <w:t>FAO 2016</w:t>
      </w:r>
      <w:r>
        <w:t>).</w:t>
      </w:r>
      <w:r w:rsidR="00183B71" w:rsidRPr="00183B71">
        <w:t xml:space="preserve"> This definition is also applied in the </w:t>
      </w:r>
      <w:r w:rsidR="00183B71" w:rsidRPr="00183B71">
        <w:rPr>
          <w:i/>
        </w:rPr>
        <w:t>Biosecurity Act 2015</w:t>
      </w:r>
      <w:r w:rsidR="00183B71" w:rsidRPr="00183B71">
        <w:t>.</w:t>
      </w:r>
    </w:p>
    <w:p w14:paraId="3D85BE0A" w14:textId="680DA85E" w:rsidR="00146544" w:rsidRDefault="00A616E1">
      <w:r>
        <w:t>Biosecurity</w:t>
      </w:r>
      <w:r w:rsidR="00146544">
        <w:t xml:space="preserve"> risk consists of two major components: the </w:t>
      </w:r>
      <w:r w:rsidR="00B013EE">
        <w:t>likelihood</w:t>
      </w:r>
      <w:r w:rsidR="00146544">
        <w:t xml:space="preserve"> of a pest entering, establishing and spreading in Australia from imports</w:t>
      </w:r>
      <w:r w:rsidR="00AB3F6E">
        <w:t>,</w:t>
      </w:r>
      <w:r w:rsidR="00146544">
        <w:t xml:space="preserve"> and the consequences should this happen. These two components are combined to give an overall estimate of the risk.</w:t>
      </w:r>
    </w:p>
    <w:p w14:paraId="4ED85608" w14:textId="77777777" w:rsidR="00146544" w:rsidRDefault="00146544">
      <w:r>
        <w:t xml:space="preserve">Unrestricted risk is estimated </w:t>
      </w:r>
      <w:r w:rsidR="00AB3F6E">
        <w:t xml:space="preserve">by </w:t>
      </w:r>
      <w:r>
        <w:t xml:space="preserve">taking into account the existing commercial production practices of the exporting country and </w:t>
      </w:r>
      <w:r w:rsidR="00AB3F6E">
        <w:t xml:space="preserve">on the basis </w:t>
      </w:r>
      <w:r>
        <w:t>that, on arrival in Australia, the department will verify that the consignment received is as described on the commercial documents and its integrity has been maintained.</w:t>
      </w:r>
    </w:p>
    <w:p w14:paraId="5C6946EC" w14:textId="77777777" w:rsidR="00146544" w:rsidRDefault="00146544">
      <w:r>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sidR="00CC1E5B">
        <w:t>FAO 2016</w:t>
      </w:r>
      <w:r>
        <w:t>).</w:t>
      </w:r>
    </w:p>
    <w:p w14:paraId="4DD2B9A7" w14:textId="09D83073" w:rsidR="00146544" w:rsidRDefault="00146544">
      <w:r>
        <w:t xml:space="preserve">A glossary of the terms used </w:t>
      </w:r>
      <w:r w:rsidR="00AB3F6E">
        <w:t xml:space="preserve">in this report </w:t>
      </w:r>
      <w:r>
        <w:t xml:space="preserve">is provided </w:t>
      </w:r>
      <w:r w:rsidR="00AB3F6E">
        <w:t xml:space="preserve">on page </w:t>
      </w:r>
      <w:r w:rsidR="005F6605">
        <w:t>69</w:t>
      </w:r>
      <w:r>
        <w:t>.</w:t>
      </w:r>
    </w:p>
    <w:p w14:paraId="2829276B" w14:textId="30A5ABCB" w:rsidR="00146544" w:rsidRDefault="00146544">
      <w:r>
        <w:t>PRAs are conducted in three consecutive stages: initiation, pest risk assessment and pest risk management.</w:t>
      </w:r>
    </w:p>
    <w:p w14:paraId="4DD9EEFD" w14:textId="77777777" w:rsidR="00146544" w:rsidRDefault="00146544">
      <w:pPr>
        <w:pStyle w:val="Heading2"/>
      </w:pPr>
      <w:bookmarkStart w:id="46" w:name="_Toc449960576"/>
      <w:bookmarkStart w:id="47" w:name="_Toc501716480"/>
      <w:r>
        <w:t>Stage 1 Initiation</w:t>
      </w:r>
      <w:bookmarkEnd w:id="46"/>
      <w:bookmarkEnd w:id="47"/>
    </w:p>
    <w:p w14:paraId="3CB245D0" w14:textId="77777777" w:rsidR="00146544" w:rsidRDefault="00146544">
      <w:r>
        <w:t xml:space="preserve">Initiation identifies the pest(s) and </w:t>
      </w:r>
      <w:r w:rsidR="00EF4C4C">
        <w:t xml:space="preserve">import </w:t>
      </w:r>
      <w:r>
        <w:t xml:space="preserve">pathway(s) that are of quarantine concern and should be considered for risk analysis in relation to the identified PRA area. For this report, the ‘PRA area’ is defined as Australia </w:t>
      </w:r>
      <w:r w:rsidR="00827BFA">
        <w:t xml:space="preserve">(excluding its external territories) </w:t>
      </w:r>
      <w:r>
        <w:t>for pests that are absent, or of limited distribution and under official control. However, for areas with regional freedom from a pest, the ‘PRA area’ may be defined on the basis of a specific region such as a state or territory of Australia.</w:t>
      </w:r>
    </w:p>
    <w:p w14:paraId="1E2D179A" w14:textId="6F4383B5" w:rsidR="00146544" w:rsidRDefault="00146544">
      <w:r>
        <w:t>The pests assessed for their potential to be on imported Tahitian lime fruit (produced using typical commercial production and packing procedures) are listed in Appendix A. This is not a comprehensive list of all pests associated with Tahitian lime trees, but concentrates on th</w:t>
      </w:r>
      <w:r w:rsidR="00AB3F6E">
        <w:t>ose</w:t>
      </w:r>
      <w:r>
        <w:t xml:space="preserve"> that could be imported </w:t>
      </w:r>
      <w:r w:rsidR="00AB3F6E">
        <w:t xml:space="preserve">on </w:t>
      </w:r>
      <w:r w:rsidR="00C007CC">
        <w:t xml:space="preserve">commercial-quality </w:t>
      </w:r>
      <w:r>
        <w:t>lime fruit. Pests that are not associated with the fruit are not considered further in this review</w:t>
      </w:r>
      <w:r w:rsidR="00333A95">
        <w:t xml:space="preserve"> as they are not considered to be on the import pathway</w:t>
      </w:r>
      <w:r>
        <w:t xml:space="preserve">. </w:t>
      </w:r>
      <w:r w:rsidR="00E735F3">
        <w:t>Potential c</w:t>
      </w:r>
      <w:r>
        <w:t>ontaminating pests that have no specific relation to lime fruit or the import pathway have not been listed</w:t>
      </w:r>
      <w:r w:rsidR="00E735F3">
        <w:t>, but</w:t>
      </w:r>
      <w:r>
        <w:t xml:space="preserve"> will be addressed by Australia’s operational procedures for managing contaminating pests.</w:t>
      </w:r>
    </w:p>
    <w:p w14:paraId="42EF3D05" w14:textId="0C1C3327" w:rsidR="00146544" w:rsidRDefault="00146544">
      <w:r>
        <w:t xml:space="preserve">For pests that have previously been considered in other risk assessments for which import </w:t>
      </w:r>
      <w:r w:rsidR="00F77D96">
        <w:t>conditions</w:t>
      </w:r>
      <w:r>
        <w:t xml:space="preserve"> exist, </w:t>
      </w:r>
      <w:r w:rsidR="00DD73D4" w:rsidRPr="00DD73D4">
        <w:t xml:space="preserve">this risk analysis </w:t>
      </w:r>
      <w:r w:rsidR="00AB3F6E">
        <w:t xml:space="preserve">specifically </w:t>
      </w:r>
      <w:r w:rsidR="00DD73D4" w:rsidRPr="00DD73D4">
        <w:t>considered the likelihood of entr</w:t>
      </w:r>
      <w:r w:rsidR="00DD73D4">
        <w:t xml:space="preserve">y </w:t>
      </w:r>
      <w:r>
        <w:t>on Tahitian limes</w:t>
      </w:r>
      <w:r w:rsidR="00AB3F6E">
        <w:t>,</w:t>
      </w:r>
      <w:r>
        <w:t xml:space="preserve"> and whether existing policy is adequate to manage the risks associated with its import. Where appropriate, </w:t>
      </w:r>
      <w:r w:rsidR="00AB3F6E">
        <w:t>a</w:t>
      </w:r>
      <w:r>
        <w:t xml:space="preserve"> previous risk assessment was taken into consideration </w:t>
      </w:r>
      <w:r w:rsidR="00B655A3">
        <w:t>in</w:t>
      </w:r>
      <w:r>
        <w:t xml:space="preserve"> th</w:t>
      </w:r>
      <w:r w:rsidR="00DD73D4">
        <w:t>is risk analysis</w:t>
      </w:r>
      <w:r>
        <w:t>.</w:t>
      </w:r>
    </w:p>
    <w:p w14:paraId="6F04CCFE" w14:textId="77777777" w:rsidR="00146544" w:rsidRDefault="00146544">
      <w:pPr>
        <w:pStyle w:val="Heading2"/>
      </w:pPr>
      <w:bookmarkStart w:id="48" w:name="_Toc449960577"/>
      <w:bookmarkStart w:id="49" w:name="_Toc501716481"/>
      <w:r>
        <w:t>Stage 2 Pest risk assessment</w:t>
      </w:r>
      <w:bookmarkEnd w:id="48"/>
      <w:bookmarkEnd w:id="49"/>
    </w:p>
    <w:p w14:paraId="263926DC" w14:textId="77777777" w:rsidR="00146544" w:rsidRDefault="00146544">
      <w:r>
        <w:t>A pest risk assessment (for quarantine pests) is the ‘evaluation of the probability of the introduction and spread of a pest and of the magnitude of the associated potential economic consequences’ (</w:t>
      </w:r>
      <w:r w:rsidR="00CC1E5B">
        <w:t>FAO 2016</w:t>
      </w:r>
      <w:r>
        <w:t>).</w:t>
      </w:r>
    </w:p>
    <w:p w14:paraId="79947FB0" w14:textId="30E32501" w:rsidR="00146544" w:rsidRDefault="00146544">
      <w:r>
        <w:t>The following steps were used in the pest risk assessments.</w:t>
      </w:r>
    </w:p>
    <w:p w14:paraId="50F384DD" w14:textId="77777777" w:rsidR="00146544" w:rsidRDefault="00146544">
      <w:pPr>
        <w:pStyle w:val="Heading3"/>
      </w:pPr>
      <w:r>
        <w:t>Pest categorisation</w:t>
      </w:r>
    </w:p>
    <w:p w14:paraId="293CEAED" w14:textId="63EFD566" w:rsidR="00146544" w:rsidRDefault="00146544">
      <w:r>
        <w:t xml:space="preserve">Pest categorisation identifies </w:t>
      </w:r>
      <w:r w:rsidR="002D32A8">
        <w:t>the pests</w:t>
      </w:r>
      <w:r>
        <w:t xml:space="preserve"> </w:t>
      </w:r>
      <w:r w:rsidR="00827BFA">
        <w:t xml:space="preserve">that could </w:t>
      </w:r>
      <w:r>
        <w:t>potential</w:t>
      </w:r>
      <w:r w:rsidR="00E735F3">
        <w:t>ly</w:t>
      </w:r>
      <w:r>
        <w:t xml:space="preserve"> </w:t>
      </w:r>
      <w:r w:rsidR="00827BFA">
        <w:t>be</w:t>
      </w:r>
      <w:r>
        <w:t xml:space="preserve"> </w:t>
      </w:r>
      <w:r w:rsidR="00E735F3">
        <w:t xml:space="preserve">imported </w:t>
      </w:r>
      <w:r w:rsidR="00827BFA">
        <w:t xml:space="preserve">on </w:t>
      </w:r>
      <w:r w:rsidR="00E735F3">
        <w:t>Tahitian lime</w:t>
      </w:r>
      <w:r w:rsidR="00827BFA">
        <w:t xml:space="preserve"> fruit </w:t>
      </w:r>
      <w:r w:rsidR="00AB3F6E">
        <w:t xml:space="preserve">and </w:t>
      </w:r>
      <w:r w:rsidR="00827BFA">
        <w:t>that</w:t>
      </w:r>
      <w:r>
        <w:t xml:space="preserve"> are quarantine pests for Australia</w:t>
      </w:r>
      <w:r w:rsidR="00827BFA">
        <w:t xml:space="preserve">, </w:t>
      </w:r>
      <w:r w:rsidR="003F0A53">
        <w:t>and thus</w:t>
      </w:r>
      <w:r w:rsidR="00827BFA">
        <w:t xml:space="preserve"> </w:t>
      </w:r>
      <w:r>
        <w:t>require pest risk</w:t>
      </w:r>
      <w:r w:rsidR="002D32A8">
        <w:t xml:space="preserve"> assessment. A ‘quarantine pest</w:t>
      </w:r>
      <w:r>
        <w:t xml:space="preserve"> is a pest of potential economic importance to the area endangered thereby and not yet present there, or present but not widely distributed and being officially controlled</w:t>
      </w:r>
      <w:r w:rsidR="002D32A8">
        <w:t>’</w:t>
      </w:r>
      <w:r>
        <w:t>, as defined in ISPM 5: Glossary of phytosanitary terms (</w:t>
      </w:r>
      <w:r w:rsidR="00CC1E5B">
        <w:t>FAO 2016</w:t>
      </w:r>
      <w:r>
        <w:t>).</w:t>
      </w:r>
    </w:p>
    <w:p w14:paraId="210D5B5E" w14:textId="40F2E4F2" w:rsidR="00146544" w:rsidRDefault="003F0A53">
      <w:r>
        <w:t>C</w:t>
      </w:r>
      <w:r w:rsidR="00146544">
        <w:t>ategoris</w:t>
      </w:r>
      <w:r>
        <w:t>ation of</w:t>
      </w:r>
      <w:r w:rsidR="00146544">
        <w:t xml:space="preserve"> quarantine pests </w:t>
      </w:r>
      <w:r w:rsidR="00827BFA">
        <w:t xml:space="preserve">on this pathway </w:t>
      </w:r>
      <w:r w:rsidR="002F0473">
        <w:t xml:space="preserve">includes </w:t>
      </w:r>
      <w:r w:rsidR="00146544">
        <w:t>the following primary elements:</w:t>
      </w:r>
    </w:p>
    <w:p w14:paraId="1876F3C0" w14:textId="4145DC66" w:rsidR="002B7B28" w:rsidRDefault="002F0473" w:rsidP="00F321F0">
      <w:pPr>
        <w:pStyle w:val="ListBullet"/>
      </w:pPr>
      <w:r>
        <w:t>i</w:t>
      </w:r>
      <w:r w:rsidR="002B7B28">
        <w:t>dentity of the pest</w:t>
      </w:r>
    </w:p>
    <w:p w14:paraId="2671D4FC" w14:textId="77777777" w:rsidR="00146544" w:rsidRDefault="00146544" w:rsidP="00F321F0">
      <w:pPr>
        <w:pStyle w:val="ListBullet"/>
      </w:pPr>
      <w:r w:rsidRPr="00F321F0">
        <w:t>presence or absence in Australia (or regulatory status for regional pests)</w:t>
      </w:r>
    </w:p>
    <w:p w14:paraId="78047EEA" w14:textId="77777777" w:rsidR="002B7B28" w:rsidRPr="00F321F0" w:rsidRDefault="002B7B28" w:rsidP="00F321F0">
      <w:pPr>
        <w:pStyle w:val="ListBullet"/>
      </w:pPr>
      <w:r>
        <w:t>regulatory status</w:t>
      </w:r>
    </w:p>
    <w:p w14:paraId="5F85E020" w14:textId="63877294" w:rsidR="00146544" w:rsidRPr="00F321F0" w:rsidRDefault="00146544" w:rsidP="00F321F0">
      <w:pPr>
        <w:pStyle w:val="ListBullet"/>
      </w:pPr>
      <w:r w:rsidRPr="00F321F0">
        <w:t>potential for</w:t>
      </w:r>
      <w:r w:rsidR="003F0A53">
        <w:t xml:space="preserve"> </w:t>
      </w:r>
      <w:r w:rsidRPr="00F321F0">
        <w:t>establishment and spread</w:t>
      </w:r>
    </w:p>
    <w:p w14:paraId="2DF4150D" w14:textId="77777777" w:rsidR="00146544" w:rsidRDefault="00146544" w:rsidP="00F321F0">
      <w:pPr>
        <w:pStyle w:val="ListBullet"/>
      </w:pPr>
      <w:r w:rsidRPr="00F321F0">
        <w:t>potential</w:t>
      </w:r>
      <w:r>
        <w:t xml:space="preserve"> for economic consequences (including environmental consequences).</w:t>
      </w:r>
    </w:p>
    <w:p w14:paraId="07D85D02" w14:textId="77777777" w:rsidR="00146544" w:rsidRDefault="00146544">
      <w:r>
        <w:t>The results of pest categorisation are set out in Appendix A. The quarantine pests identified during pest categorisation</w:t>
      </w:r>
      <w:r w:rsidR="009C09A6">
        <w:t>,</w:t>
      </w:r>
      <w:r>
        <w:t xml:space="preserve"> </w:t>
      </w:r>
      <w:r w:rsidR="009C09A6">
        <w:t xml:space="preserve">listed in Table 4.1, </w:t>
      </w:r>
      <w:r>
        <w:t>were carried forwar</w:t>
      </w:r>
      <w:r w:rsidR="009C09A6">
        <w:t>d for further assessment</w:t>
      </w:r>
      <w:r>
        <w:t>.</w:t>
      </w:r>
    </w:p>
    <w:p w14:paraId="1274BB92" w14:textId="77777777" w:rsidR="00146544" w:rsidRDefault="00146544">
      <w:pPr>
        <w:pStyle w:val="Heading3"/>
      </w:pPr>
      <w:r>
        <w:t xml:space="preserve">Assessment of the </w:t>
      </w:r>
      <w:r w:rsidR="00B013EE">
        <w:t>likelihood</w:t>
      </w:r>
      <w:r>
        <w:t xml:space="preserve"> of entry, establishment and spread</w:t>
      </w:r>
    </w:p>
    <w:p w14:paraId="234C791A" w14:textId="77777777" w:rsidR="00146544" w:rsidRDefault="00A62343">
      <w:r w:rsidRPr="00A62343">
        <w:t xml:space="preserve">Details of how to assess the </w:t>
      </w:r>
      <w:r w:rsidR="009C09A6">
        <w:t xml:space="preserve">entry, </w:t>
      </w:r>
      <w:r w:rsidRPr="00A62343">
        <w:t>establishment and spread of a pest are given in ISPM 11</w:t>
      </w:r>
      <w:r>
        <w:t xml:space="preserve"> (FAO 2013). T</w:t>
      </w:r>
      <w:r w:rsidRPr="00A62343">
        <w:t>he department uses the term ‘likelihood’ for the descriptors it uses for its estimates of likelihood of entry, establishment and spread</w:t>
      </w:r>
      <w:r>
        <w:t>, consistent with the terminology in the SPS Agreement (WTO 1995)</w:t>
      </w:r>
      <w:r w:rsidRPr="00A62343">
        <w:t xml:space="preserve">. </w:t>
      </w:r>
      <w:r w:rsidR="00146544">
        <w:t>A summary of this process is given below, followed by a description of the qualitative methodology used in this risk analysis.</w:t>
      </w:r>
    </w:p>
    <w:p w14:paraId="47CEA29A" w14:textId="77777777" w:rsidR="00146544" w:rsidRDefault="00A62343">
      <w:pPr>
        <w:pStyle w:val="Heading4"/>
      </w:pPr>
      <w:r>
        <w:t>Likelihood</w:t>
      </w:r>
      <w:r w:rsidR="00146544">
        <w:t xml:space="preserve"> of entry</w:t>
      </w:r>
    </w:p>
    <w:p w14:paraId="5D40C4B6" w14:textId="77777777" w:rsidR="00146544" w:rsidRDefault="00146544">
      <w:r>
        <w:t xml:space="preserve">The </w:t>
      </w:r>
      <w:r w:rsidR="00A62343">
        <w:t>likelihood</w:t>
      </w:r>
      <w:r>
        <w:t xml:space="preserve"> of entry </w:t>
      </w:r>
      <w:r w:rsidR="00E57C2F">
        <w:t xml:space="preserve">estimates whether </w:t>
      </w:r>
      <w:r>
        <w:t>a quarantine pest will enter Australia as a result of trade in a given commodity, be distributed in a viable state within Australia</w:t>
      </w:r>
      <w:r w:rsidR="003F0A53">
        <w:t>,</w:t>
      </w:r>
      <w:r>
        <w:t xml:space="preserve">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stages.</w:t>
      </w:r>
    </w:p>
    <w:p w14:paraId="18C760FF" w14:textId="77777777" w:rsidR="00146544" w:rsidRDefault="00146544">
      <w:r>
        <w:t xml:space="preserve">The </w:t>
      </w:r>
      <w:r w:rsidR="00A62343">
        <w:t>likelihood</w:t>
      </w:r>
      <w:r>
        <w:t xml:space="preserve"> of entry estimates for the identified quarantine pests are based on the commercial production, packaging and shipping practices of the exporting country.</w:t>
      </w:r>
    </w:p>
    <w:p w14:paraId="33E0D92D" w14:textId="150F55EE" w:rsidR="00146544" w:rsidRDefault="00146544" w:rsidP="008E51D5">
      <w:r>
        <w:t xml:space="preserve">This stage of the risk assessment is divided into two components: importation and distribution. The </w:t>
      </w:r>
      <w:r w:rsidR="00A62343">
        <w:t>likelihood</w:t>
      </w:r>
      <w:r>
        <w:t xml:space="preserve"> of importation considers the likelihood that a pest will arrive in Australia when a given commodity is imported. The </w:t>
      </w:r>
      <w:r w:rsidR="00A62343">
        <w:t>likelihood</w:t>
      </w:r>
      <w:r>
        <w:t xml:space="preserve"> of distribution considers the likelihood that the pest will be distributed within Australia as a result of the sale or disposal of the commodity, and subsequently transfer to a suitable host.</w:t>
      </w:r>
    </w:p>
    <w:p w14:paraId="53F85236" w14:textId="4E4A86EE" w:rsidR="00146544" w:rsidRDefault="00146544">
      <w:r>
        <w:t xml:space="preserve">Factors considered in </w:t>
      </w:r>
      <w:r w:rsidR="003F0A53">
        <w:t xml:space="preserve">assessment of </w:t>
      </w:r>
      <w:r>
        <w:t xml:space="preserve">the </w:t>
      </w:r>
      <w:r w:rsidR="00A62343">
        <w:t>likelihood</w:t>
      </w:r>
      <w:r>
        <w:t xml:space="preserve"> of importation include:</w:t>
      </w:r>
    </w:p>
    <w:p w14:paraId="7876CAAA" w14:textId="77777777" w:rsidR="00146544" w:rsidRDefault="00146544">
      <w:pPr>
        <w:pStyle w:val="ListBullet"/>
      </w:pPr>
      <w:r>
        <w:t>the geographical distribution and incidence of the pest in the source area</w:t>
      </w:r>
    </w:p>
    <w:p w14:paraId="0049CEED" w14:textId="77777777" w:rsidR="00146544" w:rsidRDefault="00146544">
      <w:pPr>
        <w:pStyle w:val="ListBullet"/>
      </w:pPr>
      <w:r>
        <w:t>the occurrence of the pest in a life-stage that is associated with the commodity</w:t>
      </w:r>
    </w:p>
    <w:p w14:paraId="2A94149E" w14:textId="77777777" w:rsidR="00146544" w:rsidRDefault="00146544">
      <w:pPr>
        <w:pStyle w:val="ListBullet"/>
      </w:pPr>
      <w:r>
        <w:t>the seasonal timing of imports</w:t>
      </w:r>
    </w:p>
    <w:p w14:paraId="0DE7C5EC" w14:textId="77777777" w:rsidR="00146544" w:rsidRDefault="00146544">
      <w:pPr>
        <w:pStyle w:val="ListBullet"/>
      </w:pPr>
      <w:r>
        <w:t>pest management, cultural and commercial procedures applied at the place of origin</w:t>
      </w:r>
    </w:p>
    <w:p w14:paraId="0FA0AC67" w14:textId="77777777" w:rsidR="00146544" w:rsidRDefault="00146544">
      <w:pPr>
        <w:pStyle w:val="ListBullet"/>
      </w:pPr>
      <w:r>
        <w:t>speed of transport and conditions of storage compared with the duration of the lifecycle of the pest</w:t>
      </w:r>
    </w:p>
    <w:p w14:paraId="2202B1B4" w14:textId="77777777" w:rsidR="00146544" w:rsidRDefault="00146544">
      <w:pPr>
        <w:pStyle w:val="ListBullet"/>
      </w:pPr>
      <w:r>
        <w:t>transport and storage procedures in the country of origin, and in transit to Australia.</w:t>
      </w:r>
    </w:p>
    <w:p w14:paraId="5C680867" w14:textId="77777777" w:rsidR="00146544" w:rsidRDefault="00146544">
      <w:r>
        <w:t xml:space="preserve">Factors considered in </w:t>
      </w:r>
      <w:r w:rsidR="003F0A53">
        <w:t xml:space="preserve">assessment of </w:t>
      </w:r>
      <w:r>
        <w:t xml:space="preserve">the </w:t>
      </w:r>
      <w:r w:rsidR="00A62343">
        <w:t>likelihood</w:t>
      </w:r>
      <w:r>
        <w:t xml:space="preserve"> of distribution </w:t>
      </w:r>
      <w:r w:rsidR="008714BE">
        <w:t xml:space="preserve">may </w:t>
      </w:r>
      <w:r>
        <w:t>include:</w:t>
      </w:r>
    </w:p>
    <w:p w14:paraId="1E17323C" w14:textId="77777777" w:rsidR="00146544" w:rsidRDefault="00146544">
      <w:pPr>
        <w:pStyle w:val="ListBullet"/>
      </w:pPr>
      <w:r>
        <w:t>commercial procedures (for example, refrigeration) applied to consignments during distribution within Australia</w:t>
      </w:r>
    </w:p>
    <w:p w14:paraId="7AEEE0F7" w14:textId="67BAD033" w:rsidR="00146544" w:rsidRDefault="00146544">
      <w:pPr>
        <w:pStyle w:val="ListBullet"/>
      </w:pPr>
      <w:r>
        <w:t xml:space="preserve">dispersal mechanisms of the pest, including </w:t>
      </w:r>
      <w:r w:rsidR="00AD7546">
        <w:t xml:space="preserve">its </w:t>
      </w:r>
      <w:r>
        <w:t>vectors</w:t>
      </w:r>
      <w:r w:rsidR="00AD7546">
        <w:t xml:space="preserve"> if relevant</w:t>
      </w:r>
      <w:r>
        <w:t xml:space="preserve">, </w:t>
      </w:r>
      <w:r w:rsidR="00AD7546">
        <w:t>that might</w:t>
      </w:r>
      <w:r>
        <w:t xml:space="preserve"> allow movement from the pathway to a host</w:t>
      </w:r>
    </w:p>
    <w:p w14:paraId="39395446" w14:textId="3F3F8813" w:rsidR="00146544" w:rsidRDefault="00146544">
      <w:pPr>
        <w:pStyle w:val="ListBullet"/>
      </w:pPr>
      <w:r>
        <w:t>proximity of entry, transit and destination points to hosts</w:t>
      </w:r>
      <w:r w:rsidR="002B7B28">
        <w:t xml:space="preserve"> in Australia</w:t>
      </w:r>
    </w:p>
    <w:p w14:paraId="6762D4AC" w14:textId="77777777" w:rsidR="00146544" w:rsidRDefault="00146544">
      <w:pPr>
        <w:pStyle w:val="ListBullet"/>
      </w:pPr>
      <w:r>
        <w:t>time of year at which importation takes place</w:t>
      </w:r>
    </w:p>
    <w:p w14:paraId="5585C31E" w14:textId="77777777" w:rsidR="00146544" w:rsidRDefault="00146544">
      <w:pPr>
        <w:pStyle w:val="ListBullet"/>
      </w:pPr>
      <w:r>
        <w:t>intended use of the commodity (for example, for planting, processing or consumption)</w:t>
      </w:r>
    </w:p>
    <w:p w14:paraId="079B40AD" w14:textId="77777777" w:rsidR="00146544" w:rsidRDefault="00146544">
      <w:pPr>
        <w:pStyle w:val="ListBullet"/>
      </w:pPr>
      <w:r>
        <w:t>risks from by-products and waste.</w:t>
      </w:r>
    </w:p>
    <w:p w14:paraId="6A0CDA1A" w14:textId="77777777" w:rsidR="00146544" w:rsidRDefault="00453B25">
      <w:pPr>
        <w:pStyle w:val="Heading4"/>
      </w:pPr>
      <w:r>
        <w:t>Likelihood</w:t>
      </w:r>
      <w:r w:rsidR="00146544">
        <w:t xml:space="preserve"> of establishment</w:t>
      </w:r>
    </w:p>
    <w:p w14:paraId="0A180C90" w14:textId="0BD9A2AA" w:rsidR="00146544" w:rsidRDefault="00146544">
      <w:r>
        <w:t>Establishment is defined as the ‘perpetuation for the foreseeable future, of a pest within an area after entry’ (</w:t>
      </w:r>
      <w:r w:rsidR="00CC1E5B">
        <w:t>FAO 2016</w:t>
      </w:r>
      <w:r>
        <w:t xml:space="preserve">). In order to estimate the </w:t>
      </w:r>
      <w:r w:rsidR="00453B25">
        <w:t>likelihood</w:t>
      </w:r>
      <w:r>
        <w:t xml:space="preserve"> of establishment of a pest, reliable biological information (for example, </w:t>
      </w:r>
      <w:r w:rsidR="00AD7546">
        <w:t xml:space="preserve">of </w:t>
      </w:r>
      <w:r>
        <w:t>lifecycle, host range, epidemiology</w:t>
      </w:r>
      <w:r w:rsidR="00E57C2F">
        <w:t xml:space="preserve"> and</w:t>
      </w:r>
      <w:r>
        <w:t xml:space="preserve"> survival) is obtained from the areas where the pest currently occurs. The </w:t>
      </w:r>
      <w:r w:rsidR="00AD7546">
        <w:t>conditions</w:t>
      </w:r>
      <w:r>
        <w:t xml:space="preserve"> in the PRA area can then be compared with th</w:t>
      </w:r>
      <w:r w:rsidR="00AD7546">
        <w:t>ose</w:t>
      </w:r>
      <w:r>
        <w:t xml:space="preserve"> in the areas where </w:t>
      </w:r>
      <w:r w:rsidR="00E57C2F">
        <w:t>the pest</w:t>
      </w:r>
      <w:r>
        <w:t xml:space="preserve"> currently occurs</w:t>
      </w:r>
      <w:r w:rsidR="00AD7546">
        <w:t>,</w:t>
      </w:r>
      <w:r>
        <w:t xml:space="preserve"> and expert judgement used to assess the </w:t>
      </w:r>
      <w:r w:rsidR="00453B25">
        <w:t xml:space="preserve">likelihood </w:t>
      </w:r>
      <w:r>
        <w:t>of establishment.</w:t>
      </w:r>
    </w:p>
    <w:p w14:paraId="57A6A01E" w14:textId="7D94BE03" w:rsidR="00146544" w:rsidRDefault="00146544">
      <w:r>
        <w:t xml:space="preserve">Factors considered in </w:t>
      </w:r>
      <w:r w:rsidR="00AD7546">
        <w:t xml:space="preserve">assessment of </w:t>
      </w:r>
      <w:r>
        <w:t xml:space="preserve">the </w:t>
      </w:r>
      <w:r w:rsidR="00453B25">
        <w:t>likelihood</w:t>
      </w:r>
      <w:r>
        <w:t xml:space="preserve"> of establishment in Australia</w:t>
      </w:r>
      <w:r w:rsidR="008714BE">
        <w:t xml:space="preserve"> </w:t>
      </w:r>
      <w:r>
        <w:t>include:</w:t>
      </w:r>
    </w:p>
    <w:p w14:paraId="2E597465" w14:textId="77777777" w:rsidR="00146544" w:rsidRDefault="00146544">
      <w:pPr>
        <w:pStyle w:val="ListBullet"/>
      </w:pPr>
      <w:r>
        <w:t>the availability of hosts, alternative hosts and vectors</w:t>
      </w:r>
    </w:p>
    <w:p w14:paraId="38D303D5" w14:textId="77777777" w:rsidR="00146544" w:rsidRDefault="00146544">
      <w:pPr>
        <w:pStyle w:val="ListBullet"/>
      </w:pPr>
      <w:r>
        <w:t>the suitability of the environment</w:t>
      </w:r>
    </w:p>
    <w:p w14:paraId="1246E49D" w14:textId="77777777" w:rsidR="00146544" w:rsidRDefault="00146544">
      <w:pPr>
        <w:pStyle w:val="ListBullet"/>
      </w:pPr>
      <w:r>
        <w:t>the pest’s reproductive strategy and potential for adaptation</w:t>
      </w:r>
    </w:p>
    <w:p w14:paraId="44BD1388" w14:textId="77777777" w:rsidR="00146544" w:rsidRDefault="00146544">
      <w:pPr>
        <w:pStyle w:val="ListBullet"/>
      </w:pPr>
      <w:r>
        <w:t>the minimum population needed for establishment</w:t>
      </w:r>
    </w:p>
    <w:p w14:paraId="24A32099" w14:textId="1C272C75" w:rsidR="00146544" w:rsidRDefault="00146544">
      <w:pPr>
        <w:pStyle w:val="ListBullet"/>
      </w:pPr>
      <w:r>
        <w:t>cultural practices and control measures used against the pest.</w:t>
      </w:r>
    </w:p>
    <w:p w14:paraId="21265F68" w14:textId="77777777" w:rsidR="00146544" w:rsidRDefault="00453B25">
      <w:pPr>
        <w:pStyle w:val="Heading4"/>
      </w:pPr>
      <w:r>
        <w:t>Likelihood</w:t>
      </w:r>
      <w:r w:rsidR="00146544">
        <w:t xml:space="preserve"> of spread</w:t>
      </w:r>
    </w:p>
    <w:p w14:paraId="5826D9BE" w14:textId="4FBCA0DC" w:rsidR="00146544" w:rsidRDefault="00146544">
      <w:r>
        <w:t>Spread is defined as ‘the expansion of the geographical distribution of a pest within an area’ (</w:t>
      </w:r>
      <w:r w:rsidR="00CC1E5B">
        <w:t>FAO 2016</w:t>
      </w:r>
      <w:r>
        <w:t xml:space="preserve">). </w:t>
      </w:r>
      <w:r w:rsidR="00AD7546">
        <w:t>Assessment of t</w:t>
      </w:r>
      <w:r>
        <w:t xml:space="preserve">he </w:t>
      </w:r>
      <w:r w:rsidR="00453B25">
        <w:t>likelihood</w:t>
      </w:r>
      <w:r>
        <w:t xml:space="preserve"> of spread considers the factors relevant to the movement of the pest, after establishment on a host plant, to other susceptible host plants in other areas. In order to estimate the </w:t>
      </w:r>
      <w:r w:rsidR="00453B25">
        <w:t>likelihood</w:t>
      </w:r>
      <w:r>
        <w:t xml:space="preserve"> of spread of the pest, reliable biological information is obtained from areas where the pest currently occurs. The situation in the PRA area is then carefully compared with th</w:t>
      </w:r>
      <w:r w:rsidR="00AD7546">
        <w:t>ose</w:t>
      </w:r>
      <w:r>
        <w:t xml:space="preserve"> in the areas where the pest currently occurs</w:t>
      </w:r>
      <w:r w:rsidR="00AD7546">
        <w:t>,</w:t>
      </w:r>
      <w:r>
        <w:t xml:space="preserve"> and expert judgement used to assess the </w:t>
      </w:r>
      <w:r w:rsidR="00E57C2F">
        <w:t>likelihood</w:t>
      </w:r>
      <w:r>
        <w:t xml:space="preserve"> of spread.</w:t>
      </w:r>
    </w:p>
    <w:p w14:paraId="657C3A5E" w14:textId="1273EF4B" w:rsidR="00146544" w:rsidRDefault="00146544">
      <w:r>
        <w:t xml:space="preserve">Factors considered in </w:t>
      </w:r>
      <w:r w:rsidR="00AD7546">
        <w:t xml:space="preserve">assessment of </w:t>
      </w:r>
      <w:r>
        <w:t xml:space="preserve">the </w:t>
      </w:r>
      <w:r w:rsidR="00453B25">
        <w:t>likelihood</w:t>
      </w:r>
      <w:r>
        <w:t xml:space="preserve"> of spread include:</w:t>
      </w:r>
    </w:p>
    <w:p w14:paraId="69D81B03" w14:textId="77777777" w:rsidR="00146544" w:rsidRDefault="00146544">
      <w:pPr>
        <w:pStyle w:val="ListBullet"/>
      </w:pPr>
      <w:r>
        <w:t>the suitability of the natural and/or managed environment for natural spread of the pest</w:t>
      </w:r>
    </w:p>
    <w:p w14:paraId="22912D64" w14:textId="77777777" w:rsidR="00146544" w:rsidRDefault="00146544">
      <w:pPr>
        <w:pStyle w:val="ListBullet"/>
      </w:pPr>
      <w:r>
        <w:t>the presence of natural barriers</w:t>
      </w:r>
    </w:p>
    <w:p w14:paraId="36870D00" w14:textId="77777777" w:rsidR="00146544" w:rsidRDefault="00146544">
      <w:pPr>
        <w:pStyle w:val="ListBullet"/>
      </w:pPr>
      <w:r>
        <w:t>the potential for movement with commodities, conveyances or by vectors</w:t>
      </w:r>
    </w:p>
    <w:p w14:paraId="760A9143" w14:textId="77777777" w:rsidR="00146544" w:rsidRDefault="00146544">
      <w:pPr>
        <w:pStyle w:val="ListBullet"/>
      </w:pPr>
      <w:r>
        <w:t>the intended use of the commodity</w:t>
      </w:r>
    </w:p>
    <w:p w14:paraId="0E73B67F" w14:textId="04AFBBC9" w:rsidR="00146544" w:rsidRDefault="009E253B">
      <w:pPr>
        <w:pStyle w:val="ListBullet"/>
      </w:pPr>
      <w:r>
        <w:t>where relevant,</w:t>
      </w:r>
      <w:r w:rsidR="00146544">
        <w:t xml:space="preserve"> potential vectors of the pest in the PRA area</w:t>
      </w:r>
    </w:p>
    <w:p w14:paraId="082CE30F" w14:textId="77777777" w:rsidR="00146544" w:rsidRDefault="00146544">
      <w:pPr>
        <w:pStyle w:val="ListBullet"/>
      </w:pPr>
      <w:r>
        <w:t>the potential natural enemies of the pest in the PRA area.</w:t>
      </w:r>
    </w:p>
    <w:p w14:paraId="3D0F5D6A" w14:textId="77777777" w:rsidR="00146544" w:rsidRDefault="00146544" w:rsidP="00BB0A0A">
      <w:pPr>
        <w:pStyle w:val="Heading4"/>
      </w:pPr>
      <w:r>
        <w:t>Assigning likelihoods for entry, establishment and spread</w:t>
      </w:r>
    </w:p>
    <w:p w14:paraId="117F705F" w14:textId="5E6660B8" w:rsidR="00146544" w:rsidRDefault="00146544">
      <w:r>
        <w:t>The likelihoods of entry (importation and distribution), establishment and spread are expressed using the terms high, moderate, low, very low, extremely low and negligible to indicate the relative possibilit</w:t>
      </w:r>
      <w:r w:rsidR="009E253B">
        <w:t>ies</w:t>
      </w:r>
      <w:r>
        <w:t xml:space="preserve"> of </w:t>
      </w:r>
      <w:r w:rsidR="009E253B">
        <w:t>each</w:t>
      </w:r>
      <w:r>
        <w:t xml:space="preserve"> event occurring. </w:t>
      </w:r>
      <w:r w:rsidR="00E972B3" w:rsidRPr="00E972B3">
        <w:t xml:space="preserve">Definitions </w:t>
      </w:r>
      <w:r w:rsidR="009E253B">
        <w:t>of</w:t>
      </w:r>
      <w:r w:rsidR="00E972B3" w:rsidRPr="00E972B3">
        <w:t xml:space="preserve"> these descriptors and their indicative probability ranges are given in Table 2.1</w:t>
      </w:r>
      <w:r w:rsidR="00E972B3">
        <w:t>.</w:t>
      </w:r>
      <w:r>
        <w:t xml:space="preserve"> The indicative probability ranges are only provided to illustrate the boundaries of the descriptors</w:t>
      </w:r>
      <w:r w:rsidR="009C09A6">
        <w:t>.</w:t>
      </w:r>
    </w:p>
    <w:p w14:paraId="61069D37" w14:textId="77777777" w:rsidR="00626B12" w:rsidRDefault="00626B12" w:rsidP="00626B12">
      <w:pPr>
        <w:pStyle w:val="Caption"/>
      </w:pPr>
      <w:bookmarkStart w:id="50" w:name="_Toc445298174"/>
      <w:bookmarkStart w:id="51" w:name="_Toc445298276"/>
      <w:bookmarkStart w:id="52" w:name="_Toc449960662"/>
      <w:bookmarkStart w:id="53" w:name="_Toc455049815"/>
      <w:bookmarkStart w:id="54" w:name="_Toc455411685"/>
      <w:bookmarkStart w:id="55" w:name="_Toc456775485"/>
      <w:bookmarkStart w:id="56" w:name="_Toc456778785"/>
      <w:bookmarkStart w:id="57" w:name="_Toc457224284"/>
      <w:bookmarkStart w:id="58" w:name="_Toc457225444"/>
      <w:bookmarkStart w:id="59" w:name="_Toc457807138"/>
      <w:bookmarkStart w:id="60" w:name="_Toc459813420"/>
      <w:bookmarkStart w:id="61" w:name="_Toc501716545"/>
      <w:r>
        <w:t xml:space="preserve">Table </w:t>
      </w:r>
      <w:fldSimple w:instr=" STYLEREF 1 \s ">
        <w:r w:rsidR="003C54B1">
          <w:rPr>
            <w:noProof/>
          </w:rPr>
          <w:t>2</w:t>
        </w:r>
      </w:fldSimple>
      <w:r>
        <w:t>.</w:t>
      </w:r>
      <w:fldSimple w:instr=" SEQ Table \* ARABIC \s 1 ">
        <w:r w:rsidR="003C54B1">
          <w:rPr>
            <w:noProof/>
          </w:rPr>
          <w:t>1</w:t>
        </w:r>
      </w:fldSimple>
      <w:r>
        <w:t xml:space="preserve"> Nomenclature of qualitative likelihoods</w:t>
      </w:r>
      <w:bookmarkEnd w:id="50"/>
      <w:bookmarkEnd w:id="51"/>
      <w:bookmarkEnd w:id="52"/>
      <w:bookmarkEnd w:id="53"/>
      <w:bookmarkEnd w:id="54"/>
      <w:bookmarkEnd w:id="55"/>
      <w:bookmarkEnd w:id="56"/>
      <w:bookmarkEnd w:id="57"/>
      <w:bookmarkEnd w:id="58"/>
      <w:bookmarkEnd w:id="59"/>
      <w:bookmarkEnd w:id="60"/>
      <w:bookmarkEnd w:id="61"/>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626B12" w14:paraId="41FC9699" w14:textId="77777777" w:rsidTr="0070514B">
        <w:tc>
          <w:tcPr>
            <w:tcW w:w="1051" w:type="pct"/>
          </w:tcPr>
          <w:p w14:paraId="55CA235E" w14:textId="77777777" w:rsidR="00626B12" w:rsidRDefault="00626B12" w:rsidP="0070514B">
            <w:pPr>
              <w:pStyle w:val="TableHeading"/>
            </w:pPr>
            <w:r>
              <w:t>Likelihood</w:t>
            </w:r>
          </w:p>
        </w:tc>
        <w:tc>
          <w:tcPr>
            <w:tcW w:w="2282" w:type="pct"/>
          </w:tcPr>
          <w:p w14:paraId="46BBA590" w14:textId="77777777" w:rsidR="00626B12" w:rsidRDefault="00626B12" w:rsidP="0070514B">
            <w:pPr>
              <w:pStyle w:val="TableHeading"/>
            </w:pPr>
            <w:r>
              <w:t>Descriptive definition</w:t>
            </w:r>
          </w:p>
        </w:tc>
        <w:tc>
          <w:tcPr>
            <w:tcW w:w="1667" w:type="pct"/>
          </w:tcPr>
          <w:p w14:paraId="27CB6C0A" w14:textId="77777777" w:rsidR="00626B12" w:rsidRDefault="00626B12" w:rsidP="0070514B">
            <w:pPr>
              <w:pStyle w:val="TableHeading"/>
            </w:pPr>
            <w:r>
              <w:t>Indicative probability (P) range</w:t>
            </w:r>
          </w:p>
        </w:tc>
      </w:tr>
      <w:tr w:rsidR="00626B12" w14:paraId="46BAA418" w14:textId="77777777" w:rsidTr="0070514B">
        <w:tc>
          <w:tcPr>
            <w:tcW w:w="1051" w:type="pct"/>
          </w:tcPr>
          <w:p w14:paraId="122A32B1" w14:textId="77777777" w:rsidR="00626B12" w:rsidRDefault="00626B12" w:rsidP="0070514B">
            <w:pPr>
              <w:pStyle w:val="TableText"/>
            </w:pPr>
            <w:r>
              <w:t>High</w:t>
            </w:r>
          </w:p>
        </w:tc>
        <w:tc>
          <w:tcPr>
            <w:tcW w:w="2282" w:type="pct"/>
          </w:tcPr>
          <w:p w14:paraId="77E7723C" w14:textId="77777777" w:rsidR="00626B12" w:rsidRDefault="00626B12" w:rsidP="0070514B">
            <w:pPr>
              <w:pStyle w:val="TableText"/>
            </w:pPr>
            <w:r>
              <w:t>The event would be very likely to occur</w:t>
            </w:r>
          </w:p>
        </w:tc>
        <w:tc>
          <w:tcPr>
            <w:tcW w:w="1667" w:type="pct"/>
          </w:tcPr>
          <w:p w14:paraId="05166202" w14:textId="77777777" w:rsidR="00626B12" w:rsidRDefault="00626B12" w:rsidP="0070514B">
            <w:pPr>
              <w:pStyle w:val="TableText"/>
            </w:pPr>
            <w:r>
              <w:t>0.7 &lt; P ≤ 1</w:t>
            </w:r>
          </w:p>
        </w:tc>
      </w:tr>
      <w:tr w:rsidR="00626B12" w14:paraId="1E26375D" w14:textId="77777777" w:rsidTr="0070514B">
        <w:tc>
          <w:tcPr>
            <w:tcW w:w="1051" w:type="pct"/>
          </w:tcPr>
          <w:p w14:paraId="0135FD7F" w14:textId="77777777" w:rsidR="00626B12" w:rsidRDefault="00626B12" w:rsidP="0070514B">
            <w:pPr>
              <w:pStyle w:val="TableText"/>
            </w:pPr>
            <w:r>
              <w:t>Moderate</w:t>
            </w:r>
          </w:p>
        </w:tc>
        <w:tc>
          <w:tcPr>
            <w:tcW w:w="2282" w:type="pct"/>
          </w:tcPr>
          <w:p w14:paraId="0F4A9D46" w14:textId="77777777" w:rsidR="00626B12" w:rsidRDefault="00626B12" w:rsidP="0070514B">
            <w:pPr>
              <w:pStyle w:val="TableText"/>
            </w:pPr>
            <w:r>
              <w:t>The event would occur with an even probability</w:t>
            </w:r>
          </w:p>
        </w:tc>
        <w:tc>
          <w:tcPr>
            <w:tcW w:w="1667" w:type="pct"/>
          </w:tcPr>
          <w:p w14:paraId="3C803962" w14:textId="77777777" w:rsidR="00626B12" w:rsidRDefault="00626B12" w:rsidP="0070514B">
            <w:pPr>
              <w:pStyle w:val="TableText"/>
            </w:pPr>
            <w:r>
              <w:t>0.3 &lt; P ≤ 0.7</w:t>
            </w:r>
          </w:p>
        </w:tc>
      </w:tr>
      <w:tr w:rsidR="00626B12" w14:paraId="0E9367B0" w14:textId="77777777" w:rsidTr="0070514B">
        <w:tc>
          <w:tcPr>
            <w:tcW w:w="1051" w:type="pct"/>
          </w:tcPr>
          <w:p w14:paraId="3B26A2FB" w14:textId="77777777" w:rsidR="00626B12" w:rsidRDefault="00626B12" w:rsidP="0070514B">
            <w:pPr>
              <w:pStyle w:val="TableText"/>
            </w:pPr>
            <w:r>
              <w:t>Low</w:t>
            </w:r>
          </w:p>
        </w:tc>
        <w:tc>
          <w:tcPr>
            <w:tcW w:w="2282" w:type="pct"/>
          </w:tcPr>
          <w:p w14:paraId="544759DD" w14:textId="77777777" w:rsidR="00626B12" w:rsidRDefault="00626B12" w:rsidP="0070514B">
            <w:pPr>
              <w:pStyle w:val="TableText"/>
            </w:pPr>
            <w:r>
              <w:t>The event would be unlikely to occur</w:t>
            </w:r>
          </w:p>
        </w:tc>
        <w:tc>
          <w:tcPr>
            <w:tcW w:w="1667" w:type="pct"/>
          </w:tcPr>
          <w:p w14:paraId="504F5597" w14:textId="77777777" w:rsidR="00626B12" w:rsidRDefault="00626B12" w:rsidP="0070514B">
            <w:pPr>
              <w:pStyle w:val="TableText"/>
            </w:pPr>
            <w:r>
              <w:t>0.05 &lt; P ≤ 0.3</w:t>
            </w:r>
          </w:p>
        </w:tc>
      </w:tr>
      <w:tr w:rsidR="00626B12" w14:paraId="744D640E" w14:textId="77777777" w:rsidTr="0070514B">
        <w:tc>
          <w:tcPr>
            <w:tcW w:w="1051" w:type="pct"/>
          </w:tcPr>
          <w:p w14:paraId="47FD78A5" w14:textId="77777777" w:rsidR="00626B12" w:rsidRDefault="00626B12" w:rsidP="0070514B">
            <w:pPr>
              <w:pStyle w:val="TableText"/>
            </w:pPr>
            <w:r>
              <w:t>Very low</w:t>
            </w:r>
          </w:p>
        </w:tc>
        <w:tc>
          <w:tcPr>
            <w:tcW w:w="2282" w:type="pct"/>
          </w:tcPr>
          <w:p w14:paraId="620A2423" w14:textId="77777777" w:rsidR="00626B12" w:rsidRDefault="00626B12" w:rsidP="0070514B">
            <w:pPr>
              <w:pStyle w:val="TableText"/>
            </w:pPr>
            <w:r>
              <w:t>The event would be very unlikely to occur</w:t>
            </w:r>
          </w:p>
        </w:tc>
        <w:tc>
          <w:tcPr>
            <w:tcW w:w="1667" w:type="pct"/>
          </w:tcPr>
          <w:p w14:paraId="3A193685" w14:textId="77777777" w:rsidR="00626B12" w:rsidRDefault="00626B12" w:rsidP="0070514B">
            <w:pPr>
              <w:pStyle w:val="TableText"/>
            </w:pPr>
            <w:r>
              <w:t>0.001 &lt; P ≤ 0.05</w:t>
            </w:r>
          </w:p>
        </w:tc>
      </w:tr>
      <w:tr w:rsidR="00626B12" w14:paraId="739412CD" w14:textId="77777777" w:rsidTr="0070514B">
        <w:tc>
          <w:tcPr>
            <w:tcW w:w="1051" w:type="pct"/>
          </w:tcPr>
          <w:p w14:paraId="580461D3" w14:textId="77777777" w:rsidR="00626B12" w:rsidRDefault="00626B12" w:rsidP="0070514B">
            <w:pPr>
              <w:pStyle w:val="TableText"/>
            </w:pPr>
            <w:r>
              <w:t>Extremely low</w:t>
            </w:r>
          </w:p>
        </w:tc>
        <w:tc>
          <w:tcPr>
            <w:tcW w:w="2282" w:type="pct"/>
          </w:tcPr>
          <w:p w14:paraId="3B29B57E" w14:textId="77777777" w:rsidR="00626B12" w:rsidRDefault="00626B12" w:rsidP="0070514B">
            <w:pPr>
              <w:pStyle w:val="TableText"/>
            </w:pPr>
            <w:r>
              <w:t>The event would be extremely unlikely to occur</w:t>
            </w:r>
          </w:p>
        </w:tc>
        <w:tc>
          <w:tcPr>
            <w:tcW w:w="1667" w:type="pct"/>
          </w:tcPr>
          <w:p w14:paraId="4A247472" w14:textId="77777777" w:rsidR="00626B12" w:rsidRDefault="00626B12" w:rsidP="0070514B">
            <w:pPr>
              <w:pStyle w:val="TableText"/>
            </w:pPr>
            <w:r>
              <w:t>0.000001 &lt; P ≤ 0.001</w:t>
            </w:r>
          </w:p>
        </w:tc>
      </w:tr>
      <w:tr w:rsidR="00626B12" w14:paraId="08D221B4" w14:textId="77777777" w:rsidTr="0070514B">
        <w:tc>
          <w:tcPr>
            <w:tcW w:w="1051" w:type="pct"/>
          </w:tcPr>
          <w:p w14:paraId="12A23710" w14:textId="77777777" w:rsidR="00626B12" w:rsidRDefault="00626B12" w:rsidP="0070514B">
            <w:pPr>
              <w:pStyle w:val="TableText"/>
            </w:pPr>
            <w:r>
              <w:t>Negligible</w:t>
            </w:r>
          </w:p>
        </w:tc>
        <w:tc>
          <w:tcPr>
            <w:tcW w:w="2282" w:type="pct"/>
          </w:tcPr>
          <w:p w14:paraId="74272C90" w14:textId="77777777" w:rsidR="00626B12" w:rsidRDefault="00626B12" w:rsidP="0070514B">
            <w:pPr>
              <w:pStyle w:val="TableText"/>
            </w:pPr>
            <w:r>
              <w:t>The event would almost certainly not occur</w:t>
            </w:r>
          </w:p>
        </w:tc>
        <w:tc>
          <w:tcPr>
            <w:tcW w:w="1667" w:type="pct"/>
          </w:tcPr>
          <w:p w14:paraId="1DE582A8" w14:textId="77777777" w:rsidR="00626B12" w:rsidRDefault="00626B12" w:rsidP="0070514B">
            <w:pPr>
              <w:pStyle w:val="TableText"/>
            </w:pPr>
            <w:r>
              <w:t>0 &lt; P ≤ 0.000001</w:t>
            </w:r>
          </w:p>
        </w:tc>
      </w:tr>
    </w:tbl>
    <w:p w14:paraId="0063B27D" w14:textId="77777777" w:rsidR="00626B12" w:rsidRDefault="00626B12" w:rsidP="00BB0A0A">
      <w:pPr>
        <w:pStyle w:val="Heading4"/>
      </w:pPr>
      <w:r>
        <w:t>Determining the likelihood of entry, establishment and spread</w:t>
      </w:r>
    </w:p>
    <w:p w14:paraId="0BC30C74" w14:textId="0A85B782" w:rsidR="00626B12" w:rsidRDefault="00626B12" w:rsidP="00626B12">
      <w:r w:rsidRPr="00626B12">
        <w:t>The likelihood of entry</w:t>
      </w:r>
      <w:r w:rsidR="009E253B">
        <w:t xml:space="preserve"> (E)</w:t>
      </w:r>
      <w:r w:rsidRPr="00626B12">
        <w:t xml:space="preserve"> is determined by combining the likelihood</w:t>
      </w:r>
      <w:r w:rsidR="009E253B">
        <w:t>s</w:t>
      </w:r>
      <w:r w:rsidRPr="00626B12">
        <w:t xml:space="preserve"> that the pest will be </w:t>
      </w:r>
      <w:r w:rsidR="009E253B">
        <w:t xml:space="preserve">both </w:t>
      </w:r>
      <w:r w:rsidRPr="00626B12">
        <w:t xml:space="preserve">imported </w:t>
      </w:r>
      <w:r w:rsidR="009E253B">
        <w:t>and</w:t>
      </w:r>
      <w:r w:rsidRPr="00626B12">
        <w:t xml:space="preserve"> distributed </w:t>
      </w:r>
      <w:r w:rsidR="009E253B">
        <w:t xml:space="preserve">into and </w:t>
      </w:r>
      <w:r w:rsidRPr="00626B12">
        <w:t xml:space="preserve">within the PRA area, using a </w:t>
      </w:r>
      <w:r w:rsidR="009E253B">
        <w:t xml:space="preserve">combinatorial assessment </w:t>
      </w:r>
      <w:r w:rsidRPr="00626B12">
        <w:t>matrix (</w:t>
      </w:r>
      <w:r w:rsidR="00211A93">
        <w:t xml:space="preserve">Table </w:t>
      </w:r>
      <w:r>
        <w:t>2.</w:t>
      </w:r>
      <w:r w:rsidR="00211A93">
        <w:t>2</w:t>
      </w:r>
      <w:r w:rsidRPr="00626B12">
        <w:t xml:space="preserve">). This </w:t>
      </w:r>
      <w:r w:rsidR="009E253B">
        <w:t xml:space="preserve">same </w:t>
      </w:r>
      <w:r w:rsidRPr="00626B12">
        <w:t xml:space="preserve">matrix is then used to </w:t>
      </w:r>
      <w:r w:rsidR="009E253B">
        <w:t xml:space="preserve">further </w:t>
      </w:r>
      <w:r w:rsidRPr="00626B12">
        <w:t>combine the likelihood</w:t>
      </w:r>
      <w:r w:rsidR="009E253B">
        <w:t>s</w:t>
      </w:r>
      <w:r w:rsidRPr="00626B12">
        <w:t xml:space="preserve"> of entry and establishment</w:t>
      </w:r>
      <w:r w:rsidR="002E3317">
        <w:t>; finally</w:t>
      </w:r>
      <w:r w:rsidRPr="00626B12">
        <w:t xml:space="preserve"> the </w:t>
      </w:r>
      <w:r w:rsidR="002E3317">
        <w:t xml:space="preserve">combined </w:t>
      </w:r>
      <w:r w:rsidRPr="00626B12">
        <w:t>likelihood</w:t>
      </w:r>
      <w:r w:rsidR="002E3317">
        <w:t>s</w:t>
      </w:r>
      <w:r w:rsidRPr="00626B12">
        <w:t xml:space="preserve"> of entry and establishment</w:t>
      </w:r>
      <w:r w:rsidR="002E3317">
        <w:t xml:space="preserve"> (EE) are</w:t>
      </w:r>
      <w:r w:rsidRPr="00626B12">
        <w:t xml:space="preserve"> then combined with the likelihood of spread to determine the overall likelihood of entry, establishment and spread</w:t>
      </w:r>
      <w:r w:rsidR="009E253B">
        <w:t xml:space="preserve"> (EES)</w:t>
      </w:r>
      <w:r w:rsidRPr="00626B12">
        <w:t>.</w:t>
      </w:r>
    </w:p>
    <w:p w14:paraId="54C1639B" w14:textId="18995A9F" w:rsidR="00626B12" w:rsidRDefault="00626B12" w:rsidP="00626B12">
      <w:r>
        <w:t xml:space="preserve">For example, for a pest </w:t>
      </w:r>
      <w:r w:rsidR="002E3317">
        <w:t>for which</w:t>
      </w:r>
      <w:r>
        <w:t xml:space="preserve"> the likelihood of importation is estimated to be ‘low’, distribution to be ‘moderate’, establishment to be ‘high’ and spread to be ‘very low’, the overall likelihood of entry, establishment and spread would be calculated as follows:</w:t>
      </w:r>
    </w:p>
    <w:p w14:paraId="1A1712A2" w14:textId="77777777" w:rsidR="00626B12" w:rsidRDefault="00626B12" w:rsidP="00626B12">
      <w:pPr>
        <w:tabs>
          <w:tab w:val="left" w:pos="4536"/>
        </w:tabs>
      </w:pPr>
      <w:r>
        <w:t>importation x distribution = [E]</w:t>
      </w:r>
      <w:r>
        <w:tab/>
      </w:r>
      <w:r>
        <w:rPr>
          <w:b/>
        </w:rPr>
        <w:t xml:space="preserve">low </w:t>
      </w:r>
      <w:r w:rsidRPr="007E6458">
        <w:t>x</w:t>
      </w:r>
      <w:r>
        <w:rPr>
          <w:b/>
        </w:rPr>
        <w:t xml:space="preserve"> moderate </w:t>
      </w:r>
      <w:r w:rsidRPr="007E6458">
        <w:t>=</w:t>
      </w:r>
      <w:r>
        <w:rPr>
          <w:b/>
        </w:rPr>
        <w:t xml:space="preserve"> low</w:t>
      </w:r>
    </w:p>
    <w:p w14:paraId="02329989" w14:textId="77777777" w:rsidR="00626B12" w:rsidRDefault="00626B12" w:rsidP="00626B12">
      <w:pPr>
        <w:tabs>
          <w:tab w:val="left" w:pos="4536"/>
        </w:tabs>
      </w:pPr>
      <w:r>
        <w:t xml:space="preserve">[E] x establishment = [EE] </w:t>
      </w:r>
      <w:r>
        <w:tab/>
      </w:r>
      <w:r>
        <w:rPr>
          <w:b/>
        </w:rPr>
        <w:t xml:space="preserve">low </w:t>
      </w:r>
      <w:r w:rsidRPr="007E6458">
        <w:t>x</w:t>
      </w:r>
      <w:r>
        <w:rPr>
          <w:b/>
        </w:rPr>
        <w:t xml:space="preserve"> high </w:t>
      </w:r>
      <w:r w:rsidRPr="007E6458">
        <w:t>=</w:t>
      </w:r>
      <w:r>
        <w:rPr>
          <w:b/>
        </w:rPr>
        <w:t xml:space="preserve"> low</w:t>
      </w:r>
    </w:p>
    <w:p w14:paraId="6A38D796" w14:textId="77777777" w:rsidR="00626B12" w:rsidRDefault="00626B12" w:rsidP="00626B12">
      <w:pPr>
        <w:tabs>
          <w:tab w:val="left" w:pos="4536"/>
        </w:tabs>
        <w:rPr>
          <w:b/>
        </w:rPr>
      </w:pPr>
      <w:r>
        <w:t xml:space="preserve">[EE] x spread = [EES] </w:t>
      </w:r>
      <w:r>
        <w:tab/>
      </w:r>
      <w:r>
        <w:rPr>
          <w:b/>
        </w:rPr>
        <w:t xml:space="preserve">low </w:t>
      </w:r>
      <w:r w:rsidRPr="007E6458">
        <w:t>x</w:t>
      </w:r>
      <w:r>
        <w:rPr>
          <w:b/>
        </w:rPr>
        <w:t xml:space="preserve"> very low </w:t>
      </w:r>
      <w:r w:rsidRPr="007E6458">
        <w:t>=</w:t>
      </w:r>
      <w:r>
        <w:rPr>
          <w:b/>
        </w:rPr>
        <w:t xml:space="preserve"> very low</w:t>
      </w:r>
    </w:p>
    <w:p w14:paraId="21B385E4" w14:textId="1488E4F1" w:rsidR="00626B12" w:rsidRDefault="00211A93" w:rsidP="00626B12">
      <w:pPr>
        <w:pStyle w:val="Caption"/>
      </w:pPr>
      <w:bookmarkStart w:id="62" w:name="_Toc501716546"/>
      <w:r>
        <w:t>Table</w:t>
      </w:r>
      <w:r w:rsidR="00626B12">
        <w:t xml:space="preserve"> </w:t>
      </w:r>
      <w:r w:rsidR="00626B12">
        <w:rPr>
          <w:noProof/>
        </w:rPr>
        <w:t>2</w:t>
      </w:r>
      <w:r w:rsidR="00626B12">
        <w:t>.</w:t>
      </w:r>
      <w:r>
        <w:t>2</w:t>
      </w:r>
      <w:r w:rsidR="00626B12">
        <w:t xml:space="preserve"> </w:t>
      </w:r>
      <w:r w:rsidR="002E3317">
        <w:t>Assessment m</w:t>
      </w:r>
      <w:r w:rsidR="00626B12">
        <w:t>atrix of rules for combining likelihoods</w:t>
      </w:r>
      <w:bookmarkEnd w:id="62"/>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top w:w="57" w:type="dxa"/>
          <w:left w:w="115" w:type="dxa"/>
          <w:bottom w:w="57" w:type="dxa"/>
          <w:right w:w="115" w:type="dxa"/>
        </w:tblCellMar>
        <w:tblLook w:val="0020" w:firstRow="1" w:lastRow="0" w:firstColumn="0" w:lastColumn="0" w:noHBand="0" w:noVBand="0"/>
      </w:tblPr>
      <w:tblGrid>
        <w:gridCol w:w="1194"/>
        <w:gridCol w:w="1126"/>
        <w:gridCol w:w="1379"/>
        <w:gridCol w:w="1242"/>
        <w:gridCol w:w="1379"/>
        <w:gridCol w:w="1421"/>
        <w:gridCol w:w="1309"/>
      </w:tblGrid>
      <w:tr w:rsidR="00626B12" w14:paraId="76CD5453" w14:textId="77777777" w:rsidTr="0070514B">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7F2431A0" w14:textId="77777777" w:rsidR="00626B12" w:rsidRDefault="00626B12" w:rsidP="0070514B">
            <w:pPr>
              <w:pStyle w:val="TableText"/>
            </w:pPr>
          </w:p>
        </w:tc>
        <w:tc>
          <w:tcPr>
            <w:tcW w:w="622" w:type="pct"/>
            <w:tcBorders>
              <w:top w:val="single" w:sz="8" w:space="0" w:color="auto"/>
              <w:left w:val="nil"/>
              <w:bottom w:val="single" w:sz="8" w:space="0" w:color="C0C0C0"/>
            </w:tcBorders>
            <w:shd w:val="clear" w:color="auto" w:fill="auto"/>
          </w:tcPr>
          <w:p w14:paraId="2A90B100" w14:textId="77777777" w:rsidR="00626B12" w:rsidRPr="00BF3BFE" w:rsidRDefault="00626B12" w:rsidP="0070514B">
            <w:pPr>
              <w:pStyle w:val="TableText"/>
              <w:rPr>
                <w:b/>
              </w:rPr>
            </w:pPr>
            <w:r w:rsidRPr="00BF3BFE">
              <w:rPr>
                <w:b/>
              </w:rPr>
              <w:t>High</w:t>
            </w:r>
          </w:p>
        </w:tc>
        <w:tc>
          <w:tcPr>
            <w:tcW w:w="762" w:type="pct"/>
            <w:tcBorders>
              <w:top w:val="single" w:sz="8" w:space="0" w:color="auto"/>
              <w:bottom w:val="single" w:sz="8" w:space="0" w:color="C0C0C0"/>
            </w:tcBorders>
            <w:shd w:val="clear" w:color="auto" w:fill="auto"/>
          </w:tcPr>
          <w:p w14:paraId="0BE319CE" w14:textId="77777777" w:rsidR="00626B12" w:rsidRPr="00BF3BFE" w:rsidRDefault="00626B12" w:rsidP="0070514B">
            <w:pPr>
              <w:pStyle w:val="TableText"/>
              <w:rPr>
                <w:b/>
              </w:rPr>
            </w:pPr>
            <w:r w:rsidRPr="00BF3BFE">
              <w:rPr>
                <w:b/>
              </w:rPr>
              <w:t>Moderate</w:t>
            </w:r>
          </w:p>
        </w:tc>
        <w:tc>
          <w:tcPr>
            <w:tcW w:w="686" w:type="pct"/>
            <w:tcBorders>
              <w:top w:val="single" w:sz="8" w:space="0" w:color="auto"/>
              <w:bottom w:val="single" w:sz="8" w:space="0" w:color="C0C0C0"/>
            </w:tcBorders>
            <w:shd w:val="clear" w:color="auto" w:fill="auto"/>
          </w:tcPr>
          <w:p w14:paraId="2261AE48" w14:textId="77777777" w:rsidR="00626B12" w:rsidRPr="00BF3BFE" w:rsidRDefault="00626B12" w:rsidP="0070514B">
            <w:pPr>
              <w:pStyle w:val="TableText"/>
              <w:rPr>
                <w:b/>
              </w:rPr>
            </w:pPr>
            <w:r w:rsidRPr="00BF3BFE">
              <w:rPr>
                <w:b/>
              </w:rPr>
              <w:t>Low</w:t>
            </w:r>
          </w:p>
        </w:tc>
        <w:tc>
          <w:tcPr>
            <w:tcW w:w="762" w:type="pct"/>
            <w:tcBorders>
              <w:top w:val="single" w:sz="8" w:space="0" w:color="auto"/>
              <w:bottom w:val="single" w:sz="8" w:space="0" w:color="C0C0C0"/>
            </w:tcBorders>
            <w:shd w:val="clear" w:color="auto" w:fill="auto"/>
          </w:tcPr>
          <w:p w14:paraId="1867CDB6" w14:textId="77777777" w:rsidR="00626B12" w:rsidRPr="00BF3BFE" w:rsidRDefault="00626B12" w:rsidP="0070514B">
            <w:pPr>
              <w:pStyle w:val="TableText"/>
              <w:rPr>
                <w:b/>
              </w:rPr>
            </w:pPr>
            <w:r w:rsidRPr="00BF3BFE">
              <w:rPr>
                <w:b/>
              </w:rPr>
              <w:t>Very low</w:t>
            </w:r>
          </w:p>
        </w:tc>
        <w:tc>
          <w:tcPr>
            <w:tcW w:w="785" w:type="pct"/>
            <w:tcBorders>
              <w:top w:val="single" w:sz="8" w:space="0" w:color="auto"/>
              <w:bottom w:val="single" w:sz="8" w:space="0" w:color="C0C0C0"/>
            </w:tcBorders>
            <w:shd w:val="clear" w:color="auto" w:fill="auto"/>
          </w:tcPr>
          <w:p w14:paraId="614B7284" w14:textId="77777777" w:rsidR="00626B12" w:rsidRPr="00BF3BFE" w:rsidRDefault="00626B12" w:rsidP="0070514B">
            <w:pPr>
              <w:pStyle w:val="TableText"/>
              <w:rPr>
                <w:b/>
              </w:rPr>
            </w:pPr>
            <w:r w:rsidRPr="00BF3BFE">
              <w:rPr>
                <w:b/>
              </w:rPr>
              <w:t>Extremely low</w:t>
            </w:r>
          </w:p>
        </w:tc>
        <w:tc>
          <w:tcPr>
            <w:tcW w:w="723" w:type="pct"/>
            <w:tcBorders>
              <w:top w:val="single" w:sz="8" w:space="0" w:color="auto"/>
              <w:bottom w:val="single" w:sz="8" w:space="0" w:color="C0C0C0"/>
              <w:right w:val="single" w:sz="8" w:space="0" w:color="auto"/>
            </w:tcBorders>
            <w:shd w:val="clear" w:color="auto" w:fill="auto"/>
          </w:tcPr>
          <w:p w14:paraId="26752306" w14:textId="77777777" w:rsidR="00626B12" w:rsidRPr="00BF3BFE" w:rsidRDefault="00626B12" w:rsidP="0070514B">
            <w:pPr>
              <w:pStyle w:val="TableText"/>
              <w:rPr>
                <w:b/>
              </w:rPr>
            </w:pPr>
            <w:r w:rsidRPr="00BF3BFE">
              <w:rPr>
                <w:b/>
              </w:rPr>
              <w:t>Negligible</w:t>
            </w:r>
          </w:p>
        </w:tc>
      </w:tr>
      <w:tr w:rsidR="00626B12" w14:paraId="687FDA46" w14:textId="77777777" w:rsidTr="0070514B">
        <w:trPr>
          <w:cantSplit/>
        </w:trPr>
        <w:tc>
          <w:tcPr>
            <w:tcW w:w="660" w:type="pct"/>
            <w:tcBorders>
              <w:top w:val="nil"/>
              <w:left w:val="single" w:sz="8" w:space="0" w:color="auto"/>
              <w:bottom w:val="single" w:sz="8" w:space="0" w:color="C0C0C0"/>
            </w:tcBorders>
            <w:vAlign w:val="center"/>
          </w:tcPr>
          <w:p w14:paraId="3E28E85E" w14:textId="77777777" w:rsidR="00626B12" w:rsidRPr="00BF3BFE" w:rsidRDefault="00626B12" w:rsidP="0070514B">
            <w:pPr>
              <w:pStyle w:val="TableText"/>
              <w:rPr>
                <w:b/>
              </w:rPr>
            </w:pPr>
            <w:r w:rsidRPr="00BF3BFE">
              <w:rPr>
                <w:b/>
              </w:rPr>
              <w:t>High</w:t>
            </w:r>
          </w:p>
        </w:tc>
        <w:tc>
          <w:tcPr>
            <w:tcW w:w="622" w:type="pct"/>
            <w:tcBorders>
              <w:top w:val="single" w:sz="8" w:space="0" w:color="C0C0C0"/>
              <w:bottom w:val="single" w:sz="8" w:space="0" w:color="C0C0C0"/>
            </w:tcBorders>
            <w:shd w:val="clear" w:color="auto" w:fill="FF99CC"/>
            <w:vAlign w:val="center"/>
          </w:tcPr>
          <w:p w14:paraId="42672D7F" w14:textId="77777777" w:rsidR="00626B12" w:rsidRDefault="00626B12" w:rsidP="0070514B">
            <w:pPr>
              <w:pStyle w:val="TableText"/>
              <w:rPr>
                <w:snapToGrid w:val="0"/>
              </w:rPr>
            </w:pPr>
            <w:r>
              <w:rPr>
                <w:snapToGrid w:val="0"/>
              </w:rPr>
              <w:t>High</w:t>
            </w:r>
          </w:p>
        </w:tc>
        <w:tc>
          <w:tcPr>
            <w:tcW w:w="762" w:type="pct"/>
            <w:tcBorders>
              <w:top w:val="single" w:sz="8" w:space="0" w:color="C0C0C0"/>
            </w:tcBorders>
            <w:shd w:val="clear" w:color="auto" w:fill="FFCC99"/>
            <w:vAlign w:val="center"/>
          </w:tcPr>
          <w:p w14:paraId="0B4948B1" w14:textId="77777777" w:rsidR="00626B12" w:rsidRDefault="00626B12" w:rsidP="0070514B">
            <w:pPr>
              <w:pStyle w:val="TableText"/>
              <w:rPr>
                <w:snapToGrid w:val="0"/>
              </w:rPr>
            </w:pPr>
            <w:r>
              <w:rPr>
                <w:snapToGrid w:val="0"/>
              </w:rPr>
              <w:t>Moderate</w:t>
            </w:r>
          </w:p>
        </w:tc>
        <w:tc>
          <w:tcPr>
            <w:tcW w:w="686" w:type="pct"/>
            <w:tcBorders>
              <w:top w:val="single" w:sz="8" w:space="0" w:color="C0C0C0"/>
            </w:tcBorders>
            <w:shd w:val="clear" w:color="auto" w:fill="FFFF99"/>
            <w:vAlign w:val="center"/>
          </w:tcPr>
          <w:p w14:paraId="157662D4" w14:textId="77777777" w:rsidR="00626B12" w:rsidRDefault="00626B12" w:rsidP="0070514B">
            <w:pPr>
              <w:pStyle w:val="TableText"/>
              <w:rPr>
                <w:snapToGrid w:val="0"/>
              </w:rPr>
            </w:pPr>
            <w:r>
              <w:rPr>
                <w:snapToGrid w:val="0"/>
              </w:rPr>
              <w:t>Low</w:t>
            </w:r>
          </w:p>
        </w:tc>
        <w:tc>
          <w:tcPr>
            <w:tcW w:w="762" w:type="pct"/>
            <w:tcBorders>
              <w:top w:val="single" w:sz="8" w:space="0" w:color="C0C0C0"/>
            </w:tcBorders>
            <w:shd w:val="clear" w:color="auto" w:fill="CCFFCC"/>
            <w:vAlign w:val="center"/>
          </w:tcPr>
          <w:p w14:paraId="79BA1F27" w14:textId="77777777" w:rsidR="00626B12" w:rsidRDefault="00626B12" w:rsidP="0070514B">
            <w:pPr>
              <w:pStyle w:val="TableText"/>
              <w:rPr>
                <w:snapToGrid w:val="0"/>
              </w:rPr>
            </w:pPr>
            <w:r>
              <w:rPr>
                <w:snapToGrid w:val="0"/>
              </w:rPr>
              <w:t>Very low</w:t>
            </w:r>
          </w:p>
        </w:tc>
        <w:tc>
          <w:tcPr>
            <w:tcW w:w="785" w:type="pct"/>
            <w:tcBorders>
              <w:top w:val="single" w:sz="8" w:space="0" w:color="C0C0C0"/>
            </w:tcBorders>
            <w:shd w:val="clear" w:color="auto" w:fill="CCFFFF"/>
            <w:vAlign w:val="center"/>
          </w:tcPr>
          <w:p w14:paraId="744A0796" w14:textId="77777777" w:rsidR="00626B12" w:rsidRDefault="00626B12" w:rsidP="0070514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vAlign w:val="center"/>
          </w:tcPr>
          <w:p w14:paraId="5711FF66" w14:textId="77777777" w:rsidR="00626B12" w:rsidRDefault="00626B12" w:rsidP="0070514B">
            <w:pPr>
              <w:pStyle w:val="TableText"/>
              <w:rPr>
                <w:snapToGrid w:val="0"/>
              </w:rPr>
            </w:pPr>
            <w:r>
              <w:rPr>
                <w:snapToGrid w:val="0"/>
              </w:rPr>
              <w:t>Negligible</w:t>
            </w:r>
          </w:p>
        </w:tc>
      </w:tr>
      <w:tr w:rsidR="00626B12" w14:paraId="59DD4D7E" w14:textId="77777777" w:rsidTr="0070514B">
        <w:trPr>
          <w:cantSplit/>
        </w:trPr>
        <w:tc>
          <w:tcPr>
            <w:tcW w:w="1282" w:type="pct"/>
            <w:gridSpan w:val="2"/>
            <w:tcBorders>
              <w:top w:val="single" w:sz="8" w:space="0" w:color="C0C0C0"/>
              <w:left w:val="single" w:sz="8" w:space="0" w:color="auto"/>
              <w:bottom w:val="single" w:sz="8" w:space="0" w:color="C0C0C0"/>
            </w:tcBorders>
            <w:vAlign w:val="center"/>
          </w:tcPr>
          <w:p w14:paraId="0BE590B1" w14:textId="77777777" w:rsidR="00626B12" w:rsidRPr="00BF3BFE" w:rsidRDefault="00626B12" w:rsidP="0070514B">
            <w:pPr>
              <w:pStyle w:val="TableText"/>
              <w:rPr>
                <w:b/>
              </w:rPr>
            </w:pPr>
            <w:r w:rsidRPr="00BF3BFE">
              <w:rPr>
                <w:b/>
              </w:rPr>
              <w:t>Moderate</w:t>
            </w:r>
          </w:p>
        </w:tc>
        <w:tc>
          <w:tcPr>
            <w:tcW w:w="762" w:type="pct"/>
            <w:tcBorders>
              <w:bottom w:val="single" w:sz="8" w:space="0" w:color="C0C0C0"/>
            </w:tcBorders>
            <w:shd w:val="clear" w:color="auto" w:fill="FFFF99"/>
            <w:vAlign w:val="center"/>
          </w:tcPr>
          <w:p w14:paraId="00EC80F0" w14:textId="77777777" w:rsidR="00626B12" w:rsidRDefault="00626B12" w:rsidP="0070514B">
            <w:pPr>
              <w:pStyle w:val="TableText"/>
              <w:rPr>
                <w:snapToGrid w:val="0"/>
              </w:rPr>
            </w:pPr>
            <w:r>
              <w:rPr>
                <w:snapToGrid w:val="0"/>
              </w:rPr>
              <w:t>Low</w:t>
            </w:r>
          </w:p>
        </w:tc>
        <w:tc>
          <w:tcPr>
            <w:tcW w:w="686" w:type="pct"/>
            <w:shd w:val="clear" w:color="auto" w:fill="FFFF99"/>
            <w:vAlign w:val="center"/>
          </w:tcPr>
          <w:p w14:paraId="0C1B383B" w14:textId="77777777" w:rsidR="00626B12" w:rsidRDefault="00626B12" w:rsidP="0070514B">
            <w:pPr>
              <w:pStyle w:val="TableText"/>
              <w:rPr>
                <w:snapToGrid w:val="0"/>
              </w:rPr>
            </w:pPr>
            <w:r>
              <w:rPr>
                <w:snapToGrid w:val="0"/>
              </w:rPr>
              <w:t>Low</w:t>
            </w:r>
          </w:p>
        </w:tc>
        <w:tc>
          <w:tcPr>
            <w:tcW w:w="762" w:type="pct"/>
            <w:shd w:val="clear" w:color="auto" w:fill="CCFFCC"/>
            <w:vAlign w:val="center"/>
          </w:tcPr>
          <w:p w14:paraId="0B48D607" w14:textId="77777777" w:rsidR="00626B12" w:rsidRDefault="00626B12" w:rsidP="0070514B">
            <w:pPr>
              <w:pStyle w:val="TableText"/>
              <w:rPr>
                <w:snapToGrid w:val="0"/>
              </w:rPr>
            </w:pPr>
            <w:r>
              <w:rPr>
                <w:snapToGrid w:val="0"/>
              </w:rPr>
              <w:t>Very low</w:t>
            </w:r>
          </w:p>
        </w:tc>
        <w:tc>
          <w:tcPr>
            <w:tcW w:w="785" w:type="pct"/>
            <w:shd w:val="clear" w:color="auto" w:fill="CCFFFF"/>
            <w:vAlign w:val="center"/>
          </w:tcPr>
          <w:p w14:paraId="04477811" w14:textId="77777777" w:rsidR="00626B12" w:rsidRDefault="00626B12" w:rsidP="0070514B">
            <w:pPr>
              <w:pStyle w:val="TableText"/>
              <w:rPr>
                <w:snapToGrid w:val="0"/>
              </w:rPr>
            </w:pPr>
            <w:r>
              <w:rPr>
                <w:snapToGrid w:val="0"/>
              </w:rPr>
              <w:t>Extremely low</w:t>
            </w:r>
          </w:p>
        </w:tc>
        <w:tc>
          <w:tcPr>
            <w:tcW w:w="723" w:type="pct"/>
            <w:tcBorders>
              <w:right w:val="single" w:sz="8" w:space="0" w:color="auto"/>
            </w:tcBorders>
            <w:shd w:val="clear" w:color="auto" w:fill="F2F2F2"/>
            <w:vAlign w:val="center"/>
          </w:tcPr>
          <w:p w14:paraId="44D5D1C5" w14:textId="77777777" w:rsidR="00626B12" w:rsidRDefault="00626B12" w:rsidP="0070514B">
            <w:pPr>
              <w:pStyle w:val="TableText"/>
              <w:rPr>
                <w:snapToGrid w:val="0"/>
              </w:rPr>
            </w:pPr>
            <w:r>
              <w:rPr>
                <w:snapToGrid w:val="0"/>
              </w:rPr>
              <w:t>Negligible</w:t>
            </w:r>
          </w:p>
        </w:tc>
      </w:tr>
      <w:tr w:rsidR="00626B12" w14:paraId="2705BF31" w14:textId="77777777" w:rsidTr="0070514B">
        <w:trPr>
          <w:cantSplit/>
        </w:trPr>
        <w:tc>
          <w:tcPr>
            <w:tcW w:w="2044" w:type="pct"/>
            <w:gridSpan w:val="3"/>
            <w:tcBorders>
              <w:top w:val="single" w:sz="8" w:space="0" w:color="C0C0C0"/>
              <w:left w:val="single" w:sz="8" w:space="0" w:color="auto"/>
              <w:bottom w:val="single" w:sz="8" w:space="0" w:color="C0C0C0"/>
            </w:tcBorders>
            <w:vAlign w:val="center"/>
          </w:tcPr>
          <w:p w14:paraId="19F2B18B" w14:textId="77777777" w:rsidR="00626B12" w:rsidRPr="00BF3BFE" w:rsidRDefault="00626B12" w:rsidP="0070514B">
            <w:pPr>
              <w:pStyle w:val="TableText"/>
              <w:rPr>
                <w:b/>
              </w:rPr>
            </w:pPr>
            <w:r w:rsidRPr="00BF3BFE">
              <w:rPr>
                <w:b/>
              </w:rPr>
              <w:t>Low</w:t>
            </w:r>
          </w:p>
        </w:tc>
        <w:tc>
          <w:tcPr>
            <w:tcW w:w="686" w:type="pct"/>
            <w:tcBorders>
              <w:bottom w:val="single" w:sz="8" w:space="0" w:color="C0C0C0"/>
            </w:tcBorders>
            <w:shd w:val="clear" w:color="auto" w:fill="CCFFCC"/>
            <w:vAlign w:val="center"/>
          </w:tcPr>
          <w:p w14:paraId="0E91E203" w14:textId="77777777" w:rsidR="00626B12" w:rsidRDefault="00626B12" w:rsidP="0070514B">
            <w:pPr>
              <w:pStyle w:val="TableText"/>
              <w:rPr>
                <w:snapToGrid w:val="0"/>
              </w:rPr>
            </w:pPr>
            <w:r>
              <w:rPr>
                <w:snapToGrid w:val="0"/>
              </w:rPr>
              <w:t>Very low</w:t>
            </w:r>
          </w:p>
        </w:tc>
        <w:tc>
          <w:tcPr>
            <w:tcW w:w="762" w:type="pct"/>
            <w:shd w:val="clear" w:color="auto" w:fill="CCFFCC"/>
            <w:vAlign w:val="center"/>
          </w:tcPr>
          <w:p w14:paraId="0D984FA1" w14:textId="77777777" w:rsidR="00626B12" w:rsidRDefault="00626B12" w:rsidP="0070514B">
            <w:pPr>
              <w:pStyle w:val="TableText"/>
              <w:rPr>
                <w:snapToGrid w:val="0"/>
              </w:rPr>
            </w:pPr>
            <w:r>
              <w:rPr>
                <w:snapToGrid w:val="0"/>
              </w:rPr>
              <w:t>Very low</w:t>
            </w:r>
          </w:p>
        </w:tc>
        <w:tc>
          <w:tcPr>
            <w:tcW w:w="785" w:type="pct"/>
            <w:shd w:val="clear" w:color="auto" w:fill="CCFFFF"/>
            <w:vAlign w:val="center"/>
          </w:tcPr>
          <w:p w14:paraId="2733925B" w14:textId="77777777" w:rsidR="00626B12" w:rsidRDefault="00626B12" w:rsidP="0070514B">
            <w:pPr>
              <w:pStyle w:val="TableText"/>
              <w:rPr>
                <w:snapToGrid w:val="0"/>
              </w:rPr>
            </w:pPr>
            <w:r>
              <w:rPr>
                <w:snapToGrid w:val="0"/>
              </w:rPr>
              <w:t>Extremely low</w:t>
            </w:r>
          </w:p>
        </w:tc>
        <w:tc>
          <w:tcPr>
            <w:tcW w:w="723" w:type="pct"/>
            <w:tcBorders>
              <w:right w:val="single" w:sz="8" w:space="0" w:color="auto"/>
            </w:tcBorders>
            <w:shd w:val="clear" w:color="auto" w:fill="F2F2F2"/>
            <w:vAlign w:val="center"/>
          </w:tcPr>
          <w:p w14:paraId="00826FC0" w14:textId="77777777" w:rsidR="00626B12" w:rsidRDefault="00626B12" w:rsidP="0070514B">
            <w:pPr>
              <w:pStyle w:val="TableText"/>
              <w:rPr>
                <w:snapToGrid w:val="0"/>
              </w:rPr>
            </w:pPr>
            <w:r>
              <w:rPr>
                <w:snapToGrid w:val="0"/>
              </w:rPr>
              <w:t>Negligible</w:t>
            </w:r>
          </w:p>
        </w:tc>
      </w:tr>
      <w:tr w:rsidR="00626B12" w14:paraId="4DDFCC51" w14:textId="77777777" w:rsidTr="0070514B">
        <w:trPr>
          <w:cantSplit/>
        </w:trPr>
        <w:tc>
          <w:tcPr>
            <w:tcW w:w="2730" w:type="pct"/>
            <w:gridSpan w:val="4"/>
            <w:tcBorders>
              <w:top w:val="single" w:sz="8" w:space="0" w:color="C0C0C0"/>
              <w:left w:val="single" w:sz="8" w:space="0" w:color="auto"/>
              <w:bottom w:val="single" w:sz="8" w:space="0" w:color="C0C0C0"/>
            </w:tcBorders>
            <w:vAlign w:val="center"/>
          </w:tcPr>
          <w:p w14:paraId="22847540" w14:textId="77777777" w:rsidR="00626B12" w:rsidRPr="00BF3BFE" w:rsidRDefault="00626B12" w:rsidP="0070514B">
            <w:pPr>
              <w:pStyle w:val="TableText"/>
              <w:rPr>
                <w:b/>
              </w:rPr>
            </w:pPr>
            <w:r w:rsidRPr="00BF3BFE">
              <w:rPr>
                <w:b/>
              </w:rPr>
              <w:t>Very low</w:t>
            </w:r>
          </w:p>
        </w:tc>
        <w:tc>
          <w:tcPr>
            <w:tcW w:w="762" w:type="pct"/>
            <w:tcBorders>
              <w:bottom w:val="single" w:sz="8" w:space="0" w:color="C0C0C0"/>
            </w:tcBorders>
            <w:shd w:val="clear" w:color="auto" w:fill="CCFFFF"/>
            <w:vAlign w:val="center"/>
          </w:tcPr>
          <w:p w14:paraId="4E92CAF0" w14:textId="77777777" w:rsidR="00626B12" w:rsidRDefault="00626B12" w:rsidP="0070514B">
            <w:pPr>
              <w:pStyle w:val="TableText"/>
              <w:rPr>
                <w:snapToGrid w:val="0"/>
              </w:rPr>
            </w:pPr>
            <w:r>
              <w:rPr>
                <w:snapToGrid w:val="0"/>
              </w:rPr>
              <w:t>Extremely low</w:t>
            </w:r>
          </w:p>
        </w:tc>
        <w:tc>
          <w:tcPr>
            <w:tcW w:w="785" w:type="pct"/>
            <w:shd w:val="clear" w:color="auto" w:fill="CCFFFF"/>
            <w:vAlign w:val="center"/>
          </w:tcPr>
          <w:p w14:paraId="70804199" w14:textId="77777777" w:rsidR="00626B12" w:rsidRDefault="00626B12" w:rsidP="0070514B">
            <w:pPr>
              <w:pStyle w:val="TableText"/>
              <w:rPr>
                <w:snapToGrid w:val="0"/>
              </w:rPr>
            </w:pPr>
            <w:r>
              <w:rPr>
                <w:snapToGrid w:val="0"/>
              </w:rPr>
              <w:t>Extremely low</w:t>
            </w:r>
          </w:p>
        </w:tc>
        <w:tc>
          <w:tcPr>
            <w:tcW w:w="723" w:type="pct"/>
            <w:tcBorders>
              <w:right w:val="single" w:sz="8" w:space="0" w:color="auto"/>
            </w:tcBorders>
            <w:shd w:val="clear" w:color="auto" w:fill="F2F2F2"/>
            <w:vAlign w:val="center"/>
          </w:tcPr>
          <w:p w14:paraId="03617C07" w14:textId="77777777" w:rsidR="00626B12" w:rsidRDefault="00626B12" w:rsidP="0070514B">
            <w:pPr>
              <w:pStyle w:val="TableText"/>
              <w:rPr>
                <w:snapToGrid w:val="0"/>
              </w:rPr>
            </w:pPr>
            <w:r>
              <w:rPr>
                <w:snapToGrid w:val="0"/>
              </w:rPr>
              <w:t>Negligible</w:t>
            </w:r>
          </w:p>
        </w:tc>
      </w:tr>
      <w:tr w:rsidR="00626B12" w14:paraId="54C33F41" w14:textId="77777777" w:rsidTr="0070514B">
        <w:trPr>
          <w:cantSplit/>
        </w:trPr>
        <w:tc>
          <w:tcPr>
            <w:tcW w:w="3491" w:type="pct"/>
            <w:gridSpan w:val="5"/>
            <w:tcBorders>
              <w:top w:val="single" w:sz="8" w:space="0" w:color="C0C0C0"/>
              <w:left w:val="single" w:sz="8" w:space="0" w:color="auto"/>
              <w:bottom w:val="single" w:sz="8" w:space="0" w:color="C0C0C0"/>
            </w:tcBorders>
            <w:vAlign w:val="center"/>
          </w:tcPr>
          <w:p w14:paraId="1DAE2CF9" w14:textId="77777777" w:rsidR="00626B12" w:rsidRPr="00BF3BFE" w:rsidRDefault="00626B12" w:rsidP="0070514B">
            <w:pPr>
              <w:pStyle w:val="TableText"/>
              <w:rPr>
                <w:b/>
              </w:rPr>
            </w:pPr>
            <w:r w:rsidRPr="00BF3BFE">
              <w:rPr>
                <w:b/>
              </w:rPr>
              <w:t>Extremely low</w:t>
            </w:r>
          </w:p>
        </w:tc>
        <w:tc>
          <w:tcPr>
            <w:tcW w:w="785" w:type="pct"/>
            <w:tcBorders>
              <w:bottom w:val="single" w:sz="8" w:space="0" w:color="C0C0C0"/>
            </w:tcBorders>
            <w:shd w:val="clear" w:color="auto" w:fill="F2F2F2"/>
            <w:vAlign w:val="center"/>
          </w:tcPr>
          <w:p w14:paraId="3E00155D" w14:textId="77777777" w:rsidR="00626B12" w:rsidRDefault="00626B12" w:rsidP="0070514B">
            <w:pPr>
              <w:pStyle w:val="TableText"/>
              <w:rPr>
                <w:snapToGrid w:val="0"/>
              </w:rPr>
            </w:pPr>
            <w:r>
              <w:rPr>
                <w:snapToGrid w:val="0"/>
              </w:rPr>
              <w:t>Negligible</w:t>
            </w:r>
          </w:p>
        </w:tc>
        <w:tc>
          <w:tcPr>
            <w:tcW w:w="723" w:type="pct"/>
            <w:tcBorders>
              <w:right w:val="single" w:sz="8" w:space="0" w:color="auto"/>
            </w:tcBorders>
            <w:shd w:val="clear" w:color="auto" w:fill="F2F2F2"/>
            <w:vAlign w:val="center"/>
          </w:tcPr>
          <w:p w14:paraId="24406083" w14:textId="77777777" w:rsidR="00626B12" w:rsidRDefault="00626B12" w:rsidP="0070514B">
            <w:pPr>
              <w:pStyle w:val="TableText"/>
              <w:rPr>
                <w:snapToGrid w:val="0"/>
              </w:rPr>
            </w:pPr>
            <w:r>
              <w:rPr>
                <w:snapToGrid w:val="0"/>
              </w:rPr>
              <w:t>Negligible</w:t>
            </w:r>
          </w:p>
        </w:tc>
      </w:tr>
      <w:tr w:rsidR="00626B12" w14:paraId="49002882" w14:textId="77777777" w:rsidTr="0070514B">
        <w:trPr>
          <w:cantSplit/>
        </w:trPr>
        <w:tc>
          <w:tcPr>
            <w:tcW w:w="4277" w:type="pct"/>
            <w:gridSpan w:val="6"/>
            <w:tcBorders>
              <w:top w:val="single" w:sz="8" w:space="0" w:color="C0C0C0"/>
              <w:left w:val="single" w:sz="8" w:space="0" w:color="auto"/>
              <w:bottom w:val="single" w:sz="8" w:space="0" w:color="auto"/>
            </w:tcBorders>
            <w:vAlign w:val="center"/>
          </w:tcPr>
          <w:p w14:paraId="615E8D42" w14:textId="77777777" w:rsidR="00626B12" w:rsidRPr="00BF3BFE" w:rsidRDefault="00626B12" w:rsidP="0070514B">
            <w:pPr>
              <w:pStyle w:val="TableText"/>
              <w:rPr>
                <w:b/>
              </w:rPr>
            </w:pPr>
            <w:r w:rsidRPr="00BF3BFE">
              <w:rPr>
                <w:b/>
              </w:rPr>
              <w:t>Negligible</w:t>
            </w:r>
          </w:p>
        </w:tc>
        <w:tc>
          <w:tcPr>
            <w:tcW w:w="723" w:type="pct"/>
            <w:tcBorders>
              <w:bottom w:val="single" w:sz="8" w:space="0" w:color="auto"/>
              <w:right w:val="single" w:sz="8" w:space="0" w:color="auto"/>
            </w:tcBorders>
            <w:shd w:val="clear" w:color="auto" w:fill="F2F2F2"/>
            <w:vAlign w:val="center"/>
          </w:tcPr>
          <w:p w14:paraId="035E055B" w14:textId="77777777" w:rsidR="00626B12" w:rsidRDefault="00626B12" w:rsidP="0070514B">
            <w:pPr>
              <w:pStyle w:val="TableText"/>
            </w:pPr>
            <w:r>
              <w:rPr>
                <w:snapToGrid w:val="0"/>
              </w:rPr>
              <w:t>Negligible</w:t>
            </w:r>
          </w:p>
        </w:tc>
      </w:tr>
    </w:tbl>
    <w:p w14:paraId="261EE2C3" w14:textId="77777777" w:rsidR="00146544" w:rsidRDefault="00146544" w:rsidP="00BB0A0A">
      <w:pPr>
        <w:pStyle w:val="Heading4"/>
      </w:pPr>
      <w:r>
        <w:t>Time and volume of trade</w:t>
      </w:r>
    </w:p>
    <w:p w14:paraId="09EE1D06" w14:textId="09F83E8E" w:rsidR="00211A93" w:rsidRPr="00211A93" w:rsidRDefault="00211A93" w:rsidP="00211A93">
      <w:r w:rsidRPr="00211A93">
        <w:t xml:space="preserve">One factor affecting the likelihood of entry is the volume and duration of trade. If all other conditions remain the same, the overall likelihood of entry will increase as </w:t>
      </w:r>
      <w:r w:rsidR="002E3317">
        <w:t>trade continues</w:t>
      </w:r>
      <w:r w:rsidRPr="00211A93">
        <w:t xml:space="preserve"> and the overall volume of trade </w:t>
      </w:r>
      <w:r w:rsidR="002E3317">
        <w:t>accumulates</w:t>
      </w:r>
      <w:r w:rsidRPr="00211A93">
        <w:t>.</w:t>
      </w:r>
    </w:p>
    <w:p w14:paraId="0EDC1BEA" w14:textId="77777777" w:rsidR="00211A93" w:rsidRPr="00211A93" w:rsidRDefault="00211A93" w:rsidP="00211A93">
      <w:r w:rsidRPr="00211A93">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2D27A458" w14:textId="0DD17C0E" w:rsidR="00146544" w:rsidRDefault="00211A93" w:rsidP="00211A93">
      <w:r w:rsidRPr="00211A93">
        <w:t>The</w:t>
      </w:r>
      <w:r w:rsidR="0010366D">
        <w:t>se considerations have</w:t>
      </w:r>
      <w:r w:rsidRPr="00211A93">
        <w:t xml:space="preserve"> been taken into account when setting up the matrix</w:t>
      </w:r>
      <w:r w:rsidR="0010366D">
        <w:t xml:space="preserve">. </w:t>
      </w:r>
      <w:r w:rsidR="00257A35">
        <w:t>T</w:t>
      </w:r>
      <w:r w:rsidRPr="00211A93">
        <w: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0E39CA6B" w14:textId="38095016" w:rsidR="0051050A" w:rsidRDefault="0051050A" w:rsidP="00211A93">
      <w:r w:rsidRPr="0051050A">
        <w:t xml:space="preserve">In </w:t>
      </w:r>
      <w:r>
        <w:t>considering</w:t>
      </w:r>
      <w:r w:rsidRPr="0051050A">
        <w:t xml:space="preserve"> the volume of trade in this risk analysis</w:t>
      </w:r>
      <w:r>
        <w:t xml:space="preserve">, the department </w:t>
      </w:r>
      <w:r w:rsidR="00FF170E">
        <w:t>has concluded</w:t>
      </w:r>
      <w:r>
        <w:t xml:space="preserve"> that only a </w:t>
      </w:r>
      <w:r w:rsidR="00FF170E">
        <w:t xml:space="preserve">relatively </w:t>
      </w:r>
      <w:r w:rsidR="00BB1FE4">
        <w:t>low</w:t>
      </w:r>
      <w:r w:rsidRPr="0051050A">
        <w:t xml:space="preserve"> volume of trade </w:t>
      </w:r>
      <w:r w:rsidR="00FF170E">
        <w:t>is likely to</w:t>
      </w:r>
      <w:r w:rsidRPr="0051050A">
        <w:t xml:space="preserve"> occur</w:t>
      </w:r>
      <w:r w:rsidR="00B655DF">
        <w:t>, given the estimated quantities of production in the exporting countries</w:t>
      </w:r>
      <w:r>
        <w:t>.</w:t>
      </w:r>
    </w:p>
    <w:p w14:paraId="64D8909E" w14:textId="77777777" w:rsidR="00146544" w:rsidRDefault="00146544">
      <w:pPr>
        <w:pStyle w:val="Heading3"/>
      </w:pPr>
      <w:r>
        <w:t>Assessment of potential consequences</w:t>
      </w:r>
    </w:p>
    <w:p w14:paraId="6330F6A1" w14:textId="77777777" w:rsidR="00146544" w:rsidRDefault="00146544">
      <w:r>
        <w:t xml:space="preserve">The objective of the consequences assessment is to provide an analysis of the likely consequences if the pests were to enter, establish and spread in Australia. The assessment considers </w:t>
      </w:r>
      <w:r w:rsidR="00FA45A5">
        <w:t xml:space="preserve">potential </w:t>
      </w:r>
      <w:r>
        <w:t>direct and indirect pest effects and their economic and environmental consequences. The requirements for assessing potential consequences are given in Article 5.3 of the SPS Agreement (WTO 1995), ISPM 5 (</w:t>
      </w:r>
      <w:r w:rsidR="00CC1E5B">
        <w:t>FAO 2016</w:t>
      </w:r>
      <w:r>
        <w:t>) and ISPM 11 (FAO 2013).</w:t>
      </w:r>
    </w:p>
    <w:p w14:paraId="68727AA4" w14:textId="138486C2" w:rsidR="00146544" w:rsidRDefault="00146544">
      <w:r>
        <w:t xml:space="preserve">Direct pest effects are considered in the context of the effects on plant life or health, and other aspects of the environment. Indirect pest effects are considered in the context of costs of pest eradication or control, the effects on </w:t>
      </w:r>
      <w:r w:rsidR="002E3317">
        <w:t xml:space="preserve">domestic and international </w:t>
      </w:r>
      <w:r>
        <w:t>trade and the environment. For each of these criteria, the consequences are estimated at four geographic levels: local, district, regional and national.</w:t>
      </w:r>
    </w:p>
    <w:p w14:paraId="0AD7E4F6" w14:textId="77777777" w:rsidR="00146544" w:rsidRDefault="00146544">
      <w:r>
        <w:rPr>
          <w:b/>
        </w:rPr>
        <w:t>Local</w:t>
      </w:r>
      <w:r>
        <w:t>: an aggregate of households or enterprises (a rural community, a town or a local government area).</w:t>
      </w:r>
    </w:p>
    <w:p w14:paraId="17775CC1" w14:textId="77777777" w:rsidR="00146544" w:rsidRDefault="00146544">
      <w:r>
        <w:rPr>
          <w:b/>
        </w:rPr>
        <w:t>District</w:t>
      </w:r>
      <w:r>
        <w:t>: a geographically or geopolitically associated collection of aggregates (generally a recognised section of a state or territory, such as ‘Far North Queensland’).</w:t>
      </w:r>
    </w:p>
    <w:p w14:paraId="592E121B" w14:textId="77777777" w:rsidR="00146544" w:rsidRDefault="00146544">
      <w:r>
        <w:rPr>
          <w:b/>
        </w:rPr>
        <w:t>Regional</w:t>
      </w:r>
      <w:r>
        <w:t>: a geographically or geopolitically associated collection of districts in a geographic area (generally a state or territory, although there may be exceptions with larger states such as Western Australia).</w:t>
      </w:r>
    </w:p>
    <w:p w14:paraId="57798646" w14:textId="77777777" w:rsidR="00146544" w:rsidRDefault="00146544">
      <w:r>
        <w:rPr>
          <w:b/>
        </w:rPr>
        <w:t>National</w:t>
      </w:r>
      <w:r>
        <w:t>: Australia wide (including Tasmania</w:t>
      </w:r>
      <w:r w:rsidR="00827BFA">
        <w:t>, but excluding the external territories</w:t>
      </w:r>
      <w:r>
        <w:t>).</w:t>
      </w:r>
    </w:p>
    <w:p w14:paraId="6C211DEB" w14:textId="77777777" w:rsidR="00146544" w:rsidRDefault="00146544">
      <w:r>
        <w:t>For each criterion, the magnitude of the potential conseq</w:t>
      </w:r>
      <w:r w:rsidR="00FA45A5">
        <w:t>uence at each of these levels i</w:t>
      </w:r>
      <w:r>
        <w:t>s described using four categories, defined as:</w:t>
      </w:r>
    </w:p>
    <w:p w14:paraId="4D85AF31" w14:textId="77777777" w:rsidR="00146544" w:rsidRDefault="00146544">
      <w:r>
        <w:rPr>
          <w:b/>
        </w:rPr>
        <w:t>Indiscernible</w:t>
      </w:r>
      <w:r>
        <w:t>: pest impact unlikely to be noticeable.</w:t>
      </w:r>
    </w:p>
    <w:p w14:paraId="1C9EB728" w14:textId="77777777" w:rsidR="00146544" w:rsidRDefault="00146544">
      <w:r>
        <w:rPr>
          <w:b/>
        </w:rPr>
        <w:t>Minor significance</w:t>
      </w:r>
      <w: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0FE53088" w14:textId="77777777" w:rsidR="00146544" w:rsidRDefault="00146544">
      <w:r>
        <w:rPr>
          <w:b/>
        </w:rPr>
        <w:t>Significant</w:t>
      </w:r>
      <w: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66839151" w14:textId="77777777" w:rsidR="00146544" w:rsidRDefault="00146544">
      <w:r>
        <w:rPr>
          <w:b/>
        </w:rPr>
        <w:t>Major significance</w:t>
      </w:r>
      <w:r>
        <w:t>: expected to threaten the economic viability through a large increase in mortality/morbidity of hosts, or a large decrease in production. Expected to severely or irreversibly damage the intrinsic ‘value’ of non-commercial criteria.</w:t>
      </w:r>
    </w:p>
    <w:p w14:paraId="7C79662A" w14:textId="49568AF8" w:rsidR="00211A93" w:rsidRDefault="00146544">
      <w:r>
        <w:t xml:space="preserve">The estimates of the magnitude of the potential consequences over the four geographic levels are translated into an impact score (A–G) using </w:t>
      </w:r>
      <w:r w:rsidR="00211A93">
        <w:t>Table 2.3</w:t>
      </w:r>
      <w:r>
        <w:t>. For example, a consequence with a magnitude of ‘significant’ at the ‘district’ level will have a consequence impact score of D.</w:t>
      </w:r>
    </w:p>
    <w:p w14:paraId="585165AC" w14:textId="77777777" w:rsidR="00146544" w:rsidRDefault="00211A93">
      <w:pPr>
        <w:pStyle w:val="Caption"/>
      </w:pPr>
      <w:bookmarkStart w:id="63" w:name="_Toc501716547"/>
      <w:bookmarkStart w:id="64" w:name="_Toc384979278"/>
      <w:r>
        <w:t>Table</w:t>
      </w:r>
      <w:r w:rsidR="00146544">
        <w:t xml:space="preserve"> </w:t>
      </w:r>
      <w:r w:rsidR="00146544">
        <w:rPr>
          <w:noProof/>
        </w:rPr>
        <w:t>2</w:t>
      </w:r>
      <w:r w:rsidR="00146544">
        <w:t>.</w:t>
      </w:r>
      <w:r>
        <w:t>3</w:t>
      </w:r>
      <w:r w:rsidR="00146544">
        <w:t xml:space="preserve"> Decision rules for determining the consequence impact scores</w:t>
      </w:r>
      <w:bookmarkEnd w:id="63"/>
      <w:r w:rsidR="00146544">
        <w:t xml:space="preserve"> </w:t>
      </w:r>
      <w:bookmarkEnd w:id="64"/>
    </w:p>
    <w:tbl>
      <w:tblPr>
        <w:tblW w:w="4948" w:type="pct"/>
        <w:tblInd w:w="-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103"/>
        <w:gridCol w:w="1739"/>
        <w:gridCol w:w="1739"/>
        <w:gridCol w:w="1739"/>
        <w:gridCol w:w="1646"/>
      </w:tblGrid>
      <w:tr w:rsidR="00146544" w14:paraId="580E0FBC" w14:textId="77777777" w:rsidTr="00211A93">
        <w:trPr>
          <w:cantSplit/>
        </w:trPr>
        <w:tc>
          <w:tcPr>
            <w:tcW w:w="1172" w:type="pct"/>
            <w:tcBorders>
              <w:top w:val="single" w:sz="4" w:space="0" w:color="000000"/>
              <w:bottom w:val="nil"/>
              <w:right w:val="nil"/>
              <w:tl2br w:val="single" w:sz="4" w:space="0" w:color="BFBFBF"/>
            </w:tcBorders>
            <w:vAlign w:val="bottom"/>
          </w:tcPr>
          <w:p w14:paraId="45B6609C" w14:textId="77777777" w:rsidR="00146544" w:rsidRDefault="00146544">
            <w:pPr>
              <w:pStyle w:val="TableHeading"/>
            </w:pPr>
          </w:p>
        </w:tc>
        <w:tc>
          <w:tcPr>
            <w:tcW w:w="3828" w:type="pct"/>
            <w:gridSpan w:val="4"/>
            <w:tcBorders>
              <w:top w:val="single" w:sz="4" w:space="0" w:color="000000"/>
              <w:left w:val="nil"/>
              <w:bottom w:val="single" w:sz="4" w:space="0" w:color="BFBFBF"/>
              <w:right w:val="single" w:sz="4" w:space="0" w:color="000000"/>
            </w:tcBorders>
          </w:tcPr>
          <w:p w14:paraId="00A51472" w14:textId="77777777" w:rsidR="00146544" w:rsidRDefault="00146544">
            <w:pPr>
              <w:pStyle w:val="TableHeading"/>
              <w:jc w:val="center"/>
            </w:pPr>
            <w:r>
              <w:t>Geographic scale</w:t>
            </w:r>
          </w:p>
        </w:tc>
      </w:tr>
      <w:tr w:rsidR="00146544" w14:paraId="4D54C7E9" w14:textId="77777777" w:rsidTr="00211A93">
        <w:trPr>
          <w:cantSplit/>
        </w:trPr>
        <w:tc>
          <w:tcPr>
            <w:tcW w:w="1172" w:type="pct"/>
            <w:tcBorders>
              <w:top w:val="nil"/>
              <w:bottom w:val="single" w:sz="4" w:space="0" w:color="BFBFBF"/>
              <w:right w:val="single" w:sz="4" w:space="0" w:color="BFBFBF"/>
              <w:tl2br w:val="nil"/>
            </w:tcBorders>
          </w:tcPr>
          <w:p w14:paraId="2E7E9397" w14:textId="77777777" w:rsidR="00146544" w:rsidRDefault="00146544">
            <w:pPr>
              <w:pStyle w:val="TableText"/>
              <w:rPr>
                <w:b/>
              </w:rPr>
            </w:pPr>
            <w:r>
              <w:rPr>
                <w:b/>
              </w:rPr>
              <w:t>Magnitude</w:t>
            </w:r>
          </w:p>
        </w:tc>
        <w:tc>
          <w:tcPr>
            <w:tcW w:w="970" w:type="pct"/>
            <w:tcBorders>
              <w:top w:val="single" w:sz="4" w:space="0" w:color="BFBFBF"/>
              <w:left w:val="single" w:sz="4" w:space="0" w:color="BFBFBF"/>
              <w:bottom w:val="single" w:sz="4" w:space="0" w:color="BFBFBF"/>
            </w:tcBorders>
          </w:tcPr>
          <w:p w14:paraId="48F0C333" w14:textId="77777777" w:rsidR="00146544" w:rsidRDefault="00146544">
            <w:pPr>
              <w:pStyle w:val="TableText"/>
            </w:pPr>
            <w:r>
              <w:t>Local</w:t>
            </w:r>
          </w:p>
        </w:tc>
        <w:tc>
          <w:tcPr>
            <w:tcW w:w="970" w:type="pct"/>
            <w:tcBorders>
              <w:top w:val="single" w:sz="4" w:space="0" w:color="BFBFBF"/>
              <w:bottom w:val="single" w:sz="4" w:space="0" w:color="BFBFBF"/>
            </w:tcBorders>
          </w:tcPr>
          <w:p w14:paraId="577D4FF8" w14:textId="77777777" w:rsidR="00146544" w:rsidRDefault="00146544">
            <w:pPr>
              <w:pStyle w:val="TableText"/>
            </w:pPr>
            <w:r>
              <w:t>District</w:t>
            </w:r>
          </w:p>
        </w:tc>
        <w:tc>
          <w:tcPr>
            <w:tcW w:w="970" w:type="pct"/>
            <w:tcBorders>
              <w:top w:val="single" w:sz="4" w:space="0" w:color="BFBFBF"/>
              <w:bottom w:val="single" w:sz="4" w:space="0" w:color="BFBFBF"/>
            </w:tcBorders>
          </w:tcPr>
          <w:p w14:paraId="7D71D221" w14:textId="77777777" w:rsidR="00146544" w:rsidRDefault="00146544">
            <w:pPr>
              <w:pStyle w:val="TableText"/>
            </w:pPr>
            <w:r>
              <w:t>Region</w:t>
            </w:r>
          </w:p>
        </w:tc>
        <w:tc>
          <w:tcPr>
            <w:tcW w:w="916" w:type="pct"/>
            <w:tcBorders>
              <w:top w:val="single" w:sz="4" w:space="0" w:color="BFBFBF"/>
              <w:bottom w:val="single" w:sz="4" w:space="0" w:color="BFBFBF"/>
              <w:right w:val="single" w:sz="4" w:space="0" w:color="000000"/>
            </w:tcBorders>
          </w:tcPr>
          <w:p w14:paraId="1297318E" w14:textId="77777777" w:rsidR="00146544" w:rsidRDefault="00146544">
            <w:pPr>
              <w:pStyle w:val="TableText"/>
            </w:pPr>
            <w:r>
              <w:t>Nation</w:t>
            </w:r>
          </w:p>
        </w:tc>
      </w:tr>
      <w:tr w:rsidR="00146544" w14:paraId="55CE1180" w14:textId="77777777" w:rsidTr="00211A93">
        <w:trPr>
          <w:cantSplit/>
        </w:trPr>
        <w:tc>
          <w:tcPr>
            <w:tcW w:w="1172" w:type="pct"/>
            <w:tcBorders>
              <w:top w:val="single" w:sz="4" w:space="0" w:color="BFBFBF"/>
              <w:left w:val="single" w:sz="4" w:space="0" w:color="000000"/>
              <w:bottom w:val="single" w:sz="4" w:space="0" w:color="BFBFBF"/>
              <w:right w:val="single" w:sz="4" w:space="0" w:color="BFBFBF"/>
            </w:tcBorders>
            <w:shd w:val="clear" w:color="auto" w:fill="auto"/>
            <w:vAlign w:val="center"/>
          </w:tcPr>
          <w:p w14:paraId="48861FBE" w14:textId="77777777" w:rsidR="00146544" w:rsidRDefault="00146544">
            <w:pPr>
              <w:pStyle w:val="TableText"/>
            </w:pPr>
            <w:r>
              <w:t>Indiscernible</w:t>
            </w:r>
          </w:p>
        </w:tc>
        <w:tc>
          <w:tcPr>
            <w:tcW w:w="970" w:type="pct"/>
            <w:tcBorders>
              <w:top w:val="single" w:sz="4" w:space="0" w:color="BFBFBF"/>
              <w:left w:val="single" w:sz="4" w:space="0" w:color="BFBFBF"/>
              <w:bottom w:val="single" w:sz="4" w:space="0" w:color="BFBFBF"/>
              <w:right w:val="single" w:sz="4" w:space="0" w:color="BFBFBF"/>
            </w:tcBorders>
            <w:shd w:val="clear" w:color="auto" w:fill="F2F2F2"/>
            <w:vAlign w:val="center"/>
          </w:tcPr>
          <w:p w14:paraId="5C7C9DA7" w14:textId="77777777" w:rsidR="00146544" w:rsidRDefault="00146544">
            <w:pPr>
              <w:pStyle w:val="TableText"/>
            </w:pPr>
            <w:r>
              <w:t>A</w:t>
            </w:r>
          </w:p>
        </w:tc>
        <w:tc>
          <w:tcPr>
            <w:tcW w:w="970" w:type="pct"/>
            <w:tcBorders>
              <w:top w:val="single" w:sz="4" w:space="0" w:color="BFBFBF"/>
              <w:left w:val="single" w:sz="4" w:space="0" w:color="BFBFBF"/>
              <w:bottom w:val="single" w:sz="4" w:space="0" w:color="BFBFBF"/>
              <w:right w:val="single" w:sz="4" w:space="0" w:color="BFBFBF"/>
            </w:tcBorders>
            <w:shd w:val="clear" w:color="auto" w:fill="F2F2F2"/>
            <w:vAlign w:val="center"/>
          </w:tcPr>
          <w:p w14:paraId="33B90382" w14:textId="77777777" w:rsidR="00146544" w:rsidRDefault="00146544">
            <w:pPr>
              <w:pStyle w:val="TableText"/>
            </w:pPr>
            <w:r>
              <w:t>A</w:t>
            </w:r>
          </w:p>
        </w:tc>
        <w:tc>
          <w:tcPr>
            <w:tcW w:w="970" w:type="pct"/>
            <w:tcBorders>
              <w:top w:val="single" w:sz="4" w:space="0" w:color="BFBFBF"/>
              <w:left w:val="single" w:sz="4" w:space="0" w:color="BFBFBF"/>
              <w:bottom w:val="single" w:sz="4" w:space="0" w:color="BFBFBF"/>
              <w:right w:val="single" w:sz="4" w:space="0" w:color="BFBFBF"/>
            </w:tcBorders>
            <w:shd w:val="clear" w:color="auto" w:fill="F2F2F2"/>
            <w:vAlign w:val="center"/>
          </w:tcPr>
          <w:p w14:paraId="5BC86505" w14:textId="77777777" w:rsidR="00146544" w:rsidRDefault="00146544">
            <w:pPr>
              <w:pStyle w:val="TableText"/>
            </w:pPr>
            <w:r>
              <w:t>A</w:t>
            </w:r>
          </w:p>
        </w:tc>
        <w:tc>
          <w:tcPr>
            <w:tcW w:w="916" w:type="pct"/>
            <w:tcBorders>
              <w:top w:val="single" w:sz="4" w:space="0" w:color="BFBFBF"/>
              <w:left w:val="single" w:sz="4" w:space="0" w:color="BFBFBF"/>
              <w:bottom w:val="single" w:sz="4" w:space="0" w:color="BFBFBF"/>
              <w:right w:val="single" w:sz="4" w:space="0" w:color="000000"/>
            </w:tcBorders>
            <w:shd w:val="clear" w:color="auto" w:fill="F2F2F2"/>
            <w:vAlign w:val="center"/>
          </w:tcPr>
          <w:p w14:paraId="31D86601" w14:textId="77777777" w:rsidR="00146544" w:rsidRDefault="00146544">
            <w:pPr>
              <w:pStyle w:val="TableText"/>
            </w:pPr>
            <w:r>
              <w:t>A</w:t>
            </w:r>
          </w:p>
        </w:tc>
      </w:tr>
      <w:tr w:rsidR="00146544" w14:paraId="7111B244" w14:textId="77777777" w:rsidTr="00211A93">
        <w:trPr>
          <w:cantSplit/>
        </w:trPr>
        <w:tc>
          <w:tcPr>
            <w:tcW w:w="1172" w:type="pct"/>
            <w:tcBorders>
              <w:top w:val="single" w:sz="4" w:space="0" w:color="BFBFBF"/>
              <w:left w:val="single" w:sz="4" w:space="0" w:color="000000"/>
              <w:bottom w:val="single" w:sz="4" w:space="0" w:color="BFBFBF"/>
              <w:right w:val="single" w:sz="4" w:space="0" w:color="BFBFBF"/>
            </w:tcBorders>
            <w:shd w:val="clear" w:color="auto" w:fill="auto"/>
            <w:vAlign w:val="center"/>
          </w:tcPr>
          <w:p w14:paraId="5D822CDF" w14:textId="77777777" w:rsidR="00146544" w:rsidRDefault="00146544">
            <w:pPr>
              <w:pStyle w:val="TableText"/>
            </w:pPr>
            <w:r>
              <w:t>Minor significance</w:t>
            </w:r>
          </w:p>
        </w:tc>
        <w:tc>
          <w:tcPr>
            <w:tcW w:w="970" w:type="pct"/>
            <w:tcBorders>
              <w:top w:val="single" w:sz="4" w:space="0" w:color="BFBFBF"/>
              <w:left w:val="single" w:sz="4" w:space="0" w:color="BFBFBF"/>
              <w:bottom w:val="single" w:sz="4" w:space="0" w:color="BFBFBF"/>
              <w:right w:val="single" w:sz="4" w:space="0" w:color="BFBFBF"/>
            </w:tcBorders>
            <w:shd w:val="clear" w:color="auto" w:fill="CFE7FD"/>
            <w:vAlign w:val="center"/>
          </w:tcPr>
          <w:p w14:paraId="66004AE4" w14:textId="77777777" w:rsidR="00146544" w:rsidRDefault="00146544">
            <w:pPr>
              <w:pStyle w:val="TableText"/>
              <w:rPr>
                <w:rFonts w:cs="Arial"/>
                <w:snapToGrid w:val="0"/>
                <w:szCs w:val="18"/>
              </w:rPr>
            </w:pPr>
            <w:r>
              <w:rPr>
                <w:rFonts w:cs="Arial"/>
                <w:snapToGrid w:val="0"/>
                <w:szCs w:val="18"/>
              </w:rPr>
              <w:t>B</w:t>
            </w:r>
          </w:p>
        </w:tc>
        <w:tc>
          <w:tcPr>
            <w:tcW w:w="970" w:type="pct"/>
            <w:tcBorders>
              <w:top w:val="single" w:sz="4" w:space="0" w:color="BFBFBF"/>
              <w:left w:val="single" w:sz="4" w:space="0" w:color="BFBFBF"/>
              <w:bottom w:val="single" w:sz="4" w:space="0" w:color="BFBFBF"/>
              <w:right w:val="single" w:sz="4" w:space="0" w:color="BFBFBF"/>
            </w:tcBorders>
            <w:shd w:val="clear" w:color="auto" w:fill="CCFFFF"/>
            <w:vAlign w:val="center"/>
          </w:tcPr>
          <w:p w14:paraId="3445EB8A" w14:textId="77777777" w:rsidR="00146544" w:rsidRDefault="00146544">
            <w:pPr>
              <w:pStyle w:val="TableText"/>
              <w:rPr>
                <w:rFonts w:cs="Arial"/>
                <w:snapToGrid w:val="0"/>
                <w:szCs w:val="18"/>
              </w:rPr>
            </w:pPr>
            <w:r>
              <w:rPr>
                <w:rFonts w:cs="Arial"/>
                <w:snapToGrid w:val="0"/>
                <w:szCs w:val="18"/>
              </w:rPr>
              <w:t>C</w:t>
            </w:r>
          </w:p>
        </w:tc>
        <w:tc>
          <w:tcPr>
            <w:tcW w:w="970" w:type="pct"/>
            <w:tcBorders>
              <w:top w:val="single" w:sz="4" w:space="0" w:color="BFBFBF"/>
              <w:left w:val="single" w:sz="4" w:space="0" w:color="BFBFBF"/>
              <w:bottom w:val="single" w:sz="4" w:space="0" w:color="BFBFBF"/>
              <w:right w:val="single" w:sz="4" w:space="0" w:color="BFBFBF"/>
            </w:tcBorders>
            <w:shd w:val="clear" w:color="auto" w:fill="CCFFCC"/>
          </w:tcPr>
          <w:p w14:paraId="7969D762" w14:textId="77777777" w:rsidR="00146544" w:rsidRDefault="00146544">
            <w:pPr>
              <w:pStyle w:val="TableText"/>
              <w:rPr>
                <w:rFonts w:cs="Arial"/>
                <w:snapToGrid w:val="0"/>
                <w:szCs w:val="18"/>
              </w:rPr>
            </w:pPr>
            <w:r>
              <w:rPr>
                <w:rFonts w:cs="Arial"/>
                <w:snapToGrid w:val="0"/>
                <w:szCs w:val="18"/>
              </w:rPr>
              <w:t>D</w:t>
            </w:r>
          </w:p>
        </w:tc>
        <w:tc>
          <w:tcPr>
            <w:tcW w:w="916" w:type="pct"/>
            <w:tcBorders>
              <w:top w:val="single" w:sz="4" w:space="0" w:color="BFBFBF"/>
              <w:left w:val="single" w:sz="4" w:space="0" w:color="BFBFBF"/>
              <w:bottom w:val="single" w:sz="4" w:space="0" w:color="BFBFBF"/>
              <w:right w:val="single" w:sz="4" w:space="0" w:color="000000"/>
            </w:tcBorders>
            <w:shd w:val="clear" w:color="auto" w:fill="FFFF99"/>
          </w:tcPr>
          <w:p w14:paraId="6C78CB07" w14:textId="77777777" w:rsidR="00146544" w:rsidRDefault="00146544">
            <w:pPr>
              <w:pStyle w:val="TableText"/>
            </w:pPr>
            <w:r>
              <w:t>E</w:t>
            </w:r>
          </w:p>
        </w:tc>
      </w:tr>
      <w:tr w:rsidR="00146544" w14:paraId="11CE03A9" w14:textId="77777777" w:rsidTr="00211A93">
        <w:trPr>
          <w:cantSplit/>
        </w:trPr>
        <w:tc>
          <w:tcPr>
            <w:tcW w:w="1172" w:type="pct"/>
            <w:tcBorders>
              <w:top w:val="single" w:sz="4" w:space="0" w:color="BFBFBF"/>
              <w:left w:val="single" w:sz="4" w:space="0" w:color="000000"/>
              <w:bottom w:val="single" w:sz="4" w:space="0" w:color="BFBFBF"/>
              <w:right w:val="single" w:sz="4" w:space="0" w:color="BFBFBF"/>
            </w:tcBorders>
            <w:shd w:val="clear" w:color="auto" w:fill="auto"/>
            <w:vAlign w:val="center"/>
          </w:tcPr>
          <w:p w14:paraId="4EF0DC1B" w14:textId="77777777" w:rsidR="00146544" w:rsidRDefault="00146544">
            <w:pPr>
              <w:pStyle w:val="TableText"/>
            </w:pPr>
            <w:r>
              <w:t>Significant</w:t>
            </w:r>
          </w:p>
        </w:tc>
        <w:tc>
          <w:tcPr>
            <w:tcW w:w="970" w:type="pct"/>
            <w:tcBorders>
              <w:top w:val="single" w:sz="4" w:space="0" w:color="BFBFBF"/>
              <w:left w:val="single" w:sz="4" w:space="0" w:color="BFBFBF"/>
              <w:bottom w:val="single" w:sz="4" w:space="0" w:color="D9D9D9"/>
              <w:right w:val="single" w:sz="4" w:space="0" w:color="BFBFBF"/>
            </w:tcBorders>
            <w:shd w:val="clear" w:color="auto" w:fill="CCFFFF"/>
            <w:vAlign w:val="center"/>
          </w:tcPr>
          <w:p w14:paraId="0938C5F6" w14:textId="77777777" w:rsidR="00146544" w:rsidRDefault="00146544">
            <w:pPr>
              <w:pStyle w:val="TableText"/>
              <w:rPr>
                <w:rFonts w:cs="Arial"/>
                <w:snapToGrid w:val="0"/>
                <w:szCs w:val="18"/>
              </w:rPr>
            </w:pPr>
            <w:r>
              <w:rPr>
                <w:rFonts w:cs="Arial"/>
                <w:snapToGrid w:val="0"/>
                <w:szCs w:val="18"/>
              </w:rPr>
              <w:t>C</w:t>
            </w:r>
          </w:p>
        </w:tc>
        <w:tc>
          <w:tcPr>
            <w:tcW w:w="970" w:type="pct"/>
            <w:tcBorders>
              <w:top w:val="single" w:sz="4" w:space="0" w:color="BFBFBF"/>
              <w:left w:val="single" w:sz="4" w:space="0" w:color="BFBFBF"/>
              <w:bottom w:val="single" w:sz="4" w:space="0" w:color="D9D9D9"/>
              <w:right w:val="single" w:sz="4" w:space="0" w:color="BFBFBF"/>
            </w:tcBorders>
            <w:shd w:val="clear" w:color="auto" w:fill="CCFFCC"/>
            <w:vAlign w:val="center"/>
          </w:tcPr>
          <w:p w14:paraId="620F3326" w14:textId="77777777" w:rsidR="00146544" w:rsidRDefault="00146544">
            <w:pPr>
              <w:pStyle w:val="TableText"/>
              <w:rPr>
                <w:rFonts w:cs="Arial"/>
                <w:snapToGrid w:val="0"/>
                <w:szCs w:val="18"/>
              </w:rPr>
            </w:pPr>
            <w:r>
              <w:rPr>
                <w:rFonts w:cs="Arial"/>
                <w:snapToGrid w:val="0"/>
                <w:szCs w:val="18"/>
              </w:rPr>
              <w:t>D</w:t>
            </w:r>
          </w:p>
        </w:tc>
        <w:tc>
          <w:tcPr>
            <w:tcW w:w="970" w:type="pct"/>
            <w:tcBorders>
              <w:top w:val="single" w:sz="4" w:space="0" w:color="BFBFBF"/>
              <w:left w:val="single" w:sz="4" w:space="0" w:color="BFBFBF"/>
              <w:bottom w:val="single" w:sz="4" w:space="0" w:color="D9D9D9"/>
              <w:right w:val="single" w:sz="4" w:space="0" w:color="BFBFBF"/>
            </w:tcBorders>
            <w:shd w:val="clear" w:color="auto" w:fill="FFFF99"/>
          </w:tcPr>
          <w:p w14:paraId="7C2A2F43" w14:textId="77777777" w:rsidR="00146544" w:rsidRDefault="00146544">
            <w:pPr>
              <w:pStyle w:val="TableText"/>
            </w:pPr>
            <w:r>
              <w:t>E</w:t>
            </w:r>
          </w:p>
        </w:tc>
        <w:tc>
          <w:tcPr>
            <w:tcW w:w="916" w:type="pct"/>
            <w:tcBorders>
              <w:top w:val="single" w:sz="4" w:space="0" w:color="BFBFBF"/>
              <w:left w:val="single" w:sz="4" w:space="0" w:color="BFBFBF"/>
              <w:bottom w:val="single" w:sz="4" w:space="0" w:color="D9D9D9"/>
              <w:right w:val="single" w:sz="4" w:space="0" w:color="000000"/>
            </w:tcBorders>
            <w:shd w:val="clear" w:color="auto" w:fill="FFCC99"/>
          </w:tcPr>
          <w:p w14:paraId="79642435" w14:textId="77777777" w:rsidR="00146544" w:rsidRDefault="00146544">
            <w:pPr>
              <w:pStyle w:val="TableText"/>
            </w:pPr>
            <w:r>
              <w:t>F</w:t>
            </w:r>
          </w:p>
        </w:tc>
      </w:tr>
      <w:tr w:rsidR="00146544" w14:paraId="0BE449C4" w14:textId="77777777" w:rsidTr="00211A93">
        <w:trPr>
          <w:cantSplit/>
        </w:trPr>
        <w:tc>
          <w:tcPr>
            <w:tcW w:w="1172" w:type="pct"/>
            <w:tcBorders>
              <w:top w:val="single" w:sz="4" w:space="0" w:color="BFBFBF"/>
              <w:left w:val="single" w:sz="4" w:space="0" w:color="000000"/>
              <w:bottom w:val="single" w:sz="4" w:space="0" w:color="000000"/>
              <w:right w:val="single" w:sz="4" w:space="0" w:color="BFBFBF"/>
            </w:tcBorders>
            <w:shd w:val="clear" w:color="auto" w:fill="auto"/>
            <w:vAlign w:val="center"/>
          </w:tcPr>
          <w:p w14:paraId="276F2E5B" w14:textId="77777777" w:rsidR="00146544" w:rsidRDefault="00146544">
            <w:pPr>
              <w:pStyle w:val="TableText"/>
            </w:pPr>
            <w:r>
              <w:t>Major significance</w:t>
            </w:r>
          </w:p>
        </w:tc>
        <w:tc>
          <w:tcPr>
            <w:tcW w:w="970" w:type="pct"/>
            <w:tcBorders>
              <w:top w:val="single" w:sz="4" w:space="0" w:color="D9D9D9"/>
              <w:left w:val="single" w:sz="4" w:space="0" w:color="BFBFBF"/>
              <w:bottom w:val="single" w:sz="4" w:space="0" w:color="000000"/>
              <w:right w:val="single" w:sz="4" w:space="0" w:color="BFBFBF"/>
            </w:tcBorders>
            <w:shd w:val="clear" w:color="auto" w:fill="CCFFCC"/>
            <w:vAlign w:val="center"/>
          </w:tcPr>
          <w:p w14:paraId="6F52293B" w14:textId="77777777" w:rsidR="00146544" w:rsidRDefault="00146544">
            <w:pPr>
              <w:pStyle w:val="TableText"/>
              <w:rPr>
                <w:rFonts w:cs="Arial"/>
                <w:snapToGrid w:val="0"/>
                <w:szCs w:val="18"/>
              </w:rPr>
            </w:pPr>
            <w:r>
              <w:rPr>
                <w:rFonts w:cs="Arial"/>
                <w:snapToGrid w:val="0"/>
                <w:szCs w:val="18"/>
              </w:rPr>
              <w:t>D</w:t>
            </w:r>
          </w:p>
        </w:tc>
        <w:tc>
          <w:tcPr>
            <w:tcW w:w="970" w:type="pct"/>
            <w:tcBorders>
              <w:top w:val="single" w:sz="4" w:space="0" w:color="D9D9D9"/>
              <w:left w:val="single" w:sz="4" w:space="0" w:color="BFBFBF"/>
              <w:bottom w:val="single" w:sz="4" w:space="0" w:color="000000"/>
              <w:right w:val="single" w:sz="4" w:space="0" w:color="BFBFBF"/>
            </w:tcBorders>
            <w:shd w:val="clear" w:color="auto" w:fill="FFFF99"/>
            <w:vAlign w:val="center"/>
          </w:tcPr>
          <w:p w14:paraId="3E04A3E9" w14:textId="77777777" w:rsidR="00146544" w:rsidRDefault="00146544">
            <w:pPr>
              <w:pStyle w:val="TableText"/>
            </w:pPr>
            <w:r>
              <w:rPr>
                <w:rFonts w:cs="Arial"/>
                <w:snapToGrid w:val="0"/>
                <w:szCs w:val="18"/>
              </w:rPr>
              <w:t>E</w:t>
            </w:r>
          </w:p>
        </w:tc>
        <w:tc>
          <w:tcPr>
            <w:tcW w:w="970" w:type="pct"/>
            <w:tcBorders>
              <w:top w:val="single" w:sz="4" w:space="0" w:color="D9D9D9"/>
              <w:left w:val="single" w:sz="4" w:space="0" w:color="BFBFBF"/>
              <w:bottom w:val="single" w:sz="4" w:space="0" w:color="000000"/>
              <w:right w:val="single" w:sz="4" w:space="0" w:color="BFBFBF"/>
            </w:tcBorders>
            <w:shd w:val="clear" w:color="auto" w:fill="FFCC99"/>
            <w:vAlign w:val="center"/>
          </w:tcPr>
          <w:p w14:paraId="5310F5A3" w14:textId="77777777" w:rsidR="00146544" w:rsidRDefault="00146544">
            <w:pPr>
              <w:pStyle w:val="TableText"/>
            </w:pPr>
            <w:r>
              <w:t>F</w:t>
            </w:r>
          </w:p>
        </w:tc>
        <w:tc>
          <w:tcPr>
            <w:tcW w:w="916" w:type="pct"/>
            <w:tcBorders>
              <w:top w:val="single" w:sz="4" w:space="0" w:color="D9D9D9"/>
              <w:left w:val="single" w:sz="4" w:space="0" w:color="BFBFBF"/>
              <w:bottom w:val="single" w:sz="4" w:space="0" w:color="000000"/>
              <w:right w:val="single" w:sz="4" w:space="0" w:color="000000"/>
            </w:tcBorders>
            <w:shd w:val="clear" w:color="auto" w:fill="FF99CC"/>
          </w:tcPr>
          <w:p w14:paraId="4CAC5FCE" w14:textId="77777777" w:rsidR="00146544" w:rsidRDefault="00146544">
            <w:pPr>
              <w:pStyle w:val="TableText"/>
            </w:pPr>
            <w:r>
              <w:t>G</w:t>
            </w:r>
          </w:p>
        </w:tc>
      </w:tr>
    </w:tbl>
    <w:p w14:paraId="4FEE9535" w14:textId="77777777" w:rsidR="00211A93" w:rsidRPr="00211A93" w:rsidRDefault="00211A93" w:rsidP="00211A93">
      <w:pPr>
        <w:spacing w:before="120" w:line="264" w:lineRule="auto"/>
        <w:rPr>
          <w:rFonts w:ascii="Calibri" w:eastAsia="Calibri" w:hAnsi="Calibri" w:cs="Times New Roman"/>
          <w:sz w:val="18"/>
        </w:rPr>
      </w:pPr>
      <w:r w:rsidRPr="00211A93">
        <w:rPr>
          <w:rFonts w:ascii="Calibri" w:eastAsia="Calibri" w:hAnsi="Calibri" w:cs="Times New Roman"/>
          <w:sz w:val="18"/>
        </w:rP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Pr="00211A93">
        <w:rPr>
          <w:rFonts w:ascii="Calibri" w:eastAsia="Calibri" w:hAnsi="Calibri" w:cs="Times New Roman"/>
          <w:sz w:val="18"/>
        </w:rPr>
        <w:noBreakHyphen/>
        <w:t xml:space="preserve">G and a new lowest category A (‘indiscernible’ at all four levels) was added. The rules for combining impacts in Table 2.4 were adjusted accordingly. </w:t>
      </w:r>
    </w:p>
    <w:p w14:paraId="0EDEE427" w14:textId="77777777" w:rsidR="00E170AD" w:rsidRDefault="00211A93" w:rsidP="00E076DA">
      <w:r w:rsidRPr="00211A93">
        <w:t>The overall consequences rating for each pest is determined by combining the qualitative impact scores (A–G) for each direct and indirect consequence using mutually exclusive decision rules (Table 2.4).</w:t>
      </w:r>
    </w:p>
    <w:p w14:paraId="17E3741A" w14:textId="77777777" w:rsidR="00E076DA" w:rsidRDefault="005177B2" w:rsidP="00E076DA">
      <w:pPr>
        <w:pStyle w:val="Caption"/>
      </w:pPr>
      <w:bookmarkStart w:id="65" w:name="_Toc384979279"/>
      <w:bookmarkStart w:id="66" w:name="_Toc501716548"/>
      <w:r>
        <w:t>Table 2.4</w:t>
      </w:r>
      <w:r w:rsidR="00E076DA">
        <w:t xml:space="preserve"> Decision rules for determining the overall consequence rating for each pest</w:t>
      </w:r>
      <w:bookmarkEnd w:id="65"/>
      <w:bookmarkEnd w:id="6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E076DA" w14:paraId="6D167323" w14:textId="77777777" w:rsidTr="0070514B">
        <w:trPr>
          <w:trHeight w:val="414"/>
        </w:trPr>
        <w:tc>
          <w:tcPr>
            <w:tcW w:w="440" w:type="pct"/>
          </w:tcPr>
          <w:p w14:paraId="0BE9CB50" w14:textId="77777777" w:rsidR="00E076DA" w:rsidRDefault="00E076DA" w:rsidP="0070514B">
            <w:pPr>
              <w:pStyle w:val="TableHeading"/>
            </w:pPr>
            <w:r>
              <w:t>Rule</w:t>
            </w:r>
          </w:p>
        </w:tc>
        <w:tc>
          <w:tcPr>
            <w:tcW w:w="3206" w:type="pct"/>
          </w:tcPr>
          <w:p w14:paraId="23296294" w14:textId="77777777" w:rsidR="00E076DA" w:rsidRDefault="00E076DA" w:rsidP="0070514B">
            <w:pPr>
              <w:pStyle w:val="TableHeading"/>
            </w:pPr>
            <w:r>
              <w:t>The impact scores for consequences of direct and indirect criteria</w:t>
            </w:r>
          </w:p>
        </w:tc>
        <w:tc>
          <w:tcPr>
            <w:tcW w:w="1354" w:type="pct"/>
          </w:tcPr>
          <w:p w14:paraId="05B7892F" w14:textId="77777777" w:rsidR="00E076DA" w:rsidRDefault="00E076DA" w:rsidP="0070514B">
            <w:pPr>
              <w:pStyle w:val="TableHeading"/>
            </w:pPr>
            <w:r>
              <w:t>Overall consequence rating</w:t>
            </w:r>
          </w:p>
        </w:tc>
      </w:tr>
      <w:tr w:rsidR="00E076DA" w14:paraId="71719BE4" w14:textId="77777777" w:rsidTr="0070514B">
        <w:trPr>
          <w:trHeight w:val="414"/>
        </w:trPr>
        <w:tc>
          <w:tcPr>
            <w:tcW w:w="440" w:type="pct"/>
          </w:tcPr>
          <w:p w14:paraId="114C0638" w14:textId="77777777" w:rsidR="00E076DA" w:rsidRDefault="00E076DA" w:rsidP="0070514B">
            <w:pPr>
              <w:pStyle w:val="TableText"/>
            </w:pPr>
            <w:r>
              <w:t>1</w:t>
            </w:r>
          </w:p>
        </w:tc>
        <w:tc>
          <w:tcPr>
            <w:tcW w:w="3206" w:type="pct"/>
          </w:tcPr>
          <w:p w14:paraId="2C97599A" w14:textId="00269449" w:rsidR="00E076DA" w:rsidRDefault="00E076DA" w:rsidP="00DA194F">
            <w:pPr>
              <w:pStyle w:val="TableText"/>
            </w:pPr>
            <w:r>
              <w:t>Any criterion has an impact of ‘G’</w:t>
            </w:r>
            <w:r w:rsidR="00DA194F">
              <w:t>,</w:t>
            </w:r>
            <w:r>
              <w:t xml:space="preserve"> or</w:t>
            </w:r>
            <w:r>
              <w:br/>
              <w:t>more than one criterion has an impact of ‘F’</w:t>
            </w:r>
            <w:r w:rsidR="00DA194F">
              <w:t>,</w:t>
            </w:r>
            <w:r>
              <w:t xml:space="preserve"> or</w:t>
            </w:r>
            <w:r>
              <w:br/>
              <w:t>a single criterion has an impact of ‘F’ and each remaining criterion an ‘E’.</w:t>
            </w:r>
          </w:p>
        </w:tc>
        <w:tc>
          <w:tcPr>
            <w:tcW w:w="1354" w:type="pct"/>
          </w:tcPr>
          <w:p w14:paraId="455538D2" w14:textId="77777777" w:rsidR="00E076DA" w:rsidRDefault="00E076DA" w:rsidP="0070514B">
            <w:pPr>
              <w:pStyle w:val="TableText"/>
            </w:pPr>
            <w:r>
              <w:t>Extreme</w:t>
            </w:r>
          </w:p>
        </w:tc>
      </w:tr>
      <w:tr w:rsidR="00E076DA" w14:paraId="7AD3A287" w14:textId="77777777" w:rsidTr="0070514B">
        <w:trPr>
          <w:trHeight w:val="414"/>
        </w:trPr>
        <w:tc>
          <w:tcPr>
            <w:tcW w:w="440" w:type="pct"/>
          </w:tcPr>
          <w:p w14:paraId="2E765E3C" w14:textId="77777777" w:rsidR="00E076DA" w:rsidRDefault="00E076DA" w:rsidP="0070514B">
            <w:pPr>
              <w:pStyle w:val="TableText"/>
            </w:pPr>
            <w:r>
              <w:t>2</w:t>
            </w:r>
          </w:p>
        </w:tc>
        <w:tc>
          <w:tcPr>
            <w:tcW w:w="3206" w:type="pct"/>
          </w:tcPr>
          <w:p w14:paraId="0E09E690" w14:textId="762B61B5" w:rsidR="00E076DA" w:rsidRDefault="00E076DA" w:rsidP="0070514B">
            <w:pPr>
              <w:pStyle w:val="TableText"/>
            </w:pPr>
            <w:r>
              <w:t>A single</w:t>
            </w:r>
            <w:r w:rsidR="00DA194F">
              <w:t xml:space="preserve"> criterion has an impact of ‘F’,</w:t>
            </w:r>
            <w:r>
              <w:t xml:space="preserve"> or</w:t>
            </w:r>
            <w:r>
              <w:br/>
              <w:t>all criteria have an impact of ‘E’.</w:t>
            </w:r>
          </w:p>
        </w:tc>
        <w:tc>
          <w:tcPr>
            <w:tcW w:w="1354" w:type="pct"/>
          </w:tcPr>
          <w:p w14:paraId="2CDECFB8" w14:textId="77777777" w:rsidR="00E076DA" w:rsidRDefault="00E076DA" w:rsidP="0070514B">
            <w:pPr>
              <w:pStyle w:val="TableText"/>
            </w:pPr>
            <w:r>
              <w:t>High</w:t>
            </w:r>
          </w:p>
        </w:tc>
      </w:tr>
      <w:tr w:rsidR="00E076DA" w14:paraId="3D990DBE" w14:textId="77777777" w:rsidTr="0070514B">
        <w:trPr>
          <w:trHeight w:val="414"/>
        </w:trPr>
        <w:tc>
          <w:tcPr>
            <w:tcW w:w="440" w:type="pct"/>
          </w:tcPr>
          <w:p w14:paraId="240F0955" w14:textId="77777777" w:rsidR="00E076DA" w:rsidRDefault="00E076DA" w:rsidP="0070514B">
            <w:pPr>
              <w:pStyle w:val="TableText"/>
            </w:pPr>
            <w:r>
              <w:t>3</w:t>
            </w:r>
          </w:p>
        </w:tc>
        <w:tc>
          <w:tcPr>
            <w:tcW w:w="3206" w:type="pct"/>
          </w:tcPr>
          <w:p w14:paraId="6FE5D81E" w14:textId="0E43A728" w:rsidR="00E076DA" w:rsidRDefault="00E076DA" w:rsidP="00DA194F">
            <w:pPr>
              <w:pStyle w:val="TableText"/>
            </w:pPr>
            <w:r>
              <w:t>One or more criteria have an impact of ‘E’</w:t>
            </w:r>
            <w:r w:rsidR="00DA194F">
              <w:t>,</w:t>
            </w:r>
            <w:r>
              <w:t xml:space="preserve"> or</w:t>
            </w:r>
            <w:r>
              <w:br/>
              <w:t>all criteria have an impact of ‘D’.</w:t>
            </w:r>
          </w:p>
        </w:tc>
        <w:tc>
          <w:tcPr>
            <w:tcW w:w="1354" w:type="pct"/>
          </w:tcPr>
          <w:p w14:paraId="5FA0F9B9" w14:textId="77777777" w:rsidR="00E076DA" w:rsidRDefault="00E076DA" w:rsidP="0070514B">
            <w:pPr>
              <w:pStyle w:val="TableText"/>
            </w:pPr>
            <w:r>
              <w:t>Moderate</w:t>
            </w:r>
          </w:p>
        </w:tc>
      </w:tr>
      <w:tr w:rsidR="00E076DA" w14:paraId="1BC0A48A" w14:textId="77777777" w:rsidTr="0070514B">
        <w:trPr>
          <w:trHeight w:val="414"/>
        </w:trPr>
        <w:tc>
          <w:tcPr>
            <w:tcW w:w="440" w:type="pct"/>
          </w:tcPr>
          <w:p w14:paraId="33B0FC34" w14:textId="77777777" w:rsidR="00E076DA" w:rsidRDefault="00E076DA" w:rsidP="0070514B">
            <w:pPr>
              <w:pStyle w:val="TableText"/>
            </w:pPr>
            <w:r>
              <w:t>4</w:t>
            </w:r>
          </w:p>
        </w:tc>
        <w:tc>
          <w:tcPr>
            <w:tcW w:w="3206" w:type="pct"/>
          </w:tcPr>
          <w:p w14:paraId="27C829FD" w14:textId="6A55D677" w:rsidR="00E076DA" w:rsidRDefault="00E076DA" w:rsidP="00DA194F">
            <w:pPr>
              <w:pStyle w:val="TableText"/>
            </w:pPr>
            <w:r>
              <w:t>One or more criteria have an impact of ‘D’</w:t>
            </w:r>
            <w:r w:rsidR="00DA194F">
              <w:t>,</w:t>
            </w:r>
            <w:r>
              <w:t xml:space="preserve"> or</w:t>
            </w:r>
            <w:r>
              <w:br/>
              <w:t>all criteria have an impact of ‘C’.</w:t>
            </w:r>
          </w:p>
        </w:tc>
        <w:tc>
          <w:tcPr>
            <w:tcW w:w="1354" w:type="pct"/>
          </w:tcPr>
          <w:p w14:paraId="44FF933F" w14:textId="77777777" w:rsidR="00E076DA" w:rsidRDefault="00E076DA" w:rsidP="0070514B">
            <w:pPr>
              <w:pStyle w:val="TableText"/>
            </w:pPr>
            <w:r>
              <w:t>Low</w:t>
            </w:r>
          </w:p>
        </w:tc>
      </w:tr>
      <w:tr w:rsidR="00E076DA" w14:paraId="45D32C9B" w14:textId="77777777" w:rsidTr="0070514B">
        <w:trPr>
          <w:trHeight w:val="414"/>
        </w:trPr>
        <w:tc>
          <w:tcPr>
            <w:tcW w:w="440" w:type="pct"/>
          </w:tcPr>
          <w:p w14:paraId="48751501" w14:textId="77777777" w:rsidR="00E076DA" w:rsidRDefault="00E076DA" w:rsidP="0070514B">
            <w:pPr>
              <w:pStyle w:val="TableText"/>
            </w:pPr>
            <w:r>
              <w:t>5</w:t>
            </w:r>
          </w:p>
        </w:tc>
        <w:tc>
          <w:tcPr>
            <w:tcW w:w="3206" w:type="pct"/>
          </w:tcPr>
          <w:p w14:paraId="4EB39D28" w14:textId="521C9E04" w:rsidR="00E076DA" w:rsidRDefault="00E076DA" w:rsidP="0070514B">
            <w:pPr>
              <w:pStyle w:val="TableText"/>
            </w:pPr>
            <w:r>
              <w:t>One or more</w:t>
            </w:r>
            <w:r w:rsidR="00DA194F">
              <w:t xml:space="preserve"> criteria have an impact of ‘C’,</w:t>
            </w:r>
            <w:r>
              <w:t xml:space="preserve"> or</w:t>
            </w:r>
            <w:r>
              <w:br/>
              <w:t>all criteria have an impact of ‘B’.</w:t>
            </w:r>
          </w:p>
        </w:tc>
        <w:tc>
          <w:tcPr>
            <w:tcW w:w="1354" w:type="pct"/>
          </w:tcPr>
          <w:p w14:paraId="5BA0E08B" w14:textId="77777777" w:rsidR="00E076DA" w:rsidRDefault="00E076DA" w:rsidP="0070514B">
            <w:pPr>
              <w:pStyle w:val="TableText"/>
            </w:pPr>
            <w:r>
              <w:t>Very Low</w:t>
            </w:r>
          </w:p>
        </w:tc>
      </w:tr>
      <w:tr w:rsidR="00E076DA" w14:paraId="07FB7DFD" w14:textId="77777777" w:rsidTr="0070514B">
        <w:trPr>
          <w:trHeight w:val="414"/>
        </w:trPr>
        <w:tc>
          <w:tcPr>
            <w:tcW w:w="440" w:type="pct"/>
          </w:tcPr>
          <w:p w14:paraId="516316AA" w14:textId="77777777" w:rsidR="00E076DA" w:rsidRDefault="00E076DA" w:rsidP="0070514B">
            <w:pPr>
              <w:pStyle w:val="TableText"/>
            </w:pPr>
            <w:r>
              <w:t>6</w:t>
            </w:r>
          </w:p>
        </w:tc>
        <w:tc>
          <w:tcPr>
            <w:tcW w:w="3206" w:type="pct"/>
          </w:tcPr>
          <w:p w14:paraId="61696839" w14:textId="7BD9DB2C" w:rsidR="00E076DA" w:rsidRDefault="00E076DA" w:rsidP="0070514B">
            <w:pPr>
              <w:pStyle w:val="TableText"/>
            </w:pPr>
            <w:r>
              <w:t xml:space="preserve">One or more but not all criteria have </w:t>
            </w:r>
            <w:r w:rsidR="00DA194F">
              <w:t>an impact of ‘B’</w:t>
            </w:r>
            <w:r>
              <w:t xml:space="preserve"> and</w:t>
            </w:r>
            <w:r>
              <w:br/>
              <w:t>all remaining criteria have an impact of ‘A’.</w:t>
            </w:r>
          </w:p>
        </w:tc>
        <w:tc>
          <w:tcPr>
            <w:tcW w:w="1354" w:type="pct"/>
          </w:tcPr>
          <w:p w14:paraId="23D04533" w14:textId="77777777" w:rsidR="00E076DA" w:rsidRDefault="00E076DA" w:rsidP="0070514B">
            <w:pPr>
              <w:pStyle w:val="TableText"/>
            </w:pPr>
            <w:r>
              <w:t>Negligible</w:t>
            </w:r>
          </w:p>
        </w:tc>
      </w:tr>
    </w:tbl>
    <w:p w14:paraId="561CF8D3" w14:textId="77777777" w:rsidR="00E076DA" w:rsidRDefault="00E076DA" w:rsidP="00E076DA">
      <w:pPr>
        <w:pStyle w:val="Heading3"/>
      </w:pPr>
      <w:r>
        <w:t>Estimation of the unrestricted risk</w:t>
      </w:r>
    </w:p>
    <w:p w14:paraId="30828D0C" w14:textId="77777777" w:rsidR="00211A93" w:rsidRDefault="00211A93" w:rsidP="00211A93">
      <w:r>
        <w:t xml:space="preserve">Once the assessment of the likelihood of entry, establishment and spread and for potential consequences are completed, the unrestricted risk can be determined for each pest or </w:t>
      </w:r>
      <w:r w:rsidR="002E3317">
        <w:t xml:space="preserve">for </w:t>
      </w:r>
      <w:r>
        <w:t>groups of pests. This is determined by using a risk estimation matrix (Table 2.5) to combine the estimates of the likelihood of entry, establishment and spread and the overall consequences of pest establishment and spread. Therefore, risk is the product of likelihood and consequence.</w:t>
      </w:r>
    </w:p>
    <w:p w14:paraId="1B69C966" w14:textId="77777777" w:rsidR="00E076DA" w:rsidRDefault="00211A93" w:rsidP="00211A93">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p>
    <w:p w14:paraId="445FFED5" w14:textId="77777777" w:rsidR="00E076DA" w:rsidRDefault="00211A93" w:rsidP="00E076DA">
      <w:pPr>
        <w:pStyle w:val="Caption"/>
        <w:keepNext/>
      </w:pPr>
      <w:bookmarkStart w:id="67" w:name="_Toc384979280"/>
      <w:bookmarkStart w:id="68" w:name="_Toc501716549"/>
      <w:r>
        <w:t>Table 2.5</w:t>
      </w:r>
      <w:r w:rsidR="00E076DA">
        <w:t xml:space="preserve"> Risk estimation matrix</w:t>
      </w:r>
      <w:bookmarkEnd w:id="67"/>
      <w:bookmarkEnd w:id="68"/>
    </w:p>
    <w:tbl>
      <w:tblPr>
        <w:tblW w:w="5000" w:type="pct"/>
        <w:tblLook w:val="0000" w:firstRow="0" w:lastRow="0" w:firstColumn="0" w:lastColumn="0" w:noHBand="0" w:noVBand="0"/>
      </w:tblPr>
      <w:tblGrid>
        <w:gridCol w:w="1438"/>
        <w:gridCol w:w="1270"/>
        <w:gridCol w:w="1270"/>
        <w:gridCol w:w="1272"/>
        <w:gridCol w:w="1270"/>
        <w:gridCol w:w="1270"/>
        <w:gridCol w:w="1270"/>
      </w:tblGrid>
      <w:tr w:rsidR="00E076DA" w14:paraId="599C3BF5" w14:textId="77777777" w:rsidTr="0070514B">
        <w:trPr>
          <w:cantSplit/>
          <w:trHeight w:val="551"/>
        </w:trPr>
        <w:tc>
          <w:tcPr>
            <w:tcW w:w="793" w:type="pct"/>
            <w:vMerge w:val="restart"/>
            <w:tcBorders>
              <w:top w:val="single" w:sz="4" w:space="0" w:color="auto"/>
              <w:left w:val="single" w:sz="4" w:space="0" w:color="auto"/>
              <w:bottom w:val="single" w:sz="4" w:space="0" w:color="BFBFBF"/>
            </w:tcBorders>
            <w:vAlign w:val="bottom"/>
          </w:tcPr>
          <w:p w14:paraId="31C014BC" w14:textId="77777777" w:rsidR="00E076DA" w:rsidRDefault="00E076DA" w:rsidP="0070514B">
            <w:pPr>
              <w:pStyle w:val="TableHeading"/>
            </w:pPr>
            <w:r>
              <w:t>Likelihood of pest entry, establishment and spread</w:t>
            </w:r>
          </w:p>
        </w:tc>
        <w:tc>
          <w:tcPr>
            <w:tcW w:w="4207" w:type="pct"/>
            <w:gridSpan w:val="6"/>
            <w:tcBorders>
              <w:top w:val="single" w:sz="4" w:space="0" w:color="auto"/>
              <w:left w:val="nil"/>
              <w:bottom w:val="single" w:sz="4" w:space="0" w:color="BFBFBF"/>
              <w:right w:val="single" w:sz="4" w:space="0" w:color="auto"/>
            </w:tcBorders>
            <w:shd w:val="clear" w:color="auto" w:fill="auto"/>
            <w:vAlign w:val="bottom"/>
          </w:tcPr>
          <w:p w14:paraId="30E84498" w14:textId="77777777" w:rsidR="00E076DA" w:rsidRDefault="00E076DA" w:rsidP="0070514B">
            <w:pPr>
              <w:pStyle w:val="TableHeading"/>
              <w:jc w:val="center"/>
            </w:pPr>
            <w:r>
              <w:t>Consequences of pest entry, establishment and spread</w:t>
            </w:r>
          </w:p>
        </w:tc>
      </w:tr>
      <w:tr w:rsidR="00E076DA" w14:paraId="32C74B94" w14:textId="77777777" w:rsidTr="0070514B">
        <w:trPr>
          <w:cantSplit/>
        </w:trPr>
        <w:tc>
          <w:tcPr>
            <w:tcW w:w="793" w:type="pct"/>
            <w:vMerge/>
            <w:tcBorders>
              <w:top w:val="single" w:sz="4" w:space="0" w:color="BFBFBF"/>
              <w:left w:val="single" w:sz="4" w:space="0" w:color="auto"/>
              <w:bottom w:val="single" w:sz="4" w:space="0" w:color="BFBFBF"/>
            </w:tcBorders>
          </w:tcPr>
          <w:p w14:paraId="59B4FD72" w14:textId="77777777" w:rsidR="00E076DA" w:rsidRDefault="00E076DA" w:rsidP="0070514B">
            <w:pPr>
              <w:pStyle w:val="TableText"/>
              <w:rPr>
                <w:color w:val="FFFFFF"/>
              </w:rPr>
            </w:pPr>
          </w:p>
        </w:tc>
        <w:tc>
          <w:tcPr>
            <w:tcW w:w="701" w:type="pct"/>
            <w:tcBorders>
              <w:top w:val="single" w:sz="4" w:space="0" w:color="BFBFBF"/>
              <w:left w:val="nil"/>
              <w:bottom w:val="single" w:sz="8" w:space="0" w:color="C0C0C0"/>
            </w:tcBorders>
            <w:shd w:val="clear" w:color="auto" w:fill="auto"/>
            <w:vAlign w:val="bottom"/>
          </w:tcPr>
          <w:p w14:paraId="0F6BD748" w14:textId="77777777" w:rsidR="00E076DA" w:rsidRDefault="00E076DA" w:rsidP="0070514B">
            <w:pPr>
              <w:pStyle w:val="TableText"/>
              <w:rPr>
                <w:b/>
              </w:rPr>
            </w:pPr>
            <w:r>
              <w:rPr>
                <w:b/>
              </w:rPr>
              <w:t xml:space="preserve">Negligible </w:t>
            </w:r>
          </w:p>
        </w:tc>
        <w:tc>
          <w:tcPr>
            <w:tcW w:w="701" w:type="pct"/>
            <w:tcBorders>
              <w:top w:val="single" w:sz="4" w:space="0" w:color="BFBFBF"/>
              <w:bottom w:val="single" w:sz="8" w:space="0" w:color="C0C0C0"/>
            </w:tcBorders>
            <w:shd w:val="clear" w:color="auto" w:fill="auto"/>
            <w:vAlign w:val="bottom"/>
          </w:tcPr>
          <w:p w14:paraId="372EA8F8" w14:textId="77777777" w:rsidR="00E076DA" w:rsidRDefault="00E076DA" w:rsidP="0070514B">
            <w:pPr>
              <w:pStyle w:val="TableText"/>
              <w:rPr>
                <w:b/>
              </w:rPr>
            </w:pPr>
            <w:r>
              <w:rPr>
                <w:b/>
              </w:rPr>
              <w:t>Very low</w:t>
            </w:r>
          </w:p>
        </w:tc>
        <w:tc>
          <w:tcPr>
            <w:tcW w:w="702" w:type="pct"/>
            <w:tcBorders>
              <w:top w:val="single" w:sz="4" w:space="0" w:color="BFBFBF"/>
              <w:bottom w:val="single" w:sz="8" w:space="0" w:color="C0C0C0"/>
            </w:tcBorders>
            <w:shd w:val="clear" w:color="auto" w:fill="auto"/>
            <w:vAlign w:val="bottom"/>
          </w:tcPr>
          <w:p w14:paraId="1414F455" w14:textId="77777777" w:rsidR="00E076DA" w:rsidRDefault="00E076DA" w:rsidP="0070514B">
            <w:pPr>
              <w:pStyle w:val="TableText"/>
              <w:rPr>
                <w:b/>
              </w:rPr>
            </w:pPr>
            <w:r>
              <w:rPr>
                <w:b/>
              </w:rPr>
              <w:t xml:space="preserve">Low </w:t>
            </w:r>
          </w:p>
        </w:tc>
        <w:tc>
          <w:tcPr>
            <w:tcW w:w="701" w:type="pct"/>
            <w:tcBorders>
              <w:top w:val="single" w:sz="4" w:space="0" w:color="BFBFBF"/>
              <w:bottom w:val="single" w:sz="8" w:space="0" w:color="C0C0C0"/>
            </w:tcBorders>
            <w:shd w:val="clear" w:color="auto" w:fill="auto"/>
            <w:vAlign w:val="bottom"/>
          </w:tcPr>
          <w:p w14:paraId="02EE2A3D" w14:textId="77777777" w:rsidR="00E076DA" w:rsidRDefault="00E076DA" w:rsidP="0070514B">
            <w:pPr>
              <w:pStyle w:val="TableText"/>
              <w:rPr>
                <w:b/>
              </w:rPr>
            </w:pPr>
            <w:r>
              <w:rPr>
                <w:b/>
              </w:rPr>
              <w:t>Moderate</w:t>
            </w:r>
          </w:p>
        </w:tc>
        <w:tc>
          <w:tcPr>
            <w:tcW w:w="701" w:type="pct"/>
            <w:tcBorders>
              <w:top w:val="single" w:sz="4" w:space="0" w:color="BFBFBF"/>
              <w:bottom w:val="single" w:sz="8" w:space="0" w:color="C0C0C0"/>
            </w:tcBorders>
            <w:shd w:val="clear" w:color="auto" w:fill="auto"/>
            <w:vAlign w:val="bottom"/>
          </w:tcPr>
          <w:p w14:paraId="05D712F9" w14:textId="77777777" w:rsidR="00E076DA" w:rsidRDefault="00E076DA" w:rsidP="0070514B">
            <w:pPr>
              <w:pStyle w:val="TableText"/>
              <w:rPr>
                <w:b/>
              </w:rPr>
            </w:pPr>
            <w:r>
              <w:rPr>
                <w:b/>
              </w:rPr>
              <w:t>High</w:t>
            </w:r>
          </w:p>
        </w:tc>
        <w:tc>
          <w:tcPr>
            <w:tcW w:w="701" w:type="pct"/>
            <w:tcBorders>
              <w:top w:val="single" w:sz="4" w:space="0" w:color="BFBFBF"/>
              <w:bottom w:val="single" w:sz="8" w:space="0" w:color="C0C0C0"/>
              <w:right w:val="single" w:sz="4" w:space="0" w:color="auto"/>
            </w:tcBorders>
            <w:shd w:val="clear" w:color="auto" w:fill="auto"/>
            <w:vAlign w:val="bottom"/>
          </w:tcPr>
          <w:p w14:paraId="26FF7F67" w14:textId="77777777" w:rsidR="00E076DA" w:rsidRDefault="00E076DA" w:rsidP="0070514B">
            <w:pPr>
              <w:pStyle w:val="TableText"/>
              <w:rPr>
                <w:b/>
              </w:rPr>
            </w:pPr>
            <w:r>
              <w:rPr>
                <w:b/>
              </w:rPr>
              <w:t xml:space="preserve">Extreme </w:t>
            </w:r>
          </w:p>
        </w:tc>
      </w:tr>
      <w:tr w:rsidR="00E076DA" w14:paraId="5101B7EA"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22AB4E10" w14:textId="77777777" w:rsidR="00E076DA" w:rsidRDefault="00E076DA" w:rsidP="0070514B">
            <w:pPr>
              <w:pStyle w:val="TableText"/>
              <w:rPr>
                <w:b/>
              </w:rPr>
            </w:pPr>
            <w:r>
              <w:rPr>
                <w:b/>
              </w:rPr>
              <w:t xml:space="preserve">High </w:t>
            </w:r>
          </w:p>
        </w:tc>
        <w:tc>
          <w:tcPr>
            <w:tcW w:w="701" w:type="pct"/>
            <w:tcBorders>
              <w:top w:val="single" w:sz="4" w:space="0" w:color="D9D9D9"/>
              <w:left w:val="single" w:sz="4" w:space="0" w:color="D9D9D9"/>
              <w:bottom w:val="single" w:sz="8" w:space="0" w:color="C0C0C0"/>
              <w:right w:val="single" w:sz="8" w:space="0" w:color="C0C0C0"/>
            </w:tcBorders>
            <w:shd w:val="clear" w:color="auto" w:fill="F2F2F2"/>
            <w:vAlign w:val="center"/>
          </w:tcPr>
          <w:p w14:paraId="20DE7D1D" w14:textId="77777777" w:rsidR="00E076DA" w:rsidRDefault="00E076DA" w:rsidP="0070514B">
            <w:pPr>
              <w:pStyle w:val="TableText"/>
            </w:pPr>
            <w:r>
              <w:t>Negligible risk</w:t>
            </w:r>
          </w:p>
        </w:tc>
        <w:tc>
          <w:tcPr>
            <w:tcW w:w="701" w:type="pct"/>
            <w:tcBorders>
              <w:top w:val="single" w:sz="4" w:space="0" w:color="D9D9D9"/>
              <w:left w:val="single" w:sz="8" w:space="0" w:color="C0C0C0"/>
              <w:bottom w:val="single" w:sz="8" w:space="0" w:color="C0C0C0"/>
              <w:right w:val="single" w:sz="8" w:space="0" w:color="FF0000"/>
            </w:tcBorders>
            <w:shd w:val="clear" w:color="auto" w:fill="000000"/>
            <w:vAlign w:val="center"/>
          </w:tcPr>
          <w:p w14:paraId="127293B2" w14:textId="77777777" w:rsidR="00E076DA" w:rsidRDefault="00E076DA" w:rsidP="0070514B">
            <w:pPr>
              <w:pStyle w:val="TableText"/>
              <w:rPr>
                <w:color w:val="FFFFFF"/>
              </w:rPr>
            </w:pPr>
            <w:r>
              <w:rPr>
                <w:color w:val="FFFFFF"/>
              </w:rPr>
              <w:t>Very low risk</w:t>
            </w:r>
          </w:p>
        </w:tc>
        <w:tc>
          <w:tcPr>
            <w:tcW w:w="702" w:type="pct"/>
            <w:tcBorders>
              <w:top w:val="single" w:sz="8" w:space="0" w:color="C0C0C0"/>
              <w:left w:val="single" w:sz="8" w:space="0" w:color="FF0000"/>
              <w:bottom w:val="single" w:sz="8" w:space="0" w:color="C0C0C0"/>
              <w:right w:val="single" w:sz="8" w:space="0" w:color="C0C0C0"/>
            </w:tcBorders>
            <w:shd w:val="clear" w:color="auto" w:fill="CCFFCC"/>
            <w:vAlign w:val="center"/>
          </w:tcPr>
          <w:p w14:paraId="5098E0CD" w14:textId="77777777" w:rsidR="00E076DA" w:rsidRDefault="00E076DA" w:rsidP="0070514B">
            <w:pPr>
              <w:pStyle w:val="TableText"/>
            </w:pPr>
            <w:r>
              <w:t>Low risk</w:t>
            </w:r>
          </w:p>
        </w:tc>
        <w:tc>
          <w:tcPr>
            <w:tcW w:w="701" w:type="pct"/>
            <w:tcBorders>
              <w:top w:val="single" w:sz="4" w:space="0" w:color="D9D9D9"/>
              <w:left w:val="single" w:sz="8" w:space="0" w:color="C0C0C0"/>
              <w:bottom w:val="single" w:sz="8" w:space="0" w:color="C0C0C0"/>
              <w:right w:val="single" w:sz="8" w:space="0" w:color="C0C0C0"/>
            </w:tcBorders>
            <w:shd w:val="clear" w:color="auto" w:fill="FFFF99"/>
            <w:vAlign w:val="center"/>
          </w:tcPr>
          <w:p w14:paraId="13F50575" w14:textId="77777777" w:rsidR="00E076DA" w:rsidRDefault="00E076DA" w:rsidP="0070514B">
            <w:pPr>
              <w:pStyle w:val="TableText"/>
            </w:pPr>
            <w:r>
              <w:t>Moderate risk</w:t>
            </w:r>
          </w:p>
        </w:tc>
        <w:tc>
          <w:tcPr>
            <w:tcW w:w="701" w:type="pct"/>
            <w:tcBorders>
              <w:top w:val="single" w:sz="4" w:space="0" w:color="D9D9D9"/>
              <w:left w:val="single" w:sz="8" w:space="0" w:color="C0C0C0"/>
              <w:bottom w:val="single" w:sz="8" w:space="0" w:color="C0C0C0"/>
              <w:right w:val="single" w:sz="8" w:space="0" w:color="C0C0C0"/>
            </w:tcBorders>
            <w:shd w:val="clear" w:color="auto" w:fill="FFCC99"/>
            <w:vAlign w:val="center"/>
          </w:tcPr>
          <w:p w14:paraId="39DF27BB" w14:textId="77777777" w:rsidR="00E076DA" w:rsidRDefault="00E076DA" w:rsidP="0070514B">
            <w:pPr>
              <w:pStyle w:val="TableText"/>
            </w:pPr>
            <w:r>
              <w:t>High risk</w:t>
            </w:r>
          </w:p>
        </w:tc>
        <w:tc>
          <w:tcPr>
            <w:tcW w:w="701" w:type="pct"/>
            <w:tcBorders>
              <w:top w:val="single" w:sz="4" w:space="0" w:color="D9D9D9"/>
              <w:left w:val="single" w:sz="8" w:space="0" w:color="C0C0C0"/>
              <w:bottom w:val="single" w:sz="8" w:space="0" w:color="C0C0C0"/>
              <w:right w:val="single" w:sz="4" w:space="0" w:color="auto"/>
            </w:tcBorders>
            <w:shd w:val="clear" w:color="auto" w:fill="FF99CC"/>
            <w:vAlign w:val="center"/>
          </w:tcPr>
          <w:p w14:paraId="4103FCB0" w14:textId="77777777" w:rsidR="00E076DA" w:rsidRDefault="00E076DA" w:rsidP="0070514B">
            <w:pPr>
              <w:pStyle w:val="TableText"/>
            </w:pPr>
            <w:r>
              <w:t>Extreme risk</w:t>
            </w:r>
          </w:p>
        </w:tc>
      </w:tr>
      <w:tr w:rsidR="00E076DA" w14:paraId="743DC0C8"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49F96CE4" w14:textId="77777777" w:rsidR="00E076DA" w:rsidRDefault="00E076DA" w:rsidP="0070514B">
            <w:pPr>
              <w:pStyle w:val="TableText"/>
              <w:rPr>
                <w:b/>
              </w:rPr>
            </w:pPr>
            <w:r>
              <w:rPr>
                <w:b/>
              </w:rPr>
              <w:t>Moderate</w:t>
            </w:r>
          </w:p>
        </w:tc>
        <w:tc>
          <w:tcPr>
            <w:tcW w:w="701" w:type="pct"/>
            <w:tcBorders>
              <w:top w:val="single" w:sz="8" w:space="0" w:color="C0C0C0"/>
              <w:left w:val="single" w:sz="4" w:space="0" w:color="D9D9D9"/>
              <w:bottom w:val="single" w:sz="8" w:space="0" w:color="C0C0C0"/>
              <w:right w:val="single" w:sz="8" w:space="0" w:color="C0C0C0"/>
            </w:tcBorders>
            <w:shd w:val="clear" w:color="auto" w:fill="F2F2F2"/>
            <w:vAlign w:val="center"/>
          </w:tcPr>
          <w:p w14:paraId="00D33B5A"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FF0000"/>
            </w:tcBorders>
            <w:shd w:val="clear" w:color="auto" w:fill="000000"/>
            <w:vAlign w:val="center"/>
          </w:tcPr>
          <w:p w14:paraId="42989AFA" w14:textId="77777777" w:rsidR="00E076DA" w:rsidRDefault="00E076DA" w:rsidP="0070514B">
            <w:pPr>
              <w:pStyle w:val="TableText"/>
              <w:rPr>
                <w:color w:val="FFFFFF"/>
              </w:rPr>
            </w:pPr>
            <w:r>
              <w:rPr>
                <w:color w:val="FFFFFF"/>
              </w:rPr>
              <w:t>Very low risk</w:t>
            </w:r>
          </w:p>
        </w:tc>
        <w:tc>
          <w:tcPr>
            <w:tcW w:w="702" w:type="pct"/>
            <w:tcBorders>
              <w:top w:val="single" w:sz="8" w:space="0" w:color="C0C0C0"/>
              <w:left w:val="single" w:sz="8" w:space="0" w:color="FF0000"/>
              <w:bottom w:val="single" w:sz="8" w:space="0" w:color="FF0000"/>
              <w:right w:val="single" w:sz="8" w:space="0" w:color="C0C0C0"/>
            </w:tcBorders>
            <w:shd w:val="clear" w:color="auto" w:fill="CCFFCC"/>
            <w:vAlign w:val="center"/>
          </w:tcPr>
          <w:p w14:paraId="737E33E6" w14:textId="77777777" w:rsidR="00E076DA" w:rsidRDefault="00E076DA" w:rsidP="0070514B">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vAlign w:val="center"/>
          </w:tcPr>
          <w:p w14:paraId="4B99E402" w14:textId="77777777" w:rsidR="00E076DA" w:rsidRDefault="00E076DA" w:rsidP="0070514B">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vAlign w:val="center"/>
          </w:tcPr>
          <w:p w14:paraId="69CCF877" w14:textId="77777777" w:rsidR="00E076DA" w:rsidRDefault="00E076DA" w:rsidP="0070514B">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vAlign w:val="center"/>
          </w:tcPr>
          <w:p w14:paraId="7764E1F7" w14:textId="77777777" w:rsidR="00E076DA" w:rsidRDefault="00E076DA" w:rsidP="0070514B">
            <w:pPr>
              <w:pStyle w:val="TableText"/>
            </w:pPr>
            <w:r>
              <w:t>Extreme risk</w:t>
            </w:r>
          </w:p>
        </w:tc>
      </w:tr>
      <w:tr w:rsidR="00E076DA" w14:paraId="04138064"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0019A2D5" w14:textId="77777777" w:rsidR="00E076DA" w:rsidRDefault="00E076DA" w:rsidP="0070514B">
            <w:pPr>
              <w:pStyle w:val="TableText"/>
              <w:rPr>
                <w:b/>
              </w:rPr>
            </w:pPr>
            <w:r>
              <w:rPr>
                <w:b/>
              </w:rPr>
              <w:t>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vAlign w:val="center"/>
          </w:tcPr>
          <w:p w14:paraId="728887B0"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7ACA619F" w14:textId="77777777" w:rsidR="00E076DA" w:rsidRDefault="00E076DA" w:rsidP="0070514B">
            <w:pPr>
              <w:pStyle w:val="TableText"/>
            </w:pPr>
            <w:r>
              <w:t>Negligible risk</w:t>
            </w:r>
          </w:p>
        </w:tc>
        <w:tc>
          <w:tcPr>
            <w:tcW w:w="702" w:type="pct"/>
            <w:tcBorders>
              <w:top w:val="single" w:sz="8" w:space="0" w:color="FF0000"/>
              <w:left w:val="single" w:sz="8" w:space="0" w:color="C0C0C0"/>
              <w:bottom w:val="single" w:sz="8" w:space="0" w:color="C0C0C0"/>
              <w:right w:val="single" w:sz="8" w:space="0" w:color="FF0000"/>
            </w:tcBorders>
            <w:shd w:val="clear" w:color="auto" w:fill="000000"/>
            <w:vAlign w:val="center"/>
          </w:tcPr>
          <w:p w14:paraId="411013F6" w14:textId="77777777" w:rsidR="00E076DA" w:rsidRDefault="00E076DA" w:rsidP="0070514B">
            <w:pPr>
              <w:pStyle w:val="TableText"/>
              <w:rPr>
                <w:color w:val="FFFFFF"/>
              </w:rPr>
            </w:pPr>
            <w:r>
              <w:rPr>
                <w:color w:val="FFFFFF"/>
              </w:rPr>
              <w:t>Very low risk</w:t>
            </w:r>
          </w:p>
        </w:tc>
        <w:tc>
          <w:tcPr>
            <w:tcW w:w="701" w:type="pct"/>
            <w:tcBorders>
              <w:top w:val="single" w:sz="8" w:space="0" w:color="C0C0C0"/>
              <w:left w:val="single" w:sz="8" w:space="0" w:color="FF0000"/>
              <w:bottom w:val="single" w:sz="8" w:space="0" w:color="FF0000"/>
              <w:right w:val="single" w:sz="8" w:space="0" w:color="C0C0C0"/>
            </w:tcBorders>
            <w:shd w:val="clear" w:color="auto" w:fill="CCFFCC"/>
            <w:vAlign w:val="center"/>
          </w:tcPr>
          <w:p w14:paraId="20DAA04E" w14:textId="77777777" w:rsidR="00E076DA" w:rsidRDefault="00E076DA" w:rsidP="0070514B">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vAlign w:val="center"/>
          </w:tcPr>
          <w:p w14:paraId="7E44A54D" w14:textId="77777777" w:rsidR="00E076DA" w:rsidRDefault="00E076DA" w:rsidP="0070514B">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vAlign w:val="center"/>
          </w:tcPr>
          <w:p w14:paraId="2A867A6D" w14:textId="77777777" w:rsidR="00E076DA" w:rsidRDefault="00E076DA" w:rsidP="0070514B">
            <w:pPr>
              <w:pStyle w:val="TableText"/>
            </w:pPr>
            <w:r>
              <w:t>High risk</w:t>
            </w:r>
          </w:p>
        </w:tc>
      </w:tr>
      <w:tr w:rsidR="00E076DA" w14:paraId="76C75D98"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7B31392B" w14:textId="77777777" w:rsidR="00E076DA" w:rsidRDefault="00E076DA" w:rsidP="0070514B">
            <w:pPr>
              <w:pStyle w:val="TableText"/>
              <w:rPr>
                <w:b/>
              </w:rPr>
            </w:pPr>
            <w:r>
              <w:rPr>
                <w:b/>
              </w:rPr>
              <w:t>Very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vAlign w:val="center"/>
          </w:tcPr>
          <w:p w14:paraId="2A6B1358"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68D1E006" w14:textId="77777777" w:rsidR="00E076DA" w:rsidRDefault="00E076DA" w:rsidP="0070514B">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568C23D7" w14:textId="77777777" w:rsidR="00E076DA" w:rsidRDefault="00E076DA" w:rsidP="0070514B">
            <w:pPr>
              <w:pStyle w:val="TableText"/>
            </w:pPr>
            <w:r>
              <w:t>Negligible risk</w:t>
            </w:r>
          </w:p>
        </w:tc>
        <w:tc>
          <w:tcPr>
            <w:tcW w:w="701" w:type="pct"/>
            <w:tcBorders>
              <w:top w:val="single" w:sz="8" w:space="0" w:color="FF0000"/>
              <w:left w:val="single" w:sz="8" w:space="0" w:color="C0C0C0"/>
              <w:bottom w:val="single" w:sz="8" w:space="0" w:color="C0C0C0"/>
              <w:right w:val="single" w:sz="8" w:space="0" w:color="FF0000"/>
            </w:tcBorders>
            <w:shd w:val="clear" w:color="auto" w:fill="000000"/>
            <w:vAlign w:val="center"/>
          </w:tcPr>
          <w:p w14:paraId="5947CAE4" w14:textId="77777777" w:rsidR="00E076DA" w:rsidRDefault="00E076DA" w:rsidP="0070514B">
            <w:pPr>
              <w:pStyle w:val="TableText"/>
              <w:rPr>
                <w:color w:val="FFFFFF"/>
              </w:rPr>
            </w:pPr>
            <w:r>
              <w:rPr>
                <w:color w:val="FFFFFF"/>
              </w:rPr>
              <w:t>Very low risk</w:t>
            </w:r>
          </w:p>
        </w:tc>
        <w:tc>
          <w:tcPr>
            <w:tcW w:w="701" w:type="pct"/>
            <w:tcBorders>
              <w:top w:val="single" w:sz="8" w:space="0" w:color="C0C0C0"/>
              <w:left w:val="single" w:sz="8" w:space="0" w:color="FF0000"/>
              <w:bottom w:val="single" w:sz="8" w:space="0" w:color="FF0000"/>
              <w:right w:val="single" w:sz="8" w:space="0" w:color="C0C0C0"/>
            </w:tcBorders>
            <w:shd w:val="clear" w:color="auto" w:fill="CCFFCC"/>
            <w:vAlign w:val="center"/>
          </w:tcPr>
          <w:p w14:paraId="323F7A39" w14:textId="77777777" w:rsidR="00E076DA" w:rsidRDefault="00E076DA" w:rsidP="0070514B">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vAlign w:val="center"/>
          </w:tcPr>
          <w:p w14:paraId="4840BE0A" w14:textId="77777777" w:rsidR="00E076DA" w:rsidRDefault="00E076DA" w:rsidP="0070514B">
            <w:pPr>
              <w:pStyle w:val="TableText"/>
            </w:pPr>
            <w:r>
              <w:t>Moderate risk</w:t>
            </w:r>
          </w:p>
        </w:tc>
      </w:tr>
      <w:tr w:rsidR="00E076DA" w14:paraId="4F5B86EF" w14:textId="77777777" w:rsidTr="0070514B">
        <w:trPr>
          <w:cantSplit/>
        </w:trPr>
        <w:tc>
          <w:tcPr>
            <w:tcW w:w="793" w:type="pct"/>
            <w:tcBorders>
              <w:top w:val="single" w:sz="4" w:space="0" w:color="BFBFBF"/>
              <w:left w:val="single" w:sz="4" w:space="0" w:color="auto"/>
              <w:bottom w:val="single" w:sz="4" w:space="0" w:color="BFBFBF"/>
              <w:right w:val="single" w:sz="4" w:space="0" w:color="D9D9D9"/>
            </w:tcBorders>
          </w:tcPr>
          <w:p w14:paraId="595E99DC" w14:textId="77777777" w:rsidR="00E076DA" w:rsidRDefault="00E076DA" w:rsidP="0070514B">
            <w:pPr>
              <w:pStyle w:val="TableText"/>
              <w:rPr>
                <w:b/>
              </w:rPr>
            </w:pPr>
            <w:r>
              <w:rPr>
                <w:b/>
              </w:rPr>
              <w:t>Extremely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vAlign w:val="center"/>
          </w:tcPr>
          <w:p w14:paraId="1D4180B0"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74F2ABC3" w14:textId="77777777" w:rsidR="00E076DA" w:rsidRDefault="00E076DA" w:rsidP="0070514B">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1CB45127"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vAlign w:val="center"/>
          </w:tcPr>
          <w:p w14:paraId="4C99FBA4" w14:textId="77777777" w:rsidR="00E076DA" w:rsidRDefault="00E076DA" w:rsidP="0070514B">
            <w:pPr>
              <w:pStyle w:val="TableText"/>
            </w:pPr>
            <w:r>
              <w:t>Negligible risk</w:t>
            </w:r>
          </w:p>
        </w:tc>
        <w:tc>
          <w:tcPr>
            <w:tcW w:w="701" w:type="pct"/>
            <w:tcBorders>
              <w:top w:val="single" w:sz="8" w:space="0" w:color="FF0000"/>
              <w:left w:val="single" w:sz="8" w:space="0" w:color="C0C0C0"/>
              <w:bottom w:val="single" w:sz="8" w:space="0" w:color="C0C0C0"/>
              <w:right w:val="single" w:sz="8" w:space="0" w:color="FF0000"/>
            </w:tcBorders>
            <w:shd w:val="clear" w:color="auto" w:fill="000000"/>
            <w:vAlign w:val="center"/>
          </w:tcPr>
          <w:p w14:paraId="4A579E71" w14:textId="77777777" w:rsidR="00E076DA" w:rsidRDefault="00E076DA" w:rsidP="0070514B">
            <w:pPr>
              <w:pStyle w:val="TableText"/>
              <w:rPr>
                <w:color w:val="FFFFFF"/>
              </w:rPr>
            </w:pPr>
            <w:r>
              <w:rPr>
                <w:color w:val="FFFFFF"/>
              </w:rPr>
              <w:t>Very low risk</w:t>
            </w:r>
          </w:p>
        </w:tc>
        <w:tc>
          <w:tcPr>
            <w:tcW w:w="701" w:type="pct"/>
            <w:tcBorders>
              <w:top w:val="single" w:sz="8" w:space="0" w:color="C0C0C0"/>
              <w:left w:val="single" w:sz="8" w:space="0" w:color="FF0000"/>
              <w:bottom w:val="single" w:sz="8" w:space="0" w:color="FF0000"/>
              <w:right w:val="single" w:sz="4" w:space="0" w:color="auto"/>
            </w:tcBorders>
            <w:shd w:val="clear" w:color="auto" w:fill="CCFFCC"/>
            <w:vAlign w:val="center"/>
          </w:tcPr>
          <w:p w14:paraId="1E66230E" w14:textId="77777777" w:rsidR="00E076DA" w:rsidRDefault="00E076DA" w:rsidP="0070514B">
            <w:pPr>
              <w:pStyle w:val="TableText"/>
            </w:pPr>
            <w:r>
              <w:t>Low risk</w:t>
            </w:r>
          </w:p>
        </w:tc>
      </w:tr>
      <w:tr w:rsidR="00E076DA" w14:paraId="02FE66E5" w14:textId="77777777" w:rsidTr="0070514B">
        <w:trPr>
          <w:cantSplit/>
        </w:trPr>
        <w:tc>
          <w:tcPr>
            <w:tcW w:w="793" w:type="pct"/>
            <w:tcBorders>
              <w:top w:val="single" w:sz="4" w:space="0" w:color="BFBFBF"/>
              <w:left w:val="single" w:sz="4" w:space="0" w:color="auto"/>
              <w:bottom w:val="single" w:sz="4" w:space="0" w:color="auto"/>
              <w:right w:val="single" w:sz="4" w:space="0" w:color="D9D9D9"/>
            </w:tcBorders>
          </w:tcPr>
          <w:p w14:paraId="0554572B" w14:textId="77777777" w:rsidR="00E076DA" w:rsidRDefault="00E076DA" w:rsidP="0070514B">
            <w:pPr>
              <w:pStyle w:val="TableText"/>
              <w:rPr>
                <w:b/>
              </w:rPr>
            </w:pPr>
            <w:r>
              <w:rPr>
                <w:b/>
              </w:rPr>
              <w:t xml:space="preserve">Negligible </w:t>
            </w:r>
          </w:p>
        </w:tc>
        <w:tc>
          <w:tcPr>
            <w:tcW w:w="701" w:type="pct"/>
            <w:tcBorders>
              <w:top w:val="single" w:sz="8" w:space="0" w:color="C0C0C0"/>
              <w:left w:val="single" w:sz="4" w:space="0" w:color="D9D9D9"/>
              <w:bottom w:val="single" w:sz="4" w:space="0" w:color="auto"/>
              <w:right w:val="single" w:sz="8" w:space="0" w:color="C0C0C0"/>
            </w:tcBorders>
            <w:shd w:val="clear" w:color="auto" w:fill="F2F2F2"/>
            <w:vAlign w:val="center"/>
          </w:tcPr>
          <w:p w14:paraId="0FA0C605"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vAlign w:val="center"/>
          </w:tcPr>
          <w:p w14:paraId="25D9668A" w14:textId="77777777" w:rsidR="00E076DA" w:rsidRDefault="00E076DA" w:rsidP="0070514B">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vAlign w:val="center"/>
          </w:tcPr>
          <w:p w14:paraId="203F82DE"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vAlign w:val="center"/>
          </w:tcPr>
          <w:p w14:paraId="3F8C441B" w14:textId="77777777" w:rsidR="00E076DA" w:rsidRDefault="00E076DA" w:rsidP="0070514B">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vAlign w:val="center"/>
          </w:tcPr>
          <w:p w14:paraId="031DA843" w14:textId="77777777" w:rsidR="00E076DA" w:rsidRDefault="00E076DA" w:rsidP="0070514B">
            <w:pPr>
              <w:pStyle w:val="TableText"/>
            </w:pPr>
            <w:r>
              <w:t>Negligible risk</w:t>
            </w:r>
          </w:p>
        </w:tc>
        <w:tc>
          <w:tcPr>
            <w:tcW w:w="701" w:type="pct"/>
            <w:tcBorders>
              <w:top w:val="single" w:sz="8" w:space="0" w:color="FF0000"/>
              <w:left w:val="single" w:sz="8" w:space="0" w:color="C0C0C0"/>
              <w:bottom w:val="single" w:sz="4" w:space="0" w:color="auto"/>
              <w:right w:val="single" w:sz="4" w:space="0" w:color="auto"/>
            </w:tcBorders>
            <w:shd w:val="clear" w:color="auto" w:fill="000000"/>
            <w:vAlign w:val="center"/>
          </w:tcPr>
          <w:p w14:paraId="23CCCDC3" w14:textId="77777777" w:rsidR="00E076DA" w:rsidRDefault="00E076DA" w:rsidP="0070514B">
            <w:pPr>
              <w:pStyle w:val="TableText"/>
              <w:rPr>
                <w:color w:val="FFFFFF"/>
              </w:rPr>
            </w:pPr>
            <w:r>
              <w:rPr>
                <w:color w:val="FFFFFF"/>
              </w:rPr>
              <w:t>Very low risk</w:t>
            </w:r>
          </w:p>
        </w:tc>
      </w:tr>
    </w:tbl>
    <w:p w14:paraId="74BE1A62" w14:textId="77777777" w:rsidR="00E13633" w:rsidRDefault="00E13633" w:rsidP="00E13633">
      <w:pPr>
        <w:pStyle w:val="Heading3"/>
      </w:pPr>
      <w:r>
        <w:t>Australia’s appropriate level of protection (ALOP)</w:t>
      </w:r>
    </w:p>
    <w:p w14:paraId="3C070E7A" w14:textId="77777777" w:rsidR="00FF34FA" w:rsidRDefault="00FF34FA" w:rsidP="00FF34FA">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75C325E0" w14:textId="77777777" w:rsidR="00E13633" w:rsidRDefault="00FF34FA" w:rsidP="00FF34FA">
      <w:r>
        <w:t>Like many other countries, Australia expresses its ALOP in qualitative terms. Australia’s ALOP, which reflects community expectations through government policy, is currently expressed as providing a high level of sanitary or phytosanitary protection aimed at reducing risk to a very low level, but not to zero. The band of cells in Table 2.5 marked ‘very low risk’ represents Australia’s ALOP.</w:t>
      </w:r>
    </w:p>
    <w:p w14:paraId="5A90EE1F" w14:textId="77777777" w:rsidR="00235FC7" w:rsidRDefault="00235FC7" w:rsidP="00235FC7">
      <w:pPr>
        <w:pStyle w:val="Heading3"/>
      </w:pPr>
      <w:r>
        <w:t>Adoption of previous assessments</w:t>
      </w:r>
    </w:p>
    <w:p w14:paraId="050BFCE6" w14:textId="77777777" w:rsidR="00235FC7" w:rsidRPr="009C6CC3" w:rsidRDefault="00235FC7" w:rsidP="00235FC7">
      <w:pPr>
        <w:rPr>
          <w:rFonts w:eastAsia="Calibri" w:cs="Times New Roman"/>
        </w:rPr>
      </w:pPr>
      <w:r>
        <w:t xml:space="preserve">Some pests being considered may </w:t>
      </w:r>
      <w:r w:rsidRPr="000E4D78">
        <w:t>have been assessed previously by the department</w:t>
      </w:r>
      <w:r>
        <w:t xml:space="preserve"> for different import pathways</w:t>
      </w:r>
      <w:r w:rsidRPr="000E4D78">
        <w:t xml:space="preserve">. </w:t>
      </w:r>
      <w:r>
        <w:t>The outcomes of previous assessments may be</w:t>
      </w:r>
      <w:r w:rsidR="009C6CC3">
        <w:t xml:space="preserve"> adopted for such </w:t>
      </w:r>
      <w:r>
        <w:t xml:space="preserve">pests </w:t>
      </w:r>
      <w:r w:rsidR="009C6CC3">
        <w:t xml:space="preserve">where the available information suggests the risks would be similar </w:t>
      </w:r>
      <w:r>
        <w:t xml:space="preserve">for </w:t>
      </w:r>
      <w:r w:rsidR="009C6CC3">
        <w:t>the new pathway being considered</w:t>
      </w:r>
      <w:r>
        <w:t>.</w:t>
      </w:r>
      <w:r w:rsidRPr="000E4D78">
        <w:t xml:space="preserve"> </w:t>
      </w:r>
      <w:r w:rsidRPr="009C6CC3">
        <w:rPr>
          <w:rFonts w:eastAsia="Calibri" w:cs="Times New Roman"/>
        </w:rPr>
        <w:t>The adoption of the outcomes of previous assessments is outlined here.</w:t>
      </w:r>
    </w:p>
    <w:p w14:paraId="37F1AAAB" w14:textId="77777777" w:rsidR="00235FC7" w:rsidRPr="009C6CC3" w:rsidRDefault="00235FC7" w:rsidP="00235FC7">
      <w:pPr>
        <w:rPr>
          <w:rFonts w:eastAsia="Calibri" w:cs="Times New Roman"/>
        </w:rPr>
      </w:pPr>
      <w:r w:rsidRPr="009C6CC3">
        <w:rPr>
          <w:rFonts w:eastAsia="Calibri" w:cs="Times New Roman"/>
        </w:rPr>
        <w:t xml:space="preserve">The reassessment of the likelihood of importation for pests that have been assessed previously is considered on a case-by-case basis by comparing factors relevant to the importation of </w:t>
      </w:r>
      <w:r w:rsidR="009C6CC3" w:rsidRPr="009C6CC3">
        <w:rPr>
          <w:rFonts w:eastAsia="Calibri" w:cs="Times New Roman"/>
        </w:rPr>
        <w:t>the new commodity from the source country</w:t>
      </w:r>
      <w:r w:rsidRPr="009C6CC3">
        <w:rPr>
          <w:rFonts w:eastAsia="Calibri" w:cs="Times New Roman"/>
        </w:rPr>
        <w:t xml:space="preserve"> with those assessed previously. These factors include the commodity type, the prevalence of the pest and commercial production practices. The department may determine reassessment of the likelihood of importation is not required where the relevant factors are comparable to those considered in the previous assessments. There is also no need to reassess the likelihood of importation where changes to the likelihood rating for importation will not alter the unrestricted risk estimate.</w:t>
      </w:r>
    </w:p>
    <w:p w14:paraId="4D2D34EB" w14:textId="29C573C1" w:rsidR="00235FC7" w:rsidRPr="009C6CC3" w:rsidRDefault="00235FC7" w:rsidP="00235FC7">
      <w:pPr>
        <w:rPr>
          <w:rFonts w:eastAsia="Calibri" w:cs="Times New Roman"/>
        </w:rPr>
      </w:pPr>
      <w:r w:rsidRPr="009C6CC3">
        <w:rPr>
          <w:rFonts w:eastAsia="Calibri" w:cs="Times New Roman"/>
        </w:rPr>
        <w:t xml:space="preserve">The reassessment of the likelihood of distribution for pests that have been assessed previously is also considered on a case-by-case basis by comparing factors relevant to the distribution of </w:t>
      </w:r>
      <w:r w:rsidR="009C6CC3" w:rsidRPr="009C6CC3">
        <w:rPr>
          <w:rFonts w:eastAsia="Calibri" w:cs="Times New Roman"/>
        </w:rPr>
        <w:t>the new commodity</w:t>
      </w:r>
      <w:r w:rsidRPr="009C6CC3">
        <w:rPr>
          <w:rFonts w:eastAsia="Calibri" w:cs="Times New Roman"/>
        </w:rPr>
        <w:t xml:space="preserve"> with those assessed previously. These factors include the commodity type, the time of year when importation occurs and the availability and susceptibility of hosts at that time. The department may determine reassessment of the likelihood of </w:t>
      </w:r>
      <w:r w:rsidR="00F234D3">
        <w:rPr>
          <w:rFonts w:eastAsia="Calibri" w:cs="Times New Roman"/>
        </w:rPr>
        <w:t xml:space="preserve">distribution </w:t>
      </w:r>
      <w:r w:rsidRPr="009C6CC3">
        <w:rPr>
          <w:rFonts w:eastAsia="Calibri" w:cs="Times New Roman"/>
        </w:rPr>
        <w:t>is not required where the relevant factors are comparable to those considered in the previous assessments.</w:t>
      </w:r>
    </w:p>
    <w:p w14:paraId="5A53EA32" w14:textId="77777777" w:rsidR="00235FC7" w:rsidRDefault="00235FC7" w:rsidP="00FF34FA">
      <w:r w:rsidRPr="009C6CC3">
        <w:rPr>
          <w:rFonts w:eastAsia="Calibri" w:cs="Times New Roman"/>
        </w:rPr>
        <w:t xml:space="preserve">The likelihoods of establishment and spread of a pest, and the potential consequences, will be comparable to previous assessments regardless of the commodity/country pathway in which the pest is imported into Australia, as these likelihoods relate specifically to events that occur in Australia and are independent of the importation pathway. For pests that have been assessed previously, the department </w:t>
      </w:r>
      <w:r w:rsidR="009C6CC3" w:rsidRPr="009C6CC3">
        <w:rPr>
          <w:rFonts w:eastAsia="Calibri" w:cs="Times New Roman"/>
        </w:rPr>
        <w:t xml:space="preserve">will </w:t>
      </w:r>
      <w:r w:rsidRPr="009C6CC3">
        <w:rPr>
          <w:rFonts w:eastAsia="Calibri" w:cs="Times New Roman"/>
        </w:rPr>
        <w:t>review the latest literature. If there is no new information available that would significantly change the likelihood risk ratings for establishment and spread, and the consequences the pests may cause, the risk ratings given in the previous assessments for these components will be adopted.</w:t>
      </w:r>
    </w:p>
    <w:p w14:paraId="604C5D4C" w14:textId="77777777" w:rsidR="00146544" w:rsidRDefault="00146544">
      <w:pPr>
        <w:pStyle w:val="Heading2"/>
      </w:pPr>
      <w:bookmarkStart w:id="69" w:name="_Toc449960578"/>
      <w:bookmarkStart w:id="70" w:name="_Toc501716482"/>
      <w:r>
        <w:t>Stage 3 Pest risk management</w:t>
      </w:r>
      <w:bookmarkEnd w:id="69"/>
      <w:bookmarkEnd w:id="70"/>
    </w:p>
    <w:p w14:paraId="6CA42458" w14:textId="77777777" w:rsidR="00146544" w:rsidRDefault="00146544">
      <w:r>
        <w:t>Pest risk management describes the process of identifying and implementing phytosanitary measures to manage risks to achieve Australia's ALOP, while ensuring that any negative effects on trade are minimised.</w:t>
      </w:r>
    </w:p>
    <w:p w14:paraId="701327D8" w14:textId="77777777" w:rsidR="00146544" w:rsidRDefault="00146544">
      <w:r>
        <w:t>The conclusions from pest risk assessment are used to decide whether risk management is required and if so, the appropriate measures to be used. Where the unrestricted risk estimate exceeds Australia’s ALOP, risk management measures are required to reduce this risk to a very low level. The effectiveness of any proposed phytosanitary measure (or combination of measures) is evaluated to ensure it reduces the restricted risk for the relevant pest or pests to meet Australia’s ALOP.</w:t>
      </w:r>
    </w:p>
    <w:p w14:paraId="29EC8E9E" w14:textId="57701052" w:rsidR="00146544" w:rsidRDefault="00CA7580">
      <w:r>
        <w:t xml:space="preserve">The choice of measures </w:t>
      </w:r>
      <w:r w:rsidR="00281997">
        <w:t>to be applied is</w:t>
      </w:r>
      <w:r>
        <w:t xml:space="preserve"> based on their effectiveness in reducing the likelihood of entry of the pest. </w:t>
      </w:r>
      <w:r w:rsidR="00146544">
        <w:t>ISPM 11 (FAO 2013) provides details on the identification and selection of appropriate risk m</w:t>
      </w:r>
      <w:r>
        <w:t>anagement options. M</w:t>
      </w:r>
      <w:r w:rsidR="00146544">
        <w:t>easures commonly applied to traded commodities include:</w:t>
      </w:r>
    </w:p>
    <w:p w14:paraId="732814B1" w14:textId="77777777" w:rsidR="00146544" w:rsidRDefault="00CA7580">
      <w:pPr>
        <w:pStyle w:val="ListBullet"/>
      </w:pPr>
      <w:r>
        <w:t xml:space="preserve">options for </w:t>
      </w:r>
      <w:r w:rsidR="00146544">
        <w:t xml:space="preserve">consignments—for example, inspection or testing for freedom from pests, prohibition of parts of the host, a pre-entry or post-entry quarantine system, specified conditions on preparation of the consignment, specified treatment of the consignment, </w:t>
      </w:r>
      <w:r w:rsidR="00281997">
        <w:t xml:space="preserve">and </w:t>
      </w:r>
      <w:r w:rsidR="00146544">
        <w:t>restrictions on end-use, distribution and periods of entry of the commodity</w:t>
      </w:r>
    </w:p>
    <w:p w14:paraId="63AECD93" w14:textId="77777777" w:rsidR="00146544" w:rsidRDefault="00146544">
      <w:pPr>
        <w:pStyle w:val="ListBullet"/>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4411633C" w14:textId="77777777" w:rsidR="00146544" w:rsidRDefault="00146544">
      <w:pPr>
        <w:pStyle w:val="ListBullet"/>
      </w:pPr>
      <w:r>
        <w:t>options ensuring that the area, place or site of production or crop is free from the pest—for example, pest-free area, pest-free place of production or pest-free production site</w:t>
      </w:r>
    </w:p>
    <w:p w14:paraId="6A18BEAD" w14:textId="77777777" w:rsidR="00146544" w:rsidRDefault="00146544">
      <w:pPr>
        <w:pStyle w:val="ListBullet"/>
      </w:pPr>
      <w:r>
        <w:t>prohibition of commodities—if no satisfactory measure can be found.</w:t>
      </w:r>
    </w:p>
    <w:p w14:paraId="5257D06F" w14:textId="77777777" w:rsidR="008B1D8D" w:rsidRDefault="00146544" w:rsidP="008873F6">
      <w:r>
        <w:t xml:space="preserve">Risk management measures are identified for each quarantine pest where the risk exceeds Australia’s ALOP. These are presented in </w:t>
      </w:r>
      <w:r w:rsidR="00AD2DBA">
        <w:t>the p</w:t>
      </w:r>
      <w:r>
        <w:t xml:space="preserve">est risk </w:t>
      </w:r>
      <w:r w:rsidR="00281997">
        <w:t xml:space="preserve">management </w:t>
      </w:r>
      <w:r w:rsidR="00AD2DBA">
        <w:t>section</w:t>
      </w:r>
      <w:r>
        <w:t xml:space="preserve"> of this report</w:t>
      </w:r>
      <w:r w:rsidR="00281997">
        <w:t xml:space="preserve"> (Chapter 5)</w:t>
      </w:r>
      <w:r>
        <w:t>.</w:t>
      </w:r>
    </w:p>
    <w:p w14:paraId="0DE40725" w14:textId="77777777" w:rsidR="00BF5108" w:rsidRDefault="00BF5108" w:rsidP="008873F6"/>
    <w:p w14:paraId="7FF2E197" w14:textId="77777777" w:rsidR="00242B68" w:rsidRDefault="00242B68">
      <w:pPr>
        <w:pStyle w:val="Heading1"/>
        <w:sectPr w:rsidR="00242B68" w:rsidSect="00242B68">
          <w:headerReference w:type="even" r:id="rId35"/>
          <w:headerReference w:type="default" r:id="rId36"/>
          <w:footerReference w:type="even" r:id="rId37"/>
          <w:footerReference w:type="default" r:id="rId38"/>
          <w:pgSz w:w="11906" w:h="16838"/>
          <w:pgMar w:top="1418" w:right="1418" w:bottom="1418" w:left="1418" w:header="567" w:footer="283" w:gutter="0"/>
          <w:cols w:space="708"/>
          <w:docGrid w:linePitch="360"/>
        </w:sectPr>
      </w:pPr>
    </w:p>
    <w:p w14:paraId="23C5652E" w14:textId="4FA91174" w:rsidR="00146544" w:rsidRDefault="00D346F0">
      <w:pPr>
        <w:pStyle w:val="Heading1"/>
      </w:pPr>
      <w:bookmarkStart w:id="71" w:name="_Toc501716483"/>
      <w:r>
        <w:t>Commercial p</w:t>
      </w:r>
      <w:r w:rsidR="00146544">
        <w:t xml:space="preserve">roduction practices for </w:t>
      </w:r>
      <w:r w:rsidR="00AD2DBA">
        <w:t>Tahitian limes</w:t>
      </w:r>
      <w:bookmarkEnd w:id="71"/>
    </w:p>
    <w:p w14:paraId="66C74AFC" w14:textId="58522EDD" w:rsidR="00146544" w:rsidRDefault="00AD2DBA">
      <w:r>
        <w:t xml:space="preserve">This chapter provides information on the </w:t>
      </w:r>
      <w:r w:rsidR="00C91322">
        <w:t xml:space="preserve">commercial </w:t>
      </w:r>
      <w:r>
        <w:t>pr</w:t>
      </w:r>
      <w:r w:rsidR="00600E7E">
        <w:t>oduction</w:t>
      </w:r>
      <w:r>
        <w:t>, harvest and post-harvest practices considered to be standard practices in the Cook Islands, Niue, Samoa, Tonga and Vanuatu for the production of fresh Tahitian limes for export. The export capabilit</w:t>
      </w:r>
      <w:r w:rsidR="00B655DF">
        <w:t>ies</w:t>
      </w:r>
      <w:r>
        <w:t xml:space="preserve"> of these countries is also outlined.</w:t>
      </w:r>
    </w:p>
    <w:p w14:paraId="06948502" w14:textId="63DCAA14" w:rsidR="00146544" w:rsidRDefault="00B655DF">
      <w:pPr>
        <w:pStyle w:val="Heading2"/>
      </w:pPr>
      <w:bookmarkStart w:id="72" w:name="_Toc501716484"/>
      <w:r>
        <w:t>Considera</w:t>
      </w:r>
      <w:r w:rsidR="00146544">
        <w:t>tions used in estimating unrestricted risk</w:t>
      </w:r>
      <w:bookmarkEnd w:id="72"/>
    </w:p>
    <w:p w14:paraId="0ABF60F1" w14:textId="23759A48" w:rsidR="00AD2DBA" w:rsidRDefault="00AD2DBA" w:rsidP="00AD2DBA">
      <w:r>
        <w:t xml:space="preserve">Samoa and Vanuatu provided the </w:t>
      </w:r>
      <w:r w:rsidR="00FC5582">
        <w:t>d</w:t>
      </w:r>
      <w:r>
        <w:t xml:space="preserve">epartment with information on the typical commercial practices adopted in the production of Tahitian limes for export. This information was complemented with data from </w:t>
      </w:r>
      <w:r w:rsidR="00712475">
        <w:t>published literature</w:t>
      </w:r>
      <w:r w:rsidR="002866A9">
        <w:t>,</w:t>
      </w:r>
      <w:r w:rsidR="00712475">
        <w:t xml:space="preserve"> observations from visits to </w:t>
      </w:r>
      <w:r w:rsidR="002866A9">
        <w:t>production areas</w:t>
      </w:r>
      <w:r w:rsidR="0096770E">
        <w:t xml:space="preserve"> and </w:t>
      </w:r>
      <w:r>
        <w:t>other sources</w:t>
      </w:r>
      <w:r w:rsidR="0038555E">
        <w:t>, all of which were</w:t>
      </w:r>
      <w:r>
        <w:t xml:space="preserve"> taken into account when estimating the unrestricted risk of pests that may be associated with the import of this commodity.</w:t>
      </w:r>
    </w:p>
    <w:p w14:paraId="6AF6AE67" w14:textId="77D0786C" w:rsidR="00AD2DBA" w:rsidRDefault="00281997" w:rsidP="00AD2DBA">
      <w:r>
        <w:t>Because</w:t>
      </w:r>
      <w:r w:rsidR="00AD2DBA">
        <w:t xml:space="preserve"> th</w:t>
      </w:r>
      <w:r w:rsidR="00B655DF">
        <w:t>is</w:t>
      </w:r>
      <w:r w:rsidR="00AD2DBA">
        <w:t xml:space="preserve"> </w:t>
      </w:r>
      <w:r w:rsidR="00600E7E">
        <w:t>review is</w:t>
      </w:r>
      <w:r w:rsidR="00AD2DBA">
        <w:t xml:space="preserve"> considering multiple countries with varying production and pest management requirements, the report makes </w:t>
      </w:r>
      <w:r w:rsidR="0038555E">
        <w:t>minimal</w:t>
      </w:r>
      <w:r w:rsidR="00AD2DBA">
        <w:t xml:space="preserve"> assumptions about the production practices involved. Therefore only basic standards of crop management and post</w:t>
      </w:r>
      <w:r w:rsidR="00090ED7">
        <w:t>-</w:t>
      </w:r>
      <w:r w:rsidR="00AD2DBA">
        <w:t xml:space="preserve">harvest handling practices are assumed to have occurred when assessing the pest risks. These practices are outlined below. However, </w:t>
      </w:r>
      <w:r w:rsidR="0038555E">
        <w:t xml:space="preserve">it is required that </w:t>
      </w:r>
      <w:r w:rsidR="00AD2DBA">
        <w:t xml:space="preserve">all Tahitian </w:t>
      </w:r>
      <w:r w:rsidR="0094705B">
        <w:t>limes be</w:t>
      </w:r>
      <w:r w:rsidR="00AD2DBA">
        <w:t xml:space="preserve"> sourced from commercial growers</w:t>
      </w:r>
      <w:r w:rsidR="0038555E">
        <w:t>,</w:t>
      </w:r>
      <w:r w:rsidR="00AD2DBA">
        <w:t xml:space="preserve"> and exported from packing facilities known to the relevant NPPO. </w:t>
      </w:r>
    </w:p>
    <w:p w14:paraId="148D8FBF" w14:textId="6FEA4568" w:rsidR="00AD2DBA" w:rsidRDefault="0038555E" w:rsidP="00AD2DBA">
      <w:r>
        <w:t>M</w:t>
      </w:r>
      <w:r w:rsidR="00AD2DBA">
        <w:t xml:space="preserve">any growers </w:t>
      </w:r>
      <w:r>
        <w:t>are expected to</w:t>
      </w:r>
      <w:r w:rsidR="00AD2DBA">
        <w:t xml:space="preserve"> apply pesticides and fungicides as part of pest management program</w:t>
      </w:r>
      <w:r>
        <w:t>s</w:t>
      </w:r>
      <w:r w:rsidR="00AD2DBA">
        <w:t xml:space="preserve">, which would reduce the likelihood of pests being present on imported fruit. However, as </w:t>
      </w:r>
      <w:r>
        <w:t>production practices</w:t>
      </w:r>
      <w:r w:rsidR="00AD2DBA">
        <w:t xml:space="preserve"> are not standardised across all growers in all countries being assessed, pesticide and fungicide application has not been </w:t>
      </w:r>
      <w:r>
        <w:t>assumed</w:t>
      </w:r>
      <w:r w:rsidR="00AD2DBA">
        <w:t xml:space="preserve"> when assessing the </w:t>
      </w:r>
      <w:r>
        <w:t>likelihood</w:t>
      </w:r>
      <w:r w:rsidR="00AD2DBA">
        <w:t xml:space="preserve"> of importation.</w:t>
      </w:r>
    </w:p>
    <w:p w14:paraId="444C95C5" w14:textId="2A6C6E84" w:rsidR="00257A35" w:rsidRDefault="003642F6" w:rsidP="00AD2DBA">
      <w:r>
        <w:t xml:space="preserve">When assessing the likelihood of entry, it was </w:t>
      </w:r>
      <w:r w:rsidR="0038555E">
        <w:t>considered that</w:t>
      </w:r>
      <w:r>
        <w:t xml:space="preserve"> trade volumes would be relatively </w:t>
      </w:r>
      <w:r w:rsidR="00047228">
        <w:t>low</w:t>
      </w:r>
      <w:r>
        <w:t xml:space="preserve"> for the foreseeable future</w:t>
      </w:r>
      <w:r w:rsidR="006F1C5F">
        <w:t>, likely less than 20 tonnes per year</w:t>
      </w:r>
      <w:r>
        <w:t xml:space="preserve">. </w:t>
      </w:r>
      <w:r w:rsidR="009A6D16">
        <w:t>Commercial</w:t>
      </w:r>
      <w:r w:rsidR="00E56B9D">
        <w:t xml:space="preserve"> production </w:t>
      </w:r>
      <w:r w:rsidR="009A6D16">
        <w:t xml:space="preserve">of Tahitian limes </w:t>
      </w:r>
      <w:r w:rsidR="00E56B9D">
        <w:t xml:space="preserve">in the Pacific Islands is mostly </w:t>
      </w:r>
      <w:r w:rsidR="0038555E">
        <w:t xml:space="preserve">on a </w:t>
      </w:r>
      <w:r w:rsidR="00E56B9D">
        <w:t>small scale, so there w</w:t>
      </w:r>
      <w:r w:rsidR="0038555E">
        <w:t>ill be a</w:t>
      </w:r>
      <w:r w:rsidR="00E56B9D">
        <w:t xml:space="preserve"> limited </w:t>
      </w:r>
      <w:r w:rsidR="0038555E">
        <w:t xml:space="preserve">volume of </w:t>
      </w:r>
      <w:r w:rsidR="00E56B9D">
        <w:t>Tahitian limes available for export.</w:t>
      </w:r>
      <w:r>
        <w:t xml:space="preserve"> </w:t>
      </w:r>
    </w:p>
    <w:p w14:paraId="15D03C46" w14:textId="77777777" w:rsidR="00146544" w:rsidRDefault="00AD2DBA">
      <w:pPr>
        <w:pStyle w:val="Heading2"/>
      </w:pPr>
      <w:bookmarkStart w:id="73" w:name="_Toc391301370"/>
      <w:bookmarkStart w:id="74" w:name="_Toc501716485"/>
      <w:r>
        <w:t>The Cook Islands, Niue, Samoa, Tonga and Vanuatu</w:t>
      </w:r>
      <w:bookmarkEnd w:id="73"/>
      <w:bookmarkEnd w:id="74"/>
    </w:p>
    <w:p w14:paraId="70A51182" w14:textId="58FB4474" w:rsidR="00AD2DBA" w:rsidRDefault="00AD2DBA" w:rsidP="00AD2DBA">
      <w:r>
        <w:t xml:space="preserve">The Cook Islands, Niue, Samoa, Tonga and Vanuatu are small island nations in the South Pacific (Figure </w:t>
      </w:r>
      <w:r w:rsidR="00BB1FE4">
        <w:t>2</w:t>
      </w:r>
      <w:r>
        <w:t xml:space="preserve">). These countries all have a tropical maritime climate, with distinct wet and dry seasons. The wet season is typically from November to April, with the dry season from May to October. Within each country there are local climatic variations that can affect the suitability for growing particular crops. This is due to the prevailing trade winds and mountainous terrain, and the different latitudes of islands, particularly in those with archipelagos spread over vast areas such as the Cook Islands and Tonga. </w:t>
      </w:r>
    </w:p>
    <w:p w14:paraId="079D9E64" w14:textId="77777777" w:rsidR="00D345D9" w:rsidRDefault="00D345D9" w:rsidP="00D345D9">
      <w:r>
        <w:t>Tahitian limes are grown all year round in the Pacific Islands, although harvesting specifically for the export market may be limited by seasonal demand in overseas markets. Vanuatu typically exports limes to New Zealand from July to January.</w:t>
      </w:r>
    </w:p>
    <w:p w14:paraId="56D5E478" w14:textId="282ECDA4" w:rsidR="00D345D9" w:rsidRDefault="00D345D9" w:rsidP="00D345D9">
      <w:pPr>
        <w:pStyle w:val="Caption"/>
        <w:keepNext/>
      </w:pPr>
      <w:bookmarkStart w:id="75" w:name="_Toc391452196"/>
      <w:bookmarkStart w:id="76" w:name="_Toc391453091"/>
      <w:bookmarkStart w:id="77" w:name="_Toc391461931"/>
      <w:bookmarkStart w:id="78" w:name="_Toc462906066"/>
      <w:bookmarkStart w:id="79" w:name="_Toc474223335"/>
      <w:bookmarkStart w:id="80" w:name="_Toc501716550"/>
      <w:r>
        <w:t xml:space="preserve">Figure </w:t>
      </w:r>
      <w:r w:rsidR="00BB1FE4">
        <w:t>2</w:t>
      </w:r>
      <w:r>
        <w:t xml:space="preserve"> Location of Pacific Island countries considered in this report</w:t>
      </w:r>
      <w:bookmarkEnd w:id="75"/>
      <w:bookmarkEnd w:id="76"/>
      <w:bookmarkEnd w:id="77"/>
      <w:bookmarkEnd w:id="78"/>
      <w:bookmarkEnd w:id="79"/>
      <w:bookmarkEnd w:id="80"/>
    </w:p>
    <w:p w14:paraId="66AAA742" w14:textId="77777777" w:rsidR="00D345D9" w:rsidRDefault="00EA5344" w:rsidP="00D345D9">
      <w:pPr>
        <w:pStyle w:val="Picture"/>
      </w:pPr>
      <w:r>
        <w:drawing>
          <wp:inline distT="0" distB="0" distL="0" distR="0" wp14:anchorId="18E23909" wp14:editId="39B2C93D">
            <wp:extent cx="5463700" cy="3211372"/>
            <wp:effectExtent l="19050" t="19050" r="22860" b="27305"/>
            <wp:docPr id="8" name="Picture 8" descr="Map of the South Pacific showing the location of the Cook Islands, Niue, Samoa, Tonga and Vanuatu" title="Map of the Pacific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mes map 2.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474360" cy="321763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DF7CBF" w14:textId="77777777" w:rsidR="00D345D9" w:rsidRDefault="00D345D9" w:rsidP="00D345D9">
      <w:pPr>
        <w:pStyle w:val="FigureTableNoteSource"/>
      </w:pPr>
      <w:r w:rsidRPr="00156635">
        <w:t xml:space="preserve">Source: </w:t>
      </w:r>
      <w:r w:rsidR="00F63521">
        <w:t>Google Earth</w:t>
      </w:r>
    </w:p>
    <w:p w14:paraId="07C18933" w14:textId="77777777" w:rsidR="00E13633" w:rsidRDefault="00E13633" w:rsidP="00BB0A0A">
      <w:pPr>
        <w:pStyle w:val="Heading4"/>
      </w:pPr>
      <w:bookmarkStart w:id="81" w:name="_Toc384979255"/>
      <w:bookmarkStart w:id="82" w:name="_Toc384979282"/>
      <w:r>
        <w:t>The Cook Islands</w:t>
      </w:r>
    </w:p>
    <w:p w14:paraId="26B92CE4" w14:textId="2FCCB9E8" w:rsidR="00E13633" w:rsidRDefault="00E13633" w:rsidP="00E13633">
      <w:r>
        <w:t>The Cook Islands consists of 15 major islands, geographically divided into two groups. The northern islands are low</w:t>
      </w:r>
      <w:r w:rsidR="00281997">
        <w:t>-</w:t>
      </w:r>
      <w:r>
        <w:t xml:space="preserve">lying coral atolls, </w:t>
      </w:r>
      <w:r w:rsidR="00047228">
        <w:t xml:space="preserve">whereas </w:t>
      </w:r>
      <w:r>
        <w:t>the southern islands are mainly the hilly remains of ancient volcanoes. Most of the population, and agricultural production for export markets, are concentrated on the island of Rarotonga, in the Southern Cook Islands, where the national capital Avarua and international airport are located.</w:t>
      </w:r>
    </w:p>
    <w:p w14:paraId="28FBE59F" w14:textId="77777777" w:rsidR="008873F6" w:rsidRDefault="008873F6" w:rsidP="00BB0A0A">
      <w:pPr>
        <w:pStyle w:val="Heading4"/>
      </w:pPr>
      <w:r>
        <w:t>Niue</w:t>
      </w:r>
    </w:p>
    <w:p w14:paraId="62A4C07A" w14:textId="2B9AE2AC" w:rsidR="00156635" w:rsidRDefault="00156635" w:rsidP="00156635">
      <w:r>
        <w:t xml:space="preserve">Niue is a raised coral atoll between the Cook Islands and Tonga. The island has a land area of less than 270 </w:t>
      </w:r>
      <w:r w:rsidR="003C6573">
        <w:t>square kilometres,</w:t>
      </w:r>
      <w:r>
        <w:t xml:space="preserve"> and a population of around 1400 people. Agriculture is an important sector of the Niue</w:t>
      </w:r>
      <w:r w:rsidR="00600E7E">
        <w:t>an</w:t>
      </w:r>
      <w:r>
        <w:t xml:space="preserve"> economy, although still </w:t>
      </w:r>
      <w:r w:rsidR="003C6573">
        <w:t>predominantly</w:t>
      </w:r>
      <w:r>
        <w:t xml:space="preserve"> </w:t>
      </w:r>
      <w:r w:rsidR="00281997">
        <w:t xml:space="preserve">through </w:t>
      </w:r>
      <w:r>
        <w:t xml:space="preserve">small scale or subsistence farming. The main exports are vanilla, </w:t>
      </w:r>
      <w:r w:rsidR="00BE37CC">
        <w:t xml:space="preserve">taro and </w:t>
      </w:r>
      <w:r>
        <w:t>non</w:t>
      </w:r>
      <w:r w:rsidR="00BE37CC">
        <w:t>i</w:t>
      </w:r>
      <w:r>
        <w:t xml:space="preserve"> (</w:t>
      </w:r>
      <w:r w:rsidRPr="00156635">
        <w:rPr>
          <w:i/>
        </w:rPr>
        <w:t>Morinda citrifola</w:t>
      </w:r>
      <w:r>
        <w:t xml:space="preserve">), although limes have been a significant crop in the past. While Niue has an international airport, there are currently no direct commercial flights to Australia, and the only </w:t>
      </w:r>
      <w:r w:rsidR="00A77C0E">
        <w:t xml:space="preserve">routine </w:t>
      </w:r>
      <w:r>
        <w:t>air access is via Auckland</w:t>
      </w:r>
      <w:r w:rsidR="00047228">
        <w:t>, New Zealand</w:t>
      </w:r>
      <w:r>
        <w:t xml:space="preserve">. </w:t>
      </w:r>
    </w:p>
    <w:p w14:paraId="6578FF9B" w14:textId="77777777" w:rsidR="008873F6" w:rsidRDefault="008873F6" w:rsidP="00BB0A0A">
      <w:pPr>
        <w:pStyle w:val="Heading4"/>
      </w:pPr>
      <w:r>
        <w:t>Samoa</w:t>
      </w:r>
    </w:p>
    <w:p w14:paraId="6DF2BDBD" w14:textId="20851B68" w:rsidR="00156635" w:rsidRDefault="00156635" w:rsidP="00156635">
      <w:r>
        <w:t>Samoa has two main islands, Upolu and Savai’i, as well as a number of smaller islands and islets. The U</w:t>
      </w:r>
      <w:r w:rsidR="00281997">
        <w:t>SA</w:t>
      </w:r>
      <w:r>
        <w:t xml:space="preserve"> territory of American Samoa, which lies </w:t>
      </w:r>
      <w:r w:rsidR="0038555E">
        <w:t xml:space="preserve">around 70 kilometres </w:t>
      </w:r>
      <w:r>
        <w:t>to the east of Upolu, is not part of the Independent State of Samoa (previously known as Western Samoa). The Samoan islands are volcanic in origin, with narrow coastal plain</w:t>
      </w:r>
      <w:r w:rsidR="00281997">
        <w:t>s</w:t>
      </w:r>
      <w:r>
        <w:t xml:space="preserve"> and rugged mountainous interior</w:t>
      </w:r>
      <w:r w:rsidR="00281997">
        <w:t>s</w:t>
      </w:r>
      <w:r>
        <w:t>. Much of the population is involved in subsistence agriculture, with the main commodities grown being coconuts, bananas, taro, yams, coffee and cocoa</w:t>
      </w:r>
      <w:r w:rsidR="00281997">
        <w:t>;</w:t>
      </w:r>
      <w:r>
        <w:t xml:space="preserve"> export volumes are small. Samoa has market access </w:t>
      </w:r>
      <w:r w:rsidR="003C6573">
        <w:t xml:space="preserve">into New Zealand </w:t>
      </w:r>
      <w:r>
        <w:t xml:space="preserve">for citrus </w:t>
      </w:r>
      <w:r w:rsidR="003C6573">
        <w:t>fruit</w:t>
      </w:r>
      <w:r>
        <w:t>, includin</w:t>
      </w:r>
      <w:r w:rsidR="003C6573">
        <w:t>g Tahitian limes</w:t>
      </w:r>
      <w:r>
        <w:t>.</w:t>
      </w:r>
    </w:p>
    <w:p w14:paraId="1465F319" w14:textId="77777777" w:rsidR="008873F6" w:rsidRDefault="008873F6" w:rsidP="00BB0A0A">
      <w:pPr>
        <w:pStyle w:val="Heading4"/>
      </w:pPr>
      <w:r>
        <w:t>Tonga</w:t>
      </w:r>
    </w:p>
    <w:p w14:paraId="262BCE3D" w14:textId="24EB7351" w:rsidR="00156635" w:rsidRDefault="00156635" w:rsidP="00156635">
      <w:r>
        <w:t xml:space="preserve">Tonga is an archipelago of 176 islands to the south of Samoa. The islands are </w:t>
      </w:r>
      <w:r w:rsidR="00281997">
        <w:t>widely</w:t>
      </w:r>
      <w:r>
        <w:t xml:space="preserve"> spread across 700 000 </w:t>
      </w:r>
      <w:r w:rsidR="00B447EE">
        <w:t xml:space="preserve">square </w:t>
      </w:r>
      <w:r>
        <w:t>k</w:t>
      </w:r>
      <w:r w:rsidR="00B447EE">
        <w:t>ilo</w:t>
      </w:r>
      <w:r>
        <w:t>m</w:t>
      </w:r>
      <w:r w:rsidR="00B447EE">
        <w:t>etres</w:t>
      </w:r>
      <w:r>
        <w:t xml:space="preserve"> of the South Pacific in two parallel chains running north</w:t>
      </w:r>
      <w:r w:rsidR="00047228">
        <w:t>–</w:t>
      </w:r>
      <w:r>
        <w:t xml:space="preserve">south. The islands are administratively divided into three groups; the Vava’u group in the north, the Ha’apai group in the centre, and the Tongatapu group in the south. </w:t>
      </w:r>
      <w:r w:rsidR="00047228">
        <w:t>Most</w:t>
      </w:r>
      <w:r>
        <w:t xml:space="preserve"> of the population live on the island of Tongatapu, which is the main commercial hub, and where the capital Nuku’alofa and international airport are situated. </w:t>
      </w:r>
      <w:r w:rsidR="00045150">
        <w:t>Commercial production of Tahitian limes is insignificant</w:t>
      </w:r>
      <w:r w:rsidR="00045150" w:rsidRPr="00045150">
        <w:t xml:space="preserve"> </w:t>
      </w:r>
      <w:r w:rsidR="00045150">
        <w:t>in Tonga, with ‘bush lime’ (</w:t>
      </w:r>
      <w:r w:rsidR="00045150" w:rsidRPr="00045150">
        <w:rPr>
          <w:i/>
        </w:rPr>
        <w:t>Citrus aurantifolia</w:t>
      </w:r>
      <w:r w:rsidR="00045150">
        <w:t xml:space="preserve">) the most common type of lime grown. </w:t>
      </w:r>
    </w:p>
    <w:p w14:paraId="642B6C3B" w14:textId="77777777" w:rsidR="002934C7" w:rsidRDefault="002934C7" w:rsidP="002934C7">
      <w:pPr>
        <w:pStyle w:val="Heading4"/>
      </w:pPr>
      <w:r>
        <w:t>Vanuatu</w:t>
      </w:r>
    </w:p>
    <w:p w14:paraId="70E407B8" w14:textId="77777777" w:rsidR="002934C7" w:rsidRDefault="002934C7" w:rsidP="002934C7">
      <w:r>
        <w:t>Vanuatu lies to the northeast of New Caledonia, and consists of more than 80 islands, mostly mountainous and of volcanic origin, with narrow coastal plains. Cash crops such as copra, timber and cocoa are important exports, although much of the agricultural sector is small scale, growing coconuts, coffee, kava, taro, yams, fruit and vegetables. Tahitian lime production in Vanuatu for export to New Zealand is presently undertaken on the island of Efate, to the north of Mele Bay just outside Port Vila. The Vanuatu Department of Agriculture has been promoting increased plantings of Tahitian limes elsewhere on Efate, particularly on the drier eastern side of the island, so it is anticipated that future exports from Vanuatu may originate from orchards in other areas. Efate is likely to remain the main source of export production in Vanuatu due to the proximity of the seaport and airport providing access to Australia and other international markets.</w:t>
      </w:r>
    </w:p>
    <w:p w14:paraId="7993D0ED" w14:textId="77777777" w:rsidR="00146544" w:rsidRDefault="00146544">
      <w:pPr>
        <w:pStyle w:val="Heading2"/>
      </w:pPr>
      <w:bookmarkStart w:id="83" w:name="_Toc501716486"/>
      <w:bookmarkEnd w:id="81"/>
      <w:bookmarkEnd w:id="82"/>
      <w:r>
        <w:t>Pre-harvest</w:t>
      </w:r>
      <w:bookmarkEnd w:id="83"/>
    </w:p>
    <w:p w14:paraId="36C2FAFA" w14:textId="419DAE81" w:rsidR="00156635" w:rsidRDefault="00156635" w:rsidP="00156635">
      <w:r>
        <w:t xml:space="preserve">Tahitian limes </w:t>
      </w:r>
      <w:r w:rsidR="00981CFA">
        <w:t xml:space="preserve">grown for </w:t>
      </w:r>
      <w:r>
        <w:t xml:space="preserve">export to Australia </w:t>
      </w:r>
      <w:r w:rsidR="00981CFA">
        <w:t>w</w:t>
      </w:r>
      <w:r w:rsidR="00281997">
        <w:t>ill</w:t>
      </w:r>
      <w:r w:rsidR="00981CFA">
        <w:t xml:space="preserve"> be </w:t>
      </w:r>
      <w:r>
        <w:t>sourced from registered orchards where agronomic and sanitation procedures are implemented and monitored</w:t>
      </w:r>
      <w:r w:rsidR="00045150">
        <w:t xml:space="preserve"> by the relevant National Plant Protection Organisation</w:t>
      </w:r>
      <w:r>
        <w:t xml:space="preserve">. Growers follow the field agronomic </w:t>
      </w:r>
      <w:r w:rsidR="0038555E">
        <w:t xml:space="preserve">and pest management </w:t>
      </w:r>
      <w:r>
        <w:t>practices recommended by their agriculture departments. Extension officers regularly visit orchards to monitor compliance.</w:t>
      </w:r>
    </w:p>
    <w:p w14:paraId="71230B6E" w14:textId="593C55B7" w:rsidR="00156635" w:rsidRDefault="00156635" w:rsidP="00156635">
      <w:r>
        <w:t xml:space="preserve">Nursery stock is </w:t>
      </w:r>
      <w:r w:rsidR="00AD1618">
        <w:t>generally</w:t>
      </w:r>
      <w:r w:rsidR="00981CFA">
        <w:t xml:space="preserve"> </w:t>
      </w:r>
      <w:r>
        <w:t>sourced from government agriculture departments or from approved suppliers. In Vanuatu, Tahitian lime scions are grafted onto Meyer lemon rootstock, grown from seeds source</w:t>
      </w:r>
      <w:r w:rsidR="00D345D9">
        <w:t>d from New Caledonia</w:t>
      </w:r>
      <w:r>
        <w:t>.</w:t>
      </w:r>
    </w:p>
    <w:p w14:paraId="687A6728" w14:textId="777624A2" w:rsidR="00A9200F" w:rsidRDefault="00A9200F" w:rsidP="00A9200F">
      <w:r>
        <w:t>The young trees are usually planted in rows, forming hedgerows when they are</w:t>
      </w:r>
      <w:r w:rsidR="006F5D80">
        <w:t xml:space="preserve"> mature</w:t>
      </w:r>
      <w:r>
        <w:t xml:space="preserve">. Spacing between rows allows for access to harvest the fruit. </w:t>
      </w:r>
      <w:r w:rsidR="00281997">
        <w:t>In Vanuatu, t</w:t>
      </w:r>
      <w:r>
        <w:t>he trees usually reach full production after four years.</w:t>
      </w:r>
      <w:r w:rsidRPr="00D345D9">
        <w:t xml:space="preserve"> </w:t>
      </w:r>
    </w:p>
    <w:p w14:paraId="3AD44E76" w14:textId="77777777" w:rsidR="00F51E18" w:rsidRDefault="00F51E18" w:rsidP="00F51E18">
      <w:r>
        <w:t>Pruning is undertaken when trees are young to establish the basic shape, and then periodically as the trees mature. Pruning may be done to either encourage growth or reduce tree size. Thinning of bearing trees encourages vegetative growth.</w:t>
      </w:r>
    </w:p>
    <w:p w14:paraId="7DD2D20A" w14:textId="77777777" w:rsidR="00F51E18" w:rsidRDefault="00F51E18" w:rsidP="00F51E18">
      <w:pPr>
        <w:pStyle w:val="Heading2"/>
      </w:pPr>
      <w:bookmarkStart w:id="84" w:name="_Toc391301372"/>
      <w:bookmarkStart w:id="85" w:name="_Toc501716487"/>
      <w:r>
        <w:t>Harvesting and handling procedures</w:t>
      </w:r>
      <w:bookmarkEnd w:id="84"/>
      <w:bookmarkEnd w:id="85"/>
    </w:p>
    <w:p w14:paraId="1BD0CD49" w14:textId="77777777" w:rsidR="00F51E18" w:rsidRDefault="00F51E18" w:rsidP="00F51E18">
      <w:r>
        <w:t xml:space="preserve">The limes are harvested by hand, with the fruit being twisted off the tree and placed directly into baskets or containers for transfer to the packing house. </w:t>
      </w:r>
    </w:p>
    <w:p w14:paraId="3460228A" w14:textId="77777777" w:rsidR="00F51E18" w:rsidRDefault="00F51E18" w:rsidP="00F51E18">
      <w:r>
        <w:t>Typical yield in Vanuatu is around 50 kilograms of fruit per tree annually. Fruit on the ground is not collected for export, and is removed from the orchard for appropriate disposal. Only sound Tahitian lime fruit are harvested and taken to the exporters’ packing houses for washing, grading and packing.</w:t>
      </w:r>
    </w:p>
    <w:p w14:paraId="6719EABD" w14:textId="77777777" w:rsidR="00DE0708" w:rsidRDefault="00DE0708" w:rsidP="00DE0708">
      <w:pPr>
        <w:pStyle w:val="Heading2"/>
      </w:pPr>
      <w:bookmarkStart w:id="86" w:name="_Toc391301373"/>
      <w:bookmarkStart w:id="87" w:name="_Toc501716488"/>
      <w:r>
        <w:t>Post-harvest</w:t>
      </w:r>
      <w:bookmarkEnd w:id="86"/>
      <w:bookmarkEnd w:id="87"/>
    </w:p>
    <w:p w14:paraId="684F2FFF" w14:textId="62A60B1F" w:rsidR="00DE0708" w:rsidRDefault="003B6AE4" w:rsidP="00DE0708">
      <w:r>
        <w:t xml:space="preserve">The fruit </w:t>
      </w:r>
      <w:r w:rsidR="009A6D16">
        <w:t>are</w:t>
      </w:r>
      <w:r>
        <w:t xml:space="preserve"> </w:t>
      </w:r>
      <w:r w:rsidR="00AD1618">
        <w:t xml:space="preserve">either </w:t>
      </w:r>
      <w:r>
        <w:t xml:space="preserve">prepared and packed in a facility on the farm where </w:t>
      </w:r>
      <w:r w:rsidR="00AD1618">
        <w:t>they were</w:t>
      </w:r>
      <w:r>
        <w:t xml:space="preserve"> harvested, or transported to a packing house.</w:t>
      </w:r>
      <w:r w:rsidRPr="00F51E18">
        <w:t xml:space="preserve"> </w:t>
      </w:r>
      <w:r w:rsidR="004E60CB">
        <w:t>T</w:t>
      </w:r>
      <w:r w:rsidR="00DE0708">
        <w:t>he lime fruit a</w:t>
      </w:r>
      <w:r w:rsidR="004D7C7A">
        <w:t>re washed</w:t>
      </w:r>
      <w:r w:rsidR="00774F9B">
        <w:t>, dried</w:t>
      </w:r>
      <w:r w:rsidR="004D7C7A">
        <w:t xml:space="preserve"> and graded </w:t>
      </w:r>
      <w:r w:rsidR="00B9112A">
        <w:t>by hand</w:t>
      </w:r>
      <w:r w:rsidR="00DE0708">
        <w:t>. The fruit are checked for presence of pests and symptoms of infestation, as well as quality issues such as bruising</w:t>
      </w:r>
      <w:r w:rsidR="003C6573">
        <w:t xml:space="preserve">, </w:t>
      </w:r>
      <w:r w:rsidR="00DE0708">
        <w:t>scarring, colour and size. Rejected fruit is removed from the pathway and discarded.</w:t>
      </w:r>
      <w:r w:rsidR="00774F9B">
        <w:t xml:space="preserve"> Lime fruit of acceptable quality are then packed in cardboard boxes by hand. Boxed fruit may be stored under refrigeration for a few weeks until required for export.</w:t>
      </w:r>
      <w:r w:rsidR="00DE0708">
        <w:t xml:space="preserve"> </w:t>
      </w:r>
      <w:r>
        <w:t xml:space="preserve">The fruit are then transported to </w:t>
      </w:r>
      <w:r w:rsidR="00774F9B">
        <w:t>an official NPPO facility</w:t>
      </w:r>
      <w:r>
        <w:t xml:space="preserve"> </w:t>
      </w:r>
      <w:r w:rsidR="00774F9B">
        <w:t xml:space="preserve">where the </w:t>
      </w:r>
      <w:r>
        <w:t>pre-export phytosanitary inspection</w:t>
      </w:r>
      <w:r w:rsidR="00774F9B">
        <w:t xml:space="preserve"> is undertaken</w:t>
      </w:r>
      <w:r>
        <w:t>.</w:t>
      </w:r>
    </w:p>
    <w:p w14:paraId="40F13396" w14:textId="17058C7D" w:rsidR="00DE0708" w:rsidRDefault="00DE0708" w:rsidP="00DE0708">
      <w:r>
        <w:t>After clearance, the fruit are trans</w:t>
      </w:r>
      <w:r w:rsidR="003B6AE4">
        <w:t>ferred</w:t>
      </w:r>
      <w:r>
        <w:t xml:space="preserve"> to the airport or seaport for export. Tahitian lime export consignments from the Pacific Islands are typically small, usually less than 1500 k</w:t>
      </w:r>
      <w:r w:rsidR="00A377EE">
        <w:t>ilo</w:t>
      </w:r>
      <w:r>
        <w:t>g</w:t>
      </w:r>
      <w:r w:rsidR="00A377EE">
        <w:t>rams</w:t>
      </w:r>
      <w:r>
        <w:t>, so airfreight is the preferred transport option. There are direct flights to Australia from the Cook Islands, Samoa, Tonga and Vanuatu, although cargo space is limited. Citrus consignments c</w:t>
      </w:r>
      <w:r w:rsidR="002C46AE">
        <w:t>ould</w:t>
      </w:r>
      <w:r>
        <w:t xml:space="preserve"> be sea-freighted to international markets from the Pacific Islands.</w:t>
      </w:r>
    </w:p>
    <w:p w14:paraId="0054D531" w14:textId="77777777" w:rsidR="00DE0708" w:rsidRDefault="00DE0708" w:rsidP="00DE0708">
      <w:pPr>
        <w:pStyle w:val="Heading2"/>
      </w:pPr>
      <w:bookmarkStart w:id="88" w:name="_Toc370823789"/>
      <w:bookmarkStart w:id="89" w:name="_Toc378335294"/>
      <w:bookmarkStart w:id="90" w:name="_Toc383165051"/>
      <w:bookmarkStart w:id="91" w:name="_Toc391301374"/>
      <w:bookmarkStart w:id="92" w:name="_Toc501716489"/>
      <w:r>
        <w:t>Export capability</w:t>
      </w:r>
      <w:bookmarkEnd w:id="88"/>
      <w:bookmarkEnd w:id="89"/>
      <w:bookmarkEnd w:id="90"/>
      <w:bookmarkEnd w:id="91"/>
      <w:bookmarkEnd w:id="92"/>
    </w:p>
    <w:p w14:paraId="51836828" w14:textId="3B377B57" w:rsidR="00DE0708" w:rsidRDefault="00DE0708" w:rsidP="00DE0708">
      <w:r>
        <w:t>It is difficult to anticipate potential export volumes from the Pacific region</w:t>
      </w:r>
      <w:r w:rsidR="00516E7E">
        <w:t>, but</w:t>
      </w:r>
      <w:r>
        <w:t xml:space="preserve"> market forces will ultimately determine whether significant and sustained trade eventuates. </w:t>
      </w:r>
      <w:r w:rsidR="009A6D16">
        <w:t xml:space="preserve">Commercial </w:t>
      </w:r>
      <w:r>
        <w:t xml:space="preserve">production </w:t>
      </w:r>
      <w:r w:rsidR="009A6D16">
        <w:t xml:space="preserve">of Tahitian limes </w:t>
      </w:r>
      <w:r>
        <w:t xml:space="preserve">in the Pacific Islands is </w:t>
      </w:r>
      <w:r w:rsidR="001649E7">
        <w:t xml:space="preserve">mostly small scale and </w:t>
      </w:r>
      <w:r>
        <w:t>focused on supplying local markets</w:t>
      </w:r>
      <w:r w:rsidR="001649E7">
        <w:t>,</w:t>
      </w:r>
      <w:r>
        <w:t xml:space="preserve"> </w:t>
      </w:r>
      <w:r w:rsidR="001649E7">
        <w:t xml:space="preserve">and </w:t>
      </w:r>
      <w:r>
        <w:t>there are limited market access opportunities for growers.</w:t>
      </w:r>
    </w:p>
    <w:p w14:paraId="393F9894" w14:textId="3E1AF8BB" w:rsidR="008B1D8D" w:rsidRDefault="00A9200F" w:rsidP="008B1D8D">
      <w:r>
        <w:t xml:space="preserve">A small number of growers in Samoa and Vanuatu currently export Tahitian limes to New Zealand, but trade volumes are </w:t>
      </w:r>
      <w:r w:rsidR="00DA3AB2">
        <w:t>small</w:t>
      </w:r>
      <w:r w:rsidR="00281997">
        <w:t>.</w:t>
      </w:r>
    </w:p>
    <w:p w14:paraId="57CD4A05" w14:textId="77777777" w:rsidR="008B1D8D" w:rsidRDefault="008B1D8D" w:rsidP="008B1D8D"/>
    <w:p w14:paraId="799D7D00" w14:textId="77777777" w:rsidR="00242B68" w:rsidRDefault="00242B68" w:rsidP="00B6026C">
      <w:pPr>
        <w:pStyle w:val="Heading1"/>
        <w:sectPr w:rsidR="00242B68" w:rsidSect="00242B68">
          <w:headerReference w:type="even" r:id="rId40"/>
          <w:headerReference w:type="default" r:id="rId41"/>
          <w:footerReference w:type="even" r:id="rId42"/>
          <w:footerReference w:type="default" r:id="rId43"/>
          <w:pgSz w:w="11906" w:h="16838"/>
          <w:pgMar w:top="1418" w:right="1418" w:bottom="1418" w:left="1418" w:header="567" w:footer="283" w:gutter="0"/>
          <w:cols w:space="708"/>
          <w:docGrid w:linePitch="360"/>
        </w:sectPr>
      </w:pPr>
    </w:p>
    <w:p w14:paraId="29D16B60" w14:textId="77777777" w:rsidR="00146544" w:rsidRDefault="00146544" w:rsidP="00B6026C">
      <w:pPr>
        <w:pStyle w:val="Heading1"/>
      </w:pPr>
      <w:bookmarkStart w:id="93" w:name="_Toc501716490"/>
      <w:r>
        <w:t>Pest risk assessments for quarantine pests</w:t>
      </w:r>
      <w:bookmarkEnd w:id="93"/>
    </w:p>
    <w:p w14:paraId="62111DCF" w14:textId="4AAFD26C" w:rsidR="00516E7E" w:rsidRDefault="00516E7E" w:rsidP="00DD5CB0">
      <w:pPr>
        <w:spacing w:after="120"/>
      </w:pPr>
      <w:r>
        <w:t xml:space="preserve">The </w:t>
      </w:r>
      <w:r w:rsidR="00A377EE">
        <w:t xml:space="preserve">pests associated with fresh Tahitian lime fruit from the Cook Islands, Niue, Samoa, Tonga and Vanuatu are identified in Appendix A. </w:t>
      </w:r>
      <w:r w:rsidR="00FC34EA" w:rsidRPr="00FC34EA">
        <w:t xml:space="preserve">Some </w:t>
      </w:r>
      <w:r w:rsidR="00FC34EA">
        <w:t xml:space="preserve">of these </w:t>
      </w:r>
      <w:r w:rsidR="00FC34EA" w:rsidRPr="00FC34EA">
        <w:t xml:space="preserve">pests are present in </w:t>
      </w:r>
      <w:r w:rsidR="00FC34EA">
        <w:t xml:space="preserve">parts </w:t>
      </w:r>
      <w:r w:rsidR="00FC34EA" w:rsidRPr="00FC34EA">
        <w:t xml:space="preserve">of Australia, but </w:t>
      </w:r>
      <w:r w:rsidR="007C5FCC">
        <w:t xml:space="preserve">in other areas </w:t>
      </w:r>
      <w:r w:rsidR="00FC34EA" w:rsidRPr="00FC34EA">
        <w:t xml:space="preserve">are considered to be pests of regional concern </w:t>
      </w:r>
      <w:r w:rsidR="007C5FCC">
        <w:t xml:space="preserve">as reflected in </w:t>
      </w:r>
      <w:r w:rsidR="00FC34EA" w:rsidRPr="00FC34EA">
        <w:t xml:space="preserve">state quarantine regulations. </w:t>
      </w:r>
      <w:r w:rsidR="007C5FCC">
        <w:t>In following parts of this section t</w:t>
      </w:r>
      <w:r w:rsidR="00FC34EA" w:rsidRPr="00FC34EA">
        <w:t>he acronym ‘WA’ is used to identify those pests regulated as quarantine pests by Western Australia.</w:t>
      </w:r>
    </w:p>
    <w:p w14:paraId="45B18988" w14:textId="4A07EEC1" w:rsidR="00880F82" w:rsidRDefault="00880F82" w:rsidP="00DD5CB0">
      <w:pPr>
        <w:spacing w:after="120"/>
      </w:pPr>
      <w:r w:rsidRPr="00880F82">
        <w:t xml:space="preserve">Pest categorisation identified </w:t>
      </w:r>
      <w:r>
        <w:t>twelve</w:t>
      </w:r>
      <w:r w:rsidRPr="00880F82">
        <w:t xml:space="preserve"> quarantine pests associated with </w:t>
      </w:r>
      <w:r>
        <w:t xml:space="preserve">export-quality Tahitian limes produced in the Cook Islands, Niue, Samoa, Tonga and Vanuatu (Table 4.1), which could potentially be imported into Australia. </w:t>
      </w:r>
      <w:r w:rsidR="00F93809">
        <w:t>T</w:t>
      </w:r>
      <w:r w:rsidR="000332AE">
        <w:t xml:space="preserve">hree </w:t>
      </w:r>
      <w:r w:rsidR="00F93809">
        <w:t>o</w:t>
      </w:r>
      <w:r w:rsidRPr="00880F82">
        <w:t xml:space="preserve">f these </w:t>
      </w:r>
      <w:r w:rsidR="00F93809">
        <w:t xml:space="preserve">quarantine </w:t>
      </w:r>
      <w:r w:rsidRPr="00880F82">
        <w:t xml:space="preserve">pests are of national concern and </w:t>
      </w:r>
      <w:r w:rsidR="000332AE">
        <w:t>nine</w:t>
      </w:r>
      <w:r w:rsidRPr="00880F82">
        <w:t xml:space="preserve"> are of regional concern</w:t>
      </w:r>
      <w:r w:rsidR="00077006">
        <w:t xml:space="preserve"> to Western Australia only</w:t>
      </w:r>
      <w:r w:rsidRPr="00880F82">
        <w:t>.</w:t>
      </w:r>
    </w:p>
    <w:p w14:paraId="46F5FF7F" w14:textId="74EDE96B" w:rsidR="00C7656B" w:rsidRDefault="00406A17" w:rsidP="00DD5CB0">
      <w:pPr>
        <w:spacing w:after="120"/>
        <w:rPr>
          <w:rFonts w:eastAsia="Calibri" w:cs="Times New Roman"/>
        </w:rPr>
      </w:pPr>
      <w:bookmarkStart w:id="94" w:name="_Toc391301377"/>
      <w:r>
        <w:t>Most of the</w:t>
      </w:r>
      <w:r w:rsidR="004A4E4B">
        <w:t xml:space="preserve"> identified quarantine</w:t>
      </w:r>
      <w:r>
        <w:t xml:space="preserve"> pests </w:t>
      </w:r>
      <w:r w:rsidR="000E4D78" w:rsidRPr="000E4D78">
        <w:t xml:space="preserve">have been assessed previously by the department. </w:t>
      </w:r>
      <w:r w:rsidR="00D762B7">
        <w:t>Unless new information is available that suggests the risk would be different</w:t>
      </w:r>
      <w:r w:rsidR="00D762B7" w:rsidRPr="000E4D78">
        <w:t xml:space="preserve"> </w:t>
      </w:r>
      <w:r w:rsidR="00D762B7">
        <w:t>for this specific pathway</w:t>
      </w:r>
      <w:r>
        <w:t xml:space="preserve">, the outcomes of </w:t>
      </w:r>
      <w:r w:rsidR="007F1411">
        <w:t xml:space="preserve">the </w:t>
      </w:r>
      <w:r>
        <w:t xml:space="preserve">previous assessments </w:t>
      </w:r>
      <w:r w:rsidR="00281997">
        <w:t>have been</w:t>
      </w:r>
      <w:r>
        <w:t xml:space="preserve"> adopted for these pests.</w:t>
      </w:r>
      <w:r w:rsidR="000E4D78" w:rsidRPr="000E4D78">
        <w:t xml:space="preserve"> </w:t>
      </w:r>
      <w:r w:rsidR="00215529" w:rsidRPr="00215529">
        <w:t>The acronym ‘</w:t>
      </w:r>
      <w:r w:rsidR="00215529">
        <w:t>EP</w:t>
      </w:r>
      <w:r w:rsidR="00215529" w:rsidRPr="00215529">
        <w:t xml:space="preserve">’ </w:t>
      </w:r>
      <w:r w:rsidR="00AD1618">
        <w:t xml:space="preserve">(‘existing policy’) </w:t>
      </w:r>
      <w:r w:rsidR="00215529" w:rsidRPr="00215529">
        <w:t xml:space="preserve">is used to identify those pests </w:t>
      </w:r>
      <w:r w:rsidR="00215529">
        <w:t xml:space="preserve">for which previous outcomes </w:t>
      </w:r>
      <w:r w:rsidR="00281997">
        <w:t>have been</w:t>
      </w:r>
      <w:r w:rsidR="00215529">
        <w:t xml:space="preserve"> adopted.</w:t>
      </w:r>
    </w:p>
    <w:p w14:paraId="665783DA" w14:textId="77777777" w:rsidR="006A7954" w:rsidRDefault="006A7954" w:rsidP="006A7954">
      <w:pPr>
        <w:pStyle w:val="Caption"/>
      </w:pPr>
      <w:bookmarkStart w:id="95" w:name="_Toc501716551"/>
      <w:r w:rsidRPr="00A377EE">
        <w:t xml:space="preserve">Table </w:t>
      </w:r>
      <w:fldSimple w:instr=" STYLEREF 1 \s ">
        <w:r w:rsidR="003C54B1">
          <w:rPr>
            <w:noProof/>
          </w:rPr>
          <w:t>4</w:t>
        </w:r>
      </w:fldSimple>
      <w:r w:rsidRPr="00A377EE">
        <w:t>.</w:t>
      </w:r>
      <w:fldSimple w:instr=" SEQ Table \* ARABIC \s 1 ">
        <w:r w:rsidR="003C54B1">
          <w:rPr>
            <w:noProof/>
          </w:rPr>
          <w:t>1</w:t>
        </w:r>
      </w:fldSimple>
      <w:r>
        <w:t xml:space="preserve"> Quarantine pests of Tahitian limes</w:t>
      </w:r>
      <w:bookmarkEnd w:id="95"/>
    </w:p>
    <w:tbl>
      <w:tblPr>
        <w:tblW w:w="5171" w:type="pct"/>
        <w:tblLook w:val="04A0" w:firstRow="1" w:lastRow="0" w:firstColumn="1" w:lastColumn="0" w:noHBand="0" w:noVBand="1"/>
      </w:tblPr>
      <w:tblGrid>
        <w:gridCol w:w="3829"/>
        <w:gridCol w:w="1872"/>
        <w:gridCol w:w="3679"/>
      </w:tblGrid>
      <w:tr w:rsidR="006A7954" w14:paraId="0D1BD658" w14:textId="77777777" w:rsidTr="00A62B8F">
        <w:tc>
          <w:tcPr>
            <w:tcW w:w="2041" w:type="pct"/>
            <w:tcBorders>
              <w:top w:val="single" w:sz="4" w:space="0" w:color="auto"/>
              <w:bottom w:val="single" w:sz="4" w:space="0" w:color="BFBFBF" w:themeColor="background1" w:themeShade="BF"/>
            </w:tcBorders>
          </w:tcPr>
          <w:p w14:paraId="466A1E6F" w14:textId="77777777" w:rsidR="006A7954" w:rsidRDefault="006A7954" w:rsidP="00A62B8F">
            <w:pPr>
              <w:pStyle w:val="TableHeading"/>
            </w:pPr>
            <w:r>
              <w:t>Pest</w:t>
            </w:r>
          </w:p>
        </w:tc>
        <w:tc>
          <w:tcPr>
            <w:tcW w:w="998" w:type="pct"/>
            <w:tcBorders>
              <w:top w:val="single" w:sz="4" w:space="0" w:color="auto"/>
              <w:bottom w:val="single" w:sz="4" w:space="0" w:color="BFBFBF" w:themeColor="background1" w:themeShade="BF"/>
            </w:tcBorders>
          </w:tcPr>
          <w:p w14:paraId="701E52CD" w14:textId="77777777" w:rsidR="006A7954" w:rsidRDefault="006A7954" w:rsidP="00A62B8F">
            <w:pPr>
              <w:pStyle w:val="TableHeading"/>
            </w:pPr>
            <w:r>
              <w:t>Common name</w:t>
            </w:r>
          </w:p>
        </w:tc>
        <w:tc>
          <w:tcPr>
            <w:tcW w:w="1961" w:type="pct"/>
            <w:tcBorders>
              <w:top w:val="single" w:sz="4" w:space="0" w:color="auto"/>
              <w:bottom w:val="single" w:sz="4" w:space="0" w:color="BFBFBF" w:themeColor="background1" w:themeShade="BF"/>
            </w:tcBorders>
          </w:tcPr>
          <w:p w14:paraId="565B7171" w14:textId="77777777" w:rsidR="006A7954" w:rsidRDefault="006A7954" w:rsidP="00A62B8F">
            <w:pPr>
              <w:pStyle w:val="TableHeading"/>
            </w:pPr>
            <w:r>
              <w:t>Countries where pest is present</w:t>
            </w:r>
          </w:p>
        </w:tc>
      </w:tr>
      <w:tr w:rsidR="006A7954" w14:paraId="4C5B4C3C" w14:textId="77777777" w:rsidTr="00A62B8F">
        <w:tc>
          <w:tcPr>
            <w:tcW w:w="5000" w:type="pct"/>
            <w:gridSpan w:val="3"/>
            <w:tcBorders>
              <w:top w:val="single" w:sz="4" w:space="0" w:color="BFBFBF" w:themeColor="background1" w:themeShade="BF"/>
            </w:tcBorders>
          </w:tcPr>
          <w:p w14:paraId="7FFA9CB8" w14:textId="77777777" w:rsidR="006A7954" w:rsidRDefault="006A7954" w:rsidP="00A62B8F">
            <w:pPr>
              <w:pStyle w:val="TableText"/>
            </w:pPr>
            <w:r w:rsidRPr="005453A2">
              <w:rPr>
                <w:b/>
              </w:rPr>
              <w:t>Soft scales [Hemiptera: Coccidae]</w:t>
            </w:r>
          </w:p>
        </w:tc>
      </w:tr>
      <w:tr w:rsidR="006A7954" w14:paraId="4690FCA4" w14:textId="77777777" w:rsidTr="00A62B8F">
        <w:tc>
          <w:tcPr>
            <w:tcW w:w="2041" w:type="pct"/>
            <w:tcBorders>
              <w:bottom w:val="single" w:sz="4" w:space="0" w:color="BFBFBF" w:themeColor="background1" w:themeShade="BF"/>
            </w:tcBorders>
          </w:tcPr>
          <w:p w14:paraId="65886A58" w14:textId="77777777" w:rsidR="006A7954" w:rsidRDefault="006A7954" w:rsidP="00A62B8F">
            <w:pPr>
              <w:pStyle w:val="TableText"/>
              <w:rPr>
                <w:i/>
              </w:rPr>
            </w:pPr>
            <w:r w:rsidRPr="005453A2">
              <w:rPr>
                <w:i/>
              </w:rPr>
              <w:t xml:space="preserve">Saissetia neglecta </w:t>
            </w:r>
            <w:r w:rsidRPr="005453A2">
              <w:t>De Lotto, 1969</w:t>
            </w:r>
            <w:r>
              <w:t xml:space="preserve"> [WA]</w:t>
            </w:r>
          </w:p>
        </w:tc>
        <w:tc>
          <w:tcPr>
            <w:tcW w:w="998" w:type="pct"/>
            <w:tcBorders>
              <w:bottom w:val="single" w:sz="4" w:space="0" w:color="BFBFBF" w:themeColor="background1" w:themeShade="BF"/>
            </w:tcBorders>
          </w:tcPr>
          <w:p w14:paraId="3D6495EC" w14:textId="77777777" w:rsidR="006A7954" w:rsidRDefault="006A7954" w:rsidP="00A62B8F">
            <w:pPr>
              <w:pStyle w:val="TableText"/>
            </w:pPr>
            <w:r w:rsidRPr="005453A2">
              <w:t>Caribbean black scale</w:t>
            </w:r>
          </w:p>
        </w:tc>
        <w:tc>
          <w:tcPr>
            <w:tcW w:w="1961" w:type="pct"/>
            <w:tcBorders>
              <w:bottom w:val="single" w:sz="4" w:space="0" w:color="BFBFBF" w:themeColor="background1" w:themeShade="BF"/>
            </w:tcBorders>
          </w:tcPr>
          <w:p w14:paraId="56D86469" w14:textId="77777777" w:rsidR="006A7954" w:rsidRDefault="006A7954" w:rsidP="00A62B8F">
            <w:pPr>
              <w:pStyle w:val="TableText"/>
            </w:pPr>
            <w:r w:rsidRPr="005453A2">
              <w:t>Cook Islands, Niue, Samoa, Tonga, Vanuatu</w:t>
            </w:r>
          </w:p>
        </w:tc>
      </w:tr>
      <w:tr w:rsidR="006A7954" w14:paraId="7BDC4E81" w14:textId="77777777" w:rsidTr="00A62B8F">
        <w:tc>
          <w:tcPr>
            <w:tcW w:w="5000" w:type="pct"/>
            <w:gridSpan w:val="3"/>
          </w:tcPr>
          <w:p w14:paraId="4338FA04" w14:textId="77777777" w:rsidR="006A7954" w:rsidRPr="006808F6" w:rsidRDefault="006A7954" w:rsidP="00A62B8F">
            <w:pPr>
              <w:pStyle w:val="TableText"/>
              <w:rPr>
                <w:b/>
              </w:rPr>
            </w:pPr>
            <w:r>
              <w:rPr>
                <w:b/>
              </w:rPr>
              <w:t>Armoured</w:t>
            </w:r>
            <w:r w:rsidRPr="006808F6">
              <w:rPr>
                <w:b/>
              </w:rPr>
              <w:t xml:space="preserve"> scales [Hemiptera: </w:t>
            </w:r>
            <w:r>
              <w:rPr>
                <w:b/>
              </w:rPr>
              <w:t>Diaspidid</w:t>
            </w:r>
            <w:r w:rsidRPr="006808F6">
              <w:rPr>
                <w:b/>
              </w:rPr>
              <w:t>ae]</w:t>
            </w:r>
          </w:p>
        </w:tc>
      </w:tr>
      <w:tr w:rsidR="006A7954" w:rsidRPr="00315C2F" w14:paraId="5377F234" w14:textId="77777777" w:rsidTr="00A62B8F">
        <w:tc>
          <w:tcPr>
            <w:tcW w:w="2041" w:type="pct"/>
          </w:tcPr>
          <w:p w14:paraId="4DBCB003" w14:textId="77777777" w:rsidR="006A7954" w:rsidRPr="00315C2F" w:rsidRDefault="006A7954" w:rsidP="00A62B8F">
            <w:pPr>
              <w:pStyle w:val="TableText"/>
              <w:rPr>
                <w:i/>
              </w:rPr>
            </w:pPr>
            <w:r w:rsidRPr="00315C2F">
              <w:rPr>
                <w:i/>
              </w:rPr>
              <w:t xml:space="preserve">Chrysomphalus dictyospermi </w:t>
            </w:r>
            <w:r w:rsidRPr="00315C2F">
              <w:t>(Morgan, 1889)</w:t>
            </w:r>
            <w:r>
              <w:t xml:space="preserve"> [EP, WA]</w:t>
            </w:r>
          </w:p>
        </w:tc>
        <w:tc>
          <w:tcPr>
            <w:tcW w:w="998" w:type="pct"/>
          </w:tcPr>
          <w:p w14:paraId="5AB93463" w14:textId="77777777" w:rsidR="006A7954" w:rsidRPr="00315C2F" w:rsidRDefault="006A7954" w:rsidP="00A62B8F">
            <w:pPr>
              <w:pStyle w:val="TableText"/>
            </w:pPr>
            <w:r w:rsidRPr="00315C2F">
              <w:t>Spanish red scale</w:t>
            </w:r>
          </w:p>
        </w:tc>
        <w:tc>
          <w:tcPr>
            <w:tcW w:w="1961" w:type="pct"/>
          </w:tcPr>
          <w:p w14:paraId="0E1B96E1" w14:textId="77777777" w:rsidR="006A7954" w:rsidRPr="00315C2F" w:rsidRDefault="006A7954" w:rsidP="00A62B8F">
            <w:pPr>
              <w:pStyle w:val="TableText"/>
            </w:pPr>
            <w:r w:rsidRPr="00315C2F">
              <w:t>Cook Islands, Niue, Samoa, Tonga</w:t>
            </w:r>
          </w:p>
        </w:tc>
      </w:tr>
      <w:tr w:rsidR="006A7954" w:rsidRPr="00315C2F" w14:paraId="09D3C9E2" w14:textId="77777777" w:rsidTr="00A62B8F">
        <w:tc>
          <w:tcPr>
            <w:tcW w:w="2041" w:type="pct"/>
          </w:tcPr>
          <w:p w14:paraId="3B93A522" w14:textId="77777777" w:rsidR="006A7954" w:rsidRPr="00315C2F" w:rsidRDefault="006A7954" w:rsidP="00A62B8F">
            <w:pPr>
              <w:pStyle w:val="TableText"/>
              <w:rPr>
                <w:i/>
                <w:vertAlign w:val="superscript"/>
              </w:rPr>
            </w:pPr>
            <w:r w:rsidRPr="00315C2F">
              <w:rPr>
                <w:i/>
              </w:rPr>
              <w:t xml:space="preserve">Hemiberlesia cyanophylli </w:t>
            </w:r>
            <w:r w:rsidRPr="00315C2F">
              <w:t>(Signoret, 1869)</w:t>
            </w:r>
            <w:r>
              <w:t xml:space="preserve"> [EP, WA]</w:t>
            </w:r>
          </w:p>
        </w:tc>
        <w:tc>
          <w:tcPr>
            <w:tcW w:w="998" w:type="pct"/>
          </w:tcPr>
          <w:p w14:paraId="2A32E6F0" w14:textId="77777777" w:rsidR="006A7954" w:rsidRPr="00315C2F" w:rsidRDefault="006A7954" w:rsidP="00A62B8F">
            <w:pPr>
              <w:pStyle w:val="TableText"/>
            </w:pPr>
            <w:r w:rsidRPr="00315C2F">
              <w:t>Cyanophyllum scale</w:t>
            </w:r>
          </w:p>
        </w:tc>
        <w:tc>
          <w:tcPr>
            <w:tcW w:w="1961" w:type="pct"/>
          </w:tcPr>
          <w:p w14:paraId="7DD25A01" w14:textId="77777777" w:rsidR="006A7954" w:rsidRPr="00315C2F" w:rsidRDefault="006A7954" w:rsidP="00A62B8F">
            <w:pPr>
              <w:pStyle w:val="TableText"/>
            </w:pPr>
            <w:r w:rsidRPr="00315C2F">
              <w:t>Cook Islands, Niue, Samoa, Tonga, Vanuatu</w:t>
            </w:r>
          </w:p>
        </w:tc>
      </w:tr>
      <w:tr w:rsidR="006A7954" w:rsidRPr="00315C2F" w14:paraId="4531E008" w14:textId="77777777" w:rsidTr="00A62B8F">
        <w:tc>
          <w:tcPr>
            <w:tcW w:w="2041" w:type="pct"/>
          </w:tcPr>
          <w:p w14:paraId="1CF49DC6" w14:textId="77777777" w:rsidR="006A7954" w:rsidRPr="00315C2F" w:rsidRDefault="006A7954" w:rsidP="00A62B8F">
            <w:pPr>
              <w:pStyle w:val="TableText"/>
              <w:rPr>
                <w:i/>
              </w:rPr>
            </w:pPr>
            <w:r w:rsidRPr="00315C2F">
              <w:rPr>
                <w:i/>
              </w:rPr>
              <w:t xml:space="preserve">Morganella longispina </w:t>
            </w:r>
            <w:r w:rsidRPr="00315C2F">
              <w:t>(Morgan, 1889)</w:t>
            </w:r>
            <w:r>
              <w:t xml:space="preserve"> [EP, WA]</w:t>
            </w:r>
          </w:p>
        </w:tc>
        <w:tc>
          <w:tcPr>
            <w:tcW w:w="998" w:type="pct"/>
          </w:tcPr>
          <w:p w14:paraId="6F557105" w14:textId="77777777" w:rsidR="006A7954" w:rsidRPr="00315C2F" w:rsidRDefault="006A7954" w:rsidP="00A62B8F">
            <w:pPr>
              <w:pStyle w:val="TableText"/>
            </w:pPr>
            <w:r w:rsidRPr="00315C2F">
              <w:t>Plumose scale</w:t>
            </w:r>
          </w:p>
        </w:tc>
        <w:tc>
          <w:tcPr>
            <w:tcW w:w="1961" w:type="pct"/>
          </w:tcPr>
          <w:p w14:paraId="3BDDC095" w14:textId="77777777" w:rsidR="006A7954" w:rsidRPr="00315C2F" w:rsidRDefault="006A7954" w:rsidP="00A62B8F">
            <w:pPr>
              <w:pStyle w:val="TableText"/>
            </w:pPr>
            <w:r w:rsidRPr="00315C2F">
              <w:t>Cook Islands, Samoa, Tonga</w:t>
            </w:r>
          </w:p>
        </w:tc>
      </w:tr>
      <w:tr w:rsidR="006A7954" w14:paraId="5EF9E388" w14:textId="77777777" w:rsidTr="00A62B8F">
        <w:tc>
          <w:tcPr>
            <w:tcW w:w="2041" w:type="pct"/>
          </w:tcPr>
          <w:p w14:paraId="256C6CD2" w14:textId="77777777" w:rsidR="006A7954" w:rsidRDefault="006A7954" w:rsidP="00A62B8F">
            <w:pPr>
              <w:pStyle w:val="TableText"/>
              <w:rPr>
                <w:i/>
              </w:rPr>
            </w:pPr>
            <w:r>
              <w:rPr>
                <w:i/>
              </w:rPr>
              <w:t xml:space="preserve">Parlatoria cinerea </w:t>
            </w:r>
            <w:r>
              <w:t>Hadden, 1909 [EP]</w:t>
            </w:r>
          </w:p>
        </w:tc>
        <w:tc>
          <w:tcPr>
            <w:tcW w:w="998" w:type="pct"/>
          </w:tcPr>
          <w:p w14:paraId="4B978CEE" w14:textId="77777777" w:rsidR="006A7954" w:rsidRDefault="006A7954" w:rsidP="00A62B8F">
            <w:pPr>
              <w:pStyle w:val="TableText"/>
              <w:rPr>
                <w:highlight w:val="yellow"/>
              </w:rPr>
            </w:pPr>
            <w:r>
              <w:t>Tropical grey chaff scale</w:t>
            </w:r>
          </w:p>
        </w:tc>
        <w:tc>
          <w:tcPr>
            <w:tcW w:w="1961" w:type="pct"/>
          </w:tcPr>
          <w:p w14:paraId="10065BBC" w14:textId="77777777" w:rsidR="006A7954" w:rsidRDefault="006A7954" w:rsidP="00A62B8F">
            <w:pPr>
              <w:pStyle w:val="TableText"/>
              <w:rPr>
                <w:highlight w:val="yellow"/>
              </w:rPr>
            </w:pPr>
            <w:r>
              <w:t>Cook Islands, Niue, Samoa, Vanuatu</w:t>
            </w:r>
          </w:p>
        </w:tc>
      </w:tr>
      <w:tr w:rsidR="006A7954" w:rsidRPr="00315C2F" w14:paraId="22F3B700" w14:textId="77777777" w:rsidTr="00A62B8F">
        <w:tc>
          <w:tcPr>
            <w:tcW w:w="2041" w:type="pct"/>
          </w:tcPr>
          <w:p w14:paraId="339AC700" w14:textId="77777777" w:rsidR="006A7954" w:rsidRPr="00315C2F" w:rsidRDefault="006A7954" w:rsidP="00A62B8F">
            <w:pPr>
              <w:pStyle w:val="TableText"/>
              <w:rPr>
                <w:i/>
              </w:rPr>
            </w:pPr>
            <w:r w:rsidRPr="00315C2F">
              <w:rPr>
                <w:i/>
              </w:rPr>
              <w:t xml:space="preserve">Parlatoria pergandii </w:t>
            </w:r>
            <w:r w:rsidRPr="00315C2F">
              <w:t>Comstock, 1881</w:t>
            </w:r>
            <w:r>
              <w:t xml:space="preserve"> [EP, WA]</w:t>
            </w:r>
          </w:p>
        </w:tc>
        <w:tc>
          <w:tcPr>
            <w:tcW w:w="998" w:type="pct"/>
          </w:tcPr>
          <w:p w14:paraId="53D128BC" w14:textId="77777777" w:rsidR="006A7954" w:rsidRPr="00315C2F" w:rsidRDefault="006A7954" w:rsidP="00A62B8F">
            <w:pPr>
              <w:pStyle w:val="TableText"/>
            </w:pPr>
            <w:r w:rsidRPr="00315C2F">
              <w:t>Chaff scale</w:t>
            </w:r>
          </w:p>
        </w:tc>
        <w:tc>
          <w:tcPr>
            <w:tcW w:w="1961" w:type="pct"/>
          </w:tcPr>
          <w:p w14:paraId="1A14970E" w14:textId="77777777" w:rsidR="006A7954" w:rsidRPr="00315C2F" w:rsidRDefault="006A7954" w:rsidP="00A62B8F">
            <w:pPr>
              <w:pStyle w:val="TableText"/>
            </w:pPr>
            <w:r w:rsidRPr="00315C2F">
              <w:t>Cook Islands, Niue, Samoa</w:t>
            </w:r>
          </w:p>
        </w:tc>
      </w:tr>
      <w:tr w:rsidR="006A7954" w:rsidRPr="00315C2F" w14:paraId="411B3925" w14:textId="77777777" w:rsidTr="00A62B8F">
        <w:tc>
          <w:tcPr>
            <w:tcW w:w="2041" w:type="pct"/>
          </w:tcPr>
          <w:p w14:paraId="7AC03657" w14:textId="04EAB53C" w:rsidR="006A7954" w:rsidRPr="00315C2F" w:rsidRDefault="006A7954" w:rsidP="0008776E">
            <w:pPr>
              <w:pStyle w:val="TableText"/>
              <w:rPr>
                <w:i/>
              </w:rPr>
            </w:pPr>
            <w:r w:rsidRPr="00315C2F">
              <w:rPr>
                <w:i/>
              </w:rPr>
              <w:t xml:space="preserve">Pinnaspis aspidistrae </w:t>
            </w:r>
            <w:r w:rsidRPr="00315C2F">
              <w:t>(Signoret, 1869)</w:t>
            </w:r>
            <w:r>
              <w:t xml:space="preserve"> [EP, WA]</w:t>
            </w:r>
          </w:p>
        </w:tc>
        <w:tc>
          <w:tcPr>
            <w:tcW w:w="998" w:type="pct"/>
          </w:tcPr>
          <w:p w14:paraId="3AF1A26A" w14:textId="77777777" w:rsidR="006A7954" w:rsidRPr="00315C2F" w:rsidRDefault="006A7954" w:rsidP="00A62B8F">
            <w:pPr>
              <w:pStyle w:val="TableText"/>
            </w:pPr>
            <w:r w:rsidRPr="00315C2F">
              <w:t>Fern scale</w:t>
            </w:r>
          </w:p>
        </w:tc>
        <w:tc>
          <w:tcPr>
            <w:tcW w:w="1961" w:type="pct"/>
          </w:tcPr>
          <w:p w14:paraId="62F08B41" w14:textId="77777777" w:rsidR="006A7954" w:rsidRPr="00315C2F" w:rsidRDefault="006A7954" w:rsidP="00A62B8F">
            <w:pPr>
              <w:pStyle w:val="TableText"/>
            </w:pPr>
            <w:r w:rsidRPr="00315C2F">
              <w:t>Cook Islands, Niue, Samoa, Tonga, Vanuatu</w:t>
            </w:r>
          </w:p>
        </w:tc>
      </w:tr>
      <w:tr w:rsidR="006A7954" w:rsidRPr="00315C2F" w14:paraId="12DFD340" w14:textId="77777777" w:rsidTr="00A62B8F">
        <w:tc>
          <w:tcPr>
            <w:tcW w:w="2041" w:type="pct"/>
          </w:tcPr>
          <w:p w14:paraId="4C6C15EF" w14:textId="77777777" w:rsidR="006A7954" w:rsidRPr="00315C2F" w:rsidRDefault="006A7954" w:rsidP="00A62B8F">
            <w:pPr>
              <w:pStyle w:val="TableText"/>
              <w:rPr>
                <w:i/>
              </w:rPr>
            </w:pPr>
            <w:r w:rsidRPr="00315C2F">
              <w:rPr>
                <w:i/>
              </w:rPr>
              <w:t xml:space="preserve">Unaspis citri </w:t>
            </w:r>
            <w:r w:rsidRPr="00315C2F">
              <w:t>(Comstock, 1883)</w:t>
            </w:r>
            <w:r>
              <w:t xml:space="preserve"> [EP, WA]</w:t>
            </w:r>
          </w:p>
        </w:tc>
        <w:tc>
          <w:tcPr>
            <w:tcW w:w="998" w:type="pct"/>
          </w:tcPr>
          <w:p w14:paraId="69925554" w14:textId="77777777" w:rsidR="006A7954" w:rsidRPr="00315C2F" w:rsidRDefault="006A7954" w:rsidP="00A62B8F">
            <w:pPr>
              <w:pStyle w:val="TableText"/>
            </w:pPr>
            <w:r w:rsidRPr="00315C2F">
              <w:t>Citrus snow scale</w:t>
            </w:r>
          </w:p>
        </w:tc>
        <w:tc>
          <w:tcPr>
            <w:tcW w:w="1961" w:type="pct"/>
          </w:tcPr>
          <w:p w14:paraId="2DE059BF" w14:textId="77777777" w:rsidR="006A7954" w:rsidRPr="00315C2F" w:rsidRDefault="006A7954" w:rsidP="00A62B8F">
            <w:pPr>
              <w:pStyle w:val="TableText"/>
            </w:pPr>
            <w:r w:rsidRPr="00315C2F">
              <w:t>Cook Islands, Niue, Samoa, Tonga, Vanuatu</w:t>
            </w:r>
          </w:p>
        </w:tc>
      </w:tr>
      <w:tr w:rsidR="006A7954" w14:paraId="3E820116" w14:textId="77777777" w:rsidTr="00A62B8F">
        <w:tc>
          <w:tcPr>
            <w:tcW w:w="5000" w:type="pct"/>
            <w:gridSpan w:val="3"/>
            <w:tcBorders>
              <w:top w:val="single" w:sz="4" w:space="0" w:color="BFBFBF" w:themeColor="background1" w:themeShade="BF"/>
            </w:tcBorders>
            <w:shd w:val="clear" w:color="auto" w:fill="auto"/>
          </w:tcPr>
          <w:p w14:paraId="2FB7F014" w14:textId="77777777" w:rsidR="006A7954" w:rsidRDefault="006A7954" w:rsidP="00A62B8F">
            <w:pPr>
              <w:pStyle w:val="TableText"/>
              <w:rPr>
                <w:b/>
                <w:highlight w:val="yellow"/>
              </w:rPr>
            </w:pPr>
            <w:r w:rsidRPr="006808F6">
              <w:rPr>
                <w:b/>
              </w:rPr>
              <w:t>Mealybugs [Hemiptera: Pseudococcidae]</w:t>
            </w:r>
          </w:p>
        </w:tc>
      </w:tr>
      <w:tr w:rsidR="006A7954" w14:paraId="6DCD9641" w14:textId="77777777" w:rsidTr="00A62B8F">
        <w:tc>
          <w:tcPr>
            <w:tcW w:w="2041" w:type="pct"/>
          </w:tcPr>
          <w:p w14:paraId="1C709052" w14:textId="77777777" w:rsidR="006A7954" w:rsidRDefault="006A7954" w:rsidP="00A62B8F">
            <w:pPr>
              <w:pStyle w:val="TableText"/>
              <w:rPr>
                <w:i/>
              </w:rPr>
            </w:pPr>
            <w:r>
              <w:rPr>
                <w:i/>
              </w:rPr>
              <w:t xml:space="preserve">Dysmicoccus neobrevipes </w:t>
            </w:r>
            <w:r>
              <w:t>Beardsley, 1959 [EP]</w:t>
            </w:r>
          </w:p>
        </w:tc>
        <w:tc>
          <w:tcPr>
            <w:tcW w:w="998" w:type="pct"/>
          </w:tcPr>
          <w:p w14:paraId="255D5FC6" w14:textId="77777777" w:rsidR="006A7954" w:rsidRDefault="006A7954" w:rsidP="00A62B8F">
            <w:pPr>
              <w:pStyle w:val="TableText"/>
            </w:pPr>
            <w:r>
              <w:t>Grey pineapple mealybug</w:t>
            </w:r>
          </w:p>
        </w:tc>
        <w:tc>
          <w:tcPr>
            <w:tcW w:w="1961" w:type="pct"/>
          </w:tcPr>
          <w:p w14:paraId="0A2FFB6F" w14:textId="77777777" w:rsidR="006A7954" w:rsidRDefault="006A7954" w:rsidP="00A62B8F">
            <w:pPr>
              <w:pStyle w:val="TableText"/>
            </w:pPr>
            <w:r>
              <w:t>Cook Islands, Samoa</w:t>
            </w:r>
          </w:p>
        </w:tc>
      </w:tr>
      <w:tr w:rsidR="006A7954" w:rsidRPr="00315C2F" w14:paraId="2456BAEF" w14:textId="77777777" w:rsidTr="00A62B8F">
        <w:tc>
          <w:tcPr>
            <w:tcW w:w="2041" w:type="pct"/>
          </w:tcPr>
          <w:p w14:paraId="030A4004" w14:textId="77777777" w:rsidR="006A7954" w:rsidRPr="00315C2F" w:rsidRDefault="006A7954" w:rsidP="00A62B8F">
            <w:pPr>
              <w:pStyle w:val="TableText"/>
              <w:rPr>
                <w:i/>
              </w:rPr>
            </w:pPr>
            <w:r w:rsidRPr="00315C2F">
              <w:rPr>
                <w:i/>
              </w:rPr>
              <w:t xml:space="preserve">Planococcus minor </w:t>
            </w:r>
            <w:r w:rsidRPr="00315C2F">
              <w:t>(Maskell, 1897)</w:t>
            </w:r>
            <w:r>
              <w:t xml:space="preserve"> [EP, WA]</w:t>
            </w:r>
          </w:p>
        </w:tc>
        <w:tc>
          <w:tcPr>
            <w:tcW w:w="998" w:type="pct"/>
          </w:tcPr>
          <w:p w14:paraId="3B468B6E" w14:textId="77777777" w:rsidR="006A7954" w:rsidRPr="00315C2F" w:rsidRDefault="006A7954" w:rsidP="00A62B8F">
            <w:pPr>
              <w:pStyle w:val="TableText"/>
            </w:pPr>
            <w:r w:rsidRPr="00315C2F">
              <w:t>Pacific mealybug</w:t>
            </w:r>
          </w:p>
        </w:tc>
        <w:tc>
          <w:tcPr>
            <w:tcW w:w="1961" w:type="pct"/>
          </w:tcPr>
          <w:p w14:paraId="1C5FDAB9" w14:textId="77777777" w:rsidR="006A7954" w:rsidRPr="00315C2F" w:rsidRDefault="006A7954" w:rsidP="00A62B8F">
            <w:pPr>
              <w:pStyle w:val="TableText"/>
            </w:pPr>
            <w:r w:rsidRPr="00315C2F">
              <w:t>Cook Islands, Niue, Samoa, Tonga, Vanuatu</w:t>
            </w:r>
          </w:p>
        </w:tc>
      </w:tr>
      <w:tr w:rsidR="006A7954" w:rsidRPr="00315C2F" w14:paraId="7D216EAD" w14:textId="77777777" w:rsidTr="00A62B8F">
        <w:tc>
          <w:tcPr>
            <w:tcW w:w="2041" w:type="pct"/>
            <w:tcBorders>
              <w:bottom w:val="single" w:sz="4" w:space="0" w:color="BFBFBF" w:themeColor="background1" w:themeShade="BF"/>
            </w:tcBorders>
          </w:tcPr>
          <w:p w14:paraId="2E4E207E" w14:textId="77777777" w:rsidR="006A7954" w:rsidRPr="00315C2F" w:rsidRDefault="006A7954" w:rsidP="00A62B8F">
            <w:pPr>
              <w:pStyle w:val="TableText"/>
            </w:pPr>
            <w:r>
              <w:rPr>
                <w:i/>
              </w:rPr>
              <w:t>Pseudococcus cryptus</w:t>
            </w:r>
            <w:r>
              <w:t xml:space="preserve"> Hempel, 1918 [EP, WA]</w:t>
            </w:r>
          </w:p>
        </w:tc>
        <w:tc>
          <w:tcPr>
            <w:tcW w:w="998" w:type="pct"/>
            <w:tcBorders>
              <w:bottom w:val="single" w:sz="4" w:space="0" w:color="BFBFBF" w:themeColor="background1" w:themeShade="BF"/>
            </w:tcBorders>
          </w:tcPr>
          <w:p w14:paraId="0641480F" w14:textId="77777777" w:rsidR="006A7954" w:rsidRPr="00315C2F" w:rsidRDefault="006A7954" w:rsidP="00A62B8F">
            <w:pPr>
              <w:pStyle w:val="TableText"/>
            </w:pPr>
            <w:r>
              <w:t>Cryptic mealybug</w:t>
            </w:r>
          </w:p>
        </w:tc>
        <w:tc>
          <w:tcPr>
            <w:tcW w:w="1961" w:type="pct"/>
            <w:tcBorders>
              <w:bottom w:val="single" w:sz="4" w:space="0" w:color="BFBFBF" w:themeColor="background1" w:themeShade="BF"/>
            </w:tcBorders>
          </w:tcPr>
          <w:p w14:paraId="11762977" w14:textId="77777777" w:rsidR="006A7954" w:rsidRPr="00315C2F" w:rsidRDefault="006A7954" w:rsidP="00A62B8F">
            <w:pPr>
              <w:pStyle w:val="TableText"/>
            </w:pPr>
            <w:r>
              <w:t>Samoa</w:t>
            </w:r>
          </w:p>
        </w:tc>
      </w:tr>
      <w:tr w:rsidR="006A7954" w:rsidRPr="00315C2F" w14:paraId="3FB0B1A4" w14:textId="77777777" w:rsidTr="00A62B8F">
        <w:tc>
          <w:tcPr>
            <w:tcW w:w="5000" w:type="pct"/>
            <w:gridSpan w:val="3"/>
            <w:tcBorders>
              <w:top w:val="single" w:sz="4" w:space="0" w:color="BFBFBF" w:themeColor="background1" w:themeShade="BF"/>
            </w:tcBorders>
          </w:tcPr>
          <w:p w14:paraId="069FE8C0" w14:textId="77777777" w:rsidR="006A7954" w:rsidRPr="00315C2F" w:rsidRDefault="006A7954" w:rsidP="00A62B8F">
            <w:pPr>
              <w:pStyle w:val="TableText"/>
              <w:rPr>
                <w:b/>
              </w:rPr>
            </w:pPr>
            <w:r w:rsidRPr="00315C2F">
              <w:rPr>
                <w:b/>
              </w:rPr>
              <w:t>Fungi [Dothideomycetes: Elsinoaceae]</w:t>
            </w:r>
          </w:p>
        </w:tc>
      </w:tr>
      <w:tr w:rsidR="006A7954" w:rsidRPr="00315C2F" w14:paraId="0EF4482C" w14:textId="77777777" w:rsidTr="00A62B8F">
        <w:tc>
          <w:tcPr>
            <w:tcW w:w="2041" w:type="pct"/>
            <w:tcBorders>
              <w:bottom w:val="single" w:sz="4" w:space="0" w:color="auto"/>
            </w:tcBorders>
          </w:tcPr>
          <w:p w14:paraId="789BBAA4" w14:textId="2D5F3DAD" w:rsidR="006A7954" w:rsidRPr="00315C2F" w:rsidRDefault="006A7954" w:rsidP="00A62B8F">
            <w:pPr>
              <w:pStyle w:val="TableText"/>
            </w:pPr>
            <w:r w:rsidRPr="00315C2F">
              <w:rPr>
                <w:i/>
              </w:rPr>
              <w:t xml:space="preserve">Elsinoë fawcettii </w:t>
            </w:r>
            <w:r w:rsidRPr="00315C2F">
              <w:t>Bitanc. &amp; Jenkins</w:t>
            </w:r>
          </w:p>
        </w:tc>
        <w:tc>
          <w:tcPr>
            <w:tcW w:w="998" w:type="pct"/>
            <w:tcBorders>
              <w:bottom w:val="single" w:sz="4" w:space="0" w:color="auto"/>
            </w:tcBorders>
          </w:tcPr>
          <w:p w14:paraId="09540C29" w14:textId="77777777" w:rsidR="006A7954" w:rsidRPr="00315C2F" w:rsidRDefault="006A7954" w:rsidP="00A62B8F">
            <w:pPr>
              <w:pStyle w:val="TableText"/>
            </w:pPr>
            <w:r w:rsidRPr="00315C2F">
              <w:t>Citrus scab</w:t>
            </w:r>
          </w:p>
        </w:tc>
        <w:tc>
          <w:tcPr>
            <w:tcW w:w="1961" w:type="pct"/>
            <w:tcBorders>
              <w:bottom w:val="single" w:sz="4" w:space="0" w:color="auto"/>
            </w:tcBorders>
          </w:tcPr>
          <w:p w14:paraId="786327A1" w14:textId="77777777" w:rsidR="006A7954" w:rsidRPr="00315C2F" w:rsidRDefault="006A7954" w:rsidP="00A62B8F">
            <w:pPr>
              <w:pStyle w:val="TableText"/>
            </w:pPr>
            <w:r w:rsidRPr="00315C2F">
              <w:t>Cook Islands, Niue, Samoa, Tonga, Vanuatu</w:t>
            </w:r>
          </w:p>
        </w:tc>
      </w:tr>
    </w:tbl>
    <w:p w14:paraId="4C817D0D" w14:textId="77777777" w:rsidR="006A7954" w:rsidRDefault="006A7954" w:rsidP="006A7954">
      <w:pPr>
        <w:pStyle w:val="FigureTableNoteSource"/>
      </w:pPr>
      <w:r>
        <w:t>[EP]</w:t>
      </w:r>
      <w:r>
        <w:tab/>
        <w:t>species has been assessed previously and import policy already exists</w:t>
      </w:r>
    </w:p>
    <w:p w14:paraId="1EA736FD" w14:textId="77777777" w:rsidR="0000067B" w:rsidRDefault="006A7954" w:rsidP="007F1411">
      <w:pPr>
        <w:pStyle w:val="FigureTableNoteSource"/>
        <w:rPr>
          <w:highlight w:val="yellow"/>
        </w:rPr>
      </w:pPr>
      <w:r>
        <w:t>[WA]</w:t>
      </w:r>
      <w:r>
        <w:tab/>
        <w:t>regional quarantine pest for Western Australia</w:t>
      </w:r>
    </w:p>
    <w:p w14:paraId="0FF54488" w14:textId="77777777" w:rsidR="00242B68" w:rsidRDefault="00242B68" w:rsidP="00EA09AE">
      <w:pPr>
        <w:pStyle w:val="Heading2"/>
        <w:sectPr w:rsidR="00242B68" w:rsidSect="00242B68">
          <w:headerReference w:type="even" r:id="rId44"/>
          <w:headerReference w:type="default" r:id="rId45"/>
          <w:footerReference w:type="default" r:id="rId46"/>
          <w:pgSz w:w="11906" w:h="16838"/>
          <w:pgMar w:top="1418" w:right="1418" w:bottom="1418" w:left="1418" w:header="567" w:footer="283" w:gutter="0"/>
          <w:cols w:space="708"/>
          <w:docGrid w:linePitch="360"/>
        </w:sectPr>
      </w:pPr>
      <w:bookmarkStart w:id="96" w:name="_Toc391301378"/>
      <w:bookmarkEnd w:id="94"/>
    </w:p>
    <w:p w14:paraId="4F52C6DC" w14:textId="77777777" w:rsidR="00EA09AE" w:rsidRPr="00EA09AE" w:rsidRDefault="00EA09AE" w:rsidP="00EA09AE">
      <w:pPr>
        <w:pStyle w:val="Heading2"/>
      </w:pPr>
      <w:bookmarkStart w:id="97" w:name="_Toc501716491"/>
      <w:r w:rsidRPr="00EA09AE">
        <w:t>Caribbean black scale</w:t>
      </w:r>
      <w:bookmarkEnd w:id="97"/>
    </w:p>
    <w:p w14:paraId="35A3BB44" w14:textId="77777777" w:rsidR="00EA09AE" w:rsidRPr="00EA09AE" w:rsidRDefault="00EA09AE" w:rsidP="00EA09AE">
      <w:pPr>
        <w:keepNext/>
        <w:keepLines/>
        <w:spacing w:before="200" w:line="240" w:lineRule="auto"/>
        <w:outlineLvl w:val="2"/>
        <w:rPr>
          <w:rFonts w:ascii="Calibri" w:eastAsia="Calibri" w:hAnsi="Calibri" w:cs="Times New Roman"/>
          <w:b/>
          <w:bCs/>
          <w:sz w:val="24"/>
        </w:rPr>
      </w:pPr>
      <w:r w:rsidRPr="00EA09AE">
        <w:rPr>
          <w:rFonts w:ascii="Calibri" w:eastAsia="Calibri" w:hAnsi="Calibri" w:cs="Times New Roman"/>
          <w:b/>
          <w:bCs/>
          <w:i/>
          <w:sz w:val="24"/>
        </w:rPr>
        <w:t xml:space="preserve">Saissetia neglecta </w:t>
      </w:r>
      <w:r w:rsidRPr="00EA09AE">
        <w:rPr>
          <w:rFonts w:ascii="Calibri" w:eastAsia="Calibri" w:hAnsi="Calibri" w:cs="Times New Roman"/>
          <w:b/>
          <w:bCs/>
          <w:sz w:val="24"/>
        </w:rPr>
        <w:t>(WA)</w:t>
      </w:r>
    </w:p>
    <w:p w14:paraId="6553F545" w14:textId="77777777" w:rsidR="00F92A86" w:rsidRDefault="00F92A86" w:rsidP="00F92A86">
      <w:r w:rsidRPr="00F92A86">
        <w:rPr>
          <w:i/>
        </w:rPr>
        <w:t>Saissetia neglecta</w:t>
      </w:r>
      <w:r w:rsidRPr="00F92A86">
        <w:t xml:space="preserve"> </w:t>
      </w:r>
      <w:r>
        <w:t xml:space="preserve">is </w:t>
      </w:r>
      <w:r w:rsidRPr="00F92A86">
        <w:t>not present in Western Australia and is a pest of regional quarantine concern for that state.</w:t>
      </w:r>
    </w:p>
    <w:p w14:paraId="60F5428A" w14:textId="007850C7" w:rsidR="00EA09AE" w:rsidRPr="00EA09AE" w:rsidRDefault="00EA09AE" w:rsidP="00EA09AE">
      <w:r w:rsidRPr="00EA09AE">
        <w:rPr>
          <w:i/>
        </w:rPr>
        <w:t>Saissetia neglecta</w:t>
      </w:r>
      <w:r w:rsidRPr="00EA09AE">
        <w:t xml:space="preserve">, the Caribbean black scale, is a sap-sucking insect in the Coccidae (soft scale) family, which are closely related to mealybugs and armoured scales. Although soft scales lack the protective covering of the armoured scales, their </w:t>
      </w:r>
      <w:r w:rsidR="00DA194F">
        <w:t>cuticles</w:t>
      </w:r>
      <w:r w:rsidRPr="00EA09AE">
        <w:t xml:space="preserve"> </w:t>
      </w:r>
      <w:r w:rsidR="00DA194F">
        <w:t>a</w:t>
      </w:r>
      <w:r w:rsidR="009F244D">
        <w:t>re</w:t>
      </w:r>
      <w:r w:rsidRPr="00EA09AE">
        <w:t xml:space="preserve"> </w:t>
      </w:r>
      <w:r w:rsidR="00DA194F">
        <w:t>protected</w:t>
      </w:r>
      <w:r w:rsidRPr="00EA09AE">
        <w:t xml:space="preserve"> by a</w:t>
      </w:r>
      <w:r w:rsidR="00DA194F">
        <w:t xml:space="preserve"> </w:t>
      </w:r>
      <w:r w:rsidRPr="00EA09AE">
        <w:t>wax-like secretion, forming a shell that cannot be separated from the scale (Fasulo and Brooks 2013). There are more than 1000 described soft scale species, which are most abundant in the tropics and subtropics (Hodgson 1994). In warm climates, many soft scales are capable of rapid reproduction, and can have overlapping generations.</w:t>
      </w:r>
    </w:p>
    <w:p w14:paraId="3C06863E" w14:textId="77777777" w:rsidR="00EA09AE" w:rsidRPr="00EA09AE" w:rsidRDefault="00EA09AE" w:rsidP="00EA09AE">
      <w:pPr>
        <w:spacing w:before="200"/>
        <w:rPr>
          <w:rFonts w:eastAsia="Calibri" w:cs="Times New Roman"/>
        </w:rPr>
      </w:pPr>
      <w:r w:rsidRPr="00EA09AE">
        <w:rPr>
          <w:rFonts w:eastAsia="Calibri" w:cs="Times New Roman"/>
        </w:rPr>
        <w:t>Soft scales mainly feed on perennial plants, particularly woody plants, and a number are important pests in agriculture, horticulture and forestry (Hodgson 1994). Scales feed on foliage, fruit and twigs of host plants. The depletion of sap by scale feeding reduces the vigour of host plants (Fasulo and Brooks 2013). Additionally, soft scales produce honeydew that is forcibly ejected over the foliage of the host. This provides a substrate for the growth of sooty moulds, which reduces the photosynthetic rate of the host plant (Hodgson 1994).</w:t>
      </w:r>
    </w:p>
    <w:p w14:paraId="6158D7C1"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Likelihood of entry</w:t>
      </w:r>
    </w:p>
    <w:p w14:paraId="285A0226" w14:textId="77777777" w:rsidR="00EA09AE" w:rsidRPr="00EA09AE" w:rsidRDefault="00EA09AE" w:rsidP="00EA09AE">
      <w:pPr>
        <w:spacing w:before="200"/>
        <w:rPr>
          <w:rFonts w:eastAsia="Calibri" w:cs="Times New Roman"/>
        </w:rPr>
      </w:pPr>
      <w:r w:rsidRPr="00EA09AE">
        <w:rPr>
          <w:rFonts w:eastAsia="Calibri" w:cs="Times New Roman"/>
        </w:rPr>
        <w:t>The likelihood of entry is considered in two parts, the likelihood of importation and the likelihood of distribution, which consider pre-border and post-border issues, respectively.</w:t>
      </w:r>
    </w:p>
    <w:p w14:paraId="20112906" w14:textId="77777777" w:rsidR="00EA09AE" w:rsidRPr="00EA09AE" w:rsidRDefault="00EA09AE" w:rsidP="00EA09AE">
      <w:pPr>
        <w:keepNext/>
        <w:keepLines/>
        <w:spacing w:before="120" w:line="240" w:lineRule="auto"/>
        <w:outlineLvl w:val="3"/>
        <w:rPr>
          <w:rFonts w:ascii="Calibri" w:eastAsia="Calibri" w:hAnsi="Calibri" w:cs="Times New Roman"/>
          <w:b/>
          <w:bCs/>
          <w:iCs/>
        </w:rPr>
      </w:pPr>
      <w:r w:rsidRPr="00EA09AE">
        <w:rPr>
          <w:rFonts w:ascii="Calibri" w:eastAsia="Calibri" w:hAnsi="Calibri" w:cs="Times New Roman"/>
          <w:b/>
          <w:bCs/>
          <w:iCs/>
        </w:rPr>
        <w:t>Likelihood of importation</w:t>
      </w:r>
    </w:p>
    <w:p w14:paraId="4D5F8E04" w14:textId="503F7A7C"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Saissetia neglecta</w:t>
      </w:r>
      <w:r w:rsidRPr="00EA09AE">
        <w:rPr>
          <w:rFonts w:eastAsia="Calibri" w:cs="Times New Roman"/>
        </w:rPr>
        <w:t xml:space="preserve"> will arrive in Western Australia with the importation of Tahitian limes from any country where this pest is present is</w:t>
      </w:r>
      <w:r w:rsidR="00AD1618">
        <w:rPr>
          <w:rFonts w:eastAsia="Calibri" w:cs="Times New Roman"/>
        </w:rPr>
        <w:t xml:space="preserve"> assessed as</w:t>
      </w:r>
      <w:r w:rsidRPr="00EA09AE">
        <w:rPr>
          <w:rFonts w:eastAsia="Calibri" w:cs="Times New Roman"/>
        </w:rPr>
        <w:t xml:space="preserve"> High.</w:t>
      </w:r>
    </w:p>
    <w:p w14:paraId="65D80A30" w14:textId="77777777" w:rsidR="00EA09AE" w:rsidRPr="00EA09AE" w:rsidRDefault="00EA09AE" w:rsidP="00EA09AE">
      <w:pPr>
        <w:spacing w:before="200"/>
        <w:rPr>
          <w:rFonts w:eastAsia="Calibri" w:cs="Times New Roman"/>
        </w:rPr>
      </w:pPr>
      <w:r w:rsidRPr="00EA09AE">
        <w:rPr>
          <w:rFonts w:eastAsia="Calibri" w:cs="Times New Roman"/>
        </w:rPr>
        <w:t>The following information provides supporting evidence for this assessment.</w:t>
      </w:r>
    </w:p>
    <w:p w14:paraId="2C0BD25E" w14:textId="77777777" w:rsidR="00EA09AE" w:rsidRPr="00EA09AE" w:rsidRDefault="00EA09AE" w:rsidP="00EA09AE">
      <w:pPr>
        <w:pStyle w:val="ListBullet"/>
      </w:pPr>
      <w:r w:rsidRPr="00EA09AE">
        <w:rPr>
          <w:i/>
        </w:rPr>
        <w:t>Saissetia neglecta</w:t>
      </w:r>
      <w:r w:rsidRPr="00EA09AE">
        <w:t xml:space="preserve"> is present in the Cook Islands, Niue, Samoa, Tonga and Vanuatu (Williams and Watson 1990). It has been reported on a number of citrus species, including key limes (</w:t>
      </w:r>
      <w:r w:rsidRPr="00EA09AE">
        <w:rPr>
          <w:i/>
        </w:rPr>
        <w:t>Citrus aurantifolia</w:t>
      </w:r>
      <w:r w:rsidRPr="00EA09AE">
        <w:t xml:space="preserve">), in the Pacific Islands (Williams and Watson 1990). </w:t>
      </w:r>
      <w:r w:rsidR="00C922CF">
        <w:t>Given its association with citrus, i</w:t>
      </w:r>
      <w:r w:rsidRPr="00EA09AE">
        <w:t>t is considered likely that Tahitian limes would also host this scale.</w:t>
      </w:r>
    </w:p>
    <w:p w14:paraId="5C922E72" w14:textId="77777777" w:rsidR="00EA09AE" w:rsidRPr="00EA09AE" w:rsidRDefault="00EA09AE" w:rsidP="00EA09AE">
      <w:pPr>
        <w:pStyle w:val="ListBullet"/>
      </w:pPr>
      <w:r w:rsidRPr="00EA09AE">
        <w:rPr>
          <w:i/>
        </w:rPr>
        <w:t>Saissetia neglecta</w:t>
      </w:r>
      <w:r w:rsidRPr="00EA09AE">
        <w:t xml:space="preserve"> nymphs and adults can be present on small twigs, particularly those bearing fruit (Fasulo and Brooks 2013), so scales could potentially be present on harvested fruit</w:t>
      </w:r>
      <w:r w:rsidR="00C922CF">
        <w:t>, particularly if the fruit stalk was intact</w:t>
      </w:r>
      <w:r w:rsidRPr="00EA09AE">
        <w:t>.</w:t>
      </w:r>
    </w:p>
    <w:p w14:paraId="6F0CC47F" w14:textId="77777777" w:rsidR="00EA09AE" w:rsidRPr="00EA09AE" w:rsidRDefault="00EA09AE" w:rsidP="00EA09AE">
      <w:pPr>
        <w:pStyle w:val="ListBullet"/>
      </w:pPr>
      <w:r w:rsidRPr="00EA09AE">
        <w:t>The small size and cryptic colouring of scales make them hard to detect, especially those in the crawler or second instar stages. However, adult females are more likely to be encountered on fruit, as the immature stages are typically found on the leaves only (Fasulo and Brooks 2013).</w:t>
      </w:r>
    </w:p>
    <w:p w14:paraId="57DB2A5B" w14:textId="77777777" w:rsidR="00EA09AE" w:rsidRPr="00EA09AE" w:rsidRDefault="00EA09AE" w:rsidP="00EA09AE">
      <w:pPr>
        <w:pStyle w:val="ListBullet"/>
      </w:pPr>
      <w:r w:rsidRPr="00EA09AE">
        <w:t>The adult female Caribbean black scale is 3–5 millimetres long and brown to black in colour. The adult males are small, around 1 millimetre long and honey-yellow in colour, but are rarely encountered (Fasulo and Brooks 2013). They are visible to the naked eye.</w:t>
      </w:r>
    </w:p>
    <w:p w14:paraId="0DF4C665" w14:textId="46B23F5B" w:rsidR="00EA09AE" w:rsidRPr="00EA09AE" w:rsidRDefault="00E92789" w:rsidP="00EA09AE">
      <w:pPr>
        <w:pStyle w:val="ListBullet"/>
      </w:pPr>
      <w:r>
        <w:t>F</w:t>
      </w:r>
      <w:r w:rsidR="00281997">
        <w:t>irst instar ‘</w:t>
      </w:r>
      <w:r w:rsidR="00EA09AE" w:rsidRPr="00EA09AE">
        <w:t>crawlers</w:t>
      </w:r>
      <w:r w:rsidR="00281997">
        <w:t>’</w:t>
      </w:r>
      <w:r w:rsidR="00EA09AE" w:rsidRPr="00EA09AE">
        <w:t xml:space="preserve"> are a flattened oval shape, </w:t>
      </w:r>
      <w:r w:rsidR="009F244D">
        <w:t xml:space="preserve">about </w:t>
      </w:r>
      <w:r w:rsidR="00EA09AE" w:rsidRPr="00EA09AE">
        <w:t xml:space="preserve">0.3 millimetres long and are mottled light brown with black eyes (Fasulo and Brooks 2013). The second instar is similar in appearance to the first, but larger in size. After the second moult, the female scale is tan to dark grey in colour. During this period the scales migrate from the leaves to small twigs, particularly to those twigs bearing fruit (Fasulo and Brooks 2013). As the female reaches the egg-laying stages, its shell becomes hardened and dark brown to black in colour (Fasulo and Brooks 2013). </w:t>
      </w:r>
    </w:p>
    <w:p w14:paraId="026BC24C" w14:textId="67E23776" w:rsidR="00EA09AE" w:rsidRPr="00EA09AE" w:rsidRDefault="00EA09AE" w:rsidP="00EA09AE">
      <w:pPr>
        <w:pStyle w:val="ListBullet"/>
      </w:pPr>
      <w:r w:rsidRPr="00EA09AE">
        <w:t xml:space="preserve">All scale stages have legs and are capable of moving (Gill 1988), but they will likely remain fixed to the fruit unless disturbed. </w:t>
      </w:r>
    </w:p>
    <w:p w14:paraId="7B099A86" w14:textId="77777777" w:rsidR="00EA09AE" w:rsidRPr="00EA09AE" w:rsidRDefault="00EA09AE" w:rsidP="00EA09AE">
      <w:pPr>
        <w:pStyle w:val="ListBullet"/>
      </w:pPr>
      <w:r w:rsidRPr="00EA09AE">
        <w:t>Scales are often found in groups (Gill 1988), which would increase the likelihood of detection at harvest and during pre-export handling.</w:t>
      </w:r>
    </w:p>
    <w:p w14:paraId="3A79FA5F" w14:textId="77777777" w:rsidR="00EA09AE" w:rsidRPr="00EA09AE" w:rsidRDefault="00EA09AE" w:rsidP="00EA09AE">
      <w:pPr>
        <w:pStyle w:val="ListBullet"/>
      </w:pPr>
      <w:r w:rsidRPr="00EA09AE">
        <w:rPr>
          <w:i/>
        </w:rPr>
        <w:t>Saissetia neglecta</w:t>
      </w:r>
      <w:r w:rsidRPr="00EA09AE">
        <w:t xml:space="preserve"> has been intercepted a number of times on citrus fruit entering the United States (García Morales </w:t>
      </w:r>
      <w:r w:rsidRPr="00EA09AE">
        <w:rPr>
          <w:i/>
        </w:rPr>
        <w:t>et al</w:t>
      </w:r>
      <w:r w:rsidRPr="00EA09AE">
        <w:t>. 2016).</w:t>
      </w:r>
    </w:p>
    <w:p w14:paraId="7486EA72" w14:textId="3D285B33" w:rsidR="00EA09AE" w:rsidRPr="00EA09AE" w:rsidRDefault="000C4DB1" w:rsidP="00EA09AE">
      <w:pPr>
        <w:spacing w:before="200"/>
        <w:rPr>
          <w:rFonts w:eastAsia="Calibri" w:cs="Times New Roman"/>
        </w:rPr>
      </w:pPr>
      <w:r>
        <w:rPr>
          <w:rFonts w:eastAsia="Calibri" w:cs="Times New Roman"/>
        </w:rPr>
        <w:t>The association of the Caribbean black scale with citrus fruit, and their</w:t>
      </w:r>
      <w:r w:rsidR="00EA09AE" w:rsidRPr="00EA09AE">
        <w:rPr>
          <w:rFonts w:eastAsia="Calibri" w:cs="Times New Roman"/>
        </w:rPr>
        <w:t xml:space="preserve"> small size and cryptic colouring</w:t>
      </w:r>
      <w:r>
        <w:rPr>
          <w:rFonts w:eastAsia="Calibri" w:cs="Times New Roman"/>
        </w:rPr>
        <w:t xml:space="preserve"> (particularly the immature stages</w:t>
      </w:r>
      <w:r w:rsidR="000420D3">
        <w:rPr>
          <w:rFonts w:eastAsia="Calibri" w:cs="Times New Roman"/>
        </w:rPr>
        <w:t>)</w:t>
      </w:r>
      <w:r w:rsidR="00EA09AE" w:rsidRPr="00EA09AE">
        <w:rPr>
          <w:rFonts w:eastAsia="Calibri" w:cs="Times New Roman"/>
        </w:rPr>
        <w:t xml:space="preserve">, </w:t>
      </w:r>
      <w:r>
        <w:rPr>
          <w:rFonts w:eastAsia="Calibri" w:cs="Times New Roman"/>
        </w:rPr>
        <w:t>means that scales could be on harvested fruit and escape detection during packing for export.</w:t>
      </w:r>
      <w:r w:rsidR="00EA09AE" w:rsidRPr="00EA09AE">
        <w:rPr>
          <w:rFonts w:eastAsia="Calibri" w:cs="Times New Roman"/>
        </w:rPr>
        <w:t xml:space="preserve"> </w:t>
      </w:r>
      <w:r>
        <w:rPr>
          <w:rFonts w:eastAsia="Calibri" w:cs="Times New Roman"/>
        </w:rPr>
        <w:t xml:space="preserve">This </w:t>
      </w:r>
      <w:r w:rsidR="00EA09AE" w:rsidRPr="00EA09AE">
        <w:rPr>
          <w:rFonts w:eastAsia="Calibri" w:cs="Times New Roman"/>
        </w:rPr>
        <w:t>support</w:t>
      </w:r>
      <w:r>
        <w:rPr>
          <w:rFonts w:eastAsia="Calibri" w:cs="Times New Roman"/>
        </w:rPr>
        <w:t>s</w:t>
      </w:r>
      <w:r w:rsidR="00EA09AE" w:rsidRPr="00EA09AE">
        <w:rPr>
          <w:rFonts w:eastAsia="Calibri" w:cs="Times New Roman"/>
        </w:rPr>
        <w:t xml:space="preserve"> a likelihood estimate for importation of </w:t>
      </w:r>
      <w:r w:rsidR="009910FF">
        <w:rPr>
          <w:rFonts w:eastAsia="Calibri" w:cs="Times New Roman"/>
        </w:rPr>
        <w:t>H</w:t>
      </w:r>
      <w:r w:rsidR="00EA09AE" w:rsidRPr="00EA09AE">
        <w:rPr>
          <w:rFonts w:eastAsia="Calibri" w:cs="Times New Roman"/>
        </w:rPr>
        <w:t>igh.</w:t>
      </w:r>
    </w:p>
    <w:p w14:paraId="76DD12BE" w14:textId="77777777" w:rsidR="00EA09AE" w:rsidRPr="00EA09AE" w:rsidRDefault="00EA09AE" w:rsidP="00EA09AE">
      <w:pPr>
        <w:keepNext/>
        <w:keepLines/>
        <w:spacing w:before="120" w:line="240" w:lineRule="auto"/>
        <w:outlineLvl w:val="3"/>
        <w:rPr>
          <w:rFonts w:ascii="Calibri" w:eastAsia="Calibri" w:hAnsi="Calibri" w:cs="Times New Roman"/>
          <w:b/>
          <w:bCs/>
          <w:iCs/>
        </w:rPr>
      </w:pPr>
      <w:r w:rsidRPr="00EA09AE">
        <w:rPr>
          <w:rFonts w:ascii="Calibri" w:eastAsia="Calibri" w:hAnsi="Calibri" w:cs="Times New Roman"/>
          <w:b/>
          <w:bCs/>
          <w:iCs/>
        </w:rPr>
        <w:t>Likelihood of distribution</w:t>
      </w:r>
    </w:p>
    <w:p w14:paraId="1A2502A1" w14:textId="2C9FA41F"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Saissetia neglecta</w:t>
      </w:r>
      <w:r w:rsidRPr="00EA09AE">
        <w:rPr>
          <w:rFonts w:eastAsia="Calibri" w:cs="Times New Roman"/>
        </w:rPr>
        <w:t xml:space="preserve"> will be distributed within Western Australia in a viable state as a result of the processing, sale or disposal of Tahitian limes</w:t>
      </w:r>
      <w:r w:rsidR="00AD1618">
        <w:rPr>
          <w:rFonts w:eastAsia="Calibri" w:cs="Times New Roman"/>
        </w:rPr>
        <w:t>,</w:t>
      </w:r>
      <w:r w:rsidRPr="00EA09AE">
        <w:rPr>
          <w:rFonts w:eastAsia="Calibri" w:cs="Times New Roman"/>
        </w:rPr>
        <w:t xml:space="preserve"> and subsequently transfer to a susceptible host is</w:t>
      </w:r>
      <w:r w:rsidR="00AD1618">
        <w:rPr>
          <w:rFonts w:eastAsia="Calibri" w:cs="Times New Roman"/>
        </w:rPr>
        <w:t xml:space="preserve"> assessed as</w:t>
      </w:r>
      <w:r w:rsidRPr="00EA09AE">
        <w:rPr>
          <w:rFonts w:eastAsia="Calibri" w:cs="Times New Roman"/>
        </w:rPr>
        <w:t xml:space="preserve"> </w:t>
      </w:r>
      <w:r w:rsidR="00207E42">
        <w:rPr>
          <w:rFonts w:eastAsia="Calibri" w:cs="Times New Roman"/>
        </w:rPr>
        <w:t>Low</w:t>
      </w:r>
      <w:r w:rsidRPr="00EA09AE">
        <w:rPr>
          <w:rFonts w:eastAsia="Calibri" w:cs="Times New Roman"/>
        </w:rPr>
        <w:t>.</w:t>
      </w:r>
    </w:p>
    <w:p w14:paraId="18E29ADB" w14:textId="77777777" w:rsidR="00EA09AE" w:rsidRPr="00EA09AE" w:rsidRDefault="00EA09AE" w:rsidP="00EA09AE">
      <w:pPr>
        <w:spacing w:before="200"/>
        <w:rPr>
          <w:rFonts w:eastAsia="Calibri" w:cs="Times New Roman"/>
        </w:rPr>
      </w:pPr>
      <w:r w:rsidRPr="00EA09AE">
        <w:rPr>
          <w:rFonts w:eastAsia="Calibri" w:cs="Times New Roman"/>
        </w:rPr>
        <w:t>The following information provides supporting evidence for this assessment.</w:t>
      </w:r>
    </w:p>
    <w:p w14:paraId="485B7828" w14:textId="77777777" w:rsidR="00EA09AE" w:rsidRPr="00EA09AE" w:rsidRDefault="00EA09AE" w:rsidP="00855C43">
      <w:pPr>
        <w:pStyle w:val="ListBullet"/>
      </w:pPr>
      <w:r w:rsidRPr="00EA09AE">
        <w:t>Tahitian lime fruit would be distributed for sale to various destinations in Australia, although predominantly to the larger population centres. They may be distributed through large fresh produce wholesale markets and then to supermarkets or other sellers, or directly to smaller retailers</w:t>
      </w:r>
      <w:r w:rsidR="007A520B">
        <w:t xml:space="preserve"> and then</w:t>
      </w:r>
      <w:r w:rsidR="007C5FCC">
        <w:t>ce</w:t>
      </w:r>
      <w:r w:rsidR="007A520B">
        <w:t xml:space="preserve"> to consumers</w:t>
      </w:r>
      <w:r w:rsidRPr="00EA09AE">
        <w:t>.</w:t>
      </w:r>
    </w:p>
    <w:p w14:paraId="1F5DDC4D" w14:textId="6C768DF8" w:rsidR="00E92789" w:rsidRDefault="00EA09AE" w:rsidP="00E92789">
      <w:pPr>
        <w:pStyle w:val="ListBullet"/>
      </w:pPr>
      <w:r w:rsidRPr="00EA09AE">
        <w:t>While all stages are capable of movement, the most active stage is the first instar crawler, particularly in its first 24 hours (Greathead 1997). Soft scale crawlers are positively phototropic, and will crawl towards light (Greathead 1997).</w:t>
      </w:r>
      <w:r w:rsidR="00E92789">
        <w:t xml:space="preserve"> </w:t>
      </w:r>
      <w:r w:rsidR="00415E70" w:rsidRPr="00415E70">
        <w:t>Newly emerging crawlers may wander off the lime fruit during distribution if the opportunity arises.</w:t>
      </w:r>
      <w:r w:rsidR="00415E70">
        <w:t xml:space="preserve"> </w:t>
      </w:r>
    </w:p>
    <w:p w14:paraId="6ED949D1" w14:textId="1B3156B6" w:rsidR="00EA09AE" w:rsidRPr="00EA09AE" w:rsidRDefault="00EA09AE" w:rsidP="00855C43">
      <w:pPr>
        <w:pStyle w:val="ListBullet"/>
      </w:pPr>
      <w:r w:rsidRPr="00EA09AE">
        <w:t xml:space="preserve">Adult scales and the second and third instar nymphs are likely to remain on </w:t>
      </w:r>
      <w:r w:rsidR="00E92789">
        <w:t>a</w:t>
      </w:r>
      <w:r w:rsidRPr="00EA09AE">
        <w:t xml:space="preserve"> fruit throughout the distribution chain unless disturbed.</w:t>
      </w:r>
    </w:p>
    <w:p w14:paraId="20F1BA95" w14:textId="77777777" w:rsidR="00EA09AE" w:rsidRPr="00EA09AE" w:rsidRDefault="00EA09AE" w:rsidP="00855C43">
      <w:pPr>
        <w:pStyle w:val="ListBullet"/>
      </w:pPr>
      <w:r w:rsidRPr="00EA09AE">
        <w:t xml:space="preserve">The majority of fruit waste discarded in urban areas is likely to be disposed of via municipal waste management systems and potentially buried amongst other waste. Scales in waste material have a low likelihood of being dumped in the vicinity of suitable host plants. </w:t>
      </w:r>
    </w:p>
    <w:p w14:paraId="748FB015" w14:textId="7E2CB66E" w:rsidR="00EA09AE" w:rsidRPr="00EA09AE" w:rsidRDefault="00EA09AE" w:rsidP="00855C43">
      <w:pPr>
        <w:pStyle w:val="ListBullet"/>
      </w:pPr>
      <w:r w:rsidRPr="00EA09AE">
        <w:t>Crawlers may be carried by wind to new hosts. Crawlers typically climb to the upper parts of host plants to assist wind dispersal (Greathead 1997). Crawlers on fruit discarded on the ground or on a garden compost heap would be less successfully carried by the wind, and have high mortality from predation and environmental factors.</w:t>
      </w:r>
    </w:p>
    <w:p w14:paraId="4762FA2F" w14:textId="77777777" w:rsidR="00EA09AE" w:rsidRPr="00EA09AE" w:rsidRDefault="00EA09AE" w:rsidP="00855C43">
      <w:pPr>
        <w:pStyle w:val="ListBullet"/>
      </w:pPr>
      <w:r w:rsidRPr="00EA09AE">
        <w:t xml:space="preserve">Second and third instar nymphs and adult scales could </w:t>
      </w:r>
      <w:r w:rsidR="00415E70">
        <w:t xml:space="preserve">potentially </w:t>
      </w:r>
      <w:r w:rsidRPr="00EA09AE">
        <w:t xml:space="preserve">crawl to new hosts, but </w:t>
      </w:r>
      <w:r w:rsidR="00415E70">
        <w:t xml:space="preserve">typically they do not move from a host once settled. Given their limited mobility, </w:t>
      </w:r>
      <w:r w:rsidRPr="00EA09AE">
        <w:t>infested fruit would need to be discarded in close proximity to suitable plant hosts</w:t>
      </w:r>
      <w:r w:rsidR="00415E70">
        <w:t xml:space="preserve"> for this to occur</w:t>
      </w:r>
      <w:r w:rsidRPr="00EA09AE">
        <w:t>.</w:t>
      </w:r>
    </w:p>
    <w:p w14:paraId="3B24ADEC" w14:textId="145F9EA9" w:rsidR="00EA09AE" w:rsidRDefault="00EA09AE" w:rsidP="00855C43">
      <w:pPr>
        <w:pStyle w:val="ListBullet"/>
      </w:pPr>
      <w:r w:rsidRPr="00EA09AE">
        <w:rPr>
          <w:i/>
        </w:rPr>
        <w:t>Saissetia neglecta</w:t>
      </w:r>
      <w:r w:rsidRPr="00EA09AE">
        <w:t xml:space="preserve"> has been recorded on hosts from at least 34 plant families (García Morales </w:t>
      </w:r>
      <w:r w:rsidRPr="00EA09AE">
        <w:rPr>
          <w:i/>
        </w:rPr>
        <w:t>et al</w:t>
      </w:r>
      <w:r w:rsidRPr="00EA09AE">
        <w:t xml:space="preserve">. 2016). Some of these hosts, including citrus, fig and banana (García Morales </w:t>
      </w:r>
      <w:r w:rsidRPr="00EA09AE">
        <w:rPr>
          <w:i/>
        </w:rPr>
        <w:t>et al</w:t>
      </w:r>
      <w:r w:rsidRPr="00EA09AE">
        <w:t>. 2016)</w:t>
      </w:r>
      <w:r w:rsidR="009F244D">
        <w:t>,</w:t>
      </w:r>
      <w:r w:rsidRPr="00EA09AE">
        <w:t xml:space="preserve"> are common in parts of Western Australia.</w:t>
      </w:r>
    </w:p>
    <w:p w14:paraId="09311034" w14:textId="28ABDBC9" w:rsidR="00A7271D" w:rsidRPr="00EA09AE" w:rsidRDefault="008727B3" w:rsidP="00A7271D">
      <w:pPr>
        <w:spacing w:before="200"/>
        <w:rPr>
          <w:rFonts w:eastAsia="Calibri" w:cs="Times New Roman"/>
        </w:rPr>
      </w:pPr>
      <w:r>
        <w:rPr>
          <w:rFonts w:eastAsia="Calibri" w:cs="Times New Roman"/>
        </w:rPr>
        <w:t xml:space="preserve">Despite the availability of suitable host plants and </w:t>
      </w:r>
      <w:r w:rsidR="00A7271D">
        <w:rPr>
          <w:rFonts w:eastAsia="Calibri" w:cs="Times New Roman"/>
        </w:rPr>
        <w:t xml:space="preserve">potential </w:t>
      </w:r>
      <w:r>
        <w:rPr>
          <w:rFonts w:eastAsia="Calibri" w:cs="Times New Roman"/>
        </w:rPr>
        <w:t xml:space="preserve">for Tahitian </w:t>
      </w:r>
      <w:r w:rsidR="00A7271D">
        <w:rPr>
          <w:rFonts w:eastAsia="Calibri" w:cs="Times New Roman"/>
        </w:rPr>
        <w:t>lime</w:t>
      </w:r>
      <w:r>
        <w:rPr>
          <w:rFonts w:eastAsia="Calibri" w:cs="Times New Roman"/>
        </w:rPr>
        <w:t>s</w:t>
      </w:r>
      <w:r w:rsidR="00A7271D">
        <w:rPr>
          <w:rFonts w:eastAsia="Calibri" w:cs="Times New Roman"/>
        </w:rPr>
        <w:t xml:space="preserve"> </w:t>
      </w:r>
      <w:r>
        <w:rPr>
          <w:rFonts w:eastAsia="Calibri" w:cs="Times New Roman"/>
        </w:rPr>
        <w:t>to be widely distributed after arrival in</w:t>
      </w:r>
      <w:r w:rsidR="00A7271D">
        <w:rPr>
          <w:rFonts w:eastAsia="Calibri" w:cs="Times New Roman"/>
        </w:rPr>
        <w:t xml:space="preserve"> </w:t>
      </w:r>
      <w:r w:rsidR="00C922CF">
        <w:rPr>
          <w:rFonts w:eastAsia="Calibri" w:cs="Times New Roman"/>
        </w:rPr>
        <w:t xml:space="preserve">Western </w:t>
      </w:r>
      <w:r w:rsidR="00A7271D">
        <w:rPr>
          <w:rFonts w:eastAsia="Calibri" w:cs="Times New Roman"/>
        </w:rPr>
        <w:t>Australia</w:t>
      </w:r>
      <w:r>
        <w:rPr>
          <w:rFonts w:eastAsia="Calibri" w:cs="Times New Roman"/>
        </w:rPr>
        <w:t>,</w:t>
      </w:r>
      <w:r w:rsidR="00A7271D">
        <w:rPr>
          <w:rFonts w:eastAsia="Calibri" w:cs="Times New Roman"/>
        </w:rPr>
        <w:t xml:space="preserve"> the limited mobility </w:t>
      </w:r>
      <w:r>
        <w:rPr>
          <w:rFonts w:eastAsia="Calibri" w:cs="Times New Roman"/>
        </w:rPr>
        <w:t xml:space="preserve">of </w:t>
      </w:r>
      <w:r w:rsidR="00E92789">
        <w:rPr>
          <w:rFonts w:eastAsia="Calibri" w:cs="Times New Roman"/>
        </w:rPr>
        <w:t xml:space="preserve">most life stages of </w:t>
      </w:r>
      <w:r>
        <w:rPr>
          <w:rFonts w:eastAsia="Calibri" w:cs="Times New Roman"/>
        </w:rPr>
        <w:t xml:space="preserve">the scales </w:t>
      </w:r>
      <w:r w:rsidR="00446138">
        <w:rPr>
          <w:rFonts w:eastAsia="Calibri" w:cs="Times New Roman"/>
        </w:rPr>
        <w:t xml:space="preserve">and poor prospects of successfully finding a new host </w:t>
      </w:r>
      <w:r w:rsidR="00A7271D" w:rsidRPr="00EA09AE">
        <w:rPr>
          <w:rFonts w:eastAsia="Calibri" w:cs="Times New Roman"/>
        </w:rPr>
        <w:t xml:space="preserve">support a likelihood estimate for </w:t>
      </w:r>
      <w:r w:rsidR="00A7271D">
        <w:rPr>
          <w:rFonts w:eastAsia="Calibri" w:cs="Times New Roman"/>
        </w:rPr>
        <w:t>distribution</w:t>
      </w:r>
      <w:r w:rsidR="00A7271D" w:rsidRPr="00EA09AE">
        <w:rPr>
          <w:rFonts w:eastAsia="Calibri" w:cs="Times New Roman"/>
        </w:rPr>
        <w:t xml:space="preserve"> of </w:t>
      </w:r>
      <w:r w:rsidR="00C83D0C">
        <w:rPr>
          <w:rFonts w:eastAsia="Calibri" w:cs="Times New Roman"/>
        </w:rPr>
        <w:t>L</w:t>
      </w:r>
      <w:r w:rsidR="00A7271D">
        <w:rPr>
          <w:rFonts w:eastAsia="Calibri" w:cs="Times New Roman"/>
        </w:rPr>
        <w:t>ow</w:t>
      </w:r>
      <w:r w:rsidR="00A7271D" w:rsidRPr="00EA09AE">
        <w:rPr>
          <w:rFonts w:eastAsia="Calibri" w:cs="Times New Roman"/>
        </w:rPr>
        <w:t>.</w:t>
      </w:r>
    </w:p>
    <w:p w14:paraId="3A4749B9" w14:textId="77777777" w:rsidR="00EA09AE" w:rsidRPr="00EA09AE" w:rsidRDefault="00EA09AE" w:rsidP="00EA09AE">
      <w:pPr>
        <w:keepNext/>
        <w:keepLines/>
        <w:spacing w:before="120" w:line="240" w:lineRule="auto"/>
        <w:outlineLvl w:val="3"/>
        <w:rPr>
          <w:rFonts w:ascii="Calibri" w:eastAsia="Calibri" w:hAnsi="Calibri" w:cs="Times New Roman"/>
          <w:b/>
          <w:bCs/>
          <w:iCs/>
        </w:rPr>
      </w:pPr>
      <w:r w:rsidRPr="00EA09AE">
        <w:rPr>
          <w:rFonts w:ascii="Calibri" w:eastAsia="Calibri" w:hAnsi="Calibri" w:cs="Times New Roman"/>
          <w:b/>
          <w:bCs/>
          <w:iCs/>
        </w:rPr>
        <w:t>Overall likelihood of entry</w:t>
      </w:r>
    </w:p>
    <w:p w14:paraId="5BE405D6" w14:textId="10BA0F4D"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 xml:space="preserve">Saissetia neglecta </w:t>
      </w:r>
      <w:r w:rsidRPr="00EA09AE">
        <w:rPr>
          <w:rFonts w:eastAsia="Calibri" w:cs="Times New Roman"/>
        </w:rPr>
        <w:t>will enter Western Australia and be distributed in a viable state to a suitable host, as a result of trade in Tahitian limes from any country where this pest is present,</w:t>
      </w:r>
      <w:r w:rsidRPr="00EA09AE">
        <w:rPr>
          <w:rFonts w:eastAsia="Calibri" w:cs="Times New Roman"/>
          <w:i/>
        </w:rPr>
        <w:t xml:space="preserve"> </w:t>
      </w:r>
      <w:r w:rsidRPr="00EA09AE">
        <w:rPr>
          <w:rFonts w:eastAsia="Calibri" w:cs="Times New Roman"/>
        </w:rPr>
        <w:t>is</w:t>
      </w:r>
      <w:r w:rsidR="00AD1618">
        <w:rPr>
          <w:rFonts w:eastAsia="Calibri" w:cs="Times New Roman"/>
        </w:rPr>
        <w:t xml:space="preserve"> assessed as</w:t>
      </w:r>
      <w:r w:rsidRPr="00EA09AE">
        <w:rPr>
          <w:rFonts w:eastAsia="Calibri" w:cs="Times New Roman"/>
        </w:rPr>
        <w:t xml:space="preserve"> </w:t>
      </w:r>
      <w:r w:rsidR="00A7271D">
        <w:rPr>
          <w:rFonts w:eastAsia="Calibri" w:cs="Times New Roman"/>
        </w:rPr>
        <w:t>Low</w:t>
      </w:r>
      <w:r w:rsidRPr="00EA09AE">
        <w:rPr>
          <w:rFonts w:eastAsia="Calibri" w:cs="Times New Roman"/>
        </w:rPr>
        <w:t>.</w:t>
      </w:r>
    </w:p>
    <w:p w14:paraId="55C0D575"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Likelihood of establishment</w:t>
      </w:r>
    </w:p>
    <w:p w14:paraId="61C9C6DD" w14:textId="132F180B"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Saissetia neglecta</w:t>
      </w:r>
      <w:r w:rsidRPr="00EA09AE">
        <w:rPr>
          <w:rFonts w:eastAsia="Calibri" w:cs="Times New Roman"/>
        </w:rPr>
        <w:t xml:space="preserve"> will establish in Western Australia based on</w:t>
      </w:r>
      <w:r w:rsidR="007C5FCC">
        <w:rPr>
          <w:rFonts w:eastAsia="Calibri" w:cs="Times New Roman"/>
        </w:rPr>
        <w:t xml:space="preserve"> life cycle characteristics </w:t>
      </w:r>
      <w:r w:rsidR="00A721AF">
        <w:rPr>
          <w:rFonts w:eastAsia="Calibri" w:cs="Times New Roman"/>
        </w:rPr>
        <w:t xml:space="preserve">and </w:t>
      </w:r>
      <w:r w:rsidR="00A721AF" w:rsidRPr="00EA09AE">
        <w:rPr>
          <w:rFonts w:eastAsia="Calibri" w:cs="Times New Roman"/>
        </w:rPr>
        <w:t>a</w:t>
      </w:r>
      <w:r w:rsidRPr="00EA09AE">
        <w:rPr>
          <w:rFonts w:eastAsia="Calibri" w:cs="Times New Roman"/>
        </w:rPr>
        <w:t xml:space="preserve"> comparison of factors in the source and destination areas that affect pest survival and reproduction is</w:t>
      </w:r>
      <w:r w:rsidR="00AD1618">
        <w:rPr>
          <w:rFonts w:eastAsia="Calibri" w:cs="Times New Roman"/>
        </w:rPr>
        <w:t xml:space="preserve"> assessed as</w:t>
      </w:r>
      <w:r w:rsidRPr="00EA09AE">
        <w:rPr>
          <w:rFonts w:eastAsia="Calibri" w:cs="Times New Roman"/>
        </w:rPr>
        <w:t xml:space="preserve"> </w:t>
      </w:r>
      <w:r w:rsidR="00C351E9">
        <w:rPr>
          <w:rFonts w:eastAsia="Calibri" w:cs="Times New Roman"/>
        </w:rPr>
        <w:t>H</w:t>
      </w:r>
      <w:r w:rsidRPr="00855C43">
        <w:rPr>
          <w:rFonts w:eastAsia="Calibri" w:cs="Times New Roman"/>
        </w:rPr>
        <w:t>igh</w:t>
      </w:r>
      <w:r w:rsidRPr="00EA09AE">
        <w:rPr>
          <w:rFonts w:eastAsia="Calibri" w:cs="Times New Roman"/>
        </w:rPr>
        <w:t>.</w:t>
      </w:r>
    </w:p>
    <w:p w14:paraId="14DEF291" w14:textId="77777777" w:rsidR="00EA09AE" w:rsidRPr="00EA09AE" w:rsidRDefault="00EA09AE" w:rsidP="00EA09AE">
      <w:pPr>
        <w:spacing w:before="200"/>
        <w:rPr>
          <w:rFonts w:eastAsia="Calibri" w:cs="Times New Roman"/>
        </w:rPr>
      </w:pPr>
      <w:r w:rsidRPr="00EA09AE">
        <w:rPr>
          <w:rFonts w:eastAsia="Calibri" w:cs="Times New Roman"/>
        </w:rPr>
        <w:t>The following information provides supporting evidence for this assessment.</w:t>
      </w:r>
    </w:p>
    <w:p w14:paraId="480C55D4" w14:textId="5D6D0BB6" w:rsidR="00EA09AE" w:rsidRPr="00EA09AE" w:rsidRDefault="00EA09AE" w:rsidP="00855C43">
      <w:pPr>
        <w:pStyle w:val="ListBullet"/>
      </w:pPr>
      <w:r w:rsidRPr="00EA09AE">
        <w:t xml:space="preserve">The female lays an average of 2000 eggs, </w:t>
      </w:r>
      <w:r w:rsidR="00E92789">
        <w:t>but</w:t>
      </w:r>
      <w:r w:rsidRPr="00EA09AE">
        <w:t xml:space="preserve"> the crawlers suffer significant mortality, particularly during periods of hot, dry weather (Fasulo and Brooks 2013).</w:t>
      </w:r>
    </w:p>
    <w:p w14:paraId="1C4585DA" w14:textId="77777777" w:rsidR="00EA09AE" w:rsidRPr="00EA09AE" w:rsidRDefault="00EA09AE" w:rsidP="00855C43">
      <w:pPr>
        <w:pStyle w:val="ListBullet"/>
      </w:pPr>
      <w:r w:rsidRPr="00EA09AE">
        <w:t>Reproduction is usually by parthenogenesis (fertilization by a male is not required) so a single scale may be able to establish a population (Fasulo and Brooks 2013).</w:t>
      </w:r>
    </w:p>
    <w:p w14:paraId="322CBBE3" w14:textId="77777777" w:rsidR="00EA09AE" w:rsidRPr="00EA09AE" w:rsidRDefault="00EA09AE" w:rsidP="00855C43">
      <w:pPr>
        <w:pStyle w:val="ListBullet"/>
      </w:pPr>
      <w:r w:rsidRPr="00EA09AE">
        <w:rPr>
          <w:i/>
        </w:rPr>
        <w:t>Saissetia neglecta</w:t>
      </w:r>
      <w:r w:rsidRPr="00EA09AE">
        <w:t xml:space="preserve"> is likely to have several overlapping generations in a year in tropical areas, allowing a population to rapidly establish. Up to four generations a year are reported in Florida (Fasulo and Brooks 2013).</w:t>
      </w:r>
    </w:p>
    <w:p w14:paraId="7930B613" w14:textId="2943447B" w:rsidR="00EA09AE" w:rsidRPr="00EA09AE" w:rsidRDefault="00EA09AE" w:rsidP="00855C43">
      <w:pPr>
        <w:pStyle w:val="ListBullet"/>
      </w:pPr>
      <w:r w:rsidRPr="00EA09AE">
        <w:rPr>
          <w:i/>
        </w:rPr>
        <w:t>Saissetia neglecta</w:t>
      </w:r>
      <w:r w:rsidRPr="00EA09AE">
        <w:t xml:space="preserve"> has a predominantly tropical and subtropical distribution and it is widespread throughout the Pacific region (Williams and Watson 1990). Establishment in the </w:t>
      </w:r>
      <w:r w:rsidR="009F244D">
        <w:t xml:space="preserve">central and </w:t>
      </w:r>
      <w:r w:rsidRPr="00EA09AE">
        <w:t xml:space="preserve">northern </w:t>
      </w:r>
      <w:r w:rsidR="009F244D">
        <w:t xml:space="preserve">coastal </w:t>
      </w:r>
      <w:r w:rsidRPr="00EA09AE">
        <w:t>parts of Western Australia would be feasible where suitable hosts are present.</w:t>
      </w:r>
    </w:p>
    <w:p w14:paraId="5CC5E319" w14:textId="3EDE3492" w:rsidR="00EA09AE" w:rsidRPr="00EA09AE" w:rsidRDefault="00EA09AE" w:rsidP="00855C43">
      <w:pPr>
        <w:pStyle w:val="ListBullet"/>
      </w:pPr>
      <w:r w:rsidRPr="00EA09AE">
        <w:t>Coccids are attended by ants, which improves the survival and reproductive capacity of the scales. Most honeydew</w:t>
      </w:r>
      <w:r w:rsidR="001E699F">
        <w:t>-</w:t>
      </w:r>
      <w:r w:rsidRPr="00EA09AE">
        <w:t xml:space="preserve">seeking ants will tend any scale species they come across, although some have more specific relationships (Gullan 1997). Ants protect scales from natural enemies, particularly predatory wasps and beetles (Gullan 1997), and remove honeydew. In the absence of ants, scales may become engulfed in their honeydew and die from asphyxiation or from </w:t>
      </w:r>
      <w:r w:rsidR="00E92789">
        <w:t>the</w:t>
      </w:r>
      <w:r w:rsidRPr="00EA09AE">
        <w:t xml:space="preserve"> effect of sooty mould growth arising from honeydew contamination (Gullan 1997).</w:t>
      </w:r>
    </w:p>
    <w:p w14:paraId="2EA61B03" w14:textId="77777777" w:rsidR="00EA09AE" w:rsidRPr="00EA09AE" w:rsidRDefault="00EA09AE" w:rsidP="00855C43">
      <w:pPr>
        <w:pStyle w:val="ListBullet"/>
      </w:pPr>
      <w:r w:rsidRPr="00EA09AE">
        <w:t xml:space="preserve">Arboreal weaver ants commonly build silk shelters over scale insects on exposed foliage (Gullan 1997), providing shelter from predators. </w:t>
      </w:r>
      <w:r w:rsidRPr="00EA09AE">
        <w:rPr>
          <w:i/>
        </w:rPr>
        <w:t>Oecophylla smaragdina</w:t>
      </w:r>
      <w:r w:rsidRPr="00EA09AE">
        <w:t xml:space="preserve"> and other ants known to associate with scales are present in Western Australia (</w:t>
      </w:r>
      <w:r w:rsidR="00ED21F6">
        <w:t>ALA 2016</w:t>
      </w:r>
      <w:r w:rsidRPr="00EA09AE">
        <w:t>).</w:t>
      </w:r>
    </w:p>
    <w:p w14:paraId="35670F44" w14:textId="77777777" w:rsidR="00EA09AE" w:rsidRDefault="00EA09AE" w:rsidP="00855C43">
      <w:pPr>
        <w:pStyle w:val="ListBullet"/>
      </w:pPr>
      <w:r w:rsidRPr="00EA09AE">
        <w:t xml:space="preserve">Predation of scales by wasps, spiders and birds may affect the potential for establishment. </w:t>
      </w:r>
      <w:r w:rsidRPr="00EA09AE">
        <w:rPr>
          <w:i/>
        </w:rPr>
        <w:t>Saissetia neglecta</w:t>
      </w:r>
      <w:r w:rsidRPr="00EA09AE">
        <w:t xml:space="preserve"> can be attacked by the encyrtid wasps </w:t>
      </w:r>
      <w:r w:rsidRPr="00EA09AE">
        <w:rPr>
          <w:i/>
        </w:rPr>
        <w:t>Metaphycus helvolus</w:t>
      </w:r>
      <w:r w:rsidRPr="00EA09AE">
        <w:t xml:space="preserve"> and </w:t>
      </w:r>
      <w:r w:rsidRPr="00EA09AE">
        <w:rPr>
          <w:i/>
        </w:rPr>
        <w:t>Metaphycus lounsburyi</w:t>
      </w:r>
      <w:r w:rsidRPr="00EA09AE">
        <w:t xml:space="preserve">, which are present in parts of Australia and have been used for biological control of soft scales (Bennett </w:t>
      </w:r>
      <w:r w:rsidRPr="00EA09AE">
        <w:rPr>
          <w:i/>
        </w:rPr>
        <w:t>et al</w:t>
      </w:r>
      <w:r w:rsidRPr="00EA09AE">
        <w:t>. 1976).</w:t>
      </w:r>
    </w:p>
    <w:p w14:paraId="4DC180FD" w14:textId="3965D87D" w:rsidR="00ED21F6" w:rsidRPr="00EA09AE" w:rsidRDefault="00ED21F6" w:rsidP="00ED21F6">
      <w:pPr>
        <w:pStyle w:val="ListBullet"/>
        <w:numPr>
          <w:ilvl w:val="0"/>
          <w:numId w:val="0"/>
        </w:numPr>
      </w:pPr>
      <w:r>
        <w:rPr>
          <w:rFonts w:eastAsia="Calibri" w:cs="Times New Roman"/>
        </w:rPr>
        <w:t xml:space="preserve">The parthenogenetic reproductive behaviour and high fecundity of this species, </w:t>
      </w:r>
      <w:r w:rsidR="007607BD">
        <w:rPr>
          <w:rFonts w:eastAsia="Calibri" w:cs="Times New Roman"/>
        </w:rPr>
        <w:t xml:space="preserve">the presence of protective ant species known to associate with scales, and </w:t>
      </w:r>
      <w:r>
        <w:rPr>
          <w:rFonts w:eastAsia="Calibri" w:cs="Times New Roman"/>
        </w:rPr>
        <w:t xml:space="preserve">suitable climatic conditions in parts of Western Australia </w:t>
      </w:r>
      <w:r w:rsidRPr="00EA09AE">
        <w:rPr>
          <w:rFonts w:eastAsia="Calibri" w:cs="Times New Roman"/>
        </w:rPr>
        <w:t xml:space="preserve">support a likelihood estimate for </w:t>
      </w:r>
      <w:r>
        <w:rPr>
          <w:rFonts w:eastAsia="Calibri" w:cs="Times New Roman"/>
        </w:rPr>
        <w:t>establishment</w:t>
      </w:r>
      <w:r w:rsidRPr="00EA09AE">
        <w:rPr>
          <w:rFonts w:eastAsia="Calibri" w:cs="Times New Roman"/>
        </w:rPr>
        <w:t xml:space="preserve"> of </w:t>
      </w:r>
      <w:r w:rsidR="00C83D0C">
        <w:rPr>
          <w:rFonts w:eastAsia="Calibri" w:cs="Times New Roman"/>
        </w:rPr>
        <w:t>H</w:t>
      </w:r>
      <w:r>
        <w:rPr>
          <w:rFonts w:eastAsia="Calibri" w:cs="Times New Roman"/>
        </w:rPr>
        <w:t>igh</w:t>
      </w:r>
      <w:r w:rsidR="00457136">
        <w:rPr>
          <w:rFonts w:eastAsia="Calibri" w:cs="Times New Roman"/>
        </w:rPr>
        <w:t>.</w:t>
      </w:r>
    </w:p>
    <w:p w14:paraId="137E4939"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Likelihood of spread</w:t>
      </w:r>
    </w:p>
    <w:p w14:paraId="6ECBC4FB" w14:textId="61DDCEE9"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 xml:space="preserve">Saissetia neglecta </w:t>
      </w:r>
      <w:r w:rsidRPr="00EA09AE">
        <w:rPr>
          <w:rFonts w:eastAsia="Calibri" w:cs="Times New Roman"/>
        </w:rPr>
        <w:t>will spread in Western Australia, based on a comparison of factors in the area of origin and in Western Australia that affect the expansion of the geographic distribution of this pest, is</w:t>
      </w:r>
      <w:r w:rsidR="00AD1618">
        <w:rPr>
          <w:rFonts w:eastAsia="Calibri" w:cs="Times New Roman"/>
        </w:rPr>
        <w:t xml:space="preserve"> assessed as</w:t>
      </w:r>
      <w:r w:rsidRPr="00EA09AE">
        <w:rPr>
          <w:rFonts w:eastAsia="Calibri" w:cs="Times New Roman"/>
        </w:rPr>
        <w:t xml:space="preserve"> </w:t>
      </w:r>
      <w:r w:rsidR="00145DCA">
        <w:rPr>
          <w:rFonts w:eastAsia="Calibri" w:cs="Times New Roman"/>
        </w:rPr>
        <w:t>M</w:t>
      </w:r>
      <w:r w:rsidR="00F1438D">
        <w:rPr>
          <w:rFonts w:eastAsia="Calibri" w:cs="Times New Roman"/>
        </w:rPr>
        <w:t>oderate</w:t>
      </w:r>
      <w:r w:rsidRPr="00EA09AE">
        <w:rPr>
          <w:rFonts w:eastAsia="Calibri" w:cs="Times New Roman"/>
        </w:rPr>
        <w:t>.</w:t>
      </w:r>
    </w:p>
    <w:p w14:paraId="1A50B0A5" w14:textId="77777777" w:rsidR="00EA09AE" w:rsidRPr="00EA09AE" w:rsidRDefault="00EA09AE" w:rsidP="00EA09AE">
      <w:pPr>
        <w:spacing w:before="200"/>
        <w:rPr>
          <w:rFonts w:eastAsia="Calibri" w:cs="Times New Roman"/>
        </w:rPr>
      </w:pPr>
      <w:r w:rsidRPr="00EA09AE">
        <w:rPr>
          <w:rFonts w:eastAsia="Calibri" w:cs="Times New Roman"/>
        </w:rPr>
        <w:t>The following information provides supporting evidence for this assessment.</w:t>
      </w:r>
    </w:p>
    <w:p w14:paraId="24956D4E" w14:textId="77777777" w:rsidR="00EA09AE" w:rsidRPr="00EA09AE" w:rsidRDefault="00EA09AE" w:rsidP="00855C43">
      <w:pPr>
        <w:pStyle w:val="ListBullet"/>
      </w:pPr>
      <w:r w:rsidRPr="00EA09AE">
        <w:t xml:space="preserve">Once established, </w:t>
      </w:r>
      <w:r w:rsidRPr="00EA09AE">
        <w:rPr>
          <w:i/>
        </w:rPr>
        <w:t>Saissetia neglecta</w:t>
      </w:r>
      <w:r w:rsidRPr="00EA09AE">
        <w:t xml:space="preserve"> is likely to spread to other areas, </w:t>
      </w:r>
      <w:r w:rsidR="007607BD">
        <w:t xml:space="preserve">but </w:t>
      </w:r>
      <w:r w:rsidR="00E92789">
        <w:t xml:space="preserve">is </w:t>
      </w:r>
      <w:r w:rsidR="007607BD">
        <w:t xml:space="preserve">likely </w:t>
      </w:r>
      <w:r w:rsidR="00E92789">
        <w:t xml:space="preserve">to be </w:t>
      </w:r>
      <w:r w:rsidR="007607BD">
        <w:t xml:space="preserve">limited to </w:t>
      </w:r>
      <w:r w:rsidRPr="00EA09AE">
        <w:t xml:space="preserve">tropical and subtropical coastal regions. This species is better adapted to humid climates than other </w:t>
      </w:r>
      <w:r w:rsidR="00E92789">
        <w:t xml:space="preserve">species of </w:t>
      </w:r>
      <w:r w:rsidRPr="00EA09AE">
        <w:t>black scales (Gill 1997).</w:t>
      </w:r>
    </w:p>
    <w:p w14:paraId="138F0821" w14:textId="498FA354" w:rsidR="00EA09AE" w:rsidRPr="00EA09AE" w:rsidRDefault="00EA09AE" w:rsidP="00855C43">
      <w:pPr>
        <w:pStyle w:val="ListBullet"/>
      </w:pPr>
      <w:r w:rsidRPr="00EA09AE">
        <w:t xml:space="preserve">Black scale crawlers can be dispersed on wind currents, although movement of soft scales over </w:t>
      </w:r>
      <w:r w:rsidR="007C5FCC">
        <w:t>substantial distances</w:t>
      </w:r>
      <w:r w:rsidRPr="00EA09AE">
        <w:t xml:space="preserve"> by wind currents has not been proven (Greathead 1997).</w:t>
      </w:r>
    </w:p>
    <w:p w14:paraId="713795B4" w14:textId="77777777" w:rsidR="00EA09AE" w:rsidRPr="00EA09AE" w:rsidRDefault="00EA09AE" w:rsidP="00855C43">
      <w:pPr>
        <w:pStyle w:val="ListBullet"/>
      </w:pPr>
      <w:r w:rsidRPr="00EA09AE">
        <w:t>Spread over greater distances is likely to occur through the movement of infested cuttings, nursery stock and produce (Greathead 1997).</w:t>
      </w:r>
    </w:p>
    <w:p w14:paraId="7C7711AC" w14:textId="77777777" w:rsidR="00EA09AE" w:rsidRDefault="00EA09AE" w:rsidP="00855C43">
      <w:pPr>
        <w:pStyle w:val="ListBullet"/>
      </w:pPr>
      <w:r w:rsidRPr="00EA09AE">
        <w:rPr>
          <w:i/>
        </w:rPr>
        <w:t>Saissetia neglecta</w:t>
      </w:r>
      <w:r w:rsidRPr="00EA09AE">
        <w:t xml:space="preserve"> is a polyphagous species, recorded on hosts from at least 34 plant families (García Morales </w:t>
      </w:r>
      <w:r w:rsidRPr="00EA09AE">
        <w:rPr>
          <w:i/>
        </w:rPr>
        <w:t>et al</w:t>
      </w:r>
      <w:r w:rsidRPr="00EA09AE">
        <w:t>. 2016). Suitable host plants are likely to be present in many parts of Western Australia. Hosts such as citrus and gardenias are common in urban areas.</w:t>
      </w:r>
    </w:p>
    <w:p w14:paraId="7EEDFA47" w14:textId="6B0CB738" w:rsidR="00F22A62" w:rsidRPr="00EA09AE" w:rsidRDefault="00F1438D" w:rsidP="004E4787">
      <w:pPr>
        <w:pStyle w:val="ListBullet"/>
        <w:numPr>
          <w:ilvl w:val="0"/>
          <w:numId w:val="0"/>
        </w:numPr>
      </w:pPr>
      <w:r w:rsidRPr="00F1438D">
        <w:t>Th</w:t>
      </w:r>
      <w:r w:rsidR="00F22A62">
        <w:t xml:space="preserve">is species is </w:t>
      </w:r>
      <w:r>
        <w:t>associat</w:t>
      </w:r>
      <w:r w:rsidR="00F22A62">
        <w:t>ed</w:t>
      </w:r>
      <w:r>
        <w:t xml:space="preserve"> with a number of plant hosts</w:t>
      </w:r>
      <w:r w:rsidR="00F22A62">
        <w:t xml:space="preserve">, which </w:t>
      </w:r>
      <w:r>
        <w:t>may be moved over great distances</w:t>
      </w:r>
      <w:r w:rsidRPr="00F1438D">
        <w:t xml:space="preserve">, </w:t>
      </w:r>
      <w:r w:rsidR="00F22A62">
        <w:t>thereby spreading the pest. However, spread of the pest may be checked by its preference for humid climates. This s</w:t>
      </w:r>
      <w:r w:rsidRPr="00F1438D">
        <w:t>upport</w:t>
      </w:r>
      <w:r w:rsidR="00F22A62">
        <w:t>s</w:t>
      </w:r>
      <w:r w:rsidRPr="00F1438D">
        <w:t xml:space="preserve"> a likelihood estimate for </w:t>
      </w:r>
      <w:r w:rsidR="00473959">
        <w:t>spread</w:t>
      </w:r>
      <w:r w:rsidRPr="00F1438D">
        <w:t xml:space="preserve"> of </w:t>
      </w:r>
      <w:r w:rsidR="00902BA5">
        <w:t>M</w:t>
      </w:r>
      <w:r>
        <w:t>oderate</w:t>
      </w:r>
      <w:r w:rsidR="00F22A62">
        <w:t>.</w:t>
      </w:r>
    </w:p>
    <w:p w14:paraId="0AA76D4F"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Overall likelihood of entry, establishment and spread</w:t>
      </w:r>
    </w:p>
    <w:p w14:paraId="54191862" w14:textId="0D9CA079" w:rsidR="00EA09AE" w:rsidRPr="00EA09AE" w:rsidRDefault="00EA09AE" w:rsidP="00EA09AE">
      <w:pPr>
        <w:spacing w:before="200"/>
        <w:rPr>
          <w:rFonts w:eastAsia="Calibri" w:cs="Times New Roman"/>
        </w:rPr>
      </w:pPr>
      <w:r w:rsidRPr="00EA09AE">
        <w:rPr>
          <w:rFonts w:eastAsia="Calibri" w:cs="Times New Roman"/>
        </w:rPr>
        <w:t xml:space="preserve">The likelihood that </w:t>
      </w:r>
      <w:r w:rsidRPr="00EA09AE">
        <w:rPr>
          <w:rFonts w:eastAsia="Calibri" w:cs="Times New Roman"/>
          <w:i/>
        </w:rPr>
        <w:t xml:space="preserve">Saissetia neglecta </w:t>
      </w:r>
      <w:r w:rsidRPr="00EA09AE">
        <w:rPr>
          <w:rFonts w:eastAsia="Calibri" w:cs="Times New Roman"/>
        </w:rPr>
        <w:t>will enter Western Australia as a result of trade in Tahitian limes from any country where this pest is present, be distributed in a viable state to suitable hosts, establish in that area and subsequently spread within Western Australia, is</w:t>
      </w:r>
      <w:r w:rsidR="00AD1618">
        <w:rPr>
          <w:rFonts w:eastAsia="Calibri" w:cs="Times New Roman"/>
        </w:rPr>
        <w:t xml:space="preserve"> assessed as</w:t>
      </w:r>
      <w:r w:rsidRPr="00EA09AE">
        <w:rPr>
          <w:rFonts w:eastAsia="Calibri" w:cs="Times New Roman"/>
        </w:rPr>
        <w:t xml:space="preserve"> </w:t>
      </w:r>
      <w:r w:rsidR="00145DCA">
        <w:rPr>
          <w:rFonts w:eastAsia="Calibri" w:cs="Times New Roman"/>
        </w:rPr>
        <w:t>L</w:t>
      </w:r>
      <w:r w:rsidR="00F826D1">
        <w:rPr>
          <w:rFonts w:eastAsia="Calibri" w:cs="Times New Roman"/>
        </w:rPr>
        <w:t>ow</w:t>
      </w:r>
      <w:r w:rsidRPr="00855C43">
        <w:rPr>
          <w:rFonts w:eastAsia="Calibri" w:cs="Times New Roman"/>
        </w:rPr>
        <w:t>.</w:t>
      </w:r>
    </w:p>
    <w:p w14:paraId="61C959A4"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Consequences</w:t>
      </w:r>
    </w:p>
    <w:p w14:paraId="0480D3F4" w14:textId="77777777" w:rsidR="004C0FEF" w:rsidRDefault="004C0FEF" w:rsidP="004C0FEF">
      <w:r>
        <w:t xml:space="preserve">The potential consequences of the establishment of </w:t>
      </w:r>
      <w:r w:rsidRPr="004C0FEF">
        <w:rPr>
          <w:i/>
        </w:rPr>
        <w:t xml:space="preserve">Saissetia neglecta </w:t>
      </w:r>
      <w:r>
        <w:t>in Western Australia have been estimated according to the methods described in</w:t>
      </w:r>
      <w:r w:rsidR="00CA5B85">
        <w:t xml:space="preserve"> Table 2.3</w:t>
      </w:r>
      <w:r>
        <w:t>.</w:t>
      </w:r>
    </w:p>
    <w:p w14:paraId="5D4FF647" w14:textId="4CC4F429" w:rsidR="000E329C" w:rsidRDefault="004C0FEF" w:rsidP="004C0FEF">
      <w:pPr>
        <w:rPr>
          <w:rFonts w:eastAsia="Calibri" w:cs="Times New Roman"/>
        </w:rPr>
      </w:pPr>
      <w:r>
        <w:t>Based on the decision rules described in</w:t>
      </w:r>
      <w:r w:rsidR="00CA5B85">
        <w:t xml:space="preserve"> Table 2.4</w:t>
      </w:r>
      <w:r>
        <w:t xml:space="preserve">, the overall consequences are estimated to be </w:t>
      </w:r>
      <w:r w:rsidRPr="007A520B">
        <w:t>Low.</w:t>
      </w:r>
      <w:r w:rsidR="000E329C">
        <w:rPr>
          <w:rFonts w:eastAsia="Calibri" w:cs="Times New Roman"/>
        </w:rPr>
        <w:br w:type="page"/>
      </w:r>
    </w:p>
    <w:tbl>
      <w:tblPr>
        <w:tblW w:w="4864" w:type="pct"/>
        <w:tblBorders>
          <w:top w:val="single" w:sz="4" w:space="0" w:color="auto"/>
          <w:bottom w:val="single" w:sz="4" w:space="0" w:color="auto"/>
        </w:tblBorders>
        <w:tblLook w:val="04A0" w:firstRow="1" w:lastRow="0" w:firstColumn="1" w:lastColumn="0" w:noHBand="0" w:noVBand="1"/>
      </w:tblPr>
      <w:tblGrid>
        <w:gridCol w:w="2836"/>
        <w:gridCol w:w="5987"/>
      </w:tblGrid>
      <w:tr w:rsidR="00EA09AE" w:rsidRPr="00EA09AE" w14:paraId="3590F166" w14:textId="77777777" w:rsidTr="004A4E4B">
        <w:tc>
          <w:tcPr>
            <w:tcW w:w="1607" w:type="pct"/>
            <w:tcBorders>
              <w:top w:val="single" w:sz="4" w:space="0" w:color="auto"/>
              <w:bottom w:val="single" w:sz="4" w:space="0" w:color="D9D9D9"/>
            </w:tcBorders>
          </w:tcPr>
          <w:p w14:paraId="5FA7FC4D" w14:textId="77777777" w:rsidR="00EA09AE" w:rsidRPr="00EA09AE" w:rsidRDefault="00EA09AE" w:rsidP="00855C43">
            <w:pPr>
              <w:keepNext/>
              <w:spacing w:before="60" w:after="60" w:line="240" w:lineRule="auto"/>
              <w:rPr>
                <w:rFonts w:eastAsia="Calibri" w:cs="Times New Roman"/>
                <w:b/>
                <w:sz w:val="18"/>
              </w:rPr>
            </w:pPr>
            <w:r w:rsidRPr="00EA09AE">
              <w:rPr>
                <w:rFonts w:eastAsia="Calibri" w:cs="Times New Roman"/>
                <w:b/>
                <w:sz w:val="18"/>
              </w:rPr>
              <w:t>Criterion</w:t>
            </w:r>
          </w:p>
        </w:tc>
        <w:tc>
          <w:tcPr>
            <w:tcW w:w="3393" w:type="pct"/>
            <w:tcBorders>
              <w:top w:val="single" w:sz="4" w:space="0" w:color="auto"/>
              <w:bottom w:val="single" w:sz="4" w:space="0" w:color="D9D9D9"/>
            </w:tcBorders>
          </w:tcPr>
          <w:p w14:paraId="4A86EF23" w14:textId="77777777" w:rsidR="00EA09AE" w:rsidRPr="00EA09AE" w:rsidRDefault="00EA09AE" w:rsidP="00855C43">
            <w:pPr>
              <w:keepNext/>
              <w:spacing w:before="60" w:after="60" w:line="240" w:lineRule="auto"/>
              <w:rPr>
                <w:rFonts w:eastAsia="Calibri" w:cs="Times New Roman"/>
                <w:b/>
                <w:sz w:val="18"/>
              </w:rPr>
            </w:pPr>
            <w:r w:rsidRPr="00EA09AE">
              <w:rPr>
                <w:rFonts w:eastAsia="Calibri" w:cs="Times New Roman"/>
                <w:b/>
                <w:sz w:val="18"/>
              </w:rPr>
              <w:t>Estimate and rationale</w:t>
            </w:r>
          </w:p>
        </w:tc>
      </w:tr>
      <w:tr w:rsidR="00EA09AE" w:rsidRPr="00EA09AE" w14:paraId="00EB98D8" w14:textId="77777777" w:rsidTr="006B16C2">
        <w:tc>
          <w:tcPr>
            <w:tcW w:w="5000" w:type="pct"/>
            <w:gridSpan w:val="2"/>
            <w:tcBorders>
              <w:top w:val="single" w:sz="4" w:space="0" w:color="D9D9D9"/>
              <w:bottom w:val="single" w:sz="4" w:space="0" w:color="D9D9D9"/>
            </w:tcBorders>
          </w:tcPr>
          <w:p w14:paraId="1489AE2C" w14:textId="77777777" w:rsidR="00EA09AE" w:rsidRPr="00EA09AE" w:rsidRDefault="00EA09AE" w:rsidP="00EA09AE">
            <w:pPr>
              <w:spacing w:before="60" w:after="60" w:line="240" w:lineRule="auto"/>
              <w:rPr>
                <w:rFonts w:eastAsia="Calibri" w:cs="Times New Roman"/>
                <w:b/>
                <w:sz w:val="18"/>
              </w:rPr>
            </w:pPr>
            <w:r w:rsidRPr="00EA09AE">
              <w:rPr>
                <w:rFonts w:eastAsia="Calibri" w:cs="Times New Roman"/>
                <w:b/>
                <w:sz w:val="18"/>
              </w:rPr>
              <w:t>Direct</w:t>
            </w:r>
          </w:p>
        </w:tc>
      </w:tr>
      <w:tr w:rsidR="00EA09AE" w:rsidRPr="00EA09AE" w14:paraId="6036ABFB" w14:textId="77777777" w:rsidTr="004A4E4B">
        <w:tc>
          <w:tcPr>
            <w:tcW w:w="1607" w:type="pct"/>
            <w:tcBorders>
              <w:top w:val="single" w:sz="4" w:space="0" w:color="D9D9D9"/>
              <w:bottom w:val="single" w:sz="4" w:space="0" w:color="D9D9D9"/>
            </w:tcBorders>
          </w:tcPr>
          <w:p w14:paraId="69533530"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Plant life or health</w:t>
            </w:r>
          </w:p>
        </w:tc>
        <w:tc>
          <w:tcPr>
            <w:tcW w:w="3393" w:type="pct"/>
            <w:tcBorders>
              <w:top w:val="single" w:sz="4" w:space="0" w:color="D9D9D9"/>
              <w:bottom w:val="single" w:sz="4" w:space="0" w:color="D9D9D9"/>
            </w:tcBorders>
          </w:tcPr>
          <w:p w14:paraId="382C5E69"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Impact score: D — major significance at the local level</w:t>
            </w:r>
          </w:p>
          <w:p w14:paraId="192EBDA2"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i/>
                <w:sz w:val="18"/>
              </w:rPr>
              <w:t>Saissetia neglecta</w:t>
            </w:r>
            <w:r w:rsidRPr="00EA09AE">
              <w:rPr>
                <w:rFonts w:eastAsia="Calibri" w:cs="Times New Roman"/>
                <w:sz w:val="18"/>
              </w:rPr>
              <w:t xml:space="preserve"> is injurious to many tree and shrub crops (Williams and Watson 1990). Damage from individual scales is relatively localised, but the collective effects of heavy infestations on the host can be considerable (Vranjic 1997), resulting in discolouration of leaves and fruit, and deformation of shoots, twigs and branches (Gill and Kosztarab 1997).</w:t>
            </w:r>
          </w:p>
          <w:p w14:paraId="312DC160"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Soft scales imbibe large quantities of plant sap, resulting in loss of plant vigour, poor growth, leaf drop, and die-back of twigs and branches (Gill and Kosztarab 1997). Feeding introduces toxic saliva into the plant tissues, which can result in lesions that disrupt both vascular tissue and associated photosynthetic tissue (Vranjic 1997). Loss of sap though scale feeding reduces the nutrients available for plant function, reducing plant growth and affecting the plant’s ability to respond to environmental stresses (Vranjic 1997).</w:t>
            </w:r>
          </w:p>
          <w:p w14:paraId="43604B54" w14:textId="7DD547D8" w:rsidR="00EA09AE" w:rsidRPr="00EA09AE" w:rsidRDefault="00EA09AE" w:rsidP="001E699F">
            <w:pPr>
              <w:spacing w:before="60" w:after="60" w:line="240" w:lineRule="auto"/>
              <w:rPr>
                <w:rFonts w:eastAsia="Calibri" w:cs="Times New Roman"/>
                <w:sz w:val="18"/>
                <w:highlight w:val="yellow"/>
              </w:rPr>
            </w:pPr>
            <w:r w:rsidRPr="00EA09AE">
              <w:rPr>
                <w:rFonts w:eastAsia="Calibri" w:cs="Times New Roman"/>
                <w:sz w:val="18"/>
              </w:rPr>
              <w:t xml:space="preserve">Soft scales </w:t>
            </w:r>
            <w:r w:rsidR="009F244D">
              <w:rPr>
                <w:rFonts w:eastAsia="Calibri" w:cs="Times New Roman"/>
                <w:sz w:val="18"/>
              </w:rPr>
              <w:t>expel</w:t>
            </w:r>
            <w:r w:rsidRPr="00EA09AE">
              <w:rPr>
                <w:rFonts w:eastAsia="Calibri" w:cs="Times New Roman"/>
                <w:sz w:val="18"/>
              </w:rPr>
              <w:t xml:space="preserve"> honeydew (mostly excess carbohydrates) over the foliage, which provides a favourable substrate for sooty mould growth (Vranjic 1997). Sooty moulds are saprophytic and, while not directly harming the host plant, they block light transmission, which interferes with photosynthesis. Fruit can also be covered in sooty mould, making them unsaleable without washing (Vranjic 1997).</w:t>
            </w:r>
          </w:p>
        </w:tc>
      </w:tr>
      <w:tr w:rsidR="00EA09AE" w:rsidRPr="00EA09AE" w14:paraId="24213977" w14:textId="77777777" w:rsidTr="004A4E4B">
        <w:tc>
          <w:tcPr>
            <w:tcW w:w="1607" w:type="pct"/>
            <w:tcBorders>
              <w:top w:val="single" w:sz="4" w:space="0" w:color="D9D9D9"/>
              <w:bottom w:val="single" w:sz="4" w:space="0" w:color="D9D9D9"/>
            </w:tcBorders>
          </w:tcPr>
          <w:p w14:paraId="2C70AD8D"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Other aspects of the environment</w:t>
            </w:r>
          </w:p>
        </w:tc>
        <w:tc>
          <w:tcPr>
            <w:tcW w:w="3393" w:type="pct"/>
            <w:tcBorders>
              <w:top w:val="single" w:sz="4" w:space="0" w:color="D9D9D9"/>
              <w:bottom w:val="single" w:sz="4" w:space="0" w:color="D9D9D9"/>
            </w:tcBorders>
          </w:tcPr>
          <w:p w14:paraId="79BECD3D"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Impact score: A — indiscernible at the local level</w:t>
            </w:r>
          </w:p>
          <w:p w14:paraId="27D4A741" w14:textId="77777777" w:rsidR="00EA09AE" w:rsidRPr="00EA09AE" w:rsidRDefault="00EA09AE" w:rsidP="00EC5AB2">
            <w:pPr>
              <w:spacing w:before="60" w:after="60" w:line="240" w:lineRule="auto"/>
              <w:rPr>
                <w:rFonts w:eastAsia="Calibri" w:cs="Times New Roman"/>
                <w:sz w:val="18"/>
              </w:rPr>
            </w:pPr>
            <w:r w:rsidRPr="00EA09AE">
              <w:rPr>
                <w:rFonts w:eastAsia="Calibri" w:cs="Times New Roman"/>
                <w:sz w:val="18"/>
              </w:rPr>
              <w:t>Direct impacts are limited to effects on plant health.</w:t>
            </w:r>
            <w:r w:rsidR="00145DCA">
              <w:rPr>
                <w:rFonts w:eastAsia="Calibri" w:cs="Times New Roman"/>
                <w:sz w:val="18"/>
              </w:rPr>
              <w:t xml:space="preserve"> </w:t>
            </w:r>
            <w:r w:rsidRPr="00EA09AE">
              <w:rPr>
                <w:rFonts w:eastAsia="Calibri" w:cs="Times New Roman"/>
                <w:sz w:val="18"/>
              </w:rPr>
              <w:t xml:space="preserve">No other direct impacts on the environment associated with </w:t>
            </w:r>
            <w:r w:rsidRPr="00EA09AE">
              <w:rPr>
                <w:rFonts w:eastAsia="Calibri" w:cs="Times New Roman"/>
                <w:i/>
                <w:sz w:val="18"/>
              </w:rPr>
              <w:t>Saissetia neglecta</w:t>
            </w:r>
            <w:r w:rsidRPr="00EA09AE">
              <w:rPr>
                <w:rFonts w:eastAsia="Calibri" w:cs="Times New Roman"/>
                <w:sz w:val="18"/>
              </w:rPr>
              <w:t xml:space="preserve"> have been reported.</w:t>
            </w:r>
          </w:p>
        </w:tc>
      </w:tr>
      <w:tr w:rsidR="00EA09AE" w:rsidRPr="00EA09AE" w14:paraId="698BBB12" w14:textId="77777777" w:rsidTr="006B16C2">
        <w:tc>
          <w:tcPr>
            <w:tcW w:w="5000" w:type="pct"/>
            <w:gridSpan w:val="2"/>
            <w:tcBorders>
              <w:top w:val="single" w:sz="4" w:space="0" w:color="D9D9D9"/>
              <w:bottom w:val="single" w:sz="4" w:space="0" w:color="D9D9D9"/>
            </w:tcBorders>
          </w:tcPr>
          <w:p w14:paraId="29A63D55" w14:textId="77777777" w:rsidR="00EA09AE" w:rsidRPr="00EA09AE" w:rsidRDefault="00EA09AE" w:rsidP="00855C43">
            <w:pPr>
              <w:keepNext/>
              <w:spacing w:before="60" w:after="60" w:line="240" w:lineRule="auto"/>
              <w:rPr>
                <w:rFonts w:eastAsia="Calibri" w:cs="Times New Roman"/>
                <w:b/>
                <w:sz w:val="18"/>
              </w:rPr>
            </w:pPr>
            <w:r w:rsidRPr="00EA09AE">
              <w:rPr>
                <w:rFonts w:eastAsia="Calibri" w:cs="Times New Roman"/>
                <w:b/>
                <w:sz w:val="18"/>
              </w:rPr>
              <w:t>Indirect</w:t>
            </w:r>
          </w:p>
        </w:tc>
      </w:tr>
      <w:tr w:rsidR="00EA09AE" w:rsidRPr="00EA09AE" w14:paraId="7D9AB309" w14:textId="77777777" w:rsidTr="004A4E4B">
        <w:tc>
          <w:tcPr>
            <w:tcW w:w="1607" w:type="pct"/>
            <w:tcBorders>
              <w:top w:val="single" w:sz="4" w:space="0" w:color="D9D9D9"/>
              <w:bottom w:val="single" w:sz="4" w:space="0" w:color="D9D9D9"/>
            </w:tcBorders>
          </w:tcPr>
          <w:p w14:paraId="30948F89"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Eradication, control</w:t>
            </w:r>
          </w:p>
        </w:tc>
        <w:tc>
          <w:tcPr>
            <w:tcW w:w="3393" w:type="pct"/>
            <w:tcBorders>
              <w:top w:val="single" w:sz="4" w:space="0" w:color="D9D9D9"/>
              <w:bottom w:val="single" w:sz="4" w:space="0" w:color="D9D9D9"/>
            </w:tcBorders>
          </w:tcPr>
          <w:p w14:paraId="4E53471F"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Impact score: B — minor significance at the local level</w:t>
            </w:r>
          </w:p>
          <w:p w14:paraId="6BDC4D9F" w14:textId="77777777" w:rsidR="00EA09AE" w:rsidRPr="00EA09AE" w:rsidRDefault="00EA09AE" w:rsidP="00C373F6">
            <w:pPr>
              <w:spacing w:before="60" w:after="60" w:line="240" w:lineRule="auto"/>
              <w:rPr>
                <w:rFonts w:eastAsia="Calibri" w:cs="Times New Roman"/>
                <w:sz w:val="18"/>
                <w:highlight w:val="yellow"/>
              </w:rPr>
            </w:pPr>
            <w:r w:rsidRPr="00EA09AE">
              <w:rPr>
                <w:rFonts w:eastAsia="Calibri" w:cs="Times New Roman"/>
                <w:sz w:val="18"/>
              </w:rPr>
              <w:t xml:space="preserve">Additional pest management in commercial orchards may not be </w:t>
            </w:r>
            <w:r w:rsidR="00145DCA">
              <w:rPr>
                <w:rFonts w:eastAsia="Calibri" w:cs="Times New Roman"/>
                <w:sz w:val="18"/>
              </w:rPr>
              <w:t>required</w:t>
            </w:r>
            <w:r w:rsidRPr="00EA09AE">
              <w:rPr>
                <w:rFonts w:eastAsia="Calibri" w:cs="Times New Roman"/>
                <w:sz w:val="18"/>
              </w:rPr>
              <w:t xml:space="preserve">, as existing measures against other common scale pests </w:t>
            </w:r>
            <w:r w:rsidR="00D10CCF">
              <w:rPr>
                <w:rFonts w:eastAsia="Calibri" w:cs="Times New Roman"/>
                <w:sz w:val="18"/>
              </w:rPr>
              <w:t xml:space="preserve">on citrus </w:t>
            </w:r>
            <w:r w:rsidR="00C373F6">
              <w:rPr>
                <w:rFonts w:eastAsia="Calibri" w:cs="Times New Roman"/>
                <w:sz w:val="18"/>
              </w:rPr>
              <w:t xml:space="preserve">in Western Australia (Broughton 2007) </w:t>
            </w:r>
            <w:r w:rsidRPr="00EA09AE">
              <w:rPr>
                <w:rFonts w:eastAsia="Calibri" w:cs="Times New Roman"/>
                <w:sz w:val="18"/>
              </w:rPr>
              <w:t>would typically be effective against Caribbean black scale.</w:t>
            </w:r>
          </w:p>
        </w:tc>
      </w:tr>
      <w:tr w:rsidR="00EA09AE" w:rsidRPr="00EA09AE" w14:paraId="32BCA9C6" w14:textId="77777777" w:rsidTr="004A4E4B">
        <w:tc>
          <w:tcPr>
            <w:tcW w:w="1607" w:type="pct"/>
            <w:tcBorders>
              <w:top w:val="single" w:sz="4" w:space="0" w:color="D9D9D9"/>
              <w:bottom w:val="single" w:sz="4" w:space="0" w:color="D9D9D9"/>
            </w:tcBorders>
          </w:tcPr>
          <w:p w14:paraId="32D35E3A"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Domestic trade</w:t>
            </w:r>
          </w:p>
        </w:tc>
        <w:tc>
          <w:tcPr>
            <w:tcW w:w="3393" w:type="pct"/>
            <w:tcBorders>
              <w:top w:val="single" w:sz="4" w:space="0" w:color="D9D9D9"/>
              <w:bottom w:val="single" w:sz="4" w:space="0" w:color="D9D9D9"/>
            </w:tcBorders>
          </w:tcPr>
          <w:p w14:paraId="71D29795" w14:textId="77777777" w:rsidR="00EA09AE" w:rsidRPr="00EA09AE" w:rsidRDefault="008C29D7" w:rsidP="00EA09AE">
            <w:pPr>
              <w:spacing w:before="60" w:after="60" w:line="240" w:lineRule="auto"/>
              <w:rPr>
                <w:rFonts w:eastAsia="Calibri" w:cs="Times New Roman"/>
                <w:sz w:val="18"/>
                <w:highlight w:val="yellow"/>
              </w:rPr>
            </w:pPr>
            <w:r>
              <w:rPr>
                <w:rFonts w:eastAsia="Calibri" w:cs="Times New Roman"/>
                <w:sz w:val="18"/>
              </w:rPr>
              <w:t xml:space="preserve">Impact score: </w:t>
            </w:r>
            <w:r w:rsidRPr="008C29D7">
              <w:rPr>
                <w:rFonts w:eastAsia="Calibri" w:cs="Times New Roman"/>
                <w:sz w:val="18"/>
              </w:rPr>
              <w:t>A — indiscernible at the local level</w:t>
            </w:r>
          </w:p>
          <w:p w14:paraId="370E1808" w14:textId="77777777" w:rsidR="00EA09AE" w:rsidRPr="00EA09AE" w:rsidRDefault="00EA09AE" w:rsidP="00145DCA">
            <w:pPr>
              <w:spacing w:before="60" w:after="60" w:line="240" w:lineRule="auto"/>
              <w:rPr>
                <w:rFonts w:eastAsia="Calibri" w:cs="Times New Roman"/>
                <w:sz w:val="18"/>
                <w:highlight w:val="yellow"/>
              </w:rPr>
            </w:pPr>
            <w:r w:rsidRPr="00EA09AE">
              <w:rPr>
                <w:rFonts w:eastAsia="Calibri" w:cs="Times New Roman"/>
                <w:sz w:val="18"/>
              </w:rPr>
              <w:t xml:space="preserve">Additional restrictions on interstate movement of fresh produce are </w:t>
            </w:r>
            <w:r w:rsidR="008C29D7">
              <w:rPr>
                <w:rFonts w:eastAsia="Calibri" w:cs="Times New Roman"/>
                <w:sz w:val="18"/>
              </w:rPr>
              <w:t>un</w:t>
            </w:r>
            <w:r w:rsidRPr="00EA09AE">
              <w:rPr>
                <w:rFonts w:eastAsia="Calibri" w:cs="Times New Roman"/>
                <w:sz w:val="18"/>
              </w:rPr>
              <w:t>likely, as produce is already regulated for other coccid pests.</w:t>
            </w:r>
          </w:p>
        </w:tc>
      </w:tr>
      <w:tr w:rsidR="00EA09AE" w:rsidRPr="00EA09AE" w14:paraId="0CCAEACC" w14:textId="77777777" w:rsidTr="004A4E4B">
        <w:tc>
          <w:tcPr>
            <w:tcW w:w="1607" w:type="pct"/>
            <w:tcBorders>
              <w:top w:val="single" w:sz="4" w:space="0" w:color="D9D9D9"/>
              <w:bottom w:val="single" w:sz="4" w:space="0" w:color="D9D9D9"/>
            </w:tcBorders>
          </w:tcPr>
          <w:p w14:paraId="0AC9D39F"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International trade</w:t>
            </w:r>
          </w:p>
        </w:tc>
        <w:tc>
          <w:tcPr>
            <w:tcW w:w="3393" w:type="pct"/>
            <w:tcBorders>
              <w:top w:val="single" w:sz="4" w:space="0" w:color="D9D9D9"/>
              <w:bottom w:val="single" w:sz="4" w:space="0" w:color="D9D9D9"/>
            </w:tcBorders>
          </w:tcPr>
          <w:p w14:paraId="7BC82132"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 xml:space="preserve">Impact score: </w:t>
            </w:r>
            <w:r w:rsidR="008C29D7" w:rsidRPr="008C29D7">
              <w:rPr>
                <w:rFonts w:eastAsia="Calibri" w:cs="Times New Roman"/>
                <w:sz w:val="18"/>
              </w:rPr>
              <w:t>B — minor significance at the local level</w:t>
            </w:r>
            <w:r w:rsidRPr="00EA09AE">
              <w:rPr>
                <w:rFonts w:eastAsia="Calibri" w:cs="Times New Roman"/>
                <w:sz w:val="18"/>
                <w:highlight w:val="yellow"/>
              </w:rPr>
              <w:t xml:space="preserve"> </w:t>
            </w:r>
          </w:p>
          <w:p w14:paraId="47AE8256" w14:textId="643BA63F" w:rsidR="00EA09AE" w:rsidRPr="00EA09AE" w:rsidRDefault="00EA09AE" w:rsidP="00DD5CB0">
            <w:pPr>
              <w:spacing w:before="60" w:after="60" w:line="240" w:lineRule="auto"/>
              <w:rPr>
                <w:rFonts w:eastAsia="Calibri" w:cs="Times New Roman"/>
                <w:sz w:val="18"/>
                <w:highlight w:val="yellow"/>
              </w:rPr>
            </w:pPr>
            <w:r w:rsidRPr="00EA09AE">
              <w:rPr>
                <w:rFonts w:eastAsia="Calibri" w:cs="Times New Roman"/>
                <w:sz w:val="18"/>
              </w:rPr>
              <w:t xml:space="preserve">Establishment of this pest in Western Australia </w:t>
            </w:r>
            <w:r w:rsidR="008C29D7">
              <w:rPr>
                <w:rFonts w:eastAsia="Calibri" w:cs="Times New Roman"/>
                <w:sz w:val="18"/>
              </w:rPr>
              <w:t>could potentially</w:t>
            </w:r>
            <w:r w:rsidRPr="00EA09AE">
              <w:rPr>
                <w:rFonts w:eastAsia="Calibri" w:cs="Times New Roman"/>
                <w:sz w:val="18"/>
              </w:rPr>
              <w:t xml:space="preserve"> result in additional measures on exports to international markets where the pest is absent</w:t>
            </w:r>
            <w:r w:rsidR="00207E42">
              <w:rPr>
                <w:rFonts w:eastAsia="Calibri" w:cs="Times New Roman"/>
                <w:sz w:val="18"/>
              </w:rPr>
              <w:t xml:space="preserve">. </w:t>
            </w:r>
            <w:r w:rsidR="00207E42" w:rsidRPr="00DD5CB0">
              <w:rPr>
                <w:rFonts w:eastAsia="Calibri" w:cs="Times New Roman"/>
                <w:sz w:val="18"/>
              </w:rPr>
              <w:t xml:space="preserve">However, </w:t>
            </w:r>
            <w:r w:rsidR="00DD5CB0" w:rsidRPr="00DD5CB0">
              <w:rPr>
                <w:rFonts w:eastAsia="Calibri" w:cs="Times New Roman"/>
                <w:sz w:val="18"/>
              </w:rPr>
              <w:t>th</w:t>
            </w:r>
            <w:r w:rsidR="00DD5CB0">
              <w:rPr>
                <w:rFonts w:eastAsia="Calibri" w:cs="Times New Roman"/>
                <w:sz w:val="18"/>
              </w:rPr>
              <w:t>e presence of th</w:t>
            </w:r>
            <w:r w:rsidR="00DD5CB0" w:rsidRPr="00DD5CB0">
              <w:rPr>
                <w:rFonts w:eastAsia="Calibri" w:cs="Times New Roman"/>
                <w:sz w:val="18"/>
              </w:rPr>
              <w:t xml:space="preserve">is scale does not impede the export of </w:t>
            </w:r>
            <w:r w:rsidR="00207E42" w:rsidRPr="00DD5CB0">
              <w:rPr>
                <w:rFonts w:eastAsia="Calibri" w:cs="Times New Roman"/>
                <w:sz w:val="18"/>
              </w:rPr>
              <w:t>h</w:t>
            </w:r>
            <w:r w:rsidRPr="00DD5CB0">
              <w:rPr>
                <w:rFonts w:eastAsia="Calibri" w:cs="Times New Roman"/>
                <w:sz w:val="18"/>
              </w:rPr>
              <w:t>ost commodities such as citrus and mangoes from the eastern states</w:t>
            </w:r>
            <w:r w:rsidR="00DD5CB0" w:rsidRPr="00DD5CB0">
              <w:rPr>
                <w:rFonts w:eastAsia="Calibri" w:cs="Times New Roman"/>
                <w:sz w:val="18"/>
              </w:rPr>
              <w:t xml:space="preserve"> to international markets</w:t>
            </w:r>
            <w:r w:rsidRPr="00EA09AE">
              <w:rPr>
                <w:rFonts w:eastAsia="Calibri" w:cs="Times New Roman"/>
                <w:sz w:val="18"/>
              </w:rPr>
              <w:t>.</w:t>
            </w:r>
          </w:p>
        </w:tc>
      </w:tr>
      <w:tr w:rsidR="00EA09AE" w:rsidRPr="00EA09AE" w14:paraId="61878153" w14:textId="77777777" w:rsidTr="004A4E4B">
        <w:tc>
          <w:tcPr>
            <w:tcW w:w="1607" w:type="pct"/>
            <w:tcBorders>
              <w:top w:val="single" w:sz="4" w:space="0" w:color="D9D9D9"/>
            </w:tcBorders>
          </w:tcPr>
          <w:p w14:paraId="5F9E4782" w14:textId="77777777" w:rsidR="00EA09AE" w:rsidRPr="00EA09AE" w:rsidRDefault="00EA09AE" w:rsidP="00EA09AE">
            <w:pPr>
              <w:spacing w:before="60" w:after="60" w:line="240" w:lineRule="auto"/>
              <w:rPr>
                <w:rFonts w:eastAsia="Calibri" w:cs="Times New Roman"/>
                <w:sz w:val="18"/>
              </w:rPr>
            </w:pPr>
            <w:r w:rsidRPr="00EA09AE">
              <w:rPr>
                <w:rFonts w:eastAsia="Calibri" w:cs="Times New Roman"/>
                <w:sz w:val="18"/>
              </w:rPr>
              <w:t>Environmental and non-commercial</w:t>
            </w:r>
          </w:p>
        </w:tc>
        <w:tc>
          <w:tcPr>
            <w:tcW w:w="3393" w:type="pct"/>
            <w:tcBorders>
              <w:top w:val="single" w:sz="4" w:space="0" w:color="D9D9D9"/>
            </w:tcBorders>
          </w:tcPr>
          <w:p w14:paraId="562A374B"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Impact score: A — indiscernible at the local level</w:t>
            </w:r>
          </w:p>
          <w:p w14:paraId="2C9815C2" w14:textId="77777777" w:rsidR="00EA09AE" w:rsidRPr="00EA09AE" w:rsidRDefault="00EA09AE" w:rsidP="00EA09AE">
            <w:pPr>
              <w:spacing w:before="60" w:after="60" w:line="240" w:lineRule="auto"/>
              <w:rPr>
                <w:rFonts w:eastAsia="Calibri" w:cs="Times New Roman"/>
                <w:sz w:val="18"/>
                <w:highlight w:val="yellow"/>
              </w:rPr>
            </w:pPr>
            <w:r w:rsidRPr="00EA09AE">
              <w:rPr>
                <w:rFonts w:eastAsia="Calibri" w:cs="Times New Roman"/>
                <w:sz w:val="18"/>
              </w:rPr>
              <w:t>The potential impacts to plant health described above are unlikely to result in discernible changes to plant communities, ecological processes, the natural environment or human recreational uses.</w:t>
            </w:r>
          </w:p>
        </w:tc>
      </w:tr>
    </w:tbl>
    <w:p w14:paraId="267942CB" w14:textId="77777777" w:rsidR="00EA09AE" w:rsidRPr="00EA09AE" w:rsidRDefault="00EA09AE" w:rsidP="00EA09AE">
      <w:pPr>
        <w:keepNext/>
        <w:keepLines/>
        <w:numPr>
          <w:ilvl w:val="2"/>
          <w:numId w:val="21"/>
        </w:numPr>
        <w:spacing w:before="200" w:line="240" w:lineRule="auto"/>
        <w:outlineLvl w:val="2"/>
        <w:rPr>
          <w:rFonts w:ascii="Calibri" w:eastAsia="Calibri" w:hAnsi="Calibri" w:cs="Times New Roman"/>
          <w:b/>
          <w:bCs/>
          <w:sz w:val="24"/>
        </w:rPr>
      </w:pPr>
      <w:r w:rsidRPr="00EA09AE">
        <w:rPr>
          <w:rFonts w:ascii="Calibri" w:eastAsia="Calibri" w:hAnsi="Calibri" w:cs="Times New Roman"/>
          <w:b/>
          <w:bCs/>
          <w:sz w:val="24"/>
        </w:rPr>
        <w:t>Unrestricted risk estimate</w:t>
      </w:r>
    </w:p>
    <w:p w14:paraId="15041FF8" w14:textId="77777777" w:rsidR="00EA09AE" w:rsidRPr="00EA09AE" w:rsidRDefault="00EA09AE" w:rsidP="00EA09AE">
      <w:pPr>
        <w:spacing w:before="200"/>
        <w:rPr>
          <w:rFonts w:eastAsia="Calibri" w:cs="Times New Roman"/>
        </w:rPr>
      </w:pPr>
      <w:r w:rsidRPr="00EA09AE">
        <w:rPr>
          <w:rFonts w:eastAsia="Calibri" w:cs="Times New Roman"/>
        </w:rPr>
        <w:t xml:space="preserve">Unrestricted risk is the result of combining the likelihood of entry, establishment and spread with the outcome of overall consequences, using the risk estimation matrix shown in </w:t>
      </w:r>
      <w:r w:rsidR="00855C43">
        <w:rPr>
          <w:rFonts w:eastAsia="Calibri" w:cs="Times New Roman"/>
        </w:rPr>
        <w:t>Table 2.5</w:t>
      </w:r>
      <w:r w:rsidRPr="00EA09AE">
        <w:rPr>
          <w:rFonts w:eastAsia="Calibri" w:cs="Times New Roman"/>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E17E11" w14:paraId="0FF3A9CA" w14:textId="77777777" w:rsidTr="004C0FEF">
        <w:tc>
          <w:tcPr>
            <w:tcW w:w="5000" w:type="pct"/>
            <w:gridSpan w:val="2"/>
          </w:tcPr>
          <w:p w14:paraId="5A4B25BD" w14:textId="77777777" w:rsidR="00E17E11" w:rsidRPr="00E17E11" w:rsidRDefault="00E17E11" w:rsidP="00E17E11">
            <w:pPr>
              <w:pStyle w:val="TableHeading"/>
            </w:pPr>
            <w:r>
              <w:t xml:space="preserve">Unrestricted risk estimate for </w:t>
            </w:r>
            <w:r w:rsidRPr="004C0FEF">
              <w:rPr>
                <w:i/>
              </w:rPr>
              <w:t>Saissetia neglecta</w:t>
            </w:r>
          </w:p>
        </w:tc>
      </w:tr>
      <w:tr w:rsidR="00E17E11" w14:paraId="665EB05A" w14:textId="77777777" w:rsidTr="004C0FEF">
        <w:tc>
          <w:tcPr>
            <w:tcW w:w="3428" w:type="pct"/>
          </w:tcPr>
          <w:p w14:paraId="11C573F7" w14:textId="77777777" w:rsidR="00E17E11" w:rsidRDefault="00E17E11" w:rsidP="004C0FEF">
            <w:pPr>
              <w:pStyle w:val="TableText"/>
            </w:pPr>
            <w:r>
              <w:t>Overall likelihood of entry, establishment and spread</w:t>
            </w:r>
          </w:p>
        </w:tc>
        <w:tc>
          <w:tcPr>
            <w:tcW w:w="1572" w:type="pct"/>
          </w:tcPr>
          <w:p w14:paraId="5EFE8C71" w14:textId="77777777" w:rsidR="00E17E11" w:rsidRPr="004C0FEF" w:rsidRDefault="00E17E11" w:rsidP="00E17E11">
            <w:pPr>
              <w:pStyle w:val="TableText"/>
            </w:pPr>
            <w:r w:rsidRPr="004C0FEF">
              <w:t>Low</w:t>
            </w:r>
          </w:p>
        </w:tc>
      </w:tr>
      <w:tr w:rsidR="00E17E11" w14:paraId="57608313" w14:textId="77777777" w:rsidTr="004C0FEF">
        <w:tc>
          <w:tcPr>
            <w:tcW w:w="3428" w:type="pct"/>
          </w:tcPr>
          <w:p w14:paraId="59A05CB6" w14:textId="77777777" w:rsidR="00E17E11" w:rsidRDefault="00E17E11" w:rsidP="004C0FEF">
            <w:pPr>
              <w:pStyle w:val="TableText"/>
            </w:pPr>
            <w:r>
              <w:t>Consequences</w:t>
            </w:r>
          </w:p>
        </w:tc>
        <w:tc>
          <w:tcPr>
            <w:tcW w:w="1572" w:type="pct"/>
          </w:tcPr>
          <w:p w14:paraId="7811A128" w14:textId="77777777" w:rsidR="00E17E11" w:rsidRPr="004C0FEF" w:rsidRDefault="00E17E11" w:rsidP="00E17E11">
            <w:pPr>
              <w:pStyle w:val="TableText"/>
            </w:pPr>
            <w:r w:rsidRPr="004C0FEF">
              <w:t>Low</w:t>
            </w:r>
          </w:p>
        </w:tc>
      </w:tr>
      <w:tr w:rsidR="00E17E11" w14:paraId="692BA408" w14:textId="77777777" w:rsidTr="004C0FEF">
        <w:tc>
          <w:tcPr>
            <w:tcW w:w="3428" w:type="pct"/>
          </w:tcPr>
          <w:p w14:paraId="2C91605F" w14:textId="77777777" w:rsidR="00E17E11" w:rsidRDefault="00E17E11" w:rsidP="004C0FEF">
            <w:pPr>
              <w:pStyle w:val="TableText"/>
            </w:pPr>
            <w:r>
              <w:t>Unrestricted risk</w:t>
            </w:r>
          </w:p>
        </w:tc>
        <w:tc>
          <w:tcPr>
            <w:tcW w:w="1572" w:type="pct"/>
          </w:tcPr>
          <w:p w14:paraId="602AE8A3" w14:textId="77777777" w:rsidR="00E17E11" w:rsidRPr="004C0FEF" w:rsidRDefault="00E17E11" w:rsidP="00E17E11">
            <w:pPr>
              <w:pStyle w:val="TableText"/>
            </w:pPr>
            <w:r w:rsidRPr="004C0FEF">
              <w:t>Very low</w:t>
            </w:r>
          </w:p>
        </w:tc>
      </w:tr>
    </w:tbl>
    <w:p w14:paraId="301B0641" w14:textId="7BD02BE2" w:rsidR="00EA09AE" w:rsidRDefault="00E17E11" w:rsidP="00F94B9A">
      <w:pPr>
        <w:spacing w:before="200"/>
      </w:pPr>
      <w:r>
        <w:rPr>
          <w:rFonts w:eastAsia="Calibri" w:cs="Times New Roman"/>
        </w:rPr>
        <w:t>As indicated, t</w:t>
      </w:r>
      <w:r w:rsidR="00EA09AE" w:rsidRPr="00EA09AE">
        <w:rPr>
          <w:rFonts w:eastAsia="Calibri" w:cs="Times New Roman"/>
        </w:rPr>
        <w:t xml:space="preserve">he unrestricted risk of </w:t>
      </w:r>
      <w:r w:rsidR="00EA09AE" w:rsidRPr="00EA09AE">
        <w:rPr>
          <w:rFonts w:eastAsia="Calibri" w:cs="Times New Roman"/>
          <w:i/>
        </w:rPr>
        <w:t>Saissetia neglecta</w:t>
      </w:r>
      <w:r w:rsidR="00EA09AE" w:rsidRPr="00EA09AE">
        <w:rPr>
          <w:rFonts w:eastAsia="Calibri" w:cs="Times New Roman"/>
        </w:rPr>
        <w:t xml:space="preserve"> has been assessed as</w:t>
      </w:r>
      <w:r>
        <w:rPr>
          <w:rFonts w:eastAsia="Calibri" w:cs="Times New Roman"/>
        </w:rPr>
        <w:t xml:space="preserve"> </w:t>
      </w:r>
      <w:r w:rsidR="00AD1618">
        <w:rPr>
          <w:rFonts w:eastAsia="Calibri" w:cs="Times New Roman"/>
        </w:rPr>
        <w:t>V</w:t>
      </w:r>
      <w:r>
        <w:rPr>
          <w:rFonts w:eastAsia="Calibri" w:cs="Times New Roman"/>
        </w:rPr>
        <w:t>ery low, which</w:t>
      </w:r>
      <w:r w:rsidR="00EA09AE" w:rsidRPr="00EA09AE">
        <w:t xml:space="preserve"> </w:t>
      </w:r>
      <w:r w:rsidR="00FD4160">
        <w:t>achieves</w:t>
      </w:r>
      <w:r w:rsidR="00EA09AE" w:rsidRPr="00EA09AE">
        <w:t xml:space="preserve"> </w:t>
      </w:r>
      <w:r w:rsidR="004A4E4B">
        <w:t xml:space="preserve">the </w:t>
      </w:r>
      <w:r w:rsidR="00855C43">
        <w:t xml:space="preserve">ALOP for </w:t>
      </w:r>
      <w:r w:rsidR="00EA09AE" w:rsidRPr="00EA09AE">
        <w:t xml:space="preserve">Australia. Therefore, specific risk management measures are </w:t>
      </w:r>
      <w:r w:rsidR="00FD4160">
        <w:t xml:space="preserve">not </w:t>
      </w:r>
      <w:r w:rsidR="00EA09AE" w:rsidRPr="00EA09AE">
        <w:t xml:space="preserve">required for </w:t>
      </w:r>
      <w:r w:rsidR="00F94B9A" w:rsidRPr="00F94B9A">
        <w:rPr>
          <w:i/>
        </w:rPr>
        <w:t>Saissetia neglecta</w:t>
      </w:r>
      <w:r w:rsidR="00EA09AE" w:rsidRPr="00EA09AE">
        <w:t>.</w:t>
      </w:r>
    </w:p>
    <w:p w14:paraId="17CBAFA7" w14:textId="77777777" w:rsidR="00242B68" w:rsidRDefault="00242B68" w:rsidP="00855C43">
      <w:pPr>
        <w:sectPr w:rsidR="00242B68" w:rsidSect="00242B68">
          <w:headerReference w:type="even" r:id="rId47"/>
          <w:headerReference w:type="default" r:id="rId48"/>
          <w:footerReference w:type="even" r:id="rId49"/>
          <w:pgSz w:w="11906" w:h="16838"/>
          <w:pgMar w:top="1418" w:right="1418" w:bottom="1418" w:left="1418" w:header="567" w:footer="283" w:gutter="0"/>
          <w:cols w:space="708"/>
          <w:docGrid w:linePitch="360"/>
        </w:sectPr>
      </w:pPr>
    </w:p>
    <w:p w14:paraId="7C1E4A71" w14:textId="77777777" w:rsidR="006A6B7E" w:rsidRDefault="00855C43" w:rsidP="006A6B7E">
      <w:pPr>
        <w:pStyle w:val="Heading2"/>
      </w:pPr>
      <w:bookmarkStart w:id="98" w:name="_Toc501716492"/>
      <w:r>
        <w:t>Armoured scales</w:t>
      </w:r>
      <w:bookmarkEnd w:id="96"/>
      <w:bookmarkEnd w:id="98"/>
    </w:p>
    <w:p w14:paraId="311ADAC5" w14:textId="4AEB6449" w:rsidR="006A6B7E" w:rsidRPr="00855C43" w:rsidRDefault="00855C43" w:rsidP="00BB0A0A">
      <w:pPr>
        <w:pStyle w:val="Heading4"/>
      </w:pPr>
      <w:r w:rsidRPr="00855C43">
        <w:rPr>
          <w:i/>
        </w:rPr>
        <w:t>Chrysomphalus dictyospermi</w:t>
      </w:r>
      <w:r>
        <w:rPr>
          <w:i/>
        </w:rPr>
        <w:t xml:space="preserve"> </w:t>
      </w:r>
      <w:r w:rsidRPr="00855C43">
        <w:t>(</w:t>
      </w:r>
      <w:r w:rsidR="00A66765">
        <w:t xml:space="preserve">EP, </w:t>
      </w:r>
      <w:r w:rsidRPr="00855C43">
        <w:t>WA),</w:t>
      </w:r>
      <w:r w:rsidRPr="00855C43">
        <w:rPr>
          <w:i/>
        </w:rPr>
        <w:t xml:space="preserve"> Hemiberlesia cyanophylli </w:t>
      </w:r>
      <w:r w:rsidRPr="00855C43">
        <w:t>(</w:t>
      </w:r>
      <w:r w:rsidR="00A66765">
        <w:t xml:space="preserve">EP, </w:t>
      </w:r>
      <w:r w:rsidRPr="00855C43">
        <w:t>WA),</w:t>
      </w:r>
      <w:r w:rsidRPr="00855C43">
        <w:rPr>
          <w:i/>
        </w:rPr>
        <w:t xml:space="preserve"> Morganella longispina</w:t>
      </w:r>
      <w:r>
        <w:rPr>
          <w:i/>
        </w:rPr>
        <w:t xml:space="preserve"> </w:t>
      </w:r>
      <w:r w:rsidRPr="00855C43">
        <w:t>(</w:t>
      </w:r>
      <w:r w:rsidR="00A66765">
        <w:t xml:space="preserve">EP, </w:t>
      </w:r>
      <w:r w:rsidRPr="00855C43">
        <w:t>WA),</w:t>
      </w:r>
      <w:r w:rsidRPr="00855C43">
        <w:rPr>
          <w:i/>
        </w:rPr>
        <w:t xml:space="preserve"> Parlatoria cinerea</w:t>
      </w:r>
      <w:r w:rsidR="00A66765">
        <w:rPr>
          <w:i/>
        </w:rPr>
        <w:t xml:space="preserve"> </w:t>
      </w:r>
      <w:r w:rsidR="00A66765">
        <w:t>(EP)</w:t>
      </w:r>
      <w:r w:rsidRPr="00855C43">
        <w:rPr>
          <w:i/>
        </w:rPr>
        <w:t xml:space="preserve">, Parlatoria pergandii </w:t>
      </w:r>
      <w:r w:rsidRPr="00855C43">
        <w:t>(</w:t>
      </w:r>
      <w:r w:rsidR="00A66765">
        <w:t xml:space="preserve">EP, </w:t>
      </w:r>
      <w:r w:rsidRPr="00855C43">
        <w:t>WA),</w:t>
      </w:r>
      <w:r w:rsidRPr="00855C43">
        <w:rPr>
          <w:i/>
        </w:rPr>
        <w:t xml:space="preserve"> Pinnaspis </w:t>
      </w:r>
      <w:r w:rsidR="00F92A86" w:rsidRPr="00F92A86">
        <w:rPr>
          <w:i/>
        </w:rPr>
        <w:t xml:space="preserve">aspidistrae </w:t>
      </w:r>
      <w:r w:rsidRPr="00855C43">
        <w:t>(</w:t>
      </w:r>
      <w:r w:rsidR="00A66765">
        <w:t xml:space="preserve">EP, </w:t>
      </w:r>
      <w:r w:rsidRPr="00855C43">
        <w:t>WA),</w:t>
      </w:r>
      <w:r w:rsidRPr="00855C43">
        <w:rPr>
          <w:i/>
        </w:rPr>
        <w:t xml:space="preserve"> Unaspis citri </w:t>
      </w:r>
      <w:r w:rsidRPr="00855C43">
        <w:t>(</w:t>
      </w:r>
      <w:r w:rsidR="00A66765">
        <w:t xml:space="preserve">EP, </w:t>
      </w:r>
      <w:r w:rsidRPr="00855C43">
        <w:t>WA)</w:t>
      </w:r>
    </w:p>
    <w:p w14:paraId="6E478C02" w14:textId="43732C4C" w:rsidR="00F92A86" w:rsidRDefault="00F92A86" w:rsidP="00855C43">
      <w:r w:rsidRPr="00F92A86">
        <w:rPr>
          <w:i/>
        </w:rPr>
        <w:t>Chrysomphalus dictyospermi</w:t>
      </w:r>
      <w:r w:rsidRPr="00F92A86">
        <w:t>,</w:t>
      </w:r>
      <w:r>
        <w:rPr>
          <w:i/>
        </w:rPr>
        <w:t xml:space="preserve"> Hemiberlesia cyanophylli</w:t>
      </w:r>
      <w:r w:rsidRPr="00F92A86">
        <w:t>,</w:t>
      </w:r>
      <w:r w:rsidRPr="00F92A86">
        <w:rPr>
          <w:i/>
        </w:rPr>
        <w:t xml:space="preserve"> Morganella longispina</w:t>
      </w:r>
      <w:r w:rsidRPr="00F92A86">
        <w:t>,</w:t>
      </w:r>
      <w:r>
        <w:rPr>
          <w:i/>
        </w:rPr>
        <w:t xml:space="preserve"> Parlatoria pergandii</w:t>
      </w:r>
      <w:r w:rsidRPr="00F92A86">
        <w:t>,</w:t>
      </w:r>
      <w:r w:rsidRPr="00F92A86">
        <w:rPr>
          <w:i/>
        </w:rPr>
        <w:t xml:space="preserve"> Pinnaspis aspidistrae </w:t>
      </w:r>
      <w:r>
        <w:t>and</w:t>
      </w:r>
      <w:r w:rsidRPr="00F92A86">
        <w:rPr>
          <w:i/>
        </w:rPr>
        <w:t xml:space="preserve"> Unaspis citri </w:t>
      </w:r>
      <w:r>
        <w:t>are</w:t>
      </w:r>
      <w:r w:rsidRPr="00F92A86">
        <w:t xml:space="preserve"> not present in Western Australia and </w:t>
      </w:r>
      <w:r>
        <w:t xml:space="preserve">are </w:t>
      </w:r>
      <w:r w:rsidRPr="00F92A86">
        <w:t>pest</w:t>
      </w:r>
      <w:r>
        <w:t>s</w:t>
      </w:r>
      <w:r w:rsidRPr="00F92A86">
        <w:t xml:space="preserve"> of regional quarantine concern for that state.</w:t>
      </w:r>
    </w:p>
    <w:p w14:paraId="49D31DC4" w14:textId="77777777" w:rsidR="00855C43" w:rsidRPr="00855C43" w:rsidRDefault="00855C43" w:rsidP="00855C43">
      <w:r w:rsidRPr="00855C43">
        <w:t>The biological characteristics and behaviours on the importation pathway of these species are considered sufficiently similar to justify combining them into a single assessment. In this assessment, the term ‘armoured scales’ is used to refer to these seven species unless otherwise specified.</w:t>
      </w:r>
    </w:p>
    <w:p w14:paraId="4329B78D" w14:textId="5A6E3EC5" w:rsidR="00855C43" w:rsidRPr="00855C43" w:rsidRDefault="00855C43" w:rsidP="00855C43">
      <w:r w:rsidRPr="00855C43">
        <w:rPr>
          <w:i/>
        </w:rPr>
        <w:t>Morganella longispina</w:t>
      </w:r>
      <w:r w:rsidRPr="00855C43">
        <w:t xml:space="preserve">, </w:t>
      </w:r>
      <w:r w:rsidRPr="00855C43">
        <w:rPr>
          <w:i/>
        </w:rPr>
        <w:t>Parlatoria cinerea</w:t>
      </w:r>
      <w:r w:rsidRPr="00855C43">
        <w:t xml:space="preserve">, </w:t>
      </w:r>
      <w:r w:rsidRPr="00855C43">
        <w:rPr>
          <w:i/>
        </w:rPr>
        <w:t xml:space="preserve">Pinnaspis </w:t>
      </w:r>
      <w:r w:rsidR="00F92A86" w:rsidRPr="00F92A86">
        <w:rPr>
          <w:i/>
        </w:rPr>
        <w:t>aspidistrae</w:t>
      </w:r>
      <w:r w:rsidRPr="00855C43">
        <w:t xml:space="preserve"> and </w:t>
      </w:r>
      <w:r w:rsidRPr="00855C43">
        <w:rPr>
          <w:i/>
        </w:rPr>
        <w:t>Unaspis citri</w:t>
      </w:r>
      <w:r w:rsidRPr="00855C43">
        <w:t xml:space="preserve"> have previously been assessed in the policy for Tahitian limes from New Caledonia (B</w:t>
      </w:r>
      <w:r>
        <w:t>A</w:t>
      </w:r>
      <w:r w:rsidRPr="00855C43">
        <w:t xml:space="preserve"> 2006a). </w:t>
      </w:r>
      <w:r w:rsidRPr="00855C43">
        <w:rPr>
          <w:i/>
        </w:rPr>
        <w:t>Hemiberlesia cyanophylli</w:t>
      </w:r>
      <w:r w:rsidRPr="00855C43">
        <w:t xml:space="preserve"> was previously assessed (as </w:t>
      </w:r>
      <w:r w:rsidRPr="00855C43">
        <w:rPr>
          <w:i/>
        </w:rPr>
        <w:t>Abgrallaspis cyanophylli</w:t>
      </w:r>
      <w:r w:rsidRPr="00855C43">
        <w:t>) for mangoes from India (B</w:t>
      </w:r>
      <w:r w:rsidR="00992076">
        <w:t>A</w:t>
      </w:r>
      <w:r w:rsidRPr="00855C43">
        <w:t xml:space="preserve"> 2008). </w:t>
      </w:r>
      <w:r w:rsidRPr="00855C43">
        <w:rPr>
          <w:i/>
        </w:rPr>
        <w:t>Chrysomphalus dictyospermi</w:t>
      </w:r>
      <w:r w:rsidRPr="00855C43">
        <w:t xml:space="preserve"> and </w:t>
      </w:r>
      <w:r w:rsidRPr="00855C43">
        <w:rPr>
          <w:i/>
        </w:rPr>
        <w:t>Parlatoria pergandii</w:t>
      </w:r>
      <w:r w:rsidRPr="00855C43">
        <w:t xml:space="preserve"> were previously assessed in policy for sweet oranges from Italy (B</w:t>
      </w:r>
      <w:r w:rsidR="00992076">
        <w:t>A</w:t>
      </w:r>
      <w:r w:rsidRPr="00855C43">
        <w:t xml:space="preserve"> 2005).</w:t>
      </w:r>
    </w:p>
    <w:p w14:paraId="327383C6" w14:textId="60629A4A" w:rsidR="00D2060F" w:rsidRPr="00D2060F" w:rsidRDefault="00F623C7" w:rsidP="00D2060F">
      <w:r>
        <w:t xml:space="preserve">The department has </w:t>
      </w:r>
      <w:r w:rsidR="00B006AE">
        <w:t xml:space="preserve">reviewed the literature </w:t>
      </w:r>
      <w:r w:rsidR="005B19B1">
        <w:t xml:space="preserve">available since the previous assessments, </w:t>
      </w:r>
      <w:r w:rsidR="00016137">
        <w:t xml:space="preserve">including Miller </w:t>
      </w:r>
      <w:r w:rsidR="00016137" w:rsidRPr="00016137">
        <w:rPr>
          <w:i/>
        </w:rPr>
        <w:t>et al</w:t>
      </w:r>
      <w:r w:rsidR="00016137">
        <w:t xml:space="preserve">. (2014), Malumphy </w:t>
      </w:r>
      <w:r w:rsidR="00AA7C0C">
        <w:t>(</w:t>
      </w:r>
      <w:r w:rsidR="00016137">
        <w:t>2014</w:t>
      </w:r>
      <w:r w:rsidR="00AA7C0C">
        <w:t xml:space="preserve">), </w:t>
      </w:r>
      <w:r w:rsidR="00016137">
        <w:t>Kondo and Munoz (2016)</w:t>
      </w:r>
      <w:r w:rsidR="005B19B1">
        <w:t xml:space="preserve">, </w:t>
      </w:r>
      <w:r w:rsidR="005B19B1" w:rsidRPr="005B19B1">
        <w:t xml:space="preserve">Masten Milek </w:t>
      </w:r>
      <w:r w:rsidR="005B19B1" w:rsidRPr="005B19B1">
        <w:rPr>
          <w:i/>
        </w:rPr>
        <w:t>et al</w:t>
      </w:r>
      <w:r w:rsidR="005B19B1" w:rsidRPr="005B19B1">
        <w:t xml:space="preserve">. </w:t>
      </w:r>
      <w:r w:rsidR="005B19B1">
        <w:t>(</w:t>
      </w:r>
      <w:r w:rsidR="005B19B1" w:rsidRPr="005B19B1">
        <w:t>2009</w:t>
      </w:r>
      <w:r w:rsidR="005B19B1">
        <w:t>)</w:t>
      </w:r>
      <w:r w:rsidR="00B006AE">
        <w:t>,</w:t>
      </w:r>
      <w:r w:rsidR="005B19B1">
        <w:t xml:space="preserve"> </w:t>
      </w:r>
      <w:r w:rsidR="005B19B1" w:rsidRPr="005B19B1">
        <w:t xml:space="preserve">Aguiar </w:t>
      </w:r>
      <w:r w:rsidR="005B19B1">
        <w:t>(</w:t>
      </w:r>
      <w:r w:rsidR="005B19B1" w:rsidRPr="005B19B1">
        <w:t>2009)</w:t>
      </w:r>
      <w:r w:rsidR="00B006AE">
        <w:t xml:space="preserve"> and</w:t>
      </w:r>
      <w:r w:rsidR="00016137">
        <w:t xml:space="preserve"> </w:t>
      </w:r>
      <w:r w:rsidR="00B006AE" w:rsidRPr="005B19B1">
        <w:t>García Morales</w:t>
      </w:r>
      <w:r w:rsidR="00B006AE">
        <w:t xml:space="preserve"> </w:t>
      </w:r>
      <w:r w:rsidR="00B006AE" w:rsidRPr="005B19B1">
        <w:rPr>
          <w:i/>
        </w:rPr>
        <w:t>et al</w:t>
      </w:r>
      <w:r w:rsidR="00B006AE">
        <w:t>. (2016).</w:t>
      </w:r>
      <w:r w:rsidR="00B006AE" w:rsidRPr="005B19B1">
        <w:t xml:space="preserve"> </w:t>
      </w:r>
      <w:r w:rsidR="00B006AE">
        <w:t xml:space="preserve">The available information suggests </w:t>
      </w:r>
      <w:r w:rsidR="00B006AE" w:rsidRPr="00D2060F">
        <w:t xml:space="preserve">the likelihoods of importation, distribution, establishment and spread, and the potential consequences are </w:t>
      </w:r>
      <w:r w:rsidR="00B006AE">
        <w:t>un</w:t>
      </w:r>
      <w:r w:rsidR="00B006AE" w:rsidRPr="00D2060F">
        <w:t>likely to significantly differ from the previous assessment</w:t>
      </w:r>
      <w:r w:rsidR="00B006AE">
        <w:t>s, so t</w:t>
      </w:r>
      <w:r w:rsidR="00D2060F" w:rsidRPr="00D2060F">
        <w:t xml:space="preserve">he department considers that reassessment of </w:t>
      </w:r>
      <w:r w:rsidR="00992076">
        <w:t>these armoured scales</w:t>
      </w:r>
      <w:r w:rsidR="00D2060F" w:rsidRPr="00D2060F">
        <w:t xml:space="preserve"> is not required. The </w:t>
      </w:r>
      <w:r w:rsidR="004A4E4B">
        <w:t>outcome</w:t>
      </w:r>
      <w:r w:rsidR="00AD1618">
        <w:t>s</w:t>
      </w:r>
      <w:r w:rsidR="004A4E4B">
        <w:t xml:space="preserve"> of </w:t>
      </w:r>
      <w:r w:rsidR="00D2060F" w:rsidRPr="00D2060F">
        <w:t>the previous assessment</w:t>
      </w:r>
      <w:r w:rsidR="00992076">
        <w:t>s</w:t>
      </w:r>
      <w:r w:rsidR="00D2060F" w:rsidRPr="00D2060F">
        <w:t xml:space="preserve"> </w:t>
      </w:r>
      <w:r w:rsidR="00DA1ADC">
        <w:t>will</w:t>
      </w:r>
      <w:r w:rsidR="00E435A2">
        <w:t xml:space="preserve"> </w:t>
      </w:r>
      <w:r w:rsidR="00B006AE">
        <w:t xml:space="preserve">therefore </w:t>
      </w:r>
      <w:r w:rsidR="00E435A2">
        <w:t>be</w:t>
      </w:r>
      <w:r w:rsidR="00D2060F" w:rsidRPr="00D2060F">
        <w:t xml:space="preserve"> adopted. </w:t>
      </w:r>
    </w:p>
    <w:p w14:paraId="14931DD2" w14:textId="17ADB1A2" w:rsidR="0065551F" w:rsidRDefault="00992076" w:rsidP="00D2060F">
      <w:r w:rsidRPr="00992076">
        <w:t>Armoured scales have</w:t>
      </w:r>
      <w:r w:rsidR="00D2060F" w:rsidRPr="00D2060F">
        <w:t xml:space="preserve"> a history of being intercepted in international trade of citrus fruit (Masten Milek </w:t>
      </w:r>
      <w:r w:rsidR="00D2060F" w:rsidRPr="00D2060F">
        <w:rPr>
          <w:i/>
        </w:rPr>
        <w:t>et al</w:t>
      </w:r>
      <w:r w:rsidR="00D2060F" w:rsidRPr="00D2060F">
        <w:t xml:space="preserve">. 2009; Stout 1982; Aguiar 2009), and could be present on imported Tahitian limes. </w:t>
      </w:r>
      <w:r w:rsidR="005C5420" w:rsidRPr="005C5420">
        <w:rPr>
          <w:i/>
        </w:rPr>
        <w:t>Parlatoria pergandii</w:t>
      </w:r>
      <w:r w:rsidR="005C5420">
        <w:t xml:space="preserve"> has previously been intercepted at the Australian border on mandarins imported from Israel and oranges from Egypt</w:t>
      </w:r>
      <w:r w:rsidR="009F244D">
        <w:t xml:space="preserve"> (DAWR interception records)</w:t>
      </w:r>
      <w:r w:rsidR="005C5420">
        <w:t xml:space="preserve">. </w:t>
      </w:r>
    </w:p>
    <w:p w14:paraId="6AEBC16D" w14:textId="6CE39670" w:rsidR="00D2060F" w:rsidRPr="00D2060F" w:rsidRDefault="00D2060F" w:rsidP="00D2060F">
      <w:r w:rsidRPr="00D2060F">
        <w:t xml:space="preserve">The horticultural practices, climatic conditions and pest prevalence in the Cook Islands, Niue, Samoa, Tonga and Vanuatu are considered to be similar to those in New Caledonia. Therefore the likelihood that </w:t>
      </w:r>
      <w:r w:rsidR="008F032E" w:rsidRPr="008F032E">
        <w:rPr>
          <w:i/>
        </w:rPr>
        <w:t>Morganella longispina</w:t>
      </w:r>
      <w:r w:rsidR="008F032E" w:rsidRPr="008F032E">
        <w:t xml:space="preserve">, </w:t>
      </w:r>
      <w:r w:rsidR="008F032E" w:rsidRPr="008F032E">
        <w:rPr>
          <w:i/>
        </w:rPr>
        <w:t>Parlatoria cinerea</w:t>
      </w:r>
      <w:r w:rsidR="008F032E" w:rsidRPr="008F032E">
        <w:t xml:space="preserve">, </w:t>
      </w:r>
      <w:r w:rsidR="008F032E" w:rsidRPr="008F032E">
        <w:rPr>
          <w:i/>
        </w:rPr>
        <w:t xml:space="preserve">Pinnaspis </w:t>
      </w:r>
      <w:r w:rsidR="00F92A86" w:rsidRPr="00F92A86">
        <w:rPr>
          <w:i/>
        </w:rPr>
        <w:t>aspidistrae</w:t>
      </w:r>
      <w:r w:rsidR="008F032E" w:rsidRPr="008F032E">
        <w:t xml:space="preserve"> and </w:t>
      </w:r>
      <w:r w:rsidR="008F032E" w:rsidRPr="008F032E">
        <w:rPr>
          <w:i/>
        </w:rPr>
        <w:t>Unaspis citri</w:t>
      </w:r>
      <w:r w:rsidR="008F032E" w:rsidRPr="008F032E">
        <w:t xml:space="preserve"> </w:t>
      </w:r>
      <w:r w:rsidRPr="00D2060F">
        <w:t xml:space="preserve">will be imported into Australia with fresh Tahitian lime fruit from </w:t>
      </w:r>
      <w:r w:rsidR="0065551F">
        <w:t>those nations</w:t>
      </w:r>
      <w:r w:rsidRPr="00D2060F">
        <w:t xml:space="preserve"> is expected to be the same as previously assessed for New Caledonia.</w:t>
      </w:r>
      <w:r w:rsidR="008F032E">
        <w:t xml:space="preserve"> The likelihoods of importation for </w:t>
      </w:r>
      <w:r w:rsidR="008F032E" w:rsidRPr="00855C43">
        <w:rPr>
          <w:i/>
        </w:rPr>
        <w:t>Chrysomphalus dictyospermi</w:t>
      </w:r>
      <w:r w:rsidR="008F032E">
        <w:t>,</w:t>
      </w:r>
      <w:r w:rsidR="008F032E" w:rsidRPr="00855C43">
        <w:t xml:space="preserve"> </w:t>
      </w:r>
      <w:r w:rsidR="008F032E" w:rsidRPr="00855C43">
        <w:rPr>
          <w:i/>
        </w:rPr>
        <w:t>Parlatoria pergandii</w:t>
      </w:r>
      <w:r w:rsidR="008F032E">
        <w:t xml:space="preserve"> and</w:t>
      </w:r>
      <w:r w:rsidR="008F032E" w:rsidRPr="00855C43">
        <w:t xml:space="preserve"> </w:t>
      </w:r>
      <w:r w:rsidR="008F032E" w:rsidRPr="00855C43">
        <w:rPr>
          <w:i/>
        </w:rPr>
        <w:t>Hemiberlesia cyanophylli</w:t>
      </w:r>
      <w:r w:rsidR="008F032E">
        <w:t xml:space="preserve"> are expected to be the same as </w:t>
      </w:r>
      <w:r w:rsidR="008F032E" w:rsidRPr="00855C43">
        <w:t xml:space="preserve">previously assessed for oranges from Italy </w:t>
      </w:r>
      <w:r w:rsidR="008F032E">
        <w:t xml:space="preserve">and </w:t>
      </w:r>
      <w:r w:rsidR="008F032E" w:rsidRPr="00855C43">
        <w:t>mangoes from Taiwan</w:t>
      </w:r>
      <w:r w:rsidR="008F032E">
        <w:t>.</w:t>
      </w:r>
    </w:p>
    <w:p w14:paraId="71685F04" w14:textId="77777777" w:rsidR="00D2060F" w:rsidRPr="00D2060F" w:rsidRDefault="00D2060F" w:rsidP="00D2060F">
      <w:r w:rsidRPr="00D2060F">
        <w:t>After importation, Tahitian limes from the Cook Islands, Niue, Samoa, Tonga and Vanuatu will also be distributed throughout Australia for retail sale in a similar way to Tahitian limes from New Caledonia</w:t>
      </w:r>
      <w:r w:rsidR="008F032E">
        <w:t>, oranges from Italy and mangoes from Taiwan</w:t>
      </w:r>
      <w:r w:rsidRPr="00D2060F">
        <w:t xml:space="preserve">. Therefore, the likelihood of distribution for </w:t>
      </w:r>
      <w:r w:rsidR="008F032E">
        <w:t>these armoured scales</w:t>
      </w:r>
      <w:r w:rsidRPr="00D2060F">
        <w:rPr>
          <w:i/>
        </w:rPr>
        <w:t xml:space="preserve"> </w:t>
      </w:r>
      <w:r w:rsidRPr="00D2060F">
        <w:t>for Tahitian limes from the Cook Islands, Niue, Samoa, Tonga and Vanuatu would be comparable to that assessed previously.</w:t>
      </w:r>
    </w:p>
    <w:p w14:paraId="4C12165C" w14:textId="77777777" w:rsidR="00D2060F" w:rsidRPr="00D2060F" w:rsidRDefault="00D2060F" w:rsidP="00D2060F">
      <w:r w:rsidRPr="00D2060F">
        <w:t xml:space="preserve">The likelihoods of establishment and spread of </w:t>
      </w:r>
      <w:r w:rsidR="008F032E">
        <w:t>armoured scales</w:t>
      </w:r>
      <w:r w:rsidRPr="00D2060F">
        <w:t xml:space="preserve"> in Australia and the consequences </w:t>
      </w:r>
      <w:r w:rsidR="00207E42">
        <w:t>they</w:t>
      </w:r>
      <w:r w:rsidRPr="00D2060F">
        <w:t xml:space="preserve"> may cause will be comparable to those previously assessed for Tahitian limes from New Caledonia</w:t>
      </w:r>
      <w:r w:rsidR="008F032E">
        <w:t>, oranges from Italy and mangoes from Taiwan</w:t>
      </w:r>
      <w:r w:rsidRPr="00D2060F">
        <w:t xml:space="preserve">. These likelihoods relate specifically to events that occur subsequent to arrival in Australia and are largely independent of the commodity importation pathway. Accordingly, there is no need to reassess these components, </w:t>
      </w:r>
      <w:r w:rsidR="005B5886">
        <w:t>so the outcome of the previous assessments will be adopted for these armoured scales.</w:t>
      </w:r>
    </w:p>
    <w:p w14:paraId="6CF0B5A4" w14:textId="77777777" w:rsidR="006A7954" w:rsidRPr="00A62B8F" w:rsidRDefault="006A7954" w:rsidP="006A7954">
      <w:pPr>
        <w:rPr>
          <w:b/>
        </w:rPr>
      </w:pPr>
      <w:r w:rsidRPr="00A62B8F">
        <w:rPr>
          <w:b/>
        </w:rPr>
        <w:t xml:space="preserve">Unrestricted risk </w:t>
      </w:r>
      <w:r w:rsidR="00A348AE">
        <w:rPr>
          <w:b/>
        </w:rPr>
        <w:t>outcome</w:t>
      </w:r>
    </w:p>
    <w:p w14:paraId="697535D5" w14:textId="77777777" w:rsidR="006A7954" w:rsidRDefault="006A7954" w:rsidP="006A6B7E">
      <w:r w:rsidRPr="00A62B8F">
        <w:t xml:space="preserve">The unrestricted risk for armoured scales </w:t>
      </w:r>
      <w:r w:rsidR="00A348AE">
        <w:t>on</w:t>
      </w:r>
      <w:r w:rsidRPr="00A62B8F">
        <w:t xml:space="preserve"> Tahitian limes from the Cook Islands, Niue, Samoa, Tonga and Vanuatu </w:t>
      </w:r>
      <w:r w:rsidR="00A348AE">
        <w:t>will be</w:t>
      </w:r>
      <w:r w:rsidRPr="00A62B8F">
        <w:t xml:space="preserve"> comparable to </w:t>
      </w:r>
      <w:r w:rsidR="00A348AE">
        <w:t xml:space="preserve">that determined </w:t>
      </w:r>
      <w:r w:rsidRPr="00A62B8F">
        <w:t xml:space="preserve">in previous assessments, </w:t>
      </w:r>
      <w:r w:rsidR="00A62B8F" w:rsidRPr="00A62B8F">
        <w:t>which</w:t>
      </w:r>
      <w:r w:rsidRPr="00A62B8F">
        <w:t xml:space="preserve"> achieve</w:t>
      </w:r>
      <w:r w:rsidR="00A62B8F" w:rsidRPr="00A62B8F">
        <w:t>s</w:t>
      </w:r>
      <w:r w:rsidRPr="00A62B8F">
        <w:t xml:space="preserve"> the ALOP for Australia. Therefore, specific risk management measures are not required for these pests.</w:t>
      </w:r>
    </w:p>
    <w:p w14:paraId="509F23E4" w14:textId="77777777" w:rsidR="0073028F" w:rsidRDefault="0073028F" w:rsidP="00242B68">
      <w:bookmarkStart w:id="99" w:name="_Toc391301379"/>
    </w:p>
    <w:p w14:paraId="0430B0CE" w14:textId="77777777" w:rsidR="00242B68" w:rsidRDefault="00242B68" w:rsidP="001A05BD">
      <w:pPr>
        <w:pStyle w:val="Heading2"/>
        <w:sectPr w:rsidR="00242B68" w:rsidSect="00242B68">
          <w:pgSz w:w="11906" w:h="16838"/>
          <w:pgMar w:top="1418" w:right="1418" w:bottom="1418" w:left="1418" w:header="567" w:footer="283" w:gutter="0"/>
          <w:cols w:space="708"/>
          <w:docGrid w:linePitch="360"/>
        </w:sectPr>
      </w:pPr>
    </w:p>
    <w:p w14:paraId="5AFB938B" w14:textId="77777777" w:rsidR="001A05BD" w:rsidRDefault="003C41A5" w:rsidP="001A05BD">
      <w:pPr>
        <w:pStyle w:val="Heading2"/>
      </w:pPr>
      <w:bookmarkStart w:id="100" w:name="_Toc501716493"/>
      <w:r>
        <w:t>M</w:t>
      </w:r>
      <w:r w:rsidR="001A05BD">
        <w:t>ealybug</w:t>
      </w:r>
      <w:bookmarkEnd w:id="99"/>
      <w:r>
        <w:t>s</w:t>
      </w:r>
      <w:bookmarkEnd w:id="100"/>
    </w:p>
    <w:p w14:paraId="00582AFE" w14:textId="77777777" w:rsidR="003C41A5" w:rsidRPr="00866690" w:rsidRDefault="001A05BD" w:rsidP="003C41A5">
      <w:pPr>
        <w:pStyle w:val="Heading4"/>
      </w:pPr>
      <w:r w:rsidRPr="00BB0A0A">
        <w:rPr>
          <w:i/>
        </w:rPr>
        <w:t>Dysmicoccus neobrevipes</w:t>
      </w:r>
      <w:r w:rsidR="00A66765">
        <w:rPr>
          <w:i/>
        </w:rPr>
        <w:t xml:space="preserve"> </w:t>
      </w:r>
      <w:r w:rsidR="00A66765" w:rsidRPr="00A66765">
        <w:t>(EP)</w:t>
      </w:r>
      <w:r w:rsidR="003C41A5">
        <w:t>,</w:t>
      </w:r>
      <w:r w:rsidR="003C41A5" w:rsidRPr="003C41A5">
        <w:rPr>
          <w:rFonts w:eastAsia="Calibri" w:cs="Times New Roman"/>
          <w:b w:val="0"/>
          <w:bCs w:val="0"/>
          <w:i/>
          <w:sz w:val="24"/>
        </w:rPr>
        <w:t xml:space="preserve"> </w:t>
      </w:r>
      <w:r w:rsidR="003C41A5" w:rsidRPr="003C41A5">
        <w:rPr>
          <w:i/>
        </w:rPr>
        <w:t xml:space="preserve">Planococcus minor </w:t>
      </w:r>
      <w:r w:rsidR="003C41A5" w:rsidRPr="003C41A5">
        <w:t>(</w:t>
      </w:r>
      <w:r w:rsidR="00A66765">
        <w:t xml:space="preserve">EP, </w:t>
      </w:r>
      <w:r w:rsidR="003C41A5" w:rsidRPr="003C41A5">
        <w:t>WA),</w:t>
      </w:r>
      <w:r w:rsidR="003C41A5" w:rsidRPr="003C41A5">
        <w:rPr>
          <w:i/>
        </w:rPr>
        <w:t xml:space="preserve"> Pseudococcus cryptus</w:t>
      </w:r>
      <w:r w:rsidR="00866690">
        <w:t xml:space="preserve"> (</w:t>
      </w:r>
      <w:r w:rsidR="00A66765">
        <w:t xml:space="preserve">EP, </w:t>
      </w:r>
      <w:r w:rsidR="00866690">
        <w:t>WA)</w:t>
      </w:r>
    </w:p>
    <w:p w14:paraId="5176108A" w14:textId="77777777" w:rsidR="00207E42" w:rsidRDefault="00207E42" w:rsidP="003C41A5">
      <w:r w:rsidRPr="003C41A5">
        <w:rPr>
          <w:i/>
        </w:rPr>
        <w:t>Planococcus minor</w:t>
      </w:r>
      <w:r w:rsidRPr="003C41A5">
        <w:t xml:space="preserve"> </w:t>
      </w:r>
      <w:r>
        <w:t>and</w:t>
      </w:r>
      <w:r w:rsidRPr="003C41A5">
        <w:t xml:space="preserve"> </w:t>
      </w:r>
      <w:r w:rsidRPr="003C41A5">
        <w:rPr>
          <w:i/>
        </w:rPr>
        <w:t>Pseudococcus cryptus</w:t>
      </w:r>
      <w:r w:rsidRPr="003C41A5">
        <w:t xml:space="preserve"> </w:t>
      </w:r>
      <w:r>
        <w:t>are</w:t>
      </w:r>
      <w:r w:rsidRPr="00F92A86">
        <w:t xml:space="preserve"> not present in Western Australia and </w:t>
      </w:r>
      <w:r>
        <w:t xml:space="preserve">are </w:t>
      </w:r>
      <w:r w:rsidRPr="00F92A86">
        <w:t>pest</w:t>
      </w:r>
      <w:r>
        <w:t>s</w:t>
      </w:r>
      <w:r w:rsidRPr="00F92A86">
        <w:t xml:space="preserve"> of regional quarantine concern for that state.</w:t>
      </w:r>
    </w:p>
    <w:p w14:paraId="396555CD" w14:textId="77777777" w:rsidR="003C41A5" w:rsidRDefault="003C41A5" w:rsidP="003C41A5">
      <w:r>
        <w:t xml:space="preserve">The biological characteristics and behaviours on the importation pathway of these species are considered sufficiently similar to justify combining them into a single assessment. In this assessment, the term ‘mealybugs’ is used to refer to these three species unless otherwise specified. </w:t>
      </w:r>
    </w:p>
    <w:p w14:paraId="7F996F43" w14:textId="77777777" w:rsidR="003C41A5" w:rsidRDefault="003C41A5" w:rsidP="003C41A5">
      <w:r>
        <w:rPr>
          <w:i/>
        </w:rPr>
        <w:t>Dysmicoccus neobrevipes</w:t>
      </w:r>
      <w:r>
        <w:t xml:space="preserve"> has previously been assessed in the policies for mangosteens from Thailand (DAFF 2004) and pineapples from Malaysia (DAFF 2012). </w:t>
      </w:r>
      <w:r w:rsidRPr="001A05BD">
        <w:rPr>
          <w:i/>
        </w:rPr>
        <w:t>Planococcus minor</w:t>
      </w:r>
      <w:r>
        <w:t xml:space="preserve"> was previously assessed for pineapples from Malaysia (DAFF 2012). </w:t>
      </w:r>
      <w:r>
        <w:rPr>
          <w:i/>
        </w:rPr>
        <w:t>Pseudococcus cryptus</w:t>
      </w:r>
      <w:r>
        <w:t xml:space="preserve"> was previously assessed for mangoes from Taiwan (B</w:t>
      </w:r>
      <w:r w:rsidR="00866690">
        <w:t>A</w:t>
      </w:r>
      <w:r>
        <w:t xml:space="preserve"> 2006b). </w:t>
      </w:r>
    </w:p>
    <w:p w14:paraId="3C4E5CB8" w14:textId="41C602A4" w:rsidR="00041DD7" w:rsidRDefault="00041DD7" w:rsidP="00D2060F">
      <w:r>
        <w:t xml:space="preserve">The department has reviewed the literature available since the previous assessments, including Miller </w:t>
      </w:r>
      <w:r w:rsidRPr="00016137">
        <w:rPr>
          <w:i/>
        </w:rPr>
        <w:t>et al</w:t>
      </w:r>
      <w:r>
        <w:t xml:space="preserve">. (2014), </w:t>
      </w:r>
      <w:r w:rsidR="00F867C0">
        <w:t xml:space="preserve">Holat </w:t>
      </w:r>
      <w:r w:rsidR="00F867C0" w:rsidRPr="00F867C0">
        <w:rPr>
          <w:i/>
        </w:rPr>
        <w:t>et al</w:t>
      </w:r>
      <w:r w:rsidR="00F867C0">
        <w:t xml:space="preserve">. (2014), </w:t>
      </w:r>
      <w:r>
        <w:t xml:space="preserve">Stocks and Roda (2011), Kim </w:t>
      </w:r>
      <w:r w:rsidRPr="00041DD7">
        <w:rPr>
          <w:i/>
        </w:rPr>
        <w:t>et al</w:t>
      </w:r>
      <w:r>
        <w:t xml:space="preserve">. (2008) and </w:t>
      </w:r>
      <w:r w:rsidRPr="005B19B1">
        <w:t>García Morales</w:t>
      </w:r>
      <w:r>
        <w:t xml:space="preserve"> </w:t>
      </w:r>
      <w:r w:rsidRPr="005B19B1">
        <w:rPr>
          <w:i/>
        </w:rPr>
        <w:t>et al</w:t>
      </w:r>
      <w:r>
        <w:t>. (2016).</w:t>
      </w:r>
      <w:r w:rsidRPr="005B19B1">
        <w:t xml:space="preserve"> </w:t>
      </w:r>
      <w:r>
        <w:t xml:space="preserve">The available information suggests </w:t>
      </w:r>
      <w:r w:rsidRPr="00D2060F">
        <w:t xml:space="preserve">the likelihoods of importation, distribution, establishment and spread, and the potential consequences are </w:t>
      </w:r>
      <w:r>
        <w:t>un</w:t>
      </w:r>
      <w:r w:rsidRPr="00D2060F">
        <w:t>likely to significantly differ from the previous assessment</w:t>
      </w:r>
      <w:r>
        <w:t>s, so t</w:t>
      </w:r>
      <w:r w:rsidRPr="00D2060F">
        <w:t xml:space="preserve">he department considers that reassessment of </w:t>
      </w:r>
      <w:r>
        <w:t>these mealybugs</w:t>
      </w:r>
      <w:r w:rsidRPr="00D2060F">
        <w:t xml:space="preserve"> is not required. The </w:t>
      </w:r>
      <w:r w:rsidR="00DA1ADC">
        <w:t>outcome</w:t>
      </w:r>
      <w:r w:rsidR="00AD1618">
        <w:t>s</w:t>
      </w:r>
      <w:r w:rsidR="00DA1ADC">
        <w:t xml:space="preserve"> of </w:t>
      </w:r>
      <w:r w:rsidRPr="00D2060F">
        <w:t>the previous assessment</w:t>
      </w:r>
      <w:r>
        <w:t>s</w:t>
      </w:r>
      <w:r w:rsidRPr="00D2060F">
        <w:t xml:space="preserve"> </w:t>
      </w:r>
      <w:r w:rsidR="00DA1ADC">
        <w:t>will</w:t>
      </w:r>
      <w:r>
        <w:t xml:space="preserve"> therefore be</w:t>
      </w:r>
      <w:r w:rsidRPr="00D2060F">
        <w:t xml:space="preserve"> adopted. </w:t>
      </w:r>
    </w:p>
    <w:p w14:paraId="2547D098" w14:textId="7A078344" w:rsidR="00D2060F" w:rsidRPr="00D2060F" w:rsidRDefault="00D2060F" w:rsidP="00D2060F">
      <w:r w:rsidRPr="00D2060F">
        <w:t>While the previous assessments were for different commodities (</w:t>
      </w:r>
      <w:r w:rsidR="003C41A5">
        <w:t xml:space="preserve">mangoes, mangosteens and </w:t>
      </w:r>
      <w:r w:rsidRPr="00D2060F">
        <w:t>pineapples), there are a number of biological and behavioural factors for th</w:t>
      </w:r>
      <w:r w:rsidR="003C41A5">
        <w:t>ese species</w:t>
      </w:r>
      <w:r w:rsidRPr="00D2060F">
        <w:t xml:space="preserve"> that suggest the likelihood that </w:t>
      </w:r>
      <w:r w:rsidRPr="00D2060F">
        <w:rPr>
          <w:i/>
        </w:rPr>
        <w:t>Dysmicoccus neobrevipes</w:t>
      </w:r>
      <w:r w:rsidR="003C41A5">
        <w:t>,</w:t>
      </w:r>
      <w:r w:rsidRPr="00D2060F">
        <w:t xml:space="preserve"> </w:t>
      </w:r>
      <w:r w:rsidR="003C41A5" w:rsidRPr="003C41A5">
        <w:rPr>
          <w:i/>
        </w:rPr>
        <w:t>Planococcus minor</w:t>
      </w:r>
      <w:r w:rsidR="003C41A5" w:rsidRPr="003C41A5">
        <w:t xml:space="preserve"> </w:t>
      </w:r>
      <w:r w:rsidR="003C41A5">
        <w:t>and</w:t>
      </w:r>
      <w:r w:rsidR="003C41A5" w:rsidRPr="003C41A5">
        <w:t xml:space="preserve"> </w:t>
      </w:r>
      <w:r w:rsidR="003C41A5" w:rsidRPr="003C41A5">
        <w:rPr>
          <w:i/>
        </w:rPr>
        <w:t>Pseudococcus cryptus</w:t>
      </w:r>
      <w:r w:rsidR="003C41A5" w:rsidRPr="003C41A5">
        <w:t xml:space="preserve"> </w:t>
      </w:r>
      <w:r w:rsidRPr="00D2060F">
        <w:t>will be imported into Australia with fresh Tahitian lime fruit from the Cook Islands</w:t>
      </w:r>
      <w:r w:rsidR="003C41A5">
        <w:t xml:space="preserve">, Niue, </w:t>
      </w:r>
      <w:r w:rsidRPr="00D2060F">
        <w:t>Samoa</w:t>
      </w:r>
      <w:r w:rsidR="003C41A5">
        <w:t>, Tonga and Vanuatu</w:t>
      </w:r>
      <w:r w:rsidRPr="00D2060F">
        <w:t xml:space="preserve"> would be comparable to the previously assessed commodities.</w:t>
      </w:r>
      <w:r w:rsidRPr="003319C9">
        <w:t xml:space="preserve"> </w:t>
      </w:r>
      <w:r w:rsidR="00A87459" w:rsidRPr="00092D2C">
        <w:t>As further evaluated in Appendix A,</w:t>
      </w:r>
      <w:r w:rsidR="00A87459" w:rsidRPr="003319C9">
        <w:t xml:space="preserve"> t</w:t>
      </w:r>
      <w:r w:rsidR="003C41A5">
        <w:t>hese species are</w:t>
      </w:r>
      <w:r w:rsidRPr="00D2060F">
        <w:t xml:space="preserve"> polyphagous pest</w:t>
      </w:r>
      <w:r w:rsidR="003C41A5">
        <w:t>s</w:t>
      </w:r>
      <w:r w:rsidRPr="00D2060F">
        <w:t xml:space="preserve"> associated with the fruit of many plant hosts</w:t>
      </w:r>
      <w:r w:rsidR="00D0482E">
        <w:t>. They</w:t>
      </w:r>
      <w:r w:rsidR="00831850" w:rsidRPr="00D2060F">
        <w:t xml:space="preserve"> </w:t>
      </w:r>
      <w:r w:rsidR="00831850">
        <w:t>are</w:t>
      </w:r>
      <w:r w:rsidR="00831850" w:rsidRPr="00D2060F">
        <w:t xml:space="preserve"> commonly intercepted on tropical fruit </w:t>
      </w:r>
      <w:r w:rsidR="00831850">
        <w:t xml:space="preserve">and plants </w:t>
      </w:r>
      <w:r w:rsidR="00831850" w:rsidRPr="00D2060F">
        <w:t xml:space="preserve">entering the United States from </w:t>
      </w:r>
      <w:r w:rsidR="00831850">
        <w:t xml:space="preserve">the Pacific and </w:t>
      </w:r>
      <w:r w:rsidR="00831850" w:rsidRPr="00D2060F">
        <w:t xml:space="preserve">southern Asia (Miller </w:t>
      </w:r>
      <w:r w:rsidR="00831850" w:rsidRPr="00D2060F">
        <w:rPr>
          <w:i/>
        </w:rPr>
        <w:t>et al.</w:t>
      </w:r>
      <w:r w:rsidR="00831850" w:rsidRPr="00D2060F">
        <w:t xml:space="preserve"> 2014).</w:t>
      </w:r>
      <w:r w:rsidR="00831850">
        <w:t xml:space="preserve"> </w:t>
      </w:r>
      <w:r w:rsidRPr="00D2060F">
        <w:rPr>
          <w:i/>
        </w:rPr>
        <w:t>Dysmicoccus neobrevipes</w:t>
      </w:r>
      <w:r w:rsidRPr="00D2060F">
        <w:t xml:space="preserve"> is known to attack citrus fruit and has a history of being introduced to new localities via human activities (Williams and Watson 1988b</w:t>
      </w:r>
      <w:r w:rsidR="003C41A5">
        <w:t>)</w:t>
      </w:r>
      <w:r w:rsidR="0024093F">
        <w:t>.</w:t>
      </w:r>
      <w:r w:rsidR="005C5420">
        <w:t xml:space="preserve"> </w:t>
      </w:r>
      <w:r w:rsidR="005C5420" w:rsidRPr="005C5420">
        <w:rPr>
          <w:i/>
        </w:rPr>
        <w:t>Planococcus minor</w:t>
      </w:r>
      <w:r w:rsidR="005C5420">
        <w:t xml:space="preserve"> has previously been intercepted at the Australian border on grapefruit imported from Israel and mangosteen fruit from Thailand.</w:t>
      </w:r>
    </w:p>
    <w:p w14:paraId="4F1A1136" w14:textId="77777777" w:rsidR="00D2060F" w:rsidRPr="00D2060F" w:rsidRDefault="00D2060F" w:rsidP="00D2060F">
      <w:r w:rsidRPr="00D2060F">
        <w:t xml:space="preserve">After importation, Tahitian limes from the Cook Islands, Niue, Samoa, Tonga and Vanuatu will be distributed throughout Australia for retail sale in a similar way to </w:t>
      </w:r>
      <w:r w:rsidR="003C41A5">
        <w:t xml:space="preserve">mangoes, </w:t>
      </w:r>
      <w:r w:rsidRPr="00D2060F">
        <w:t xml:space="preserve">mangosteens and pineapples. Opportunities for the pest to leave the imported limes and locate a suitable host plant are likely to be similar to those previously assessed for </w:t>
      </w:r>
      <w:r w:rsidR="00831850">
        <w:t xml:space="preserve">mangoes, </w:t>
      </w:r>
      <w:r w:rsidRPr="00D2060F">
        <w:t xml:space="preserve">mangosteens and pineapples. Therefore, the likelihood of distribution for </w:t>
      </w:r>
      <w:r w:rsidR="00831850">
        <w:t>these mealybugs on</w:t>
      </w:r>
      <w:r w:rsidRPr="00D2060F">
        <w:t xml:space="preserve"> Tahitian limes would be comparable to that assessed previously.</w:t>
      </w:r>
    </w:p>
    <w:p w14:paraId="36133516" w14:textId="77777777" w:rsidR="00D2060F" w:rsidRPr="00D2060F" w:rsidRDefault="00D2060F" w:rsidP="00D2060F">
      <w:r w:rsidRPr="00D2060F">
        <w:t xml:space="preserve">The likelihood of establishment and spread of </w:t>
      </w:r>
      <w:r w:rsidR="006B16C2">
        <w:t>mealybugs</w:t>
      </w:r>
      <w:r w:rsidRPr="00D2060F">
        <w:t xml:space="preserve">, and the potential consequences </w:t>
      </w:r>
      <w:r w:rsidR="006B16C2">
        <w:t>they</w:t>
      </w:r>
      <w:r w:rsidRPr="00D2060F">
        <w:t xml:space="preserve"> may cause, will also be comparable for any commodity on which th</w:t>
      </w:r>
      <w:r w:rsidR="006B16C2">
        <w:t>ese</w:t>
      </w:r>
      <w:r w:rsidRPr="00D2060F">
        <w:t xml:space="preserve"> species potentially enter Australia. These likelihoods relate specifically to events that occur subsequent to their arrival in Australia and are largely independent of the commodity importation pathway. </w:t>
      </w:r>
      <w:r w:rsidR="005B5886" w:rsidRPr="005B5886">
        <w:t xml:space="preserve">Accordingly, there is no need to reassess these components, so the outcome of the previous assessments will be adopted for these </w:t>
      </w:r>
      <w:r w:rsidR="005B5886">
        <w:t>mealybugs</w:t>
      </w:r>
      <w:r w:rsidRPr="00D2060F">
        <w:t>.</w:t>
      </w:r>
    </w:p>
    <w:p w14:paraId="19E8591F" w14:textId="77777777" w:rsidR="001A05BD" w:rsidRDefault="00D2060F" w:rsidP="001A05BD">
      <w:pPr>
        <w:rPr>
          <w:highlight w:val="yellow"/>
        </w:rPr>
      </w:pPr>
      <w:r w:rsidRPr="00293103">
        <w:t xml:space="preserve">The risk scenario of concern for </w:t>
      </w:r>
      <w:r w:rsidR="006B16C2">
        <w:t>mealybugs</w:t>
      </w:r>
      <w:r w:rsidRPr="00293103">
        <w:t xml:space="preserve"> is the presence of eggs, nymphs or adult females on imported Tahitian lime fruit.</w:t>
      </w:r>
    </w:p>
    <w:p w14:paraId="01AFC2B9" w14:textId="77777777" w:rsidR="00A62B8F" w:rsidRPr="00A62B8F" w:rsidRDefault="00A62B8F" w:rsidP="00A62B8F">
      <w:pPr>
        <w:rPr>
          <w:b/>
        </w:rPr>
      </w:pPr>
      <w:bookmarkStart w:id="101" w:name="_Toc391301380"/>
      <w:bookmarkStart w:id="102" w:name="_Toc445295854"/>
      <w:bookmarkStart w:id="103" w:name="_Toc391301381"/>
      <w:r w:rsidRPr="00A62B8F">
        <w:rPr>
          <w:b/>
        </w:rPr>
        <w:t xml:space="preserve">Unrestricted risk </w:t>
      </w:r>
      <w:r w:rsidR="00A348AE">
        <w:rPr>
          <w:b/>
        </w:rPr>
        <w:t>outcome</w:t>
      </w:r>
    </w:p>
    <w:p w14:paraId="4ECDD91F" w14:textId="6F52DC8A" w:rsidR="00A62B8F" w:rsidRDefault="00A62B8F" w:rsidP="00A62B8F">
      <w:r w:rsidRPr="00A62B8F">
        <w:t xml:space="preserve">The unrestricted risk for mealybugs </w:t>
      </w:r>
      <w:r w:rsidR="00A348AE">
        <w:t>on</w:t>
      </w:r>
      <w:r w:rsidRPr="00A62B8F">
        <w:t xml:space="preserve"> Tahitian limes from the Cook Islands, Niue, Samoa, Tonga and Vanuatu </w:t>
      </w:r>
      <w:r w:rsidR="00A348AE">
        <w:t>will be</w:t>
      </w:r>
      <w:r w:rsidRPr="00A62B8F">
        <w:t xml:space="preserve"> comparable to th</w:t>
      </w:r>
      <w:r w:rsidR="00A348AE">
        <w:t>at</w:t>
      </w:r>
      <w:r w:rsidRPr="00A62B8F">
        <w:t xml:space="preserve"> </w:t>
      </w:r>
      <w:r w:rsidR="00A348AE">
        <w:t xml:space="preserve">determined </w:t>
      </w:r>
      <w:r w:rsidRPr="00A62B8F">
        <w:t xml:space="preserve">in previous assessments, which </w:t>
      </w:r>
      <w:r w:rsidR="00F94B9A">
        <w:t xml:space="preserve">has been assessed as </w:t>
      </w:r>
      <w:r w:rsidRPr="00A62B8F">
        <w:t>not achiev</w:t>
      </w:r>
      <w:r w:rsidR="00F94B9A">
        <w:t>ing</w:t>
      </w:r>
      <w:r w:rsidRPr="00A62B8F">
        <w:t xml:space="preserve"> the ALOP for Australia. Therefore, specific risk management measures are required for these pests.</w:t>
      </w:r>
    </w:p>
    <w:p w14:paraId="4A0F50A8" w14:textId="77777777" w:rsidR="00A62B8F" w:rsidRDefault="00A62B8F" w:rsidP="00242B68"/>
    <w:p w14:paraId="48961812" w14:textId="77777777" w:rsidR="00242B68" w:rsidRDefault="00242B68" w:rsidP="00F93782">
      <w:pPr>
        <w:rPr>
          <w:rFonts w:ascii="Calibri" w:eastAsia="Times New Roman" w:hAnsi="Calibri" w:cs="Times New Roman"/>
          <w:b/>
          <w:bCs/>
          <w:color w:val="773141"/>
          <w:sz w:val="28"/>
          <w:szCs w:val="26"/>
        </w:rPr>
        <w:sectPr w:rsidR="00242B68" w:rsidSect="00242B68">
          <w:pgSz w:w="11906" w:h="16838"/>
          <w:pgMar w:top="1418" w:right="1418" w:bottom="1418" w:left="1418" w:header="567" w:footer="283" w:gutter="0"/>
          <w:cols w:space="708"/>
          <w:docGrid w:linePitch="360"/>
        </w:sectPr>
      </w:pPr>
    </w:p>
    <w:p w14:paraId="4126389D" w14:textId="77777777" w:rsidR="006B16C2" w:rsidRPr="006B16C2" w:rsidRDefault="006B16C2" w:rsidP="00242B68">
      <w:pPr>
        <w:pStyle w:val="Heading2"/>
      </w:pPr>
      <w:bookmarkStart w:id="104" w:name="_Toc501716494"/>
      <w:r w:rsidRPr="006B16C2">
        <w:t>Citrus scab</w:t>
      </w:r>
      <w:bookmarkEnd w:id="101"/>
      <w:bookmarkEnd w:id="102"/>
      <w:bookmarkEnd w:id="104"/>
    </w:p>
    <w:p w14:paraId="7256C336" w14:textId="42ABCD86" w:rsidR="006B16C2" w:rsidRPr="008C29D7" w:rsidRDefault="006B16C2" w:rsidP="006B16C2">
      <w:pPr>
        <w:spacing w:before="200"/>
        <w:rPr>
          <w:rFonts w:ascii="Calibri" w:eastAsia="Calibri" w:hAnsi="Calibri" w:cs="Times New Roman"/>
          <w:b/>
          <w:bCs/>
          <w:sz w:val="24"/>
        </w:rPr>
      </w:pPr>
      <w:r w:rsidRPr="006B16C2">
        <w:rPr>
          <w:rFonts w:ascii="Calibri" w:eastAsia="Calibri" w:hAnsi="Calibri" w:cs="Times New Roman"/>
          <w:b/>
          <w:bCs/>
          <w:i/>
          <w:sz w:val="24"/>
        </w:rPr>
        <w:t>Elsinoë fawcettii</w:t>
      </w:r>
    </w:p>
    <w:p w14:paraId="637E29A9" w14:textId="45DC5C9B" w:rsidR="006B16C2" w:rsidRPr="006B16C2" w:rsidRDefault="006B16C2" w:rsidP="006B16C2">
      <w:pPr>
        <w:spacing w:before="200"/>
        <w:rPr>
          <w:rFonts w:eastAsia="Calibri" w:cs="Times New Roman"/>
        </w:rPr>
      </w:pPr>
      <w:r w:rsidRPr="006B16C2">
        <w:rPr>
          <w:rFonts w:eastAsia="Calibri" w:cs="Times New Roman"/>
          <w:i/>
        </w:rPr>
        <w:t xml:space="preserve">Elsinoë fawcettii </w:t>
      </w:r>
      <w:r w:rsidRPr="006B16C2">
        <w:rPr>
          <w:rFonts w:eastAsia="Calibri" w:cs="Times New Roman"/>
        </w:rPr>
        <w:t xml:space="preserve">has previously been assessed </w:t>
      </w:r>
      <w:r>
        <w:rPr>
          <w:rFonts w:eastAsia="Calibri" w:cs="Times New Roman"/>
        </w:rPr>
        <w:t xml:space="preserve">(as </w:t>
      </w:r>
      <w:r w:rsidRPr="006B16C2">
        <w:rPr>
          <w:rFonts w:eastAsia="Calibri" w:cs="Times New Roman"/>
          <w:i/>
        </w:rPr>
        <w:t>Sphaceloma fawcettii</w:t>
      </w:r>
      <w:r>
        <w:rPr>
          <w:rFonts w:eastAsia="Calibri" w:cs="Times New Roman"/>
        </w:rPr>
        <w:t>)</w:t>
      </w:r>
      <w:r w:rsidRPr="006B16C2">
        <w:rPr>
          <w:rFonts w:eastAsia="Calibri" w:cs="Times New Roman"/>
          <w:i/>
        </w:rPr>
        <w:t xml:space="preserve"> </w:t>
      </w:r>
      <w:r w:rsidRPr="006B16C2">
        <w:rPr>
          <w:rFonts w:eastAsia="Calibri" w:cs="Times New Roman"/>
        </w:rPr>
        <w:t>in the policy for Tahitian limes from New Caledonia (B</w:t>
      </w:r>
      <w:r>
        <w:rPr>
          <w:rFonts w:eastAsia="Calibri" w:cs="Times New Roman"/>
        </w:rPr>
        <w:t>A</w:t>
      </w:r>
      <w:r w:rsidRPr="006B16C2">
        <w:rPr>
          <w:rFonts w:eastAsia="Calibri" w:cs="Times New Roman"/>
        </w:rPr>
        <w:t xml:space="preserve"> 2006a). Reappraisal of the </w:t>
      </w:r>
      <w:r w:rsidR="00134AE8">
        <w:rPr>
          <w:rFonts w:eastAsia="Calibri" w:cs="Times New Roman"/>
        </w:rPr>
        <w:t xml:space="preserve">available </w:t>
      </w:r>
      <w:r w:rsidRPr="006B16C2">
        <w:rPr>
          <w:rFonts w:eastAsia="Calibri" w:cs="Times New Roman"/>
        </w:rPr>
        <w:t xml:space="preserve">literature </w:t>
      </w:r>
      <w:r w:rsidR="00B705C8">
        <w:rPr>
          <w:rFonts w:eastAsia="Calibri" w:cs="Times New Roman"/>
        </w:rPr>
        <w:t xml:space="preserve">(for example, Meister (1973), Timmer (2000), Hyun </w:t>
      </w:r>
      <w:r w:rsidR="00B705C8" w:rsidRPr="00B705C8">
        <w:rPr>
          <w:rFonts w:eastAsia="Calibri" w:cs="Times New Roman"/>
          <w:i/>
        </w:rPr>
        <w:t>et al</w:t>
      </w:r>
      <w:r w:rsidR="00B705C8">
        <w:rPr>
          <w:rFonts w:eastAsia="Calibri" w:cs="Times New Roman"/>
        </w:rPr>
        <w:t xml:space="preserve">. (2009)), </w:t>
      </w:r>
      <w:r w:rsidRPr="006B16C2">
        <w:rPr>
          <w:rFonts w:eastAsia="Calibri" w:cs="Times New Roman"/>
        </w:rPr>
        <w:t>suggest</w:t>
      </w:r>
      <w:r w:rsidR="00B33FE8">
        <w:rPr>
          <w:rFonts w:eastAsia="Calibri" w:cs="Times New Roman"/>
        </w:rPr>
        <w:t>ed</w:t>
      </w:r>
      <w:r w:rsidRPr="006B16C2">
        <w:rPr>
          <w:rFonts w:eastAsia="Calibri" w:cs="Times New Roman"/>
        </w:rPr>
        <w:t xml:space="preserve"> a review of the previous assessment </w:t>
      </w:r>
      <w:r w:rsidR="00B33FE8">
        <w:rPr>
          <w:rFonts w:eastAsia="Calibri" w:cs="Times New Roman"/>
        </w:rPr>
        <w:t xml:space="preserve">needed to </w:t>
      </w:r>
      <w:r w:rsidRPr="006B16C2">
        <w:rPr>
          <w:rFonts w:eastAsia="Calibri" w:cs="Times New Roman"/>
        </w:rPr>
        <w:t>be undertaken.</w:t>
      </w:r>
    </w:p>
    <w:p w14:paraId="7A1113F4" w14:textId="77777777" w:rsidR="006B16C2" w:rsidRPr="006B16C2" w:rsidRDefault="006B16C2" w:rsidP="006B16C2">
      <w:pPr>
        <w:spacing w:before="200"/>
        <w:rPr>
          <w:rFonts w:eastAsia="Calibri" w:cs="Times New Roman"/>
        </w:rPr>
      </w:pPr>
      <w:r w:rsidRPr="006B16C2">
        <w:rPr>
          <w:rFonts w:eastAsia="Calibri" w:cs="Times New Roman"/>
        </w:rPr>
        <w:t xml:space="preserve">Two scab diseases of citrus are currently recognised: citrus scab, caused by </w:t>
      </w:r>
      <w:r w:rsidRPr="006B16C2">
        <w:rPr>
          <w:rFonts w:eastAsia="Calibri" w:cs="Times New Roman"/>
          <w:i/>
        </w:rPr>
        <w:t>Elsinoë fawcettii</w:t>
      </w:r>
      <w:r w:rsidR="00DC2BB3">
        <w:rPr>
          <w:rFonts w:eastAsia="Calibri" w:cs="Times New Roman"/>
        </w:rPr>
        <w:t xml:space="preserve"> (anamorph </w:t>
      </w:r>
      <w:r w:rsidR="00DC2BB3" w:rsidRPr="006B16C2">
        <w:rPr>
          <w:rFonts w:eastAsia="Calibri" w:cs="Times New Roman"/>
          <w:i/>
        </w:rPr>
        <w:t>Sphaceloma fawcettii</w:t>
      </w:r>
      <w:r w:rsidRPr="006B16C2">
        <w:rPr>
          <w:rFonts w:eastAsia="Calibri" w:cs="Times New Roman"/>
        </w:rPr>
        <w:t xml:space="preserve">), and sweet orange scab, caused by </w:t>
      </w:r>
      <w:r w:rsidR="00DC2BB3" w:rsidRPr="006B16C2">
        <w:rPr>
          <w:rFonts w:eastAsia="Calibri" w:cs="Times New Roman"/>
          <w:i/>
        </w:rPr>
        <w:t xml:space="preserve">Elsinoë australis </w:t>
      </w:r>
      <w:r w:rsidR="00DC2BB3">
        <w:rPr>
          <w:rFonts w:eastAsia="Calibri" w:cs="Times New Roman"/>
        </w:rPr>
        <w:t xml:space="preserve">(anamorph </w:t>
      </w:r>
      <w:r w:rsidRPr="006B16C2">
        <w:rPr>
          <w:rFonts w:eastAsia="Calibri" w:cs="Times New Roman"/>
          <w:i/>
        </w:rPr>
        <w:t>Sphaceloma australis</w:t>
      </w:r>
      <w:r w:rsidRPr="006B16C2">
        <w:rPr>
          <w:rFonts w:eastAsia="Calibri" w:cs="Times New Roman"/>
        </w:rPr>
        <w:t xml:space="preserve">) (Hyun </w:t>
      </w:r>
      <w:r w:rsidRPr="006B16C2">
        <w:rPr>
          <w:rFonts w:eastAsia="Calibri" w:cs="Times New Roman"/>
          <w:i/>
        </w:rPr>
        <w:t>et al</w:t>
      </w:r>
      <w:r w:rsidRPr="006B16C2">
        <w:rPr>
          <w:rFonts w:eastAsia="Calibri" w:cs="Times New Roman"/>
        </w:rPr>
        <w:t xml:space="preserve">. 2009; Timmer 2000). The previously described </w:t>
      </w:r>
      <w:r w:rsidRPr="006B16C2">
        <w:rPr>
          <w:rFonts w:eastAsia="Calibri" w:cs="Times New Roman"/>
          <w:i/>
        </w:rPr>
        <w:t>Sphaceloma fawcettii</w:t>
      </w:r>
      <w:r w:rsidRPr="006B16C2">
        <w:rPr>
          <w:rFonts w:eastAsia="Calibri" w:cs="Times New Roman"/>
        </w:rPr>
        <w:t xml:space="preserve"> var. </w:t>
      </w:r>
      <w:r w:rsidRPr="006B16C2">
        <w:rPr>
          <w:rFonts w:eastAsia="Calibri" w:cs="Times New Roman"/>
          <w:i/>
        </w:rPr>
        <w:t>scabiosa</w:t>
      </w:r>
      <w:r w:rsidRPr="006B16C2">
        <w:rPr>
          <w:rFonts w:eastAsia="Calibri" w:cs="Times New Roman"/>
        </w:rPr>
        <w:t xml:space="preserve">, responsible for Tryon’s scab, is now considered to be a pathotype of </w:t>
      </w:r>
      <w:r w:rsidR="00DC2BB3" w:rsidRPr="00DC2BB3">
        <w:rPr>
          <w:rFonts w:eastAsia="Calibri" w:cs="Times New Roman"/>
          <w:i/>
        </w:rPr>
        <w:t>Elsinoë</w:t>
      </w:r>
      <w:r w:rsidRPr="006B16C2">
        <w:rPr>
          <w:rFonts w:eastAsia="Calibri" w:cs="Times New Roman"/>
          <w:i/>
        </w:rPr>
        <w:t xml:space="preserve"> fawcettii</w:t>
      </w:r>
      <w:r w:rsidRPr="006B16C2">
        <w:rPr>
          <w:rFonts w:eastAsia="Calibri" w:cs="Times New Roman"/>
        </w:rPr>
        <w:t xml:space="preserve"> and is no longer a valid name (Timmer 2000).</w:t>
      </w:r>
    </w:p>
    <w:p w14:paraId="7C37767E" w14:textId="0247C1EB" w:rsidR="006B16C2" w:rsidRPr="006B16C2" w:rsidRDefault="006B16C2" w:rsidP="006B16C2">
      <w:pPr>
        <w:spacing w:before="200"/>
        <w:rPr>
          <w:rFonts w:eastAsia="Calibri" w:cs="Times New Roman"/>
        </w:rPr>
      </w:pPr>
      <w:r w:rsidRPr="006B16C2">
        <w:rPr>
          <w:rFonts w:eastAsia="Calibri" w:cs="Times New Roman"/>
        </w:rPr>
        <w:t>A</w:t>
      </w:r>
      <w:r w:rsidR="001A33B9">
        <w:rPr>
          <w:rFonts w:eastAsia="Calibri" w:cs="Times New Roman"/>
        </w:rPr>
        <w:t xml:space="preserve"> number of</w:t>
      </w:r>
      <w:r w:rsidRPr="006B16C2">
        <w:rPr>
          <w:rFonts w:eastAsia="Calibri" w:cs="Times New Roman"/>
        </w:rPr>
        <w:t xml:space="preserve"> citrus scab pathotypes have been identified worldwide (Hyun </w:t>
      </w:r>
      <w:r w:rsidRPr="006B16C2">
        <w:rPr>
          <w:rFonts w:eastAsia="Calibri" w:cs="Times New Roman"/>
          <w:i/>
        </w:rPr>
        <w:t>et al</w:t>
      </w:r>
      <w:r w:rsidRPr="006B16C2">
        <w:rPr>
          <w:rFonts w:eastAsia="Calibri" w:cs="Times New Roman"/>
        </w:rPr>
        <w:t xml:space="preserve"> 2009</w:t>
      </w:r>
      <w:r w:rsidR="001A33B9">
        <w:rPr>
          <w:rFonts w:eastAsia="Calibri" w:cs="Times New Roman"/>
        </w:rPr>
        <w:t xml:space="preserve">; Hou </w:t>
      </w:r>
      <w:r w:rsidR="001A33B9" w:rsidRPr="001A33B9">
        <w:rPr>
          <w:rFonts w:eastAsia="Calibri" w:cs="Times New Roman"/>
          <w:i/>
        </w:rPr>
        <w:t>et al</w:t>
      </w:r>
      <w:r w:rsidR="001A33B9">
        <w:rPr>
          <w:rFonts w:eastAsia="Calibri" w:cs="Times New Roman"/>
        </w:rPr>
        <w:t>. 2014</w:t>
      </w:r>
      <w:r w:rsidRPr="006B16C2">
        <w:rPr>
          <w:rFonts w:eastAsia="Calibri" w:cs="Times New Roman"/>
        </w:rPr>
        <w:t>). The Tryon’s and lemon pathotypes are known to be present in Australia (</w:t>
      </w:r>
      <w:r w:rsidR="0021396E">
        <w:rPr>
          <w:rFonts w:eastAsia="Calibri" w:cs="Times New Roman"/>
        </w:rPr>
        <w:t xml:space="preserve">Miles </w:t>
      </w:r>
      <w:r w:rsidR="0021396E" w:rsidRPr="0021396E">
        <w:rPr>
          <w:rFonts w:eastAsia="Calibri" w:cs="Times New Roman"/>
          <w:i/>
        </w:rPr>
        <w:t>et al</w:t>
      </w:r>
      <w:r w:rsidR="0021396E">
        <w:rPr>
          <w:rFonts w:eastAsia="Calibri" w:cs="Times New Roman"/>
        </w:rPr>
        <w:t>. 2015</w:t>
      </w:r>
      <w:r w:rsidRPr="006B16C2">
        <w:rPr>
          <w:rFonts w:eastAsia="Calibri" w:cs="Times New Roman"/>
        </w:rPr>
        <w:t xml:space="preserve">), but it is possible that additional pathotypes could be discovered in Australia with more extensive sampling (Hyun </w:t>
      </w:r>
      <w:r w:rsidRPr="006B16C2">
        <w:rPr>
          <w:rFonts w:eastAsia="Calibri" w:cs="Times New Roman"/>
          <w:i/>
        </w:rPr>
        <w:t>et al</w:t>
      </w:r>
      <w:r w:rsidRPr="006B16C2">
        <w:rPr>
          <w:rFonts w:eastAsia="Calibri" w:cs="Times New Roman"/>
        </w:rPr>
        <w:t xml:space="preserve">. 2009). </w:t>
      </w:r>
      <w:r w:rsidR="008F1A4F">
        <w:rPr>
          <w:rFonts w:eastAsia="Calibri" w:cs="Times New Roman"/>
        </w:rPr>
        <w:t>P</w:t>
      </w:r>
      <w:r w:rsidR="008F1A4F" w:rsidRPr="006B16C2">
        <w:rPr>
          <w:rFonts w:eastAsia="Calibri" w:cs="Times New Roman"/>
        </w:rPr>
        <w:t>athotypes exotic to Australia have not been reported in the Pacific Islands</w:t>
      </w:r>
      <w:r w:rsidR="008F1A4F">
        <w:rPr>
          <w:rFonts w:eastAsia="Calibri" w:cs="Times New Roman"/>
        </w:rPr>
        <w:t xml:space="preserve">, but are also likely </w:t>
      </w:r>
      <w:r w:rsidRPr="006B16C2">
        <w:rPr>
          <w:rFonts w:eastAsia="Calibri" w:cs="Times New Roman"/>
        </w:rPr>
        <w:t>poorly researched</w:t>
      </w:r>
      <w:r w:rsidR="008F1A4F">
        <w:rPr>
          <w:rFonts w:eastAsia="Calibri" w:cs="Times New Roman"/>
        </w:rPr>
        <w:t xml:space="preserve">. </w:t>
      </w:r>
    </w:p>
    <w:p w14:paraId="76C9AD8A" w14:textId="7E681773" w:rsidR="006B16C2" w:rsidRPr="006B16C2" w:rsidRDefault="006B16C2" w:rsidP="006B16C2">
      <w:pPr>
        <w:spacing w:before="200"/>
        <w:rPr>
          <w:rFonts w:eastAsia="Calibri" w:cs="Times New Roman"/>
          <w:highlight w:val="yellow"/>
        </w:rPr>
      </w:pPr>
      <w:r w:rsidRPr="006B16C2">
        <w:rPr>
          <w:rFonts w:eastAsia="Calibri" w:cs="Times New Roman"/>
        </w:rPr>
        <w:t xml:space="preserve">The risk scenario of concern for </w:t>
      </w:r>
      <w:r w:rsidRPr="006B16C2">
        <w:rPr>
          <w:rFonts w:eastAsia="Calibri" w:cs="Times New Roman"/>
          <w:i/>
        </w:rPr>
        <w:t>Elsinoë fawcettii</w:t>
      </w:r>
      <w:r w:rsidRPr="006B16C2">
        <w:rPr>
          <w:rFonts w:eastAsia="Calibri" w:cs="Times New Roman"/>
        </w:rPr>
        <w:t xml:space="preserve"> is that </w:t>
      </w:r>
      <w:r w:rsidR="000332AE">
        <w:rPr>
          <w:rFonts w:eastAsia="Calibri" w:cs="Times New Roman"/>
        </w:rPr>
        <w:t xml:space="preserve">exotic pathotypes of </w:t>
      </w:r>
      <w:r w:rsidR="008F1A4F">
        <w:rPr>
          <w:rFonts w:eastAsia="Calibri" w:cs="Times New Roman"/>
        </w:rPr>
        <w:t>the</w:t>
      </w:r>
      <w:r w:rsidRPr="006B16C2">
        <w:rPr>
          <w:rFonts w:eastAsia="Calibri" w:cs="Times New Roman"/>
        </w:rPr>
        <w:t xml:space="preserve"> fungus may be present on imported fresh Tahitian lime fruit</w:t>
      </w:r>
      <w:r w:rsidR="00F94B9A">
        <w:rPr>
          <w:rFonts w:eastAsia="Calibri" w:cs="Times New Roman"/>
        </w:rPr>
        <w:t>, and establishment could affect fruit production and nursery stock quality</w:t>
      </w:r>
      <w:r w:rsidRPr="006B16C2">
        <w:rPr>
          <w:rFonts w:eastAsia="Calibri" w:cs="Times New Roman"/>
        </w:rPr>
        <w:t>.</w:t>
      </w:r>
    </w:p>
    <w:p w14:paraId="32138B62"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Likelihood of entry</w:t>
      </w:r>
    </w:p>
    <w:p w14:paraId="32D6F902" w14:textId="77777777" w:rsidR="006B16C2" w:rsidRPr="006B16C2" w:rsidRDefault="006B16C2" w:rsidP="006B16C2">
      <w:pPr>
        <w:spacing w:before="200"/>
        <w:rPr>
          <w:rFonts w:eastAsia="Calibri" w:cs="Times New Roman"/>
        </w:rPr>
      </w:pPr>
      <w:r w:rsidRPr="006B16C2">
        <w:rPr>
          <w:rFonts w:eastAsia="Calibri" w:cs="Times New Roman"/>
        </w:rPr>
        <w:t>The likelihood of entry is considered in two parts, the likelihood of importation and the likelihood of distribution, which consider pre-border and post-border issues, respectively.</w:t>
      </w:r>
    </w:p>
    <w:p w14:paraId="7C1B835C" w14:textId="77777777" w:rsidR="006B16C2" w:rsidRPr="006B16C2" w:rsidRDefault="006B16C2" w:rsidP="006B16C2">
      <w:pPr>
        <w:keepNext/>
        <w:keepLines/>
        <w:spacing w:before="120" w:line="240" w:lineRule="auto"/>
        <w:outlineLvl w:val="3"/>
        <w:rPr>
          <w:rFonts w:ascii="Calibri" w:eastAsia="Calibri" w:hAnsi="Calibri" w:cs="Times New Roman"/>
          <w:b/>
          <w:bCs/>
          <w:iCs/>
        </w:rPr>
      </w:pPr>
      <w:r w:rsidRPr="006B16C2">
        <w:rPr>
          <w:rFonts w:ascii="Calibri" w:eastAsia="Calibri" w:hAnsi="Calibri" w:cs="Times New Roman"/>
          <w:b/>
          <w:bCs/>
          <w:iCs/>
        </w:rPr>
        <w:t>Likelihood of importation</w:t>
      </w:r>
    </w:p>
    <w:p w14:paraId="468B651F" w14:textId="5C0DB708"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0332AE">
        <w:rPr>
          <w:rFonts w:eastAsia="Calibri" w:cs="Times New Roman"/>
        </w:rPr>
        <w:t xml:space="preserve">exotic pathotypes of </w:t>
      </w:r>
      <w:r w:rsidRPr="006B16C2">
        <w:rPr>
          <w:rFonts w:eastAsia="Calibri" w:cs="Times New Roman"/>
          <w:i/>
        </w:rPr>
        <w:t>Elsinoë fawcettii</w:t>
      </w:r>
      <w:r w:rsidR="0064171D">
        <w:rPr>
          <w:rFonts w:eastAsia="Calibri" w:cs="Times New Roman"/>
        </w:rPr>
        <w:t>, if present,</w:t>
      </w:r>
      <w:r w:rsidRPr="006B16C2">
        <w:rPr>
          <w:rFonts w:eastAsia="Calibri" w:cs="Times New Roman"/>
        </w:rPr>
        <w:t xml:space="preserve"> will arrive in Australia with the importation of Tahitian limes from any country where this pest is present is</w:t>
      </w:r>
      <w:r w:rsidR="0017635A">
        <w:rPr>
          <w:rFonts w:eastAsia="Calibri" w:cs="Times New Roman"/>
        </w:rPr>
        <w:t xml:space="preserve"> assessed as</w:t>
      </w:r>
      <w:r w:rsidRPr="006B16C2">
        <w:rPr>
          <w:rFonts w:eastAsia="Calibri" w:cs="Times New Roman"/>
        </w:rPr>
        <w:t xml:space="preserve"> </w:t>
      </w:r>
      <w:r w:rsidR="005F658F">
        <w:rPr>
          <w:rFonts w:eastAsia="Calibri" w:cs="Times New Roman"/>
        </w:rPr>
        <w:t>Moderate</w:t>
      </w:r>
      <w:r w:rsidRPr="006B16C2">
        <w:rPr>
          <w:rFonts w:eastAsia="Calibri" w:cs="Times New Roman"/>
        </w:rPr>
        <w:t>.</w:t>
      </w:r>
    </w:p>
    <w:p w14:paraId="6CB3241C" w14:textId="77777777" w:rsidR="006B16C2" w:rsidRPr="006B16C2" w:rsidRDefault="006B16C2" w:rsidP="006B16C2">
      <w:pPr>
        <w:spacing w:before="200"/>
        <w:rPr>
          <w:rFonts w:eastAsia="Calibri" w:cs="Times New Roman"/>
        </w:rPr>
      </w:pPr>
      <w:r w:rsidRPr="006B16C2">
        <w:rPr>
          <w:rFonts w:eastAsia="Calibri" w:cs="Times New Roman"/>
        </w:rPr>
        <w:t>The following information provides supporting evidence for this assessment.</w:t>
      </w:r>
    </w:p>
    <w:p w14:paraId="50C9FE82" w14:textId="1FAE2626" w:rsidR="002622A0" w:rsidRPr="00E755AD" w:rsidRDefault="002622A0" w:rsidP="002622A0">
      <w:pPr>
        <w:pStyle w:val="ListBullet"/>
      </w:pPr>
      <w:r w:rsidRPr="006B16C2">
        <w:t xml:space="preserve">Tahitian limes are </w:t>
      </w:r>
      <w:r w:rsidR="008B7FBB">
        <w:t>considered to be</w:t>
      </w:r>
      <w:r w:rsidRPr="006B16C2">
        <w:t xml:space="preserve"> a host of </w:t>
      </w:r>
      <w:r w:rsidRPr="00DC2BB3">
        <w:rPr>
          <w:i/>
        </w:rPr>
        <w:t xml:space="preserve">Elsinoë fawcettii </w:t>
      </w:r>
      <w:r w:rsidRPr="006B16C2">
        <w:t xml:space="preserve">(Meister 1973; Hyun </w:t>
      </w:r>
      <w:r w:rsidRPr="006B16C2">
        <w:rPr>
          <w:i/>
        </w:rPr>
        <w:t>et al</w:t>
      </w:r>
      <w:r w:rsidRPr="006B16C2">
        <w:t>. 2009)</w:t>
      </w:r>
      <w:r w:rsidR="008B7FBB">
        <w:t>, although</w:t>
      </w:r>
      <w:r w:rsidRPr="006B16C2">
        <w:t xml:space="preserve"> </w:t>
      </w:r>
      <w:r w:rsidR="008B7FBB">
        <w:t>l</w:t>
      </w:r>
      <w:r w:rsidRPr="006B16C2">
        <w:t xml:space="preserve">imes are </w:t>
      </w:r>
      <w:r w:rsidR="005E3FD0">
        <w:t xml:space="preserve">reported to be </w:t>
      </w:r>
      <w:r w:rsidRPr="006B16C2">
        <w:t>rarely attacked (</w:t>
      </w:r>
      <w:r w:rsidRPr="00E755AD">
        <w:t xml:space="preserve">Smith </w:t>
      </w:r>
      <w:r w:rsidR="005E3FD0">
        <w:t>IM</w:t>
      </w:r>
      <w:r w:rsidRPr="00E755AD">
        <w:t xml:space="preserve"> </w:t>
      </w:r>
      <w:r w:rsidRPr="00E755AD">
        <w:rPr>
          <w:i/>
        </w:rPr>
        <w:t>et al</w:t>
      </w:r>
      <w:r w:rsidRPr="00E755AD">
        <w:t>. 1997)</w:t>
      </w:r>
      <w:r w:rsidR="008B7FBB">
        <w:t>. However</w:t>
      </w:r>
      <w:r w:rsidR="005E3FD0">
        <w:t xml:space="preserve">, </w:t>
      </w:r>
      <w:r w:rsidR="00AA1A5F">
        <w:t>susceptibility may vary depending on the citrus scab patho</w:t>
      </w:r>
      <w:r w:rsidR="001609E1">
        <w:t>type</w:t>
      </w:r>
      <w:r w:rsidR="00AA1A5F">
        <w:t xml:space="preserve"> present</w:t>
      </w:r>
      <w:r w:rsidR="001609E1">
        <w:t>, as Nelson (2008) observed</w:t>
      </w:r>
      <w:r w:rsidR="0008776E">
        <w:t xml:space="preserve"> Tahitian</w:t>
      </w:r>
      <w:r w:rsidR="001609E1">
        <w:t xml:space="preserve"> limes to be highly susceptible in Hawaii</w:t>
      </w:r>
      <w:r w:rsidRPr="00E755AD">
        <w:t>.</w:t>
      </w:r>
    </w:p>
    <w:p w14:paraId="2F7D3BD0" w14:textId="270F6273" w:rsidR="006B16C2" w:rsidRPr="006B16C2" w:rsidRDefault="006B16C2" w:rsidP="006B16C2">
      <w:pPr>
        <w:pStyle w:val="ListBullet"/>
      </w:pPr>
      <w:r w:rsidRPr="006B16C2">
        <w:t>Citrus scab infection produces exterior blemishes on citrus fruit (Timmer 2000)</w:t>
      </w:r>
      <w:r w:rsidR="0017635A">
        <w:t>.</w:t>
      </w:r>
      <w:r w:rsidR="005F658F">
        <w:t xml:space="preserve"> </w:t>
      </w:r>
      <w:r w:rsidR="0017635A" w:rsidRPr="006B16C2">
        <w:t>Scab pustules on the fruit skin consist of a mixture of fungal and host tissues (Timmer 2000)</w:t>
      </w:r>
      <w:r w:rsidR="0017635A">
        <w:t>. I</w:t>
      </w:r>
      <w:r w:rsidR="005F658F">
        <w:t xml:space="preserve">nfected fruit could feasibly be imported, although </w:t>
      </w:r>
      <w:r w:rsidR="00DA3787">
        <w:t xml:space="preserve">the affected fruit would typically be </w:t>
      </w:r>
      <w:r w:rsidR="008B0B53">
        <w:t xml:space="preserve">deemed </w:t>
      </w:r>
      <w:r w:rsidR="00DA3787">
        <w:t>unsuit</w:t>
      </w:r>
      <w:r w:rsidR="008B0B53">
        <w:t>able</w:t>
      </w:r>
      <w:r w:rsidR="00DA3787">
        <w:t xml:space="preserve"> for export</w:t>
      </w:r>
      <w:r w:rsidRPr="006B16C2">
        <w:t xml:space="preserve">. </w:t>
      </w:r>
    </w:p>
    <w:p w14:paraId="34EBE9DD" w14:textId="50D86798" w:rsidR="004458F9" w:rsidRDefault="006B16C2" w:rsidP="006B16C2">
      <w:pPr>
        <w:pStyle w:val="ListBullet"/>
      </w:pPr>
      <w:r w:rsidRPr="006B16C2">
        <w:t>It would be expected that Tahitian lime trees in managed orchards would have a low incidence of citrus scab</w:t>
      </w:r>
      <w:r w:rsidR="00065B0C">
        <w:t xml:space="preserve"> infection</w:t>
      </w:r>
      <w:r w:rsidRPr="006B16C2">
        <w:t>, but importation of infected fruit cannot be entirely ruled out.</w:t>
      </w:r>
    </w:p>
    <w:p w14:paraId="2F3F42D1" w14:textId="17079661" w:rsidR="006B16C2" w:rsidRPr="006B16C2" w:rsidRDefault="004458F9" w:rsidP="004458F9">
      <w:pPr>
        <w:pStyle w:val="ListBullet"/>
      </w:pPr>
      <w:r>
        <w:t xml:space="preserve">The fruit (as well as leaves and twigs) </w:t>
      </w:r>
      <w:r w:rsidRPr="004458F9">
        <w:t xml:space="preserve">are infected when they are young, </w:t>
      </w:r>
      <w:r>
        <w:t xml:space="preserve">and are </w:t>
      </w:r>
      <w:r w:rsidRPr="004458F9">
        <w:t>resistant to infection when full size</w:t>
      </w:r>
      <w:r>
        <w:t xml:space="preserve"> (</w:t>
      </w:r>
      <w:r w:rsidRPr="004458F9">
        <w:t xml:space="preserve">Tsatsia </w:t>
      </w:r>
      <w:r>
        <w:t xml:space="preserve">and </w:t>
      </w:r>
      <w:r w:rsidRPr="004458F9">
        <w:t>Jackson</w:t>
      </w:r>
      <w:r>
        <w:t xml:space="preserve"> 2017). </w:t>
      </w:r>
      <w:r w:rsidR="00182A71">
        <w:t xml:space="preserve">Any infected fruit would have raised pustules evident on the skin by the time the fruit was ready for harvest. It </w:t>
      </w:r>
      <w:r>
        <w:t xml:space="preserve">is considered unlikely that </w:t>
      </w:r>
      <w:r w:rsidR="00182A71">
        <w:t xml:space="preserve">asymptomatic unblemished </w:t>
      </w:r>
      <w:r>
        <w:t>fruit</w:t>
      </w:r>
      <w:r w:rsidR="00182A71">
        <w:t xml:space="preserve"> would be infected with citrus scab</w:t>
      </w:r>
      <w:r>
        <w:t xml:space="preserve">.  </w:t>
      </w:r>
      <w:r w:rsidR="006B16C2" w:rsidRPr="006B16C2">
        <w:t xml:space="preserve"> </w:t>
      </w:r>
    </w:p>
    <w:p w14:paraId="28F32431" w14:textId="190B0DA2" w:rsidR="006B16C2" w:rsidDel="004120B4" w:rsidRDefault="004120B4" w:rsidP="006B16C2">
      <w:pPr>
        <w:pStyle w:val="ListBullet"/>
      </w:pPr>
      <w:r w:rsidRPr="004120B4">
        <w:t>The fruit is manually harvested, and washed, graded and packed by hand</w:t>
      </w:r>
      <w:r w:rsidR="0064171D">
        <w:t>, so it is likely that visibly infected fruit, if present, would be removed from the pathway.</w:t>
      </w:r>
      <w:r w:rsidRPr="004120B4">
        <w:t xml:space="preserve"> </w:t>
      </w:r>
      <w:r w:rsidR="006B16C2" w:rsidRPr="006B16C2" w:rsidDel="004120B4">
        <w:t xml:space="preserve">Blemished fruit is usually eliminated in the packing line for commercial sales (Hyun </w:t>
      </w:r>
      <w:r w:rsidR="006B16C2" w:rsidRPr="006B16C2" w:rsidDel="004120B4">
        <w:rPr>
          <w:i/>
        </w:rPr>
        <w:t>et al</w:t>
      </w:r>
      <w:r w:rsidR="006B16C2" w:rsidRPr="006B16C2" w:rsidDel="004120B4">
        <w:t xml:space="preserve">. 2009). However, </w:t>
      </w:r>
      <w:r w:rsidR="00D9707E">
        <w:t xml:space="preserve">it is feasible that </w:t>
      </w:r>
      <w:r w:rsidR="006B16C2" w:rsidRPr="006B16C2" w:rsidDel="004120B4">
        <w:t>fruit with citrus scab could escape detection during commercial grading operations and be imported into Australia.</w:t>
      </w:r>
    </w:p>
    <w:p w14:paraId="12C04498" w14:textId="00C4DAC6" w:rsidR="00FD4160" w:rsidRPr="00FD4160" w:rsidRDefault="00FD4160" w:rsidP="00FD4160">
      <w:pPr>
        <w:spacing w:before="200"/>
        <w:rPr>
          <w:rFonts w:eastAsia="Calibri" w:cs="Times New Roman"/>
        </w:rPr>
      </w:pPr>
      <w:r w:rsidRPr="00EA09AE">
        <w:rPr>
          <w:rFonts w:eastAsia="Calibri" w:cs="Times New Roman"/>
        </w:rPr>
        <w:t xml:space="preserve">The </w:t>
      </w:r>
      <w:r>
        <w:rPr>
          <w:rFonts w:eastAsia="Calibri" w:cs="Times New Roman"/>
        </w:rPr>
        <w:t xml:space="preserve">low susceptibility of Tahitian limes to </w:t>
      </w:r>
      <w:r w:rsidR="0078245A">
        <w:rPr>
          <w:rFonts w:eastAsia="Calibri" w:cs="Times New Roman"/>
        </w:rPr>
        <w:t xml:space="preserve">citrus </w:t>
      </w:r>
      <w:r>
        <w:rPr>
          <w:rFonts w:eastAsia="Calibri" w:cs="Times New Roman"/>
        </w:rPr>
        <w:t xml:space="preserve">scab infection, </w:t>
      </w:r>
      <w:r w:rsidR="0078245A">
        <w:rPr>
          <w:rFonts w:eastAsia="Calibri" w:cs="Times New Roman"/>
        </w:rPr>
        <w:t xml:space="preserve">and </w:t>
      </w:r>
      <w:r w:rsidR="00290C69">
        <w:rPr>
          <w:rFonts w:eastAsia="Calibri" w:cs="Times New Roman"/>
        </w:rPr>
        <w:t xml:space="preserve">the </w:t>
      </w:r>
      <w:r w:rsidR="00887FF3">
        <w:rPr>
          <w:rFonts w:eastAsia="Calibri" w:cs="Times New Roman"/>
        </w:rPr>
        <w:t xml:space="preserve">visible symptoms of infection </w:t>
      </w:r>
      <w:r>
        <w:rPr>
          <w:rFonts w:eastAsia="Calibri" w:cs="Times New Roman"/>
        </w:rPr>
        <w:t xml:space="preserve">and </w:t>
      </w:r>
      <w:r w:rsidR="0078245A">
        <w:rPr>
          <w:rFonts w:eastAsia="Calibri" w:cs="Times New Roman"/>
        </w:rPr>
        <w:t xml:space="preserve">consequent likely </w:t>
      </w:r>
      <w:r>
        <w:rPr>
          <w:rFonts w:eastAsia="Calibri" w:cs="Times New Roman"/>
        </w:rPr>
        <w:t xml:space="preserve">removal of blemished fruit from the export pathway, </w:t>
      </w:r>
      <w:r w:rsidRPr="00EA09AE">
        <w:rPr>
          <w:rFonts w:eastAsia="Calibri" w:cs="Times New Roman"/>
        </w:rPr>
        <w:t xml:space="preserve">support a likelihood estimate for importation of </w:t>
      </w:r>
      <w:r w:rsidR="00065B0C">
        <w:rPr>
          <w:rFonts w:eastAsia="Calibri" w:cs="Times New Roman"/>
        </w:rPr>
        <w:t>M</w:t>
      </w:r>
      <w:r w:rsidR="00DA3787">
        <w:rPr>
          <w:rFonts w:eastAsia="Calibri" w:cs="Times New Roman"/>
        </w:rPr>
        <w:t>oderate</w:t>
      </w:r>
      <w:r w:rsidRPr="00EA09AE">
        <w:rPr>
          <w:rFonts w:eastAsia="Calibri" w:cs="Times New Roman"/>
        </w:rPr>
        <w:t>.</w:t>
      </w:r>
    </w:p>
    <w:p w14:paraId="7514380F" w14:textId="77777777" w:rsidR="006B16C2" w:rsidRPr="006B16C2" w:rsidRDefault="006B16C2" w:rsidP="006B16C2">
      <w:pPr>
        <w:keepNext/>
        <w:keepLines/>
        <w:spacing w:before="120" w:line="240" w:lineRule="auto"/>
        <w:outlineLvl w:val="3"/>
        <w:rPr>
          <w:rFonts w:ascii="Calibri" w:eastAsia="Calibri" w:hAnsi="Calibri" w:cs="Times New Roman"/>
          <w:b/>
          <w:bCs/>
          <w:iCs/>
        </w:rPr>
      </w:pPr>
      <w:r w:rsidRPr="006B16C2">
        <w:rPr>
          <w:rFonts w:ascii="Calibri" w:eastAsia="Calibri" w:hAnsi="Calibri" w:cs="Times New Roman"/>
          <w:b/>
          <w:bCs/>
          <w:iCs/>
        </w:rPr>
        <w:t>Likelihood of distribution (transfer to a suitable host)</w:t>
      </w:r>
    </w:p>
    <w:p w14:paraId="23B7842C" w14:textId="1B097FCD"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0332AE">
        <w:rPr>
          <w:rFonts w:eastAsia="Calibri" w:cs="Times New Roman"/>
        </w:rPr>
        <w:t xml:space="preserve">exotic pathotypes of </w:t>
      </w:r>
      <w:r w:rsidRPr="006B16C2">
        <w:rPr>
          <w:rFonts w:eastAsia="Calibri" w:cs="Times New Roman"/>
          <w:i/>
        </w:rPr>
        <w:t>Elsinoë fawcettii</w:t>
      </w:r>
      <w:r w:rsidR="0064171D">
        <w:rPr>
          <w:rFonts w:eastAsia="Calibri" w:cs="Times New Roman"/>
        </w:rPr>
        <w:t>, if present,</w:t>
      </w:r>
      <w:r w:rsidRPr="006B16C2">
        <w:rPr>
          <w:rFonts w:eastAsia="Calibri" w:cs="Times New Roman"/>
          <w:i/>
        </w:rPr>
        <w:t xml:space="preserve"> </w:t>
      </w:r>
      <w:r w:rsidRPr="006B16C2">
        <w:rPr>
          <w:rFonts w:eastAsia="Calibri" w:cs="Times New Roman"/>
        </w:rPr>
        <w:t>will be distributed in Australia, in a viable state, as a result of the processing, sale or disposal of fresh Tahitian limes is</w:t>
      </w:r>
      <w:r w:rsidR="00065B0C">
        <w:rPr>
          <w:rFonts w:eastAsia="Calibri" w:cs="Times New Roman"/>
        </w:rPr>
        <w:t xml:space="preserve"> assessed as</w:t>
      </w:r>
      <w:r w:rsidRPr="006B16C2">
        <w:rPr>
          <w:rFonts w:eastAsia="Calibri" w:cs="Times New Roman"/>
        </w:rPr>
        <w:t xml:space="preserve"> </w:t>
      </w:r>
      <w:r w:rsidR="00145DCA">
        <w:rPr>
          <w:rFonts w:eastAsia="Calibri" w:cs="Times New Roman"/>
        </w:rPr>
        <w:t>L</w:t>
      </w:r>
      <w:r w:rsidRPr="00354375">
        <w:rPr>
          <w:rFonts w:eastAsia="Calibri" w:cs="Times New Roman"/>
        </w:rPr>
        <w:t>ow</w:t>
      </w:r>
      <w:r w:rsidRPr="006B16C2">
        <w:rPr>
          <w:rFonts w:eastAsia="Calibri" w:cs="Times New Roman"/>
        </w:rPr>
        <w:t>.</w:t>
      </w:r>
    </w:p>
    <w:p w14:paraId="5256550A" w14:textId="77777777" w:rsidR="006B16C2" w:rsidRPr="006B16C2" w:rsidRDefault="006B16C2" w:rsidP="006B16C2">
      <w:pPr>
        <w:spacing w:before="200"/>
        <w:rPr>
          <w:rFonts w:eastAsia="Calibri" w:cs="Times New Roman"/>
        </w:rPr>
      </w:pPr>
      <w:r w:rsidRPr="006B16C2">
        <w:rPr>
          <w:rFonts w:eastAsia="Calibri" w:cs="Times New Roman"/>
        </w:rPr>
        <w:t>The following information provides supporting evidence for this assessment.</w:t>
      </w:r>
    </w:p>
    <w:p w14:paraId="55093E4B" w14:textId="4E6B75D5" w:rsidR="006B16C2" w:rsidRDefault="006B16C2" w:rsidP="006B16C2">
      <w:pPr>
        <w:pStyle w:val="ListBullet"/>
      </w:pPr>
      <w:r w:rsidRPr="006B16C2">
        <w:t xml:space="preserve">Tahitian lime fruit </w:t>
      </w:r>
      <w:r w:rsidR="00F94B9A">
        <w:t>c</w:t>
      </w:r>
      <w:r w:rsidRPr="006B16C2">
        <w:t>ould be distributed for sale to various destinations in Australia, although predominantly to the larger population centres. They may be distributed through large fresh produce wholesale markets and then to supermarkets or other sellers, or directly to smaller retailers</w:t>
      </w:r>
      <w:r w:rsidR="00F94B9A">
        <w:t>, and then</w:t>
      </w:r>
      <w:r w:rsidR="00E755AD">
        <w:t>ce</w:t>
      </w:r>
      <w:r w:rsidR="00F94B9A">
        <w:t xml:space="preserve"> to consumers</w:t>
      </w:r>
      <w:r w:rsidRPr="006B16C2">
        <w:t>.</w:t>
      </w:r>
    </w:p>
    <w:p w14:paraId="5EA79F08" w14:textId="44F5A93F" w:rsidR="006B16C2" w:rsidRPr="006B16C2" w:rsidDel="00767F92" w:rsidRDefault="00962213" w:rsidP="006B16C2">
      <w:pPr>
        <w:pStyle w:val="ListBullet"/>
      </w:pPr>
      <w:r w:rsidDel="00767F92">
        <w:t>Although</w:t>
      </w:r>
      <w:r w:rsidR="006B16C2" w:rsidRPr="006B16C2" w:rsidDel="00767F92">
        <w:t xml:space="preserve"> Tahitian lime fruit would be imported for human consumption, the fruit peel and waste fruit would be discarded. Most fruit waste discarded in urban areas is likely to be disposed of via municipal waste management systems and </w:t>
      </w:r>
      <w:r w:rsidR="00D0482E" w:rsidDel="00767F92">
        <w:t>likely</w:t>
      </w:r>
      <w:r w:rsidR="006B16C2" w:rsidRPr="006B16C2" w:rsidDel="00767F92">
        <w:t xml:space="preserve"> buried amongst other waste</w:t>
      </w:r>
      <w:r w:rsidR="007D6C63">
        <w:t>, minimising opportunities for dispersal of spores</w:t>
      </w:r>
      <w:r w:rsidR="006B16C2" w:rsidRPr="006B16C2" w:rsidDel="00767F92">
        <w:t>.</w:t>
      </w:r>
    </w:p>
    <w:p w14:paraId="1C853DB5" w14:textId="62928D47" w:rsidR="00016125" w:rsidRPr="00016125" w:rsidRDefault="00016125" w:rsidP="00016125">
      <w:pPr>
        <w:pStyle w:val="ListBullet"/>
      </w:pPr>
      <w:r w:rsidRPr="00016125">
        <w:rPr>
          <w:i/>
        </w:rPr>
        <w:t>Elsinoë fawcettii</w:t>
      </w:r>
      <w:r w:rsidRPr="00016125">
        <w:t xml:space="preserve"> only affects citrus species (including cumquats), but the range of hosts susceptible to the pathogen depends on the pathotype involved. M</w:t>
      </w:r>
      <w:r w:rsidR="002934C7">
        <w:t>any</w:t>
      </w:r>
      <w:r w:rsidR="00771AF2">
        <w:t>, but not all,</w:t>
      </w:r>
      <w:r w:rsidRPr="00016125">
        <w:t xml:space="preserve"> identified pathotypes have narrow host ranges (Timmer 2000</w:t>
      </w:r>
      <w:r w:rsidR="00771AF2">
        <w:t xml:space="preserve">; Hou </w:t>
      </w:r>
      <w:r w:rsidR="00771AF2" w:rsidRPr="00771AF2">
        <w:rPr>
          <w:i/>
        </w:rPr>
        <w:t>et al</w:t>
      </w:r>
      <w:r w:rsidR="00771AF2">
        <w:t>. 2014</w:t>
      </w:r>
      <w:r w:rsidRPr="00016125">
        <w:t>).</w:t>
      </w:r>
    </w:p>
    <w:p w14:paraId="2E7231E6" w14:textId="5E528BF2" w:rsidR="00016125" w:rsidRDefault="005310D6" w:rsidP="00016125">
      <w:pPr>
        <w:pStyle w:val="ListBullet"/>
      </w:pPr>
      <w:r w:rsidRPr="00016125">
        <w:t xml:space="preserve">For </w:t>
      </w:r>
      <w:r w:rsidR="00016125" w:rsidRPr="00016125">
        <w:t xml:space="preserve">transmission to a </w:t>
      </w:r>
      <w:r w:rsidRPr="00016125">
        <w:t>susceptible host</w:t>
      </w:r>
      <w:r w:rsidR="00016125" w:rsidRPr="00016125">
        <w:t xml:space="preserve"> to occur</w:t>
      </w:r>
      <w:r w:rsidRPr="00016125">
        <w:t>, the</w:t>
      </w:r>
      <w:r w:rsidR="00016125" w:rsidRPr="00016125">
        <w:t xml:space="preserve"> fruit</w:t>
      </w:r>
      <w:r w:rsidRPr="00016125">
        <w:t xml:space="preserve"> </w:t>
      </w:r>
      <w:r w:rsidR="00016125" w:rsidRPr="00016125">
        <w:t xml:space="preserve">would need to </w:t>
      </w:r>
      <w:r w:rsidRPr="00016125">
        <w:t xml:space="preserve">be placed in </w:t>
      </w:r>
      <w:r w:rsidR="00016125">
        <w:t>close proximity to</w:t>
      </w:r>
      <w:r w:rsidRPr="00016125">
        <w:t xml:space="preserve"> growing plants under conditions </w:t>
      </w:r>
      <w:r w:rsidR="00016125" w:rsidRPr="00016125">
        <w:t xml:space="preserve">conducive for </w:t>
      </w:r>
      <w:r w:rsidR="00016125">
        <w:t>spore</w:t>
      </w:r>
      <w:r w:rsidRPr="00016125">
        <w:t xml:space="preserve"> production and infection.</w:t>
      </w:r>
    </w:p>
    <w:p w14:paraId="2CAFD620" w14:textId="6DF0FDF3" w:rsidR="00767F92" w:rsidRPr="0059794F" w:rsidRDefault="00767F92" w:rsidP="00016125">
      <w:pPr>
        <w:pStyle w:val="ListBullet"/>
      </w:pPr>
      <w:r>
        <w:t>H</w:t>
      </w:r>
      <w:r w:rsidRPr="006B16C2">
        <w:t>yaline conidia (asexual spores) are produced in acervuli on the surface of the pustules. These spores are dispersed to the young leaves and fruit of susceptible hosts by rain splash (Timmer 2000). These conidia are fragile and die quickly if they are exposed to sunlight or dry conditions (Timmer 2000).</w:t>
      </w:r>
      <w:r w:rsidRPr="0059794F">
        <w:t xml:space="preserve"> </w:t>
      </w:r>
    </w:p>
    <w:p w14:paraId="537EBCC3" w14:textId="62A16598" w:rsidR="00767F92" w:rsidRPr="00767F92" w:rsidRDefault="00767F92" w:rsidP="00767F92">
      <w:pPr>
        <w:pStyle w:val="ListBullet"/>
      </w:pPr>
      <w:r w:rsidRPr="00767F92">
        <w:t>After a period of exposure to high humidity, spindle-shaped conidia may also be produced on the scab lesions</w:t>
      </w:r>
      <w:r w:rsidR="00D9707E">
        <w:t xml:space="preserve"> (Timmer 2000)</w:t>
      </w:r>
      <w:r w:rsidRPr="00767F92">
        <w:t>. These spindle-shaped conidia can be liberated and aerially dispersed by wind without requiring moisture. They can survive at least until the following night, when dew initiates germination (Whiteside 1975).</w:t>
      </w:r>
    </w:p>
    <w:p w14:paraId="401C6DF7" w14:textId="567892D8" w:rsidR="00767F92" w:rsidRPr="00767F92" w:rsidRDefault="00767F92" w:rsidP="00767F92">
      <w:pPr>
        <w:pStyle w:val="ListBullet"/>
      </w:pPr>
      <w:r w:rsidRPr="0059794F">
        <w:t xml:space="preserve">Fruit in the distribution chain are unlikely to be exposed to sufficient moisture to </w:t>
      </w:r>
      <w:r w:rsidR="001068CE">
        <w:t>stimulate</w:t>
      </w:r>
      <w:r w:rsidRPr="0059794F">
        <w:t xml:space="preserve"> conidia production and release</w:t>
      </w:r>
      <w:r>
        <w:t>, unless discarded in the environment</w:t>
      </w:r>
      <w:r w:rsidRPr="0059794F">
        <w:t>.</w:t>
      </w:r>
    </w:p>
    <w:p w14:paraId="1083A2C2" w14:textId="6AA656B9" w:rsidR="005310D6" w:rsidRPr="006B16C2" w:rsidRDefault="00767F92" w:rsidP="00016125">
      <w:pPr>
        <w:pStyle w:val="ListBullet"/>
      </w:pPr>
      <w:r>
        <w:t xml:space="preserve">Information on the ability of the pathogen to survive in the pustules on the peel </w:t>
      </w:r>
      <w:r w:rsidR="001068CE">
        <w:t xml:space="preserve">after harvest </w:t>
      </w:r>
      <w:r>
        <w:t>is not available. However, d</w:t>
      </w:r>
      <w:r w:rsidR="006B16C2" w:rsidRPr="006B16C2">
        <w:t>iscarded waste containing the fungus would be rapidly colonised by saprophytic microorganisms, reducing the likelihood that conidia would be produced on</w:t>
      </w:r>
      <w:r w:rsidR="0059794F">
        <w:t>,</w:t>
      </w:r>
      <w:r w:rsidR="006B16C2" w:rsidRPr="006B16C2">
        <w:t xml:space="preserve"> and dispersed from</w:t>
      </w:r>
      <w:r w:rsidR="0059794F">
        <w:t>,</w:t>
      </w:r>
      <w:r w:rsidR="006B16C2" w:rsidRPr="006B16C2">
        <w:t xml:space="preserve"> any infected fruit.</w:t>
      </w:r>
    </w:p>
    <w:p w14:paraId="3E5FA348" w14:textId="35EF6974" w:rsidR="006B16C2" w:rsidRPr="006B16C2" w:rsidRDefault="006B16C2" w:rsidP="006B16C2">
      <w:r w:rsidRPr="006B16C2">
        <w:t>The narrow host range</w:t>
      </w:r>
      <w:r w:rsidR="001F2240">
        <w:t>, fragile conidia with poor survival</w:t>
      </w:r>
      <w:r w:rsidRPr="006B16C2">
        <w:t xml:space="preserve"> </w:t>
      </w:r>
      <w:r w:rsidR="001F2240">
        <w:t>in adverse conditions</w:t>
      </w:r>
      <w:r w:rsidR="008B0B53">
        <w:t>,</w:t>
      </w:r>
      <w:r w:rsidR="001F2240">
        <w:t xml:space="preserve"> </w:t>
      </w:r>
      <w:r w:rsidRPr="006B16C2">
        <w:t xml:space="preserve">and specific </w:t>
      </w:r>
      <w:r w:rsidR="001F2240">
        <w:t>requirements</w:t>
      </w:r>
      <w:r w:rsidRPr="006B16C2">
        <w:t xml:space="preserve"> for </w:t>
      </w:r>
      <w:r w:rsidR="000A7F0C">
        <w:t>dispersal to susceptible parts of a new host plant</w:t>
      </w:r>
      <w:r w:rsidRPr="006B16C2">
        <w:t xml:space="preserve"> reduce the likelihood that viable conidia on imported Tahitian lime fruit would be dispersed to a susceptible host</w:t>
      </w:r>
      <w:r w:rsidR="00FD4160">
        <w:t>, which</w:t>
      </w:r>
      <w:r w:rsidR="00FD4160" w:rsidRPr="00FD4160">
        <w:rPr>
          <w:rFonts w:eastAsia="Calibri" w:cs="Times New Roman"/>
        </w:rPr>
        <w:t xml:space="preserve"> </w:t>
      </w:r>
      <w:r w:rsidR="00FD4160" w:rsidRPr="00FD4160">
        <w:t>support</w:t>
      </w:r>
      <w:r w:rsidR="00FD4160">
        <w:t>s</w:t>
      </w:r>
      <w:r w:rsidR="00FD4160" w:rsidRPr="00FD4160">
        <w:t xml:space="preserve"> a likelihood estimate for </w:t>
      </w:r>
      <w:r w:rsidR="00FD4160">
        <w:t>distribution</w:t>
      </w:r>
      <w:r w:rsidR="00FD4160" w:rsidRPr="00FD4160">
        <w:t xml:space="preserve"> of </w:t>
      </w:r>
      <w:r w:rsidR="00D9707E">
        <w:t>L</w:t>
      </w:r>
      <w:r w:rsidR="00FD4160">
        <w:t>ow</w:t>
      </w:r>
      <w:r w:rsidRPr="006B16C2">
        <w:t>.</w:t>
      </w:r>
    </w:p>
    <w:p w14:paraId="7607D419" w14:textId="77777777" w:rsidR="006B16C2" w:rsidRPr="006B16C2" w:rsidRDefault="006B16C2" w:rsidP="006B16C2">
      <w:pPr>
        <w:keepNext/>
        <w:keepLines/>
        <w:spacing w:before="120" w:line="240" w:lineRule="auto"/>
        <w:outlineLvl w:val="3"/>
        <w:rPr>
          <w:rFonts w:ascii="Calibri" w:eastAsia="Calibri" w:hAnsi="Calibri" w:cs="Times New Roman"/>
          <w:b/>
          <w:bCs/>
          <w:iCs/>
        </w:rPr>
      </w:pPr>
      <w:r w:rsidRPr="006B16C2">
        <w:rPr>
          <w:rFonts w:ascii="Calibri" w:eastAsia="Calibri" w:hAnsi="Calibri" w:cs="Times New Roman"/>
          <w:b/>
          <w:bCs/>
          <w:iCs/>
        </w:rPr>
        <w:t>Overall likelihood of entry (importation x distribution)</w:t>
      </w:r>
    </w:p>
    <w:p w14:paraId="2560C635" w14:textId="60352876"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Pr="006B16C2">
        <w:rPr>
          <w:rFonts w:eastAsia="Calibri" w:cs="Times New Roman"/>
          <w:i/>
        </w:rPr>
        <w:t xml:space="preserve">Elsinoë fawcettii </w:t>
      </w:r>
      <w:r w:rsidRPr="006B16C2">
        <w:rPr>
          <w:rFonts w:eastAsia="Calibri" w:cs="Times New Roman"/>
        </w:rPr>
        <w:t>will enter Australia and be distributed in a viable state to a suitable host, as a result of trade in Tahitian limes from any country where this pest is present,</w:t>
      </w:r>
      <w:r w:rsidRPr="006B16C2">
        <w:rPr>
          <w:rFonts w:eastAsia="Calibri" w:cs="Times New Roman"/>
          <w:i/>
        </w:rPr>
        <w:t xml:space="preserve"> </w:t>
      </w:r>
      <w:r w:rsidRPr="006B16C2">
        <w:rPr>
          <w:rFonts w:eastAsia="Calibri" w:cs="Times New Roman"/>
        </w:rPr>
        <w:t>is</w:t>
      </w:r>
      <w:r w:rsidR="00D9707E">
        <w:rPr>
          <w:rFonts w:eastAsia="Calibri" w:cs="Times New Roman"/>
        </w:rPr>
        <w:t xml:space="preserve"> assessed as</w:t>
      </w:r>
      <w:r w:rsidRPr="006B16C2">
        <w:rPr>
          <w:rFonts w:eastAsia="Calibri" w:cs="Times New Roman"/>
        </w:rPr>
        <w:t xml:space="preserve"> </w:t>
      </w:r>
      <w:r w:rsidR="002F7B3E">
        <w:rPr>
          <w:rFonts w:eastAsia="Calibri" w:cs="Times New Roman"/>
        </w:rPr>
        <w:t>L</w:t>
      </w:r>
      <w:r w:rsidRPr="00DC2BB3">
        <w:rPr>
          <w:rFonts w:eastAsia="Calibri" w:cs="Times New Roman"/>
        </w:rPr>
        <w:t>ow</w:t>
      </w:r>
      <w:r w:rsidRPr="006B16C2">
        <w:rPr>
          <w:rFonts w:eastAsia="Calibri" w:cs="Times New Roman"/>
        </w:rPr>
        <w:t>.</w:t>
      </w:r>
    </w:p>
    <w:p w14:paraId="0CA0B44D"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Likelihood of establishment</w:t>
      </w:r>
    </w:p>
    <w:p w14:paraId="0C31A7AC" w14:textId="3B36E193"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0332AE">
        <w:rPr>
          <w:rFonts w:eastAsia="Calibri" w:cs="Times New Roman"/>
        </w:rPr>
        <w:t xml:space="preserve">exotic pathotypes of </w:t>
      </w:r>
      <w:r w:rsidR="00377386" w:rsidRPr="00377386">
        <w:rPr>
          <w:rFonts w:eastAsia="Calibri" w:cs="Times New Roman"/>
          <w:i/>
        </w:rPr>
        <w:t xml:space="preserve">Elsinoë fawcettii </w:t>
      </w:r>
      <w:r w:rsidRPr="006B16C2">
        <w:rPr>
          <w:rFonts w:eastAsia="Calibri" w:cs="Times New Roman"/>
        </w:rPr>
        <w:t xml:space="preserve">will establish in </w:t>
      </w:r>
      <w:r w:rsidR="000332AE">
        <w:rPr>
          <w:rFonts w:eastAsia="Calibri" w:cs="Times New Roman"/>
        </w:rPr>
        <w:t>A</w:t>
      </w:r>
      <w:r w:rsidRPr="006B16C2">
        <w:rPr>
          <w:rFonts w:eastAsia="Calibri" w:cs="Times New Roman"/>
        </w:rPr>
        <w:t>ustralia, based on a comparison of factors in the source and destination areas that affect pest survival and reproduction, is</w:t>
      </w:r>
      <w:r w:rsidR="00D9707E">
        <w:rPr>
          <w:rFonts w:eastAsia="Calibri" w:cs="Times New Roman"/>
        </w:rPr>
        <w:t xml:space="preserve"> assessed as</w:t>
      </w:r>
      <w:r w:rsidRPr="006B16C2">
        <w:rPr>
          <w:rFonts w:eastAsia="Calibri" w:cs="Times New Roman"/>
        </w:rPr>
        <w:t xml:space="preserve"> </w:t>
      </w:r>
      <w:r w:rsidR="00145DCA">
        <w:rPr>
          <w:rFonts w:eastAsia="Calibri" w:cs="Times New Roman"/>
        </w:rPr>
        <w:t>M</w:t>
      </w:r>
      <w:r w:rsidRPr="00DC2BB3">
        <w:rPr>
          <w:rFonts w:eastAsia="Calibri" w:cs="Times New Roman"/>
        </w:rPr>
        <w:t>oderate</w:t>
      </w:r>
      <w:r w:rsidRPr="006B16C2">
        <w:rPr>
          <w:rFonts w:eastAsia="Calibri" w:cs="Times New Roman"/>
        </w:rPr>
        <w:t>.</w:t>
      </w:r>
    </w:p>
    <w:p w14:paraId="67FA1FB7" w14:textId="77777777" w:rsidR="006B16C2" w:rsidRPr="006B16C2" w:rsidRDefault="006B16C2" w:rsidP="006B16C2">
      <w:pPr>
        <w:spacing w:before="200"/>
        <w:rPr>
          <w:rFonts w:eastAsia="Calibri" w:cs="Times New Roman"/>
        </w:rPr>
      </w:pPr>
      <w:r w:rsidRPr="006B16C2">
        <w:rPr>
          <w:rFonts w:eastAsia="Calibri" w:cs="Times New Roman"/>
        </w:rPr>
        <w:t>The following information provides supporting evidence for this assessment.</w:t>
      </w:r>
    </w:p>
    <w:p w14:paraId="019F8C19" w14:textId="77777777" w:rsidR="000A7F0C" w:rsidRPr="000A7F0C" w:rsidRDefault="000A7F0C" w:rsidP="000A7F0C">
      <w:pPr>
        <w:pStyle w:val="ListBullet"/>
      </w:pPr>
      <w:r w:rsidRPr="000A7F0C">
        <w:t>Only young leaves and fruit are susceptible to infection. Leaves are most susceptible just after emergence, while young fruit are susceptible to infection for 6–8 weeks after petal fall (Timmer 2000).</w:t>
      </w:r>
    </w:p>
    <w:p w14:paraId="60CE3BAD" w14:textId="592B1C04" w:rsidR="006B16C2" w:rsidRPr="00E755AD" w:rsidRDefault="000A7F0C" w:rsidP="00DC2BB3">
      <w:pPr>
        <w:pStyle w:val="ListBullet"/>
      </w:pPr>
      <w:r>
        <w:t>Plants</w:t>
      </w:r>
      <w:r w:rsidR="006B16C2" w:rsidRPr="006B16C2">
        <w:t xml:space="preserve"> are only susceptible to infection under specific conditions. Infection requires at least 2–3 hours of </w:t>
      </w:r>
      <w:r w:rsidR="00F94B9A">
        <w:t>exposure to high humidity</w:t>
      </w:r>
      <w:r w:rsidR="006B16C2" w:rsidRPr="006B16C2">
        <w:t xml:space="preserve"> (including dew or fog), but the amount of infection will increase with longer periods of wetness (Timmer 2000; </w:t>
      </w:r>
      <w:r w:rsidR="00986C86">
        <w:t xml:space="preserve">Agostini </w:t>
      </w:r>
      <w:r w:rsidR="00986C86" w:rsidRPr="00986C86">
        <w:rPr>
          <w:i/>
        </w:rPr>
        <w:t>et al</w:t>
      </w:r>
      <w:r w:rsidR="00986C86">
        <w:t>. 2003</w:t>
      </w:r>
      <w:r w:rsidR="006B16C2" w:rsidRPr="00E755AD">
        <w:t>).</w:t>
      </w:r>
    </w:p>
    <w:p w14:paraId="62D43636" w14:textId="1F2F305B" w:rsidR="006B16C2" w:rsidRPr="00E755AD" w:rsidRDefault="00986C86" w:rsidP="00DC2BB3">
      <w:pPr>
        <w:pStyle w:val="ListBullet"/>
      </w:pPr>
      <w:r>
        <w:t>T</w:t>
      </w:r>
      <w:r w:rsidRPr="00986C86">
        <w:t xml:space="preserve">he optimal range for infection and development of citrus scab </w:t>
      </w:r>
      <w:r w:rsidR="004F6B9C">
        <w:t xml:space="preserve">has been reported as </w:t>
      </w:r>
      <w:r w:rsidRPr="00986C86">
        <w:t xml:space="preserve">23.5 to 27 °C (Agostini </w:t>
      </w:r>
      <w:r w:rsidRPr="00986C86">
        <w:rPr>
          <w:i/>
        </w:rPr>
        <w:t>et al</w:t>
      </w:r>
      <w:r w:rsidRPr="00986C86">
        <w:t>. 2003)</w:t>
      </w:r>
      <w:r>
        <w:t>, although i</w:t>
      </w:r>
      <w:r w:rsidR="006B16C2" w:rsidRPr="00E755AD">
        <w:t xml:space="preserve">nfection </w:t>
      </w:r>
      <w:r>
        <w:t>can</w:t>
      </w:r>
      <w:r w:rsidR="006B16C2" w:rsidRPr="00E755AD">
        <w:t xml:space="preserve"> occur at temperatures between 1</w:t>
      </w:r>
      <w:r>
        <w:t>6</w:t>
      </w:r>
      <w:r w:rsidR="006B16C2" w:rsidRPr="00E755AD">
        <w:t xml:space="preserve"> °C and </w:t>
      </w:r>
      <w:r>
        <w:t>32</w:t>
      </w:r>
      <w:r w:rsidR="006B16C2" w:rsidRPr="00E755AD">
        <w:t xml:space="preserve"> °C</w:t>
      </w:r>
      <w:r>
        <w:t xml:space="preserve"> (Whiteside 1975). Conidia production and germination markedly declined at temperatures above 30 °C</w:t>
      </w:r>
      <w:r w:rsidR="006B16C2" w:rsidRPr="00E755AD">
        <w:t xml:space="preserve"> (</w:t>
      </w:r>
      <w:r>
        <w:t>Whiteside 1975</w:t>
      </w:r>
      <w:r w:rsidR="006B16C2" w:rsidRPr="00E755AD">
        <w:t>).</w:t>
      </w:r>
    </w:p>
    <w:p w14:paraId="02309D2C" w14:textId="77777777" w:rsidR="006B16C2" w:rsidRPr="00221334" w:rsidRDefault="006B16C2" w:rsidP="00DC2BB3">
      <w:pPr>
        <w:pStyle w:val="ListBullet"/>
      </w:pPr>
      <w:r w:rsidRPr="00221334">
        <w:t>Conidia are fragile and susceptible to desiccation. If the conditions are not suitable for infection, the conidia are unlikely to persist in the environment and will die.</w:t>
      </w:r>
    </w:p>
    <w:p w14:paraId="1E0A5583" w14:textId="0BFE04D6" w:rsidR="006B16C2" w:rsidRPr="006B16C2" w:rsidRDefault="006B16C2" w:rsidP="00DC2BB3">
      <w:pPr>
        <w:pStyle w:val="ListBullet"/>
      </w:pPr>
      <w:r w:rsidRPr="00221334">
        <w:t>Citrus scab usually does not establish in areas of low rainfall (less than 1300 millimetres) and hot long summers (mean monthly temperature above 24 °C) (Smith</w:t>
      </w:r>
      <w:r w:rsidR="00E755AD" w:rsidRPr="00E755AD">
        <w:t xml:space="preserve"> IM</w:t>
      </w:r>
      <w:r w:rsidRPr="00E755AD">
        <w:t xml:space="preserve"> </w:t>
      </w:r>
      <w:r w:rsidRPr="00E755AD">
        <w:rPr>
          <w:i/>
        </w:rPr>
        <w:t>et al</w:t>
      </w:r>
      <w:r w:rsidRPr="00E755AD">
        <w:t>. 1997</w:t>
      </w:r>
      <w:r w:rsidRPr="006B16C2">
        <w:t>), so establishment is unlikely to occur in many parts of Australia.</w:t>
      </w:r>
    </w:p>
    <w:p w14:paraId="0D7F42BC" w14:textId="2B0C3ADE" w:rsidR="006B16C2" w:rsidRDefault="006B16C2" w:rsidP="00DC2BB3">
      <w:pPr>
        <w:pStyle w:val="ListBullet"/>
      </w:pPr>
      <w:r w:rsidRPr="006B16C2">
        <w:t xml:space="preserve">Establishment </w:t>
      </w:r>
      <w:r w:rsidR="00EE6030">
        <w:t xml:space="preserve">of exotic pathotypes </w:t>
      </w:r>
      <w:r w:rsidR="004E020D">
        <w:t>may</w:t>
      </w:r>
      <w:r w:rsidRPr="006B16C2">
        <w:t xml:space="preserve"> be possible in some areas of Australia where suitable temperature and humidity conditions prevail (wet subtropics, cooler tropics).</w:t>
      </w:r>
    </w:p>
    <w:p w14:paraId="662FDCFE" w14:textId="43230CAF" w:rsidR="000A7F0C" w:rsidRPr="006B16C2" w:rsidRDefault="000A7F0C" w:rsidP="000A7F0C">
      <w:pPr>
        <w:pStyle w:val="ListBullet"/>
        <w:numPr>
          <w:ilvl w:val="0"/>
          <w:numId w:val="0"/>
        </w:numPr>
      </w:pPr>
      <w:r>
        <w:t>The limited developmental stages in which hosts are most susceptible</w:t>
      </w:r>
      <w:r w:rsidR="00A858C4">
        <w:t>,</w:t>
      </w:r>
      <w:r>
        <w:t xml:space="preserve"> and </w:t>
      </w:r>
      <w:r w:rsidR="00A858C4">
        <w:t xml:space="preserve">the </w:t>
      </w:r>
      <w:r>
        <w:t xml:space="preserve">specific weather conditions </w:t>
      </w:r>
      <w:r w:rsidR="00802087">
        <w:t xml:space="preserve">required </w:t>
      </w:r>
      <w:r w:rsidR="001F2240">
        <w:t xml:space="preserve">for infection </w:t>
      </w:r>
      <w:r w:rsidR="00A858C4">
        <w:t xml:space="preserve">to occur </w:t>
      </w:r>
      <w:r w:rsidR="001F2240">
        <w:t xml:space="preserve">support a </w:t>
      </w:r>
      <w:r w:rsidR="001F2240" w:rsidRPr="001F2240">
        <w:t xml:space="preserve">likelihood estimate for </w:t>
      </w:r>
      <w:r w:rsidR="001F2240">
        <w:t>establishment</w:t>
      </w:r>
      <w:r w:rsidR="001F2240" w:rsidRPr="001F2240">
        <w:t xml:space="preserve"> of </w:t>
      </w:r>
      <w:r w:rsidR="002934C7">
        <w:t>M</w:t>
      </w:r>
      <w:r w:rsidR="001F2240">
        <w:t>oderate</w:t>
      </w:r>
      <w:r w:rsidR="00A858C4">
        <w:t>.</w:t>
      </w:r>
    </w:p>
    <w:p w14:paraId="553DED0A"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Likelihood of spread</w:t>
      </w:r>
    </w:p>
    <w:p w14:paraId="43BB80A2" w14:textId="705EE5B4"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EE6030">
        <w:rPr>
          <w:rFonts w:eastAsia="Calibri" w:cs="Times New Roman"/>
        </w:rPr>
        <w:t xml:space="preserve">exotic pathotypes of </w:t>
      </w:r>
      <w:r w:rsidR="00DC2BB3" w:rsidRPr="00DC2BB3">
        <w:rPr>
          <w:rFonts w:eastAsia="Calibri" w:cs="Times New Roman"/>
          <w:i/>
        </w:rPr>
        <w:t xml:space="preserve">Elsinoë fawcettii </w:t>
      </w:r>
      <w:r w:rsidRPr="006B16C2">
        <w:rPr>
          <w:rFonts w:eastAsia="Calibri" w:cs="Times New Roman"/>
        </w:rPr>
        <w:t>will spread in Australia, based on a comparison of factors in the area of origin and in Australia that affect the expansion of the geographic distribution of this pest, is</w:t>
      </w:r>
      <w:r w:rsidR="00D9707E">
        <w:rPr>
          <w:rFonts w:eastAsia="Calibri" w:cs="Times New Roman"/>
        </w:rPr>
        <w:t xml:space="preserve"> assessed as</w:t>
      </w:r>
      <w:r w:rsidRPr="006B16C2">
        <w:rPr>
          <w:rFonts w:eastAsia="Calibri" w:cs="Times New Roman"/>
        </w:rPr>
        <w:t xml:space="preserve"> </w:t>
      </w:r>
      <w:r w:rsidR="00145DCA">
        <w:rPr>
          <w:rFonts w:eastAsia="Calibri" w:cs="Times New Roman"/>
        </w:rPr>
        <w:t>M</w:t>
      </w:r>
      <w:r w:rsidRPr="00DC2BB3">
        <w:rPr>
          <w:rFonts w:eastAsia="Calibri" w:cs="Times New Roman"/>
        </w:rPr>
        <w:t>oderate</w:t>
      </w:r>
      <w:r w:rsidRPr="006B16C2">
        <w:rPr>
          <w:rFonts w:eastAsia="Calibri" w:cs="Times New Roman"/>
        </w:rPr>
        <w:t>.</w:t>
      </w:r>
    </w:p>
    <w:p w14:paraId="0B42A531" w14:textId="77777777" w:rsidR="006B16C2" w:rsidRPr="006B16C2" w:rsidRDefault="006B16C2" w:rsidP="006B16C2">
      <w:pPr>
        <w:spacing w:before="200"/>
        <w:rPr>
          <w:rFonts w:eastAsia="Calibri" w:cs="Times New Roman"/>
        </w:rPr>
      </w:pPr>
      <w:r w:rsidRPr="006B16C2">
        <w:rPr>
          <w:rFonts w:eastAsia="Calibri" w:cs="Times New Roman"/>
        </w:rPr>
        <w:t>The following information provides supporting evidence for this assessment.</w:t>
      </w:r>
    </w:p>
    <w:p w14:paraId="16C7F037" w14:textId="5A55E7AE" w:rsidR="00FE0B09" w:rsidRPr="006B16C2" w:rsidRDefault="00FE0B09" w:rsidP="00FE0B09">
      <w:pPr>
        <w:pStyle w:val="ListBullet"/>
      </w:pPr>
      <w:r w:rsidRPr="006B16C2">
        <w:t xml:space="preserve">Long distance dispersal </w:t>
      </w:r>
      <w:r w:rsidR="00F367BE">
        <w:t xml:space="preserve">could </w:t>
      </w:r>
      <w:r w:rsidRPr="006B16C2">
        <w:t>occur via movement of infe</w:t>
      </w:r>
      <w:r w:rsidR="00915B15">
        <w:t>c</w:t>
      </w:r>
      <w:r w:rsidRPr="006B16C2">
        <w:t xml:space="preserve">ted nursery stock (Timmer 2000). </w:t>
      </w:r>
      <w:r w:rsidR="00187190">
        <w:t>Infected citrus n</w:t>
      </w:r>
      <w:r w:rsidRPr="006B16C2">
        <w:t>ursery stock could be widely distributed in Australia</w:t>
      </w:r>
      <w:r w:rsidR="00165B8A">
        <w:t>, thereby introducing citrus scab to new areas</w:t>
      </w:r>
      <w:r w:rsidRPr="006B16C2">
        <w:t>.</w:t>
      </w:r>
    </w:p>
    <w:p w14:paraId="0F57364A" w14:textId="4C241AE5" w:rsidR="00EB254C" w:rsidRPr="006B16C2" w:rsidRDefault="00EB254C" w:rsidP="00EB254C">
      <w:pPr>
        <w:pStyle w:val="ListBullet"/>
      </w:pPr>
      <w:r w:rsidRPr="006B16C2">
        <w:t xml:space="preserve">Natural spread would be slow and localised. Plants in the Rutaceae family (mostly </w:t>
      </w:r>
      <w:r w:rsidRPr="006B16C2">
        <w:rPr>
          <w:i/>
        </w:rPr>
        <w:t>Citrus</w:t>
      </w:r>
      <w:r w:rsidRPr="006B16C2">
        <w:t xml:space="preserve"> spp.) are the only known hosts. Citrus scab tends to be localised, with disease incidence varying considerably between neighbouring trees (Whiteside 1975).</w:t>
      </w:r>
    </w:p>
    <w:p w14:paraId="1FCA733A" w14:textId="77777777" w:rsidR="006B16C2" w:rsidRPr="006B16C2" w:rsidRDefault="006B16C2" w:rsidP="00DC2BB3">
      <w:pPr>
        <w:pStyle w:val="ListBullet"/>
      </w:pPr>
      <w:r w:rsidRPr="006B16C2">
        <w:t>Dissemination mostly occurs by conidia in rain splash (Whiteside 1975). Air-borne water droplets carrying splash-liberated inoculum can be carried by the wind for short distances (Whiteside 1975).</w:t>
      </w:r>
    </w:p>
    <w:p w14:paraId="34B33058" w14:textId="658305B1" w:rsidR="006B16C2" w:rsidRDefault="006B16C2" w:rsidP="00DC2BB3">
      <w:pPr>
        <w:pStyle w:val="ListBullet"/>
      </w:pPr>
      <w:r w:rsidRPr="006B16C2">
        <w:t>Dry airborne dispersal of spindle-shaped conidia may be responsible for more distant dispersal than airborne water droplets, but it is not clear if th</w:t>
      </w:r>
      <w:r w:rsidR="00780956">
        <w:t>is</w:t>
      </w:r>
      <w:r w:rsidRPr="006B16C2">
        <w:t xml:space="preserve"> is epidemiologically significant in causing scab epidemics (Whiteside 1975).</w:t>
      </w:r>
    </w:p>
    <w:p w14:paraId="59526341" w14:textId="02C2A4A2" w:rsidR="00ED44FF" w:rsidRPr="006B16C2" w:rsidRDefault="00ED44FF" w:rsidP="00ED44FF">
      <w:pPr>
        <w:pStyle w:val="ListBullet"/>
      </w:pPr>
      <w:r w:rsidRPr="00EB254C">
        <w:t>The disease does not establish, or is of little importance, in citrus growing areas with a dry climate (</w:t>
      </w:r>
      <w:r w:rsidRPr="00C03089">
        <w:t xml:space="preserve">Smith </w:t>
      </w:r>
      <w:r w:rsidR="00C03089" w:rsidRPr="00C03089">
        <w:t xml:space="preserve">IM </w:t>
      </w:r>
      <w:r w:rsidRPr="00C03089">
        <w:rPr>
          <w:i/>
        </w:rPr>
        <w:t>et al</w:t>
      </w:r>
      <w:r w:rsidRPr="00C03089">
        <w:t>. 1997</w:t>
      </w:r>
      <w:r w:rsidRPr="00EB254C">
        <w:t>)</w:t>
      </w:r>
      <w:r>
        <w:t>, which suggests spread would be moderated by climatic factors</w:t>
      </w:r>
      <w:r w:rsidRPr="00EB254C">
        <w:t>.</w:t>
      </w:r>
    </w:p>
    <w:p w14:paraId="48B692CC" w14:textId="45270FAF" w:rsidR="006B16C2" w:rsidRDefault="00377386" w:rsidP="00DC2BB3">
      <w:pPr>
        <w:pStyle w:val="ListBullet"/>
      </w:pPr>
      <w:r w:rsidRPr="00377386">
        <w:rPr>
          <w:i/>
        </w:rPr>
        <w:t xml:space="preserve">Elsinoë fawcettii </w:t>
      </w:r>
      <w:r w:rsidR="006B16C2" w:rsidRPr="006B16C2">
        <w:t>already has a wide distribution in coastal regions of eastern Australia</w:t>
      </w:r>
      <w:r w:rsidR="00EB254C">
        <w:t xml:space="preserve">, so similar spread could be anticipated </w:t>
      </w:r>
      <w:r w:rsidR="00EE6030">
        <w:t>for exotic pathotypes</w:t>
      </w:r>
      <w:r w:rsidR="006B16C2" w:rsidRPr="006B16C2">
        <w:t>.</w:t>
      </w:r>
    </w:p>
    <w:p w14:paraId="1F2A8250" w14:textId="0874A61C" w:rsidR="00EB254C" w:rsidRPr="006B16C2" w:rsidRDefault="00915B15" w:rsidP="00EB254C">
      <w:pPr>
        <w:pStyle w:val="ListBullet"/>
        <w:numPr>
          <w:ilvl w:val="0"/>
          <w:numId w:val="0"/>
        </w:numPr>
      </w:pPr>
      <w:r>
        <w:t>While natural spread of citrus scab will be limited, it</w:t>
      </w:r>
      <w:r w:rsidR="00ED44FF">
        <w:t xml:space="preserve"> </w:t>
      </w:r>
      <w:r w:rsidR="00780956">
        <w:t>could</w:t>
      </w:r>
      <w:r>
        <w:t xml:space="preserve"> potentially </w:t>
      </w:r>
      <w:r w:rsidR="00FE0B09">
        <w:t>be</w:t>
      </w:r>
      <w:r w:rsidR="00ED44FF">
        <w:t xml:space="preserve"> spread </w:t>
      </w:r>
      <w:r>
        <w:t xml:space="preserve">widely </w:t>
      </w:r>
      <w:r w:rsidR="00ED44FF">
        <w:t>by movement of infe</w:t>
      </w:r>
      <w:r>
        <w:t>c</w:t>
      </w:r>
      <w:r w:rsidR="00ED44FF">
        <w:t>ted nursery stock to new localities</w:t>
      </w:r>
      <w:r w:rsidR="00780956">
        <w:t>;</w:t>
      </w:r>
      <w:r>
        <w:t xml:space="preserve"> </w:t>
      </w:r>
      <w:r w:rsidR="00780956">
        <w:t>conversely, spread</w:t>
      </w:r>
      <w:r>
        <w:t xml:space="preserve"> </w:t>
      </w:r>
      <w:r w:rsidR="008A2F7D">
        <w:t xml:space="preserve">will be </w:t>
      </w:r>
      <w:r>
        <w:t xml:space="preserve">moderated </w:t>
      </w:r>
      <w:r w:rsidR="008A2F7D">
        <w:t>by local climatic conditions</w:t>
      </w:r>
      <w:r>
        <w:t xml:space="preserve"> that will affect survival of the pathogen. This </w:t>
      </w:r>
      <w:r w:rsidR="00EB254C" w:rsidRPr="00EB254C">
        <w:t>support</w:t>
      </w:r>
      <w:r>
        <w:t>s</w:t>
      </w:r>
      <w:r w:rsidR="00EB254C" w:rsidRPr="00EB254C">
        <w:t xml:space="preserve"> a likelihood estimate for </w:t>
      </w:r>
      <w:r w:rsidR="00EB254C">
        <w:t>spread</w:t>
      </w:r>
      <w:r w:rsidR="00EB254C" w:rsidRPr="00EB254C">
        <w:t xml:space="preserve"> of </w:t>
      </w:r>
      <w:r w:rsidR="00D9707E">
        <w:t>M</w:t>
      </w:r>
      <w:r w:rsidR="00EB254C" w:rsidRPr="00EB254C">
        <w:t>oderate.</w:t>
      </w:r>
    </w:p>
    <w:p w14:paraId="3CD6079C"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Overall likelihood of entry, establishment and spread</w:t>
      </w:r>
    </w:p>
    <w:p w14:paraId="79EECF9F" w14:textId="0F2050D5" w:rsidR="006B16C2" w:rsidRPr="006B16C2" w:rsidRDefault="006B16C2" w:rsidP="006B16C2">
      <w:pPr>
        <w:spacing w:before="200"/>
        <w:rPr>
          <w:rFonts w:eastAsia="Calibri" w:cs="Times New Roman"/>
        </w:rPr>
      </w:pPr>
      <w:r w:rsidRPr="006B16C2">
        <w:rPr>
          <w:rFonts w:eastAsia="Calibri" w:cs="Times New Roman"/>
        </w:rPr>
        <w:t xml:space="preserve">The likelihood that </w:t>
      </w:r>
      <w:r w:rsidR="00EE6030">
        <w:rPr>
          <w:rFonts w:eastAsia="Calibri" w:cs="Times New Roman"/>
        </w:rPr>
        <w:t xml:space="preserve">exotic pathotypes of </w:t>
      </w:r>
      <w:r w:rsidR="00DC2BB3" w:rsidRPr="00DC2BB3">
        <w:rPr>
          <w:rFonts w:eastAsia="Calibri" w:cs="Times New Roman"/>
          <w:i/>
        </w:rPr>
        <w:t>Elsinoë fawcettii</w:t>
      </w:r>
      <w:r w:rsidRPr="006B16C2">
        <w:rPr>
          <w:rFonts w:eastAsia="Calibri" w:cs="Times New Roman"/>
        </w:rPr>
        <w:t xml:space="preserve"> will enter Australia as a result of trade in Tahitian limes from any country where </w:t>
      </w:r>
      <w:r w:rsidR="007F01A3">
        <w:rPr>
          <w:rFonts w:eastAsia="Calibri" w:cs="Times New Roman"/>
        </w:rPr>
        <w:t>th</w:t>
      </w:r>
      <w:r w:rsidRPr="006B16C2">
        <w:rPr>
          <w:rFonts w:eastAsia="Calibri" w:cs="Times New Roman"/>
        </w:rPr>
        <w:t>is pest is present, be distributed in a viable state to suitable hosts, establish in that area and subsequently spread within Australia, is</w:t>
      </w:r>
      <w:r w:rsidR="00D9707E">
        <w:rPr>
          <w:rFonts w:eastAsia="Calibri" w:cs="Times New Roman"/>
        </w:rPr>
        <w:t xml:space="preserve"> assessed as</w:t>
      </w:r>
      <w:r w:rsidRPr="006B16C2">
        <w:rPr>
          <w:rFonts w:eastAsia="Calibri" w:cs="Times New Roman"/>
        </w:rPr>
        <w:t xml:space="preserve"> </w:t>
      </w:r>
      <w:r w:rsidR="002F7B3E">
        <w:rPr>
          <w:rFonts w:eastAsia="Calibri" w:cs="Times New Roman"/>
        </w:rPr>
        <w:t>L</w:t>
      </w:r>
      <w:r w:rsidRPr="004E020D">
        <w:rPr>
          <w:rFonts w:eastAsia="Calibri" w:cs="Times New Roman"/>
        </w:rPr>
        <w:t>ow.</w:t>
      </w:r>
    </w:p>
    <w:p w14:paraId="59A012CD"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Consequences</w:t>
      </w:r>
    </w:p>
    <w:p w14:paraId="6CFE2F0B" w14:textId="72279D4A" w:rsidR="004C0FEF" w:rsidRDefault="004C0FEF" w:rsidP="004C0FEF">
      <w:r>
        <w:t xml:space="preserve">The potential consequences of the establishment of </w:t>
      </w:r>
      <w:r w:rsidRPr="00377386">
        <w:rPr>
          <w:rFonts w:eastAsia="Calibri" w:cs="Times New Roman"/>
          <w:i/>
        </w:rPr>
        <w:t>Elsinoë fawcettii</w:t>
      </w:r>
      <w:r w:rsidRPr="004C0FEF">
        <w:rPr>
          <w:i/>
        </w:rPr>
        <w:t xml:space="preserve"> </w:t>
      </w:r>
      <w:r>
        <w:t>in Australia have been estimated according to the methods described in</w:t>
      </w:r>
      <w:r w:rsidR="00DD5CB0">
        <w:t xml:space="preserve"> Table 2.3</w:t>
      </w:r>
      <w:r>
        <w:t>.</w:t>
      </w:r>
    </w:p>
    <w:p w14:paraId="6E5F9A66" w14:textId="65C9B765" w:rsidR="004C0FEF" w:rsidRDefault="004C0FEF" w:rsidP="004C0FEF">
      <w:pPr>
        <w:spacing w:before="200"/>
      </w:pPr>
      <w:r>
        <w:t>Based on the decision rules described in</w:t>
      </w:r>
      <w:r w:rsidR="00DD5CB0">
        <w:t xml:space="preserve"> Table 2.4</w:t>
      </w:r>
      <w:r>
        <w:t xml:space="preserve">, the overall consequences are estimated to be </w:t>
      </w:r>
      <w:r w:rsidRPr="007A520B">
        <w:t>Low</w:t>
      </w:r>
      <w:r>
        <w:t>.</w:t>
      </w:r>
    </w:p>
    <w:p w14:paraId="53BACF72" w14:textId="77777777" w:rsidR="002934C7" w:rsidRDefault="002934C7" w:rsidP="004C0FEF">
      <w:pPr>
        <w:spacing w:before="200"/>
        <w:rPr>
          <w:rFonts w:eastAsia="Calibri" w:cs="Times New Roman"/>
        </w:rPr>
      </w:pPr>
    </w:p>
    <w:tbl>
      <w:tblPr>
        <w:tblW w:w="4864" w:type="pct"/>
        <w:tblBorders>
          <w:top w:val="single" w:sz="4" w:space="0" w:color="auto"/>
          <w:bottom w:val="single" w:sz="4" w:space="0" w:color="auto"/>
        </w:tblBorders>
        <w:tblLook w:val="04A0" w:firstRow="1" w:lastRow="0" w:firstColumn="1" w:lastColumn="0" w:noHBand="0" w:noVBand="1"/>
      </w:tblPr>
      <w:tblGrid>
        <w:gridCol w:w="2737"/>
        <w:gridCol w:w="6086"/>
      </w:tblGrid>
      <w:tr w:rsidR="006B16C2" w:rsidRPr="006B16C2" w14:paraId="11EAAB92" w14:textId="77777777" w:rsidTr="006B16C2">
        <w:tc>
          <w:tcPr>
            <w:tcW w:w="1551" w:type="pct"/>
            <w:tcBorders>
              <w:top w:val="single" w:sz="4" w:space="0" w:color="auto"/>
              <w:bottom w:val="single" w:sz="4" w:space="0" w:color="D9D9D9"/>
            </w:tcBorders>
          </w:tcPr>
          <w:p w14:paraId="4BB89BEE" w14:textId="77777777" w:rsidR="006B16C2" w:rsidRPr="006B16C2" w:rsidRDefault="006B16C2" w:rsidP="00DC2BB3">
            <w:pPr>
              <w:keepNext/>
              <w:spacing w:before="60" w:after="60" w:line="240" w:lineRule="auto"/>
              <w:rPr>
                <w:rFonts w:eastAsia="Calibri" w:cs="Times New Roman"/>
                <w:b/>
                <w:sz w:val="18"/>
              </w:rPr>
            </w:pPr>
            <w:r w:rsidRPr="006B16C2">
              <w:rPr>
                <w:rFonts w:eastAsia="Calibri" w:cs="Times New Roman"/>
                <w:b/>
                <w:sz w:val="18"/>
              </w:rPr>
              <w:t>Criterion</w:t>
            </w:r>
          </w:p>
        </w:tc>
        <w:tc>
          <w:tcPr>
            <w:tcW w:w="3449" w:type="pct"/>
            <w:tcBorders>
              <w:top w:val="single" w:sz="4" w:space="0" w:color="auto"/>
              <w:bottom w:val="single" w:sz="4" w:space="0" w:color="D9D9D9"/>
            </w:tcBorders>
          </w:tcPr>
          <w:p w14:paraId="0442CE22" w14:textId="77777777" w:rsidR="006B16C2" w:rsidRPr="006B16C2" w:rsidRDefault="006B16C2" w:rsidP="00DC2BB3">
            <w:pPr>
              <w:keepNext/>
              <w:spacing w:before="60" w:after="60" w:line="240" w:lineRule="auto"/>
              <w:rPr>
                <w:rFonts w:eastAsia="Calibri" w:cs="Times New Roman"/>
                <w:b/>
                <w:sz w:val="18"/>
              </w:rPr>
            </w:pPr>
            <w:r w:rsidRPr="006B16C2">
              <w:rPr>
                <w:rFonts w:eastAsia="Calibri" w:cs="Times New Roman"/>
                <w:b/>
                <w:sz w:val="18"/>
              </w:rPr>
              <w:t>Estimate and rationale</w:t>
            </w:r>
          </w:p>
        </w:tc>
      </w:tr>
      <w:tr w:rsidR="006B16C2" w:rsidRPr="006B16C2" w14:paraId="0174E61E" w14:textId="77777777" w:rsidTr="006B16C2">
        <w:tc>
          <w:tcPr>
            <w:tcW w:w="5000" w:type="pct"/>
            <w:gridSpan w:val="2"/>
            <w:tcBorders>
              <w:top w:val="single" w:sz="4" w:space="0" w:color="D9D9D9"/>
              <w:bottom w:val="single" w:sz="4" w:space="0" w:color="D9D9D9"/>
            </w:tcBorders>
          </w:tcPr>
          <w:p w14:paraId="72C4C2DF" w14:textId="77777777" w:rsidR="006B16C2" w:rsidRPr="006B16C2" w:rsidRDefault="006B16C2" w:rsidP="006B16C2">
            <w:pPr>
              <w:spacing w:before="60" w:after="60" w:line="240" w:lineRule="auto"/>
              <w:rPr>
                <w:rFonts w:eastAsia="Calibri" w:cs="Times New Roman"/>
                <w:b/>
                <w:sz w:val="18"/>
              </w:rPr>
            </w:pPr>
            <w:r w:rsidRPr="006B16C2">
              <w:rPr>
                <w:rFonts w:eastAsia="Calibri" w:cs="Times New Roman"/>
                <w:b/>
                <w:sz w:val="18"/>
              </w:rPr>
              <w:t>Direct impacts</w:t>
            </w:r>
          </w:p>
        </w:tc>
      </w:tr>
      <w:tr w:rsidR="006B16C2" w:rsidRPr="006B16C2" w14:paraId="13123A56" w14:textId="77777777" w:rsidTr="006B16C2">
        <w:tc>
          <w:tcPr>
            <w:tcW w:w="1551" w:type="pct"/>
            <w:tcBorders>
              <w:top w:val="single" w:sz="4" w:space="0" w:color="D9D9D9"/>
              <w:bottom w:val="single" w:sz="4" w:space="0" w:color="D9D9D9"/>
            </w:tcBorders>
          </w:tcPr>
          <w:p w14:paraId="7CACBF2C"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Plant life or health</w:t>
            </w:r>
          </w:p>
        </w:tc>
        <w:tc>
          <w:tcPr>
            <w:tcW w:w="3449" w:type="pct"/>
            <w:tcBorders>
              <w:top w:val="single" w:sz="4" w:space="0" w:color="D9D9D9"/>
              <w:bottom w:val="single" w:sz="4" w:space="0" w:color="D9D9D9"/>
            </w:tcBorders>
          </w:tcPr>
          <w:p w14:paraId="0A2EF69F"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 xml:space="preserve">Impact score: </w:t>
            </w:r>
            <w:r w:rsidRPr="00E316D1">
              <w:rPr>
                <w:rFonts w:eastAsia="Calibri" w:cs="Times New Roman"/>
                <w:sz w:val="18"/>
              </w:rPr>
              <w:t>D</w:t>
            </w:r>
            <w:r w:rsidRPr="006B16C2">
              <w:rPr>
                <w:rFonts w:eastAsia="Calibri" w:cs="Times New Roman"/>
                <w:sz w:val="18"/>
              </w:rPr>
              <w:t xml:space="preserve"> — major significance at the local level</w:t>
            </w:r>
          </w:p>
          <w:p w14:paraId="3268C650" w14:textId="2028AE7E" w:rsidR="00AE4642" w:rsidRDefault="006B16C2" w:rsidP="006B16C2">
            <w:pPr>
              <w:spacing w:before="60" w:after="60" w:line="240" w:lineRule="auto"/>
              <w:rPr>
                <w:rFonts w:eastAsia="Calibri" w:cs="Times New Roman"/>
                <w:sz w:val="18"/>
              </w:rPr>
            </w:pPr>
            <w:r w:rsidRPr="006B16C2">
              <w:rPr>
                <w:rFonts w:eastAsia="Calibri" w:cs="Times New Roman"/>
                <w:sz w:val="18"/>
              </w:rPr>
              <w:t xml:space="preserve">Citrus scab only attacks </w:t>
            </w:r>
            <w:r w:rsidRPr="006B16C2">
              <w:rPr>
                <w:rFonts w:eastAsia="Calibri" w:cs="Times New Roman"/>
                <w:i/>
                <w:sz w:val="18"/>
              </w:rPr>
              <w:t>Citrus</w:t>
            </w:r>
            <w:r w:rsidRPr="006B16C2">
              <w:rPr>
                <w:rFonts w:eastAsia="Calibri" w:cs="Times New Roman"/>
                <w:sz w:val="18"/>
              </w:rPr>
              <w:t xml:space="preserve"> sp</w:t>
            </w:r>
            <w:r w:rsidR="00AE4642">
              <w:rPr>
                <w:rFonts w:eastAsia="Calibri" w:cs="Times New Roman"/>
                <w:sz w:val="18"/>
              </w:rPr>
              <w:t>ecies</w:t>
            </w:r>
            <w:r w:rsidR="00A54D0F">
              <w:rPr>
                <w:rFonts w:eastAsia="Calibri" w:cs="Times New Roman"/>
                <w:sz w:val="18"/>
              </w:rPr>
              <w:t>, but impacts on hosts may vary depending on the pathotype involved</w:t>
            </w:r>
            <w:r w:rsidRPr="006B16C2">
              <w:rPr>
                <w:rFonts w:eastAsia="Calibri" w:cs="Times New Roman"/>
                <w:sz w:val="18"/>
              </w:rPr>
              <w:t xml:space="preserve">. </w:t>
            </w:r>
            <w:r w:rsidR="00AE4642">
              <w:rPr>
                <w:rFonts w:eastAsia="Calibri" w:cs="Times New Roman"/>
                <w:sz w:val="18"/>
              </w:rPr>
              <w:t xml:space="preserve">Introduction of new pathotypes </w:t>
            </w:r>
            <w:r w:rsidR="0018436D">
              <w:rPr>
                <w:rFonts w:eastAsia="Calibri" w:cs="Times New Roman"/>
                <w:sz w:val="18"/>
              </w:rPr>
              <w:t>in</w:t>
            </w:r>
            <w:r w:rsidR="004D2B92">
              <w:rPr>
                <w:rFonts w:eastAsia="Calibri" w:cs="Times New Roman"/>
                <w:sz w:val="18"/>
              </w:rPr>
              <w:t xml:space="preserve"> Australia </w:t>
            </w:r>
            <w:r w:rsidR="00AE4642">
              <w:rPr>
                <w:rFonts w:eastAsia="Calibri" w:cs="Times New Roman"/>
                <w:sz w:val="18"/>
              </w:rPr>
              <w:t xml:space="preserve">could potentially </w:t>
            </w:r>
            <w:r w:rsidR="00A54D0F">
              <w:rPr>
                <w:rFonts w:eastAsia="Calibri" w:cs="Times New Roman"/>
                <w:sz w:val="18"/>
              </w:rPr>
              <w:t xml:space="preserve">result in impacts on some </w:t>
            </w:r>
            <w:r w:rsidR="00A54D0F" w:rsidRPr="00A54D0F">
              <w:rPr>
                <w:rFonts w:eastAsia="Calibri" w:cs="Times New Roman"/>
                <w:i/>
                <w:sz w:val="18"/>
              </w:rPr>
              <w:t>Citrus</w:t>
            </w:r>
            <w:r w:rsidR="00A54D0F">
              <w:rPr>
                <w:rFonts w:eastAsia="Calibri" w:cs="Times New Roman"/>
                <w:sz w:val="18"/>
              </w:rPr>
              <w:t xml:space="preserve"> spp. that are presently unaffected by citrus scab.</w:t>
            </w:r>
            <w:r w:rsidR="00A54D0F" w:rsidRPr="006B16C2">
              <w:rPr>
                <w:rFonts w:eastAsia="Calibri" w:cs="Times New Roman"/>
                <w:sz w:val="18"/>
              </w:rPr>
              <w:t xml:space="preserve"> Other plants are unaffected by citrus scab.</w:t>
            </w:r>
          </w:p>
          <w:p w14:paraId="46B7E589" w14:textId="788CC31A"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 xml:space="preserve">Citrus scab infection results in fruit blemishes that reduce the value of citrus fruit for the fresh market (Hyun </w:t>
            </w:r>
            <w:r w:rsidRPr="006B16C2">
              <w:rPr>
                <w:rFonts w:eastAsia="Calibri" w:cs="Times New Roman"/>
                <w:i/>
                <w:sz w:val="18"/>
              </w:rPr>
              <w:t>et al</w:t>
            </w:r>
            <w:r w:rsidRPr="006B16C2">
              <w:rPr>
                <w:rFonts w:eastAsia="Calibri" w:cs="Times New Roman"/>
                <w:sz w:val="18"/>
              </w:rPr>
              <w:t>. 2009). Losses largely depend on local and seasonal variations in the weather (</w:t>
            </w:r>
            <w:r w:rsidRPr="00165B8A">
              <w:rPr>
                <w:rFonts w:eastAsia="Calibri" w:cs="Times New Roman"/>
                <w:sz w:val="18"/>
              </w:rPr>
              <w:t>Smith</w:t>
            </w:r>
            <w:r w:rsidR="00165B8A" w:rsidRPr="00165B8A">
              <w:rPr>
                <w:rFonts w:eastAsia="Calibri" w:cs="Times New Roman"/>
                <w:sz w:val="18"/>
              </w:rPr>
              <w:t xml:space="preserve"> IM</w:t>
            </w:r>
            <w:r w:rsidRPr="00165B8A">
              <w:rPr>
                <w:rFonts w:eastAsia="Calibri" w:cs="Times New Roman"/>
                <w:sz w:val="18"/>
              </w:rPr>
              <w:t xml:space="preserve"> </w:t>
            </w:r>
            <w:r w:rsidRPr="00165B8A">
              <w:rPr>
                <w:rFonts w:eastAsia="Calibri" w:cs="Times New Roman"/>
                <w:i/>
                <w:sz w:val="18"/>
              </w:rPr>
              <w:t>et al.</w:t>
            </w:r>
            <w:r w:rsidRPr="00165B8A">
              <w:rPr>
                <w:rFonts w:eastAsia="Calibri" w:cs="Times New Roman"/>
                <w:sz w:val="18"/>
              </w:rPr>
              <w:t xml:space="preserve"> 1997).</w:t>
            </w:r>
            <w:r w:rsidRPr="006B16C2">
              <w:rPr>
                <w:rFonts w:eastAsia="Calibri" w:cs="Times New Roman"/>
                <w:sz w:val="18"/>
              </w:rPr>
              <w:t xml:space="preserve"> The disease can affect susceptible rootstock in the nursery, stunting seedlings or making them bushy and difficult to bud (Smith</w:t>
            </w:r>
            <w:r w:rsidR="00165B8A">
              <w:rPr>
                <w:rFonts w:eastAsia="Calibri" w:cs="Times New Roman"/>
                <w:sz w:val="18"/>
              </w:rPr>
              <w:t xml:space="preserve"> IM</w:t>
            </w:r>
            <w:r w:rsidRPr="006B16C2">
              <w:rPr>
                <w:rFonts w:eastAsia="Calibri" w:cs="Times New Roman"/>
                <w:sz w:val="18"/>
              </w:rPr>
              <w:t xml:space="preserve"> </w:t>
            </w:r>
            <w:r w:rsidRPr="006B16C2">
              <w:rPr>
                <w:rFonts w:eastAsia="Calibri" w:cs="Times New Roman"/>
                <w:i/>
                <w:sz w:val="18"/>
              </w:rPr>
              <w:t>et al</w:t>
            </w:r>
            <w:r w:rsidRPr="006B16C2">
              <w:rPr>
                <w:rFonts w:eastAsia="Calibri" w:cs="Times New Roman"/>
                <w:sz w:val="18"/>
              </w:rPr>
              <w:t>. 1997).</w:t>
            </w:r>
          </w:p>
          <w:p w14:paraId="17EDA651" w14:textId="565A68DF" w:rsidR="006B16C2" w:rsidRPr="006B16C2" w:rsidRDefault="006B16C2" w:rsidP="00165B8A">
            <w:pPr>
              <w:spacing w:before="60" w:after="60" w:line="240" w:lineRule="auto"/>
              <w:rPr>
                <w:rFonts w:eastAsia="Calibri" w:cs="Times New Roman"/>
                <w:sz w:val="18"/>
              </w:rPr>
            </w:pPr>
            <w:r w:rsidRPr="006B16C2">
              <w:rPr>
                <w:rFonts w:eastAsia="Calibri" w:cs="Times New Roman"/>
                <w:sz w:val="18"/>
              </w:rPr>
              <w:t>The disease does not establish, or is of little importance, in citrus growing areas with a dry climate (</w:t>
            </w:r>
            <w:r w:rsidRPr="00165B8A">
              <w:rPr>
                <w:rFonts w:eastAsia="Calibri" w:cs="Times New Roman"/>
                <w:sz w:val="18"/>
              </w:rPr>
              <w:t xml:space="preserve">Smith </w:t>
            </w:r>
            <w:r w:rsidR="00165B8A">
              <w:rPr>
                <w:rFonts w:eastAsia="Calibri" w:cs="Times New Roman"/>
                <w:sz w:val="18"/>
              </w:rPr>
              <w:t xml:space="preserve">IM </w:t>
            </w:r>
            <w:r w:rsidRPr="00165B8A">
              <w:rPr>
                <w:rFonts w:eastAsia="Calibri" w:cs="Times New Roman"/>
                <w:i/>
                <w:sz w:val="18"/>
              </w:rPr>
              <w:t>et al</w:t>
            </w:r>
            <w:r w:rsidRPr="00165B8A">
              <w:rPr>
                <w:rFonts w:eastAsia="Calibri" w:cs="Times New Roman"/>
                <w:sz w:val="18"/>
              </w:rPr>
              <w:t>. 1997).</w:t>
            </w:r>
            <w:r w:rsidRPr="006B16C2">
              <w:rPr>
                <w:rFonts w:eastAsia="Calibri" w:cs="Times New Roman"/>
                <w:sz w:val="18"/>
              </w:rPr>
              <w:t xml:space="preserve"> However, impacts may be significant in some </w:t>
            </w:r>
            <w:r w:rsidR="00EB254C">
              <w:rPr>
                <w:rFonts w:eastAsia="Calibri" w:cs="Times New Roman"/>
                <w:sz w:val="18"/>
              </w:rPr>
              <w:t xml:space="preserve">other </w:t>
            </w:r>
            <w:r w:rsidRPr="006B16C2">
              <w:rPr>
                <w:rFonts w:eastAsia="Calibri" w:cs="Times New Roman"/>
                <w:sz w:val="18"/>
              </w:rPr>
              <w:t>districts.</w:t>
            </w:r>
          </w:p>
        </w:tc>
      </w:tr>
      <w:tr w:rsidR="006B16C2" w:rsidRPr="006B16C2" w14:paraId="1F0DFBF9" w14:textId="77777777" w:rsidTr="006B16C2">
        <w:tc>
          <w:tcPr>
            <w:tcW w:w="1551" w:type="pct"/>
            <w:tcBorders>
              <w:top w:val="single" w:sz="4" w:space="0" w:color="D9D9D9"/>
              <w:bottom w:val="single" w:sz="4" w:space="0" w:color="D9D9D9"/>
            </w:tcBorders>
          </w:tcPr>
          <w:p w14:paraId="3D549E9A"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Other aspects of the environment</w:t>
            </w:r>
          </w:p>
        </w:tc>
        <w:tc>
          <w:tcPr>
            <w:tcW w:w="3449" w:type="pct"/>
            <w:tcBorders>
              <w:top w:val="single" w:sz="4" w:space="0" w:color="D9D9D9"/>
              <w:bottom w:val="single" w:sz="4" w:space="0" w:color="D9D9D9"/>
            </w:tcBorders>
          </w:tcPr>
          <w:p w14:paraId="72555DF9"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 xml:space="preserve">Impact score: </w:t>
            </w:r>
            <w:r w:rsidRPr="00E316D1">
              <w:rPr>
                <w:rFonts w:eastAsia="Calibri" w:cs="Times New Roman"/>
                <w:sz w:val="18"/>
              </w:rPr>
              <w:t>A</w:t>
            </w:r>
            <w:r w:rsidRPr="006B16C2">
              <w:rPr>
                <w:rFonts w:eastAsia="Calibri" w:cs="Times New Roman"/>
                <w:sz w:val="18"/>
              </w:rPr>
              <w:t xml:space="preserve"> </w:t>
            </w:r>
            <w:r w:rsidR="00B04447" w:rsidRPr="006B16C2">
              <w:rPr>
                <w:rFonts w:eastAsia="Calibri" w:cs="Times New Roman"/>
                <w:sz w:val="18"/>
              </w:rPr>
              <w:t>—</w:t>
            </w:r>
            <w:r w:rsidRPr="006B16C2">
              <w:rPr>
                <w:rFonts w:eastAsia="Calibri" w:cs="Times New Roman"/>
                <w:sz w:val="18"/>
              </w:rPr>
              <w:t xml:space="preserve"> indiscernible at the local level</w:t>
            </w:r>
          </w:p>
          <w:p w14:paraId="5003061A" w14:textId="77777777" w:rsidR="006B16C2" w:rsidRPr="006B16C2" w:rsidRDefault="006B16C2" w:rsidP="006B16C2">
            <w:pPr>
              <w:spacing w:before="60" w:after="60" w:line="240" w:lineRule="auto"/>
              <w:rPr>
                <w:rFonts w:eastAsia="Calibri" w:cs="Times New Roman"/>
                <w:sz w:val="18"/>
                <w:highlight w:val="yellow"/>
              </w:rPr>
            </w:pPr>
            <w:r w:rsidRPr="006B16C2">
              <w:rPr>
                <w:rFonts w:eastAsia="Calibri" w:cs="Times New Roman"/>
                <w:sz w:val="18"/>
              </w:rPr>
              <w:t xml:space="preserve">Direct impacts are limited to effects on plant health (see above). No other direct impacts on the environment associated with </w:t>
            </w:r>
            <w:r w:rsidR="004E020D" w:rsidRPr="004E020D">
              <w:rPr>
                <w:rFonts w:eastAsia="Calibri" w:cs="Times New Roman"/>
                <w:i/>
                <w:sz w:val="18"/>
              </w:rPr>
              <w:t>Elsinoë</w:t>
            </w:r>
            <w:r w:rsidRPr="006B16C2">
              <w:rPr>
                <w:rFonts w:eastAsia="Calibri" w:cs="Times New Roman"/>
                <w:i/>
                <w:sz w:val="18"/>
              </w:rPr>
              <w:t xml:space="preserve"> fawcettii</w:t>
            </w:r>
            <w:r w:rsidRPr="006B16C2">
              <w:rPr>
                <w:rFonts w:eastAsia="Calibri" w:cs="Times New Roman"/>
                <w:sz w:val="18"/>
              </w:rPr>
              <w:t xml:space="preserve"> have been reported. </w:t>
            </w:r>
          </w:p>
        </w:tc>
      </w:tr>
      <w:tr w:rsidR="006B16C2" w:rsidRPr="006B16C2" w14:paraId="6452D2C2" w14:textId="77777777" w:rsidTr="006B16C2">
        <w:tc>
          <w:tcPr>
            <w:tcW w:w="5000" w:type="pct"/>
            <w:gridSpan w:val="2"/>
            <w:tcBorders>
              <w:top w:val="single" w:sz="4" w:space="0" w:color="D9D9D9"/>
              <w:bottom w:val="single" w:sz="4" w:space="0" w:color="D9D9D9"/>
            </w:tcBorders>
          </w:tcPr>
          <w:p w14:paraId="768841D7" w14:textId="77777777" w:rsidR="006B16C2" w:rsidRPr="006B16C2" w:rsidRDefault="006B16C2" w:rsidP="00DC2BB3">
            <w:pPr>
              <w:keepNext/>
              <w:spacing w:before="60" w:after="60" w:line="240" w:lineRule="auto"/>
              <w:rPr>
                <w:rFonts w:eastAsia="Calibri" w:cs="Times New Roman"/>
                <w:b/>
                <w:sz w:val="18"/>
              </w:rPr>
            </w:pPr>
            <w:r w:rsidRPr="006B16C2">
              <w:rPr>
                <w:rFonts w:eastAsia="Calibri" w:cs="Times New Roman"/>
                <w:b/>
                <w:sz w:val="18"/>
              </w:rPr>
              <w:t>Indirect impacts</w:t>
            </w:r>
          </w:p>
        </w:tc>
      </w:tr>
      <w:tr w:rsidR="006B16C2" w:rsidRPr="006B16C2" w14:paraId="3716F2DA" w14:textId="77777777" w:rsidTr="006B16C2">
        <w:tc>
          <w:tcPr>
            <w:tcW w:w="1551" w:type="pct"/>
            <w:tcBorders>
              <w:top w:val="single" w:sz="4" w:space="0" w:color="D9D9D9"/>
              <w:bottom w:val="single" w:sz="4" w:space="0" w:color="D9D9D9"/>
            </w:tcBorders>
          </w:tcPr>
          <w:p w14:paraId="586C4DD8" w14:textId="77777777" w:rsidR="006B16C2" w:rsidRPr="006B16C2" w:rsidRDefault="006B16C2" w:rsidP="007906E5">
            <w:pPr>
              <w:keepNext/>
              <w:spacing w:before="60" w:after="60" w:line="240" w:lineRule="auto"/>
              <w:rPr>
                <w:rFonts w:eastAsia="Calibri" w:cs="Times New Roman"/>
                <w:sz w:val="18"/>
              </w:rPr>
            </w:pPr>
            <w:r w:rsidRPr="006B16C2">
              <w:rPr>
                <w:rFonts w:eastAsia="Calibri" w:cs="Times New Roman"/>
                <w:sz w:val="18"/>
              </w:rPr>
              <w:t>Eradication, control</w:t>
            </w:r>
          </w:p>
        </w:tc>
        <w:tc>
          <w:tcPr>
            <w:tcW w:w="3449" w:type="pct"/>
            <w:tcBorders>
              <w:top w:val="single" w:sz="4" w:space="0" w:color="D9D9D9"/>
              <w:bottom w:val="single" w:sz="4" w:space="0" w:color="D9D9D9"/>
            </w:tcBorders>
          </w:tcPr>
          <w:p w14:paraId="4DF32A7D" w14:textId="77777777" w:rsidR="006B16C2" w:rsidRPr="006B16C2" w:rsidRDefault="006B16C2" w:rsidP="007906E5">
            <w:pPr>
              <w:keepNext/>
              <w:spacing w:before="60" w:after="60" w:line="240" w:lineRule="auto"/>
              <w:rPr>
                <w:rFonts w:eastAsia="Calibri" w:cs="Times New Roman"/>
                <w:sz w:val="18"/>
              </w:rPr>
            </w:pPr>
            <w:r w:rsidRPr="006B16C2">
              <w:rPr>
                <w:rFonts w:eastAsia="Calibri" w:cs="Times New Roman"/>
                <w:sz w:val="18"/>
              </w:rPr>
              <w:t xml:space="preserve">Impact score: </w:t>
            </w:r>
            <w:r w:rsidRPr="00E316D1">
              <w:rPr>
                <w:rFonts w:eastAsia="Calibri" w:cs="Times New Roman"/>
                <w:sz w:val="18"/>
              </w:rPr>
              <w:t>D</w:t>
            </w:r>
            <w:r w:rsidRPr="006B16C2">
              <w:rPr>
                <w:rFonts w:eastAsia="Calibri" w:cs="Times New Roman"/>
                <w:sz w:val="18"/>
              </w:rPr>
              <w:t xml:space="preserve"> — major significance at the local level</w:t>
            </w:r>
          </w:p>
          <w:p w14:paraId="04B1E125" w14:textId="6365FDF5" w:rsidR="006B16C2" w:rsidRPr="006B16C2" w:rsidRDefault="004E020D" w:rsidP="00210BE4">
            <w:pPr>
              <w:keepNext/>
              <w:spacing w:before="60" w:after="60" w:line="240" w:lineRule="auto"/>
              <w:rPr>
                <w:rFonts w:eastAsia="Calibri" w:cs="Times New Roman"/>
                <w:sz w:val="18"/>
                <w:highlight w:val="yellow"/>
              </w:rPr>
            </w:pPr>
            <w:r w:rsidRPr="004E020D">
              <w:rPr>
                <w:rFonts w:eastAsia="Calibri" w:cs="Times New Roman"/>
                <w:i/>
                <w:sz w:val="18"/>
              </w:rPr>
              <w:t xml:space="preserve">Elsinoë fawcettii </w:t>
            </w:r>
            <w:r w:rsidR="006B16C2" w:rsidRPr="006B16C2">
              <w:rPr>
                <w:rFonts w:eastAsia="Calibri" w:cs="Times New Roman"/>
                <w:sz w:val="18"/>
              </w:rPr>
              <w:t>can be controlled by using resistant cultivars and application of fungicides (</w:t>
            </w:r>
            <w:r w:rsidR="006B16C2" w:rsidRPr="00165B8A">
              <w:rPr>
                <w:rFonts w:eastAsia="Calibri" w:cs="Times New Roman"/>
                <w:sz w:val="18"/>
              </w:rPr>
              <w:t xml:space="preserve">Smith </w:t>
            </w:r>
            <w:r w:rsidR="00165B8A">
              <w:rPr>
                <w:rFonts w:eastAsia="Calibri" w:cs="Times New Roman"/>
                <w:sz w:val="18"/>
              </w:rPr>
              <w:t xml:space="preserve">IM </w:t>
            </w:r>
            <w:r w:rsidR="006B16C2" w:rsidRPr="00165B8A">
              <w:rPr>
                <w:rFonts w:eastAsia="Calibri" w:cs="Times New Roman"/>
                <w:i/>
                <w:sz w:val="18"/>
              </w:rPr>
              <w:t>et al</w:t>
            </w:r>
            <w:r w:rsidR="006B16C2" w:rsidRPr="00165B8A">
              <w:rPr>
                <w:rFonts w:eastAsia="Calibri" w:cs="Times New Roman"/>
                <w:sz w:val="18"/>
              </w:rPr>
              <w:t>. 1997</w:t>
            </w:r>
            <w:r w:rsidR="006B16C2" w:rsidRPr="006B16C2">
              <w:rPr>
                <w:rFonts w:eastAsia="Calibri" w:cs="Times New Roman"/>
                <w:sz w:val="18"/>
              </w:rPr>
              <w:t xml:space="preserve">). </w:t>
            </w:r>
            <w:r w:rsidR="00210BE4">
              <w:rPr>
                <w:rFonts w:eastAsia="Calibri" w:cs="Times New Roman"/>
                <w:sz w:val="18"/>
              </w:rPr>
              <w:t>C</w:t>
            </w:r>
            <w:r w:rsidR="006B16C2" w:rsidRPr="006B16C2">
              <w:rPr>
                <w:rFonts w:eastAsia="Calibri" w:cs="Times New Roman"/>
                <w:sz w:val="18"/>
              </w:rPr>
              <w:t>opper fungicides are commonly used for control of scab (Timmer 2000). Once established the pathogen can be persistent and is unlikely to be eradicated.</w:t>
            </w:r>
          </w:p>
        </w:tc>
      </w:tr>
      <w:tr w:rsidR="006B16C2" w:rsidRPr="006B16C2" w14:paraId="324DBAFB" w14:textId="77777777" w:rsidTr="006B16C2">
        <w:tc>
          <w:tcPr>
            <w:tcW w:w="1551" w:type="pct"/>
            <w:tcBorders>
              <w:top w:val="single" w:sz="4" w:space="0" w:color="D9D9D9"/>
              <w:bottom w:val="single" w:sz="4" w:space="0" w:color="D9D9D9"/>
            </w:tcBorders>
          </w:tcPr>
          <w:p w14:paraId="066F67B2"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Domestic trade</w:t>
            </w:r>
          </w:p>
        </w:tc>
        <w:tc>
          <w:tcPr>
            <w:tcW w:w="3449" w:type="pct"/>
            <w:tcBorders>
              <w:top w:val="single" w:sz="4" w:space="0" w:color="D9D9D9"/>
              <w:bottom w:val="single" w:sz="4" w:space="0" w:color="D9D9D9"/>
            </w:tcBorders>
          </w:tcPr>
          <w:p w14:paraId="7AE9CA9D" w14:textId="77777777" w:rsidR="006B16C2" w:rsidRPr="006B16C2" w:rsidRDefault="008C29D7" w:rsidP="006B16C2">
            <w:pPr>
              <w:spacing w:before="60" w:after="60" w:line="240" w:lineRule="auto"/>
              <w:rPr>
                <w:rFonts w:eastAsia="Calibri" w:cs="Times New Roman"/>
                <w:sz w:val="18"/>
              </w:rPr>
            </w:pPr>
            <w:r w:rsidRPr="008C29D7">
              <w:rPr>
                <w:rFonts w:eastAsia="Calibri" w:cs="Times New Roman"/>
                <w:sz w:val="18"/>
              </w:rPr>
              <w:t>Impact score: A — indiscernible at the local level</w:t>
            </w:r>
          </w:p>
          <w:p w14:paraId="760ED6A7" w14:textId="77777777" w:rsidR="006B16C2" w:rsidRPr="006B16C2" w:rsidRDefault="008C29D7" w:rsidP="008C29D7">
            <w:pPr>
              <w:spacing w:before="60" w:after="60" w:line="240" w:lineRule="auto"/>
              <w:rPr>
                <w:rFonts w:eastAsia="Calibri" w:cs="Times New Roman"/>
                <w:sz w:val="18"/>
                <w:highlight w:val="yellow"/>
              </w:rPr>
            </w:pPr>
            <w:r>
              <w:rPr>
                <w:rFonts w:eastAsia="Calibri" w:cs="Times New Roman"/>
                <w:sz w:val="18"/>
              </w:rPr>
              <w:t xml:space="preserve">Citrus scab is </w:t>
            </w:r>
            <w:r w:rsidR="006B16C2" w:rsidRPr="006B16C2">
              <w:rPr>
                <w:rFonts w:eastAsia="Calibri" w:cs="Times New Roman"/>
                <w:sz w:val="18"/>
              </w:rPr>
              <w:t>already present in citrus-growing areas of eastern and northern Australia, so additional impacts on domestic trade would not be expected.</w:t>
            </w:r>
          </w:p>
        </w:tc>
      </w:tr>
      <w:tr w:rsidR="006B16C2" w:rsidRPr="006B16C2" w14:paraId="07CAC4FF" w14:textId="77777777" w:rsidTr="006B16C2">
        <w:tc>
          <w:tcPr>
            <w:tcW w:w="1551" w:type="pct"/>
            <w:tcBorders>
              <w:top w:val="single" w:sz="4" w:space="0" w:color="D9D9D9"/>
              <w:bottom w:val="single" w:sz="4" w:space="0" w:color="D9D9D9"/>
            </w:tcBorders>
          </w:tcPr>
          <w:p w14:paraId="6B0B01D4"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International trade</w:t>
            </w:r>
          </w:p>
        </w:tc>
        <w:tc>
          <w:tcPr>
            <w:tcW w:w="3449" w:type="pct"/>
            <w:tcBorders>
              <w:top w:val="single" w:sz="4" w:space="0" w:color="D9D9D9"/>
              <w:bottom w:val="single" w:sz="4" w:space="0" w:color="D9D9D9"/>
            </w:tcBorders>
          </w:tcPr>
          <w:p w14:paraId="20520945" w14:textId="77777777" w:rsidR="006B16C2" w:rsidRPr="006B16C2" w:rsidRDefault="006B16C2" w:rsidP="006B16C2">
            <w:pPr>
              <w:spacing w:before="60" w:after="60" w:line="240" w:lineRule="auto"/>
              <w:rPr>
                <w:rFonts w:eastAsia="Calibri" w:cs="Times New Roman"/>
                <w:sz w:val="18"/>
              </w:rPr>
            </w:pPr>
            <w:r w:rsidRPr="006B16C2">
              <w:rPr>
                <w:rFonts w:eastAsia="Calibri" w:cs="Times New Roman"/>
                <w:sz w:val="18"/>
              </w:rPr>
              <w:t xml:space="preserve">Impact score: </w:t>
            </w:r>
            <w:r w:rsidR="008C29D7" w:rsidRPr="008C29D7">
              <w:rPr>
                <w:rFonts w:eastAsia="Calibri" w:cs="Times New Roman"/>
                <w:sz w:val="18"/>
              </w:rPr>
              <w:t>A — indiscernible at the local level</w:t>
            </w:r>
          </w:p>
          <w:p w14:paraId="063A5B3C" w14:textId="5072CAB4" w:rsidR="006B16C2" w:rsidRPr="006B16C2" w:rsidRDefault="008C29D7" w:rsidP="00165B8A">
            <w:pPr>
              <w:spacing w:before="60" w:after="60" w:line="240" w:lineRule="auto"/>
              <w:rPr>
                <w:rFonts w:eastAsia="Calibri" w:cs="Times New Roman"/>
                <w:sz w:val="18"/>
                <w:highlight w:val="yellow"/>
              </w:rPr>
            </w:pPr>
            <w:r>
              <w:rPr>
                <w:rFonts w:eastAsia="Calibri" w:cs="Times New Roman"/>
                <w:sz w:val="18"/>
              </w:rPr>
              <w:t xml:space="preserve">Citrus scab is </w:t>
            </w:r>
            <w:r w:rsidR="006B16C2" w:rsidRPr="006B16C2">
              <w:rPr>
                <w:rFonts w:eastAsia="Calibri" w:cs="Times New Roman"/>
                <w:sz w:val="18"/>
              </w:rPr>
              <w:t xml:space="preserve">already present in citrus-growing areas of eastern and northern Australia, so significant additional impacts on international trade would not be expected. </w:t>
            </w:r>
            <w:r w:rsidR="004E020D" w:rsidRPr="004E020D">
              <w:rPr>
                <w:rFonts w:eastAsia="Calibri" w:cs="Times New Roman"/>
                <w:i/>
                <w:sz w:val="18"/>
              </w:rPr>
              <w:t xml:space="preserve">Elsinoë fawcettii </w:t>
            </w:r>
            <w:r w:rsidR="006B16C2" w:rsidRPr="006B16C2">
              <w:rPr>
                <w:rFonts w:eastAsia="Calibri" w:cs="Times New Roman"/>
                <w:sz w:val="18"/>
              </w:rPr>
              <w:t>is not recognised as a quarantine pest by regional plant protection organisations (</w:t>
            </w:r>
            <w:r w:rsidR="006B16C2" w:rsidRPr="00165B8A">
              <w:rPr>
                <w:rFonts w:eastAsia="Calibri" w:cs="Times New Roman"/>
                <w:sz w:val="18"/>
              </w:rPr>
              <w:t xml:space="preserve">Smith </w:t>
            </w:r>
            <w:r w:rsidR="00165B8A">
              <w:rPr>
                <w:rFonts w:eastAsia="Calibri" w:cs="Times New Roman"/>
                <w:sz w:val="18"/>
              </w:rPr>
              <w:t xml:space="preserve">IM </w:t>
            </w:r>
            <w:r w:rsidR="006B16C2" w:rsidRPr="00165B8A">
              <w:rPr>
                <w:rFonts w:eastAsia="Calibri" w:cs="Times New Roman"/>
                <w:i/>
                <w:sz w:val="18"/>
              </w:rPr>
              <w:t>et al</w:t>
            </w:r>
            <w:r w:rsidR="006B16C2" w:rsidRPr="00165B8A">
              <w:rPr>
                <w:rFonts w:eastAsia="Calibri" w:cs="Times New Roman"/>
                <w:sz w:val="18"/>
              </w:rPr>
              <w:t>. 1997</w:t>
            </w:r>
            <w:r w:rsidR="006B16C2" w:rsidRPr="006B16C2">
              <w:rPr>
                <w:rFonts w:eastAsia="Calibri" w:cs="Times New Roman"/>
                <w:sz w:val="18"/>
              </w:rPr>
              <w:t>; CABI 2016) so additional restrictions on international trade are unlikely.</w:t>
            </w:r>
          </w:p>
        </w:tc>
      </w:tr>
      <w:tr w:rsidR="006B16C2" w:rsidRPr="006B16C2" w14:paraId="6D8C7217" w14:textId="77777777" w:rsidTr="006B16C2">
        <w:tc>
          <w:tcPr>
            <w:tcW w:w="1551" w:type="pct"/>
            <w:tcBorders>
              <w:top w:val="single" w:sz="4" w:space="0" w:color="D9D9D9"/>
            </w:tcBorders>
          </w:tcPr>
          <w:p w14:paraId="08F426F5" w14:textId="77777777" w:rsidR="006B16C2" w:rsidRPr="006B16C2" w:rsidRDefault="006B16C2" w:rsidP="006B16C2">
            <w:pPr>
              <w:keepNext/>
              <w:spacing w:before="60" w:after="60" w:line="240" w:lineRule="auto"/>
              <w:rPr>
                <w:rFonts w:eastAsia="Calibri" w:cs="Times New Roman"/>
                <w:sz w:val="18"/>
              </w:rPr>
            </w:pPr>
            <w:r w:rsidRPr="006B16C2">
              <w:rPr>
                <w:rFonts w:eastAsia="Calibri" w:cs="Times New Roman"/>
                <w:sz w:val="18"/>
              </w:rPr>
              <w:t>Indirect environmental and non-commercial impacts</w:t>
            </w:r>
          </w:p>
        </w:tc>
        <w:tc>
          <w:tcPr>
            <w:tcW w:w="3449" w:type="pct"/>
            <w:tcBorders>
              <w:top w:val="single" w:sz="4" w:space="0" w:color="D9D9D9"/>
            </w:tcBorders>
          </w:tcPr>
          <w:p w14:paraId="198740F3" w14:textId="77777777" w:rsidR="006B16C2" w:rsidRPr="006B16C2" w:rsidRDefault="006B16C2" w:rsidP="006B16C2">
            <w:pPr>
              <w:keepNext/>
              <w:spacing w:before="60" w:after="60" w:line="240" w:lineRule="auto"/>
              <w:rPr>
                <w:rFonts w:eastAsia="Calibri" w:cs="Times New Roman"/>
                <w:sz w:val="18"/>
              </w:rPr>
            </w:pPr>
            <w:r w:rsidRPr="006B16C2">
              <w:rPr>
                <w:rFonts w:eastAsia="Calibri" w:cs="Times New Roman"/>
                <w:sz w:val="18"/>
              </w:rPr>
              <w:t xml:space="preserve">Impact score: </w:t>
            </w:r>
            <w:r w:rsidRPr="00E316D1">
              <w:rPr>
                <w:rFonts w:eastAsia="Calibri" w:cs="Times New Roman"/>
                <w:sz w:val="18"/>
              </w:rPr>
              <w:t>A</w:t>
            </w:r>
            <w:r w:rsidRPr="006B16C2">
              <w:rPr>
                <w:rFonts w:eastAsia="Calibri" w:cs="Times New Roman"/>
                <w:sz w:val="18"/>
              </w:rPr>
              <w:t xml:space="preserve"> — </w:t>
            </w:r>
            <w:r w:rsidR="008C29D7" w:rsidRPr="008C29D7">
              <w:rPr>
                <w:rFonts w:eastAsia="Calibri" w:cs="Times New Roman"/>
                <w:sz w:val="18"/>
              </w:rPr>
              <w:t>indiscernible at the local level</w:t>
            </w:r>
          </w:p>
          <w:p w14:paraId="74D369BD" w14:textId="77777777" w:rsidR="006B16C2" w:rsidRPr="006B16C2" w:rsidRDefault="006B16C2" w:rsidP="006B16C2">
            <w:pPr>
              <w:keepNext/>
              <w:spacing w:before="60" w:after="60" w:line="240" w:lineRule="auto"/>
              <w:rPr>
                <w:rFonts w:eastAsia="Calibri" w:cs="Times New Roman"/>
                <w:sz w:val="18"/>
                <w:highlight w:val="yellow"/>
              </w:rPr>
            </w:pPr>
            <w:r w:rsidRPr="006B16C2">
              <w:rPr>
                <w:rFonts w:eastAsia="Calibri" w:cs="Times New Roman"/>
                <w:sz w:val="18"/>
              </w:rPr>
              <w:t>The potential impacts to plant health described above are unlikely to result in discernible changes to plant communities, ecological processes, the natural environment or human recreational uses.</w:t>
            </w:r>
          </w:p>
        </w:tc>
      </w:tr>
    </w:tbl>
    <w:p w14:paraId="4001D511" w14:textId="77777777" w:rsidR="006B16C2" w:rsidRPr="006B16C2" w:rsidRDefault="006B16C2" w:rsidP="006B16C2">
      <w:pPr>
        <w:keepNext/>
        <w:keepLines/>
        <w:numPr>
          <w:ilvl w:val="2"/>
          <w:numId w:val="21"/>
        </w:numPr>
        <w:spacing w:before="120" w:after="160" w:line="240" w:lineRule="auto"/>
        <w:outlineLvl w:val="2"/>
        <w:rPr>
          <w:rFonts w:ascii="Calibri" w:eastAsia="Calibri" w:hAnsi="Calibri" w:cs="Times New Roman"/>
          <w:b/>
          <w:bCs/>
          <w:sz w:val="24"/>
        </w:rPr>
      </w:pPr>
      <w:r w:rsidRPr="006B16C2">
        <w:rPr>
          <w:rFonts w:ascii="Calibri" w:eastAsia="Calibri" w:hAnsi="Calibri" w:cs="Times New Roman"/>
          <w:b/>
          <w:bCs/>
          <w:sz w:val="24"/>
        </w:rPr>
        <w:t>Unrestricted risk estimate</w:t>
      </w:r>
    </w:p>
    <w:p w14:paraId="2157B8A1" w14:textId="77777777" w:rsidR="006B16C2" w:rsidRPr="006B16C2" w:rsidRDefault="006B16C2" w:rsidP="006B16C2">
      <w:pPr>
        <w:spacing w:before="200"/>
        <w:rPr>
          <w:rFonts w:eastAsia="Calibri" w:cs="Times New Roman"/>
        </w:rPr>
      </w:pPr>
      <w:r w:rsidRPr="006B16C2">
        <w:rPr>
          <w:rFonts w:eastAsia="Calibri" w:cs="Times New Roman"/>
        </w:rPr>
        <w:t xml:space="preserve">Unrestricted risk is the result of combining the likelihood of entry, establishment and spread with the outcome of overall consequences, using the risk estimation matrix shown in </w:t>
      </w:r>
      <w:r w:rsidR="004E020D">
        <w:rPr>
          <w:rFonts w:eastAsia="Calibri" w:cs="Times New Roman"/>
        </w:rPr>
        <w:t>Table 2.5</w:t>
      </w:r>
      <w:r w:rsidRPr="006B16C2">
        <w:rPr>
          <w:rFonts w:eastAsia="Calibri" w:cs="Times New Roman"/>
        </w:rP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780956" w14:paraId="2CDA5802" w14:textId="77777777" w:rsidTr="004C0FEF">
        <w:tc>
          <w:tcPr>
            <w:tcW w:w="5000" w:type="pct"/>
            <w:gridSpan w:val="2"/>
          </w:tcPr>
          <w:p w14:paraId="3D52CEF5" w14:textId="77777777" w:rsidR="00780956" w:rsidRDefault="00780956" w:rsidP="004C0FEF">
            <w:pPr>
              <w:pStyle w:val="TableHeading"/>
            </w:pPr>
            <w:r>
              <w:t xml:space="preserve">Unrestricted risk estimate for </w:t>
            </w:r>
            <w:r w:rsidRPr="00165B8A">
              <w:rPr>
                <w:i/>
              </w:rPr>
              <w:t>Elsinoë fawcettii</w:t>
            </w:r>
          </w:p>
        </w:tc>
      </w:tr>
      <w:tr w:rsidR="00780956" w14:paraId="2DCBF5AC" w14:textId="77777777" w:rsidTr="004C0FEF">
        <w:tc>
          <w:tcPr>
            <w:tcW w:w="3428" w:type="pct"/>
          </w:tcPr>
          <w:p w14:paraId="4F6F17BF" w14:textId="77777777" w:rsidR="00780956" w:rsidRDefault="00780956" w:rsidP="004C0FEF">
            <w:pPr>
              <w:pStyle w:val="TableText"/>
            </w:pPr>
            <w:r>
              <w:t>Overall likelihood of entry, establishment and spread</w:t>
            </w:r>
          </w:p>
        </w:tc>
        <w:tc>
          <w:tcPr>
            <w:tcW w:w="1572" w:type="pct"/>
          </w:tcPr>
          <w:p w14:paraId="73EEDE1D" w14:textId="4440CCF9" w:rsidR="00780956" w:rsidRPr="00165B8A" w:rsidRDefault="002F7B3E" w:rsidP="004C0FEF">
            <w:pPr>
              <w:pStyle w:val="TableText"/>
              <w:rPr>
                <w:highlight w:val="yellow"/>
              </w:rPr>
            </w:pPr>
            <w:r>
              <w:t>L</w:t>
            </w:r>
            <w:r w:rsidR="004C0FEF" w:rsidRPr="00165B8A">
              <w:t>ow</w:t>
            </w:r>
          </w:p>
        </w:tc>
      </w:tr>
      <w:tr w:rsidR="00780956" w14:paraId="396EC88A" w14:textId="77777777" w:rsidTr="004C0FEF">
        <w:tc>
          <w:tcPr>
            <w:tcW w:w="3428" w:type="pct"/>
          </w:tcPr>
          <w:p w14:paraId="049C9A22" w14:textId="77777777" w:rsidR="00780956" w:rsidRDefault="00780956" w:rsidP="004C0FEF">
            <w:pPr>
              <w:pStyle w:val="TableText"/>
            </w:pPr>
            <w:r>
              <w:t>Consequences</w:t>
            </w:r>
          </w:p>
        </w:tc>
        <w:tc>
          <w:tcPr>
            <w:tcW w:w="1572" w:type="pct"/>
          </w:tcPr>
          <w:p w14:paraId="06D1CB3E" w14:textId="77777777" w:rsidR="00780956" w:rsidRPr="00165B8A" w:rsidRDefault="004C0FEF" w:rsidP="004C0FEF">
            <w:pPr>
              <w:pStyle w:val="TableText"/>
            </w:pPr>
            <w:r w:rsidRPr="00165B8A">
              <w:t>Low</w:t>
            </w:r>
          </w:p>
        </w:tc>
      </w:tr>
      <w:tr w:rsidR="00780956" w14:paraId="3BE72BD4" w14:textId="77777777" w:rsidTr="004C0FEF">
        <w:tc>
          <w:tcPr>
            <w:tcW w:w="3428" w:type="pct"/>
          </w:tcPr>
          <w:p w14:paraId="6A1026C1" w14:textId="77777777" w:rsidR="00780956" w:rsidRDefault="00780956" w:rsidP="004C0FEF">
            <w:pPr>
              <w:pStyle w:val="TableText"/>
            </w:pPr>
            <w:r>
              <w:t>Unrestricted risk</w:t>
            </w:r>
          </w:p>
        </w:tc>
        <w:tc>
          <w:tcPr>
            <w:tcW w:w="1572" w:type="pct"/>
          </w:tcPr>
          <w:p w14:paraId="08ABA50A" w14:textId="058B18BD" w:rsidR="00780956" w:rsidRPr="00165B8A" w:rsidRDefault="00AE1FC6" w:rsidP="004C0FEF">
            <w:pPr>
              <w:pStyle w:val="TableText"/>
            </w:pPr>
            <w:r>
              <w:t>Very low</w:t>
            </w:r>
          </w:p>
        </w:tc>
      </w:tr>
    </w:tbl>
    <w:p w14:paraId="7CAF1507" w14:textId="7584DFD0" w:rsidR="00EC5AB2" w:rsidRDefault="004C0FEF" w:rsidP="00165B8A">
      <w:pPr>
        <w:spacing w:before="240"/>
        <w:sectPr w:rsidR="00EC5AB2" w:rsidSect="00242B68">
          <w:pgSz w:w="11906" w:h="16838"/>
          <w:pgMar w:top="1418" w:right="1418" w:bottom="1418" w:left="1418" w:header="567" w:footer="283" w:gutter="0"/>
          <w:cols w:space="708"/>
          <w:docGrid w:linePitch="360"/>
        </w:sectPr>
      </w:pPr>
      <w:r>
        <w:rPr>
          <w:rFonts w:eastAsia="Calibri" w:cs="Times New Roman"/>
        </w:rPr>
        <w:t>As indicated, t</w:t>
      </w:r>
      <w:r w:rsidRPr="00EA09AE">
        <w:rPr>
          <w:rFonts w:eastAsia="Calibri" w:cs="Times New Roman"/>
        </w:rPr>
        <w:t xml:space="preserve">he unrestricted risk of </w:t>
      </w:r>
      <w:r w:rsidRPr="00DC2BB3">
        <w:rPr>
          <w:rFonts w:eastAsia="Calibri" w:cs="Times New Roman"/>
          <w:i/>
        </w:rPr>
        <w:t>Elsinoë fawcettii</w:t>
      </w:r>
      <w:r w:rsidRPr="00EA09AE">
        <w:rPr>
          <w:rFonts w:eastAsia="Calibri" w:cs="Times New Roman"/>
        </w:rPr>
        <w:t xml:space="preserve"> has been assessed as</w:t>
      </w:r>
      <w:r>
        <w:rPr>
          <w:rFonts w:eastAsia="Calibri" w:cs="Times New Roman"/>
        </w:rPr>
        <w:t xml:space="preserve"> </w:t>
      </w:r>
      <w:r w:rsidR="00D9707E">
        <w:rPr>
          <w:rFonts w:eastAsia="Calibri" w:cs="Times New Roman"/>
        </w:rPr>
        <w:t>V</w:t>
      </w:r>
      <w:r w:rsidR="002F7B3E">
        <w:rPr>
          <w:rFonts w:eastAsia="Calibri" w:cs="Times New Roman"/>
        </w:rPr>
        <w:t xml:space="preserve">ery </w:t>
      </w:r>
      <w:r w:rsidR="00D9707E">
        <w:rPr>
          <w:rFonts w:eastAsia="Calibri" w:cs="Times New Roman"/>
        </w:rPr>
        <w:t>L</w:t>
      </w:r>
      <w:r w:rsidR="002F7B3E">
        <w:rPr>
          <w:rFonts w:eastAsia="Calibri" w:cs="Times New Roman"/>
        </w:rPr>
        <w:t>ow</w:t>
      </w:r>
      <w:r>
        <w:rPr>
          <w:rFonts w:eastAsia="Calibri" w:cs="Times New Roman"/>
        </w:rPr>
        <w:t>, which</w:t>
      </w:r>
      <w:r w:rsidRPr="00EA09AE">
        <w:t xml:space="preserve"> </w:t>
      </w:r>
      <w:r>
        <w:t>achieves</w:t>
      </w:r>
      <w:r w:rsidRPr="00EA09AE">
        <w:t xml:space="preserve"> </w:t>
      </w:r>
      <w:r>
        <w:t xml:space="preserve">the ALOP for </w:t>
      </w:r>
      <w:r w:rsidRPr="00EA09AE">
        <w:t xml:space="preserve">Australia. Therefore, specific risk management measures are </w:t>
      </w:r>
      <w:r>
        <w:t xml:space="preserve">not </w:t>
      </w:r>
      <w:r w:rsidRPr="00EA09AE">
        <w:t xml:space="preserve">required for </w:t>
      </w:r>
      <w:r w:rsidRPr="00DC2BB3">
        <w:rPr>
          <w:rFonts w:eastAsia="Calibri" w:cs="Times New Roman"/>
          <w:i/>
        </w:rPr>
        <w:t>Elsinoë fawcettii</w:t>
      </w:r>
      <w:r>
        <w:rPr>
          <w:rFonts w:eastAsia="Calibri" w:cs="Times New Roman"/>
          <w:i/>
        </w:rPr>
        <w:t>.</w:t>
      </w:r>
    </w:p>
    <w:p w14:paraId="6F7EC82A" w14:textId="37559C4F" w:rsidR="009910FF" w:rsidRDefault="009910FF" w:rsidP="001749D9">
      <w:pPr>
        <w:pStyle w:val="Heading2"/>
      </w:pPr>
      <w:bookmarkStart w:id="105" w:name="_Toc501716495"/>
      <w:r>
        <w:t xml:space="preserve">Summary of </w:t>
      </w:r>
      <w:r w:rsidR="001759C2">
        <w:t xml:space="preserve">the </w:t>
      </w:r>
      <w:r>
        <w:t>assessment of pests</w:t>
      </w:r>
      <w:r w:rsidR="002E4B63">
        <w:t xml:space="preserve"> of Tahitian limes</w:t>
      </w:r>
      <w:bookmarkEnd w:id="105"/>
    </w:p>
    <w:p w14:paraId="6DD1ED50" w14:textId="0B171453" w:rsidR="009910FF" w:rsidRDefault="009910FF" w:rsidP="009910FF">
      <w:r>
        <w:t>This section provides a</w:t>
      </w:r>
      <w:r w:rsidR="002934C7">
        <w:t>n overview</w:t>
      </w:r>
      <w:r>
        <w:t xml:space="preserve"> of the assessment </w:t>
      </w:r>
      <w:r w:rsidR="00D42E92">
        <w:t>process for the pests of Tahitian limes considered in this report</w:t>
      </w:r>
      <w:r w:rsidR="002934C7">
        <w:t>. This</w:t>
      </w:r>
      <w:r w:rsidR="00360C7D">
        <w:t xml:space="preserve"> is </w:t>
      </w:r>
      <w:r w:rsidR="002934C7">
        <w:t>summarised</w:t>
      </w:r>
      <w:r>
        <w:t xml:space="preserve"> in Figure </w:t>
      </w:r>
      <w:r w:rsidR="00520D2B">
        <w:t>3</w:t>
      </w:r>
      <w:r>
        <w:t>.</w:t>
      </w:r>
    </w:p>
    <w:p w14:paraId="7685B758" w14:textId="77777777" w:rsidR="00971957" w:rsidRDefault="009910FF" w:rsidP="009910FF">
      <w:r>
        <w:t xml:space="preserve">The pest categorisation process (Appendix A) identified 82 pests of Tahitian limes and related citrus species recorded in the Cook Islands, Niue, Samoa, Tonga and Vanuatu. </w:t>
      </w:r>
      <w:r w:rsidR="00971957">
        <w:t>Of these 82 pests:</w:t>
      </w:r>
    </w:p>
    <w:p w14:paraId="00E4BA7F" w14:textId="12EB7D0B" w:rsidR="009910FF" w:rsidRDefault="00645643" w:rsidP="00971957">
      <w:pPr>
        <w:pStyle w:val="ListBullet"/>
      </w:pPr>
      <w:r>
        <w:t>Two</w:t>
      </w:r>
      <w:r w:rsidR="00971957">
        <w:t xml:space="preserve"> pests have been eradicated or are no longer known to be present in the countries considered in this report, so were not considered further;</w:t>
      </w:r>
    </w:p>
    <w:p w14:paraId="40D3BB37" w14:textId="6D1D10F3" w:rsidR="00971957" w:rsidRDefault="00971957" w:rsidP="00971957">
      <w:pPr>
        <w:pStyle w:val="ListBullet"/>
      </w:pPr>
      <w:r>
        <w:t>4</w:t>
      </w:r>
      <w:r w:rsidR="00225083">
        <w:t>3</w:t>
      </w:r>
      <w:r>
        <w:t xml:space="preserve"> pests are already present in Australia, and not under official control, and therefore were not considered further;</w:t>
      </w:r>
    </w:p>
    <w:p w14:paraId="1E3610D6" w14:textId="4F3897AB" w:rsidR="00645643" w:rsidRDefault="008E5D7F" w:rsidP="00971957">
      <w:pPr>
        <w:pStyle w:val="ListBullet"/>
      </w:pPr>
      <w:r>
        <w:t>20</w:t>
      </w:r>
      <w:r w:rsidR="00971957">
        <w:t xml:space="preserve"> of the remaining 3</w:t>
      </w:r>
      <w:r w:rsidR="00225083">
        <w:t>7</w:t>
      </w:r>
      <w:r w:rsidR="00971957">
        <w:t xml:space="preserve"> </w:t>
      </w:r>
      <w:r w:rsidR="00645643">
        <w:t>pests we</w:t>
      </w:r>
      <w:r w:rsidR="00971957">
        <w:t xml:space="preserve">re assessed as not </w:t>
      </w:r>
      <w:r w:rsidR="00A15B82">
        <w:t xml:space="preserve">likely to be present on </w:t>
      </w:r>
      <w:r w:rsidR="002934C7">
        <w:t>mature, commercially produced and harvested</w:t>
      </w:r>
      <w:r w:rsidR="00971957">
        <w:t xml:space="preserve"> Tahitian lime fruit</w:t>
      </w:r>
      <w:r w:rsidR="00645643">
        <w:t>, and therefore were not considered further;</w:t>
      </w:r>
    </w:p>
    <w:p w14:paraId="491F667E" w14:textId="766894CE" w:rsidR="00225083" w:rsidRDefault="00225083" w:rsidP="00971957">
      <w:pPr>
        <w:pStyle w:val="ListBullet"/>
      </w:pPr>
      <w:r>
        <w:t xml:space="preserve">Two of the remaining 17 pests were assessed as being unable to establish </w:t>
      </w:r>
      <w:r w:rsidR="005B194E">
        <w:t xml:space="preserve">in Australia </w:t>
      </w:r>
      <w:r>
        <w:t xml:space="preserve">via </w:t>
      </w:r>
      <w:r w:rsidR="005B194E">
        <w:t>imported</w:t>
      </w:r>
      <w:r>
        <w:t xml:space="preserve"> fruit</w:t>
      </w:r>
      <w:r w:rsidR="005B194E">
        <w:t xml:space="preserve"> due to the lack of a transmission pathway, and were therefore not considered further; and</w:t>
      </w:r>
    </w:p>
    <w:p w14:paraId="26E1F1A9" w14:textId="689D43B2" w:rsidR="00645643" w:rsidRDefault="00645643" w:rsidP="00971957">
      <w:pPr>
        <w:pStyle w:val="ListBullet"/>
      </w:pPr>
      <w:r>
        <w:t>Three of the remaining 15 pests were assessed to have minimal economic consequences, and therefore were not considered further.</w:t>
      </w:r>
    </w:p>
    <w:p w14:paraId="5FA2BED3" w14:textId="0ADDB113" w:rsidR="00645643" w:rsidRDefault="00645643" w:rsidP="00B33FE8">
      <w:r>
        <w:t xml:space="preserve">The outcome of this pest categorisation process was the identification of twelve pests that require pest risk assessments to ascertain whether phytosanitary measures </w:t>
      </w:r>
      <w:r w:rsidR="00A15B82">
        <w:t>a</w:t>
      </w:r>
      <w:r>
        <w:t xml:space="preserve">re </w:t>
      </w:r>
      <w:r w:rsidR="00A15B82">
        <w:t>needed</w:t>
      </w:r>
      <w:r>
        <w:t xml:space="preserve"> to manage the biosecurity risks to an acceptable level.</w:t>
      </w:r>
    </w:p>
    <w:p w14:paraId="122509D4" w14:textId="77777777" w:rsidR="002E3D0B" w:rsidRDefault="0094705B" w:rsidP="002C2BF2">
      <w:r>
        <w:t>Pest risk assessments were undertaken for these twelve pests</w:t>
      </w:r>
      <w:r w:rsidR="002E3D0B">
        <w:t>:</w:t>
      </w:r>
    </w:p>
    <w:p w14:paraId="4935546A" w14:textId="77777777" w:rsidR="002E3D0B" w:rsidRDefault="002E3D0B" w:rsidP="00BC6BF7">
      <w:pPr>
        <w:pStyle w:val="ListBullet"/>
      </w:pPr>
      <w:r>
        <w:t>Nine pests were assessed as having an acceptable risk for the assessed pathway, meeting Australia’s appropriate level of protection without specific risk management measures. These pests were:</w:t>
      </w:r>
    </w:p>
    <w:p w14:paraId="5DC82823" w14:textId="2F6A48A1" w:rsidR="00BC6BF7" w:rsidRDefault="00BC6BF7" w:rsidP="002C2BF2">
      <w:pPr>
        <w:pStyle w:val="ListBullet"/>
        <w:numPr>
          <w:ilvl w:val="0"/>
          <w:numId w:val="57"/>
        </w:numPr>
        <w:ind w:left="709" w:hanging="283"/>
      </w:pPr>
      <w:r>
        <w:t>Caribbean black scale (</w:t>
      </w:r>
      <w:r w:rsidRPr="00BC6BF7">
        <w:rPr>
          <w:i/>
        </w:rPr>
        <w:t>Saissetia neglecta</w:t>
      </w:r>
      <w:r>
        <w:t>);</w:t>
      </w:r>
      <w:r w:rsidRPr="00BC6BF7">
        <w:t xml:space="preserve"> </w:t>
      </w:r>
    </w:p>
    <w:p w14:paraId="7B3AD90E" w14:textId="31D9882B" w:rsidR="00BC6BF7" w:rsidRDefault="00BC6BF7" w:rsidP="002C2BF2">
      <w:pPr>
        <w:pStyle w:val="ListBullet"/>
        <w:numPr>
          <w:ilvl w:val="0"/>
          <w:numId w:val="57"/>
        </w:numPr>
        <w:ind w:left="709" w:hanging="283"/>
      </w:pPr>
      <w:r>
        <w:t>Armoured scales (</w:t>
      </w:r>
      <w:r w:rsidRPr="00BC6BF7">
        <w:rPr>
          <w:i/>
        </w:rPr>
        <w:t>Chrysomphalus dictyospermi</w:t>
      </w:r>
      <w:r w:rsidRPr="00BC6BF7">
        <w:t xml:space="preserve">, </w:t>
      </w:r>
      <w:r w:rsidRPr="00BC6BF7">
        <w:rPr>
          <w:i/>
        </w:rPr>
        <w:t>Hemiberlesia cyanophylli</w:t>
      </w:r>
      <w:r w:rsidRPr="00BC6BF7">
        <w:t>,</w:t>
      </w:r>
      <w:r>
        <w:t xml:space="preserve"> </w:t>
      </w:r>
      <w:r w:rsidRPr="00BC6BF7">
        <w:rPr>
          <w:i/>
        </w:rPr>
        <w:t>Morganella longispina</w:t>
      </w:r>
      <w:r w:rsidRPr="00BC6BF7">
        <w:t xml:space="preserve">, </w:t>
      </w:r>
      <w:r w:rsidRPr="00BC6BF7">
        <w:rPr>
          <w:i/>
        </w:rPr>
        <w:t>Parlatoria cinerea</w:t>
      </w:r>
      <w:r w:rsidRPr="00BC6BF7">
        <w:t xml:space="preserve">, </w:t>
      </w:r>
      <w:r w:rsidRPr="00BC6BF7">
        <w:rPr>
          <w:i/>
        </w:rPr>
        <w:t>Parlatoria pergandii</w:t>
      </w:r>
      <w:r w:rsidRPr="00BC6BF7">
        <w:t xml:space="preserve">, </w:t>
      </w:r>
      <w:r w:rsidRPr="00BC6BF7">
        <w:rPr>
          <w:i/>
        </w:rPr>
        <w:t>Pinnaspis aspidistrae</w:t>
      </w:r>
      <w:r>
        <w:t xml:space="preserve"> and</w:t>
      </w:r>
      <w:r w:rsidRPr="00BC6BF7">
        <w:t xml:space="preserve"> </w:t>
      </w:r>
      <w:r w:rsidRPr="00BC6BF7">
        <w:rPr>
          <w:i/>
        </w:rPr>
        <w:t>Unaspis citri</w:t>
      </w:r>
      <w:r w:rsidR="00B33FE8">
        <w:t>)</w:t>
      </w:r>
      <w:r>
        <w:t>; and</w:t>
      </w:r>
    </w:p>
    <w:p w14:paraId="208017E0" w14:textId="75DEDD45" w:rsidR="00971957" w:rsidRDefault="00BC6BF7" w:rsidP="002C2BF2">
      <w:pPr>
        <w:pStyle w:val="ListBullet"/>
        <w:numPr>
          <w:ilvl w:val="0"/>
          <w:numId w:val="57"/>
        </w:numPr>
        <w:ind w:left="709" w:hanging="283"/>
      </w:pPr>
      <w:r>
        <w:t>Citrus scab (</w:t>
      </w:r>
      <w:r w:rsidRPr="00BC6BF7">
        <w:rPr>
          <w:i/>
        </w:rPr>
        <w:t>Elsinoë fawcettii</w:t>
      </w:r>
      <w:r>
        <w:t>)</w:t>
      </w:r>
      <w:r w:rsidR="00A15B82">
        <w:t>;</w:t>
      </w:r>
      <w:r w:rsidR="00971957">
        <w:t xml:space="preserve"> </w:t>
      </w:r>
    </w:p>
    <w:p w14:paraId="1871F49C" w14:textId="02CC420A" w:rsidR="00BC6BF7" w:rsidRDefault="00BC6BF7" w:rsidP="00BC6BF7">
      <w:pPr>
        <w:pStyle w:val="ListBullet"/>
      </w:pPr>
      <w:r>
        <w:t>Three pests were assessed as exceeding the acceptable risk for the assessed pathway, and not achieving Australia’s appropriate level of protection. Specific risk management measures are therefore required to reduce the risks to an acceptable level. These pests were:</w:t>
      </w:r>
    </w:p>
    <w:p w14:paraId="27BC23CE" w14:textId="062AF6B0" w:rsidR="00DC60EC" w:rsidRDefault="00DC60EC" w:rsidP="002C2BF2">
      <w:pPr>
        <w:pStyle w:val="ListBullet"/>
        <w:numPr>
          <w:ilvl w:val="0"/>
          <w:numId w:val="58"/>
        </w:numPr>
      </w:pPr>
      <w:r>
        <w:t>Grey pineapple m</w:t>
      </w:r>
      <w:r w:rsidR="00BC6BF7">
        <w:t>ealybug (</w:t>
      </w:r>
      <w:r w:rsidR="00BC6BF7" w:rsidRPr="00BC6BF7">
        <w:rPr>
          <w:i/>
        </w:rPr>
        <w:t>Dysmicoccus neobrevipes</w:t>
      </w:r>
      <w:r>
        <w:t>);</w:t>
      </w:r>
    </w:p>
    <w:p w14:paraId="6FE99017" w14:textId="394673F6" w:rsidR="00DC60EC" w:rsidRDefault="00DC60EC" w:rsidP="002C2BF2">
      <w:pPr>
        <w:pStyle w:val="ListBullet"/>
        <w:numPr>
          <w:ilvl w:val="0"/>
          <w:numId w:val="58"/>
        </w:numPr>
      </w:pPr>
      <w:r>
        <w:t>Pacific mealybug (</w:t>
      </w:r>
      <w:r w:rsidR="00BC6BF7" w:rsidRPr="00BC6BF7">
        <w:rPr>
          <w:i/>
        </w:rPr>
        <w:t>Planococcus minor</w:t>
      </w:r>
      <w:r>
        <w:t>); and</w:t>
      </w:r>
    </w:p>
    <w:p w14:paraId="39BDFF79" w14:textId="19FF9038" w:rsidR="00BC6BF7" w:rsidRDefault="00DC60EC" w:rsidP="002C2BF2">
      <w:pPr>
        <w:pStyle w:val="ListBullet"/>
        <w:numPr>
          <w:ilvl w:val="0"/>
          <w:numId w:val="58"/>
        </w:numPr>
      </w:pPr>
      <w:r>
        <w:t>Cryptic mealybug (</w:t>
      </w:r>
      <w:r w:rsidR="00BC6BF7" w:rsidRPr="00BC6BF7">
        <w:rPr>
          <w:i/>
        </w:rPr>
        <w:t>Pseudococcus cryptus</w:t>
      </w:r>
      <w:r w:rsidR="00BC6BF7">
        <w:t>)</w:t>
      </w:r>
      <w:r w:rsidR="009F743C">
        <w:t>.</w:t>
      </w:r>
    </w:p>
    <w:p w14:paraId="36CF6EE2" w14:textId="77777777" w:rsidR="009F743C" w:rsidRDefault="009F743C" w:rsidP="009F743C">
      <w:pPr>
        <w:sectPr w:rsidR="009F743C" w:rsidSect="00242B68">
          <w:pgSz w:w="11906" w:h="16838"/>
          <w:pgMar w:top="1418" w:right="1418" w:bottom="1418" w:left="1418" w:header="567" w:footer="283" w:gutter="0"/>
          <w:cols w:space="708"/>
          <w:docGrid w:linePitch="360"/>
        </w:sectPr>
      </w:pPr>
    </w:p>
    <w:p w14:paraId="05043CC9" w14:textId="3945AB6C" w:rsidR="009F743C" w:rsidRDefault="001759C2" w:rsidP="001759C2">
      <w:pPr>
        <w:pStyle w:val="Caption"/>
      </w:pPr>
      <w:bookmarkStart w:id="106" w:name="_Toc501716552"/>
      <w:r>
        <w:t>Figure 3 Summary of pest categorisation and pest risk assessment outcomes</w:t>
      </w:r>
      <w:bookmarkEnd w:id="106"/>
    </w:p>
    <w:p w14:paraId="124039E7" w14:textId="74FDDA5A" w:rsidR="009F743C" w:rsidRDefault="00B070DF" w:rsidP="006D167E">
      <w:pPr>
        <w:ind w:left="-284"/>
      </w:pPr>
      <w:r>
        <w:rPr>
          <w:noProof/>
          <w:lang w:eastAsia="en-AU"/>
        </w:rPr>
        <w:drawing>
          <wp:inline distT="0" distB="0" distL="0" distR="0" wp14:anchorId="0145533B" wp14:editId="0AB81812">
            <wp:extent cx="6034326" cy="5099939"/>
            <wp:effectExtent l="19050" t="19050" r="2413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ary of pest risk assessments2.JPG"/>
                    <pic:cNvPicPr/>
                  </pic:nvPicPr>
                  <pic:blipFill>
                    <a:blip r:embed="rId50">
                      <a:extLst>
                        <a:ext uri="{28A0092B-C50C-407E-A947-70E740481C1C}">
                          <a14:useLocalDpi xmlns:a14="http://schemas.microsoft.com/office/drawing/2010/main" val="0"/>
                        </a:ext>
                      </a:extLst>
                    </a:blip>
                    <a:stretch>
                      <a:fillRect/>
                    </a:stretch>
                  </pic:blipFill>
                  <pic:spPr bwMode="auto">
                    <a:xfrm>
                      <a:off x="0" y="0"/>
                      <a:ext cx="6034326" cy="509993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3C6B490" w14:textId="64C720CA" w:rsidR="001749D9" w:rsidRDefault="001749D9" w:rsidP="001749D9">
      <w:pPr>
        <w:pStyle w:val="Heading2"/>
      </w:pPr>
      <w:bookmarkStart w:id="107" w:name="_Toc501716496"/>
      <w:r>
        <w:t>Pest risk assessment conclusions</w:t>
      </w:r>
      <w:bookmarkEnd w:id="103"/>
      <w:bookmarkEnd w:id="107"/>
    </w:p>
    <w:p w14:paraId="5909DE70" w14:textId="5C3C02B7" w:rsidR="001749D9" w:rsidRDefault="001749D9" w:rsidP="001749D9">
      <w:r>
        <w:t>Table 4.</w:t>
      </w:r>
      <w:r w:rsidR="00E316D1">
        <w:t>2</w:t>
      </w:r>
      <w:r>
        <w:t xml:space="preserve"> summarises the </w:t>
      </w:r>
      <w:r w:rsidR="00962213">
        <w:t xml:space="preserve">unrestricted </w:t>
      </w:r>
      <w:r w:rsidR="00765C24">
        <w:t xml:space="preserve">risk estimates </w:t>
      </w:r>
      <w:r w:rsidR="00F134C7">
        <w:t xml:space="preserve">and outcomes </w:t>
      </w:r>
      <w:r w:rsidR="00765C24">
        <w:t>f</w:t>
      </w:r>
      <w:r>
        <w:t xml:space="preserve">or the quarantine pests associated with fresh Tahitian lime fruit for human consumption from the Cook Islands, Niue, Samoa, Tonga and Vanuatu. </w:t>
      </w:r>
    </w:p>
    <w:p w14:paraId="66952F9D" w14:textId="524B84DA" w:rsidR="0073028F" w:rsidRDefault="001749D9" w:rsidP="00951580">
      <w:r>
        <w:t xml:space="preserve">The </w:t>
      </w:r>
      <w:r w:rsidR="00E41A42">
        <w:t>recommended</w:t>
      </w:r>
      <w:r>
        <w:t xml:space="preserve"> risk management measu</w:t>
      </w:r>
      <w:r w:rsidR="00B11B48">
        <w:t>res are discussed in Chapter 5.</w:t>
      </w:r>
    </w:p>
    <w:p w14:paraId="04508A0F" w14:textId="77777777" w:rsidR="00F93782" w:rsidRDefault="00F93782" w:rsidP="00F93782">
      <w:pPr>
        <w:tabs>
          <w:tab w:val="left" w:pos="3790"/>
        </w:tabs>
        <w:sectPr w:rsidR="00F93782" w:rsidSect="00242B68">
          <w:pgSz w:w="11906" w:h="16838"/>
          <w:pgMar w:top="1418" w:right="1418" w:bottom="1418" w:left="1418" w:header="567" w:footer="283" w:gutter="0"/>
          <w:cols w:space="708"/>
          <w:docGrid w:linePitch="360"/>
        </w:sectPr>
      </w:pPr>
    </w:p>
    <w:p w14:paraId="20CD03C5" w14:textId="77777777" w:rsidR="00146544" w:rsidRDefault="00621EC2">
      <w:pPr>
        <w:pStyle w:val="Caption"/>
      </w:pPr>
      <w:bookmarkStart w:id="108" w:name="_Toc384979285"/>
      <w:bookmarkStart w:id="109" w:name="_Toc391452204"/>
      <w:bookmarkStart w:id="110" w:name="_Toc391453099"/>
      <w:bookmarkStart w:id="111" w:name="_Toc391453723"/>
      <w:bookmarkStart w:id="112" w:name="_Toc391461883"/>
      <w:bookmarkStart w:id="113" w:name="_Toc391461939"/>
      <w:bookmarkStart w:id="114" w:name="_Toc445298176"/>
      <w:bookmarkStart w:id="115" w:name="_Toc445298289"/>
      <w:bookmarkStart w:id="116" w:name="_Toc449960675"/>
      <w:bookmarkStart w:id="117" w:name="_Toc455049827"/>
      <w:bookmarkStart w:id="118" w:name="_Toc455411697"/>
      <w:bookmarkStart w:id="119" w:name="_Toc456775498"/>
      <w:bookmarkStart w:id="120" w:name="_Toc456778798"/>
      <w:bookmarkStart w:id="121" w:name="_Toc457224295"/>
      <w:bookmarkStart w:id="122" w:name="_Toc457225452"/>
      <w:bookmarkStart w:id="123" w:name="_Toc457807146"/>
      <w:bookmarkStart w:id="124" w:name="_Toc459813428"/>
      <w:bookmarkStart w:id="125" w:name="_Toc501716553"/>
      <w:r>
        <w:t xml:space="preserve">Table </w:t>
      </w:r>
      <w:fldSimple w:instr=" STYLEREF 1 \s ">
        <w:r w:rsidR="003C54B1">
          <w:rPr>
            <w:noProof/>
          </w:rPr>
          <w:t>4</w:t>
        </w:r>
      </w:fldSimple>
      <w:r>
        <w:t>.</w:t>
      </w:r>
      <w:bookmarkEnd w:id="108"/>
      <w:r w:rsidR="009A6B8B">
        <w:t>2</w:t>
      </w:r>
      <w:r>
        <w:t xml:space="preserve"> Summary of unrestricted risk estimates </w:t>
      </w:r>
      <w:r w:rsidR="002453C3">
        <w:t xml:space="preserve">for </w:t>
      </w:r>
      <w:r>
        <w:t>pests associated with Tahitian limes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bl>
      <w:tblPr>
        <w:tblW w:w="5361" w:type="pct"/>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89"/>
        <w:gridCol w:w="1135"/>
        <w:gridCol w:w="1132"/>
        <w:gridCol w:w="682"/>
        <w:gridCol w:w="1306"/>
        <w:gridCol w:w="1132"/>
        <w:gridCol w:w="1168"/>
        <w:gridCol w:w="1291"/>
        <w:gridCol w:w="1805"/>
        <w:gridCol w:w="1973"/>
      </w:tblGrid>
      <w:tr w:rsidR="00F134C7" w14:paraId="1AB25876" w14:textId="77777777" w:rsidTr="00F134C7">
        <w:trPr>
          <w:cantSplit/>
          <w:tblHeader/>
        </w:trPr>
        <w:tc>
          <w:tcPr>
            <w:tcW w:w="1129" w:type="pct"/>
            <w:vMerge w:val="restart"/>
            <w:tcBorders>
              <w:left w:val="nil"/>
              <w:bottom w:val="single" w:sz="4" w:space="0" w:color="BFBFBF"/>
              <w:right w:val="nil"/>
            </w:tcBorders>
            <w:vAlign w:val="center"/>
          </w:tcPr>
          <w:p w14:paraId="74165762" w14:textId="77777777" w:rsidR="00F134C7" w:rsidRDefault="00F134C7" w:rsidP="0059654E">
            <w:pPr>
              <w:pStyle w:val="TableText"/>
            </w:pPr>
            <w:r>
              <w:rPr>
                <w:b/>
              </w:rPr>
              <w:t>Pest name</w:t>
            </w:r>
          </w:p>
        </w:tc>
        <w:tc>
          <w:tcPr>
            <w:tcW w:w="1794" w:type="pct"/>
            <w:gridSpan w:val="5"/>
            <w:tcBorders>
              <w:left w:val="nil"/>
              <w:bottom w:val="nil"/>
              <w:right w:val="nil"/>
            </w:tcBorders>
          </w:tcPr>
          <w:p w14:paraId="18233AFF" w14:textId="77777777" w:rsidR="00F134C7" w:rsidRDefault="00F134C7" w:rsidP="0059654E">
            <w:pPr>
              <w:pStyle w:val="TableHeading"/>
              <w:jc w:val="center"/>
            </w:pPr>
            <w:r>
              <w:t>Likelihood of</w:t>
            </w:r>
          </w:p>
        </w:tc>
        <w:tc>
          <w:tcPr>
            <w:tcW w:w="389" w:type="pct"/>
            <w:vMerge w:val="restart"/>
            <w:tcBorders>
              <w:left w:val="nil"/>
              <w:bottom w:val="single" w:sz="4" w:space="0" w:color="BFBFBF"/>
              <w:right w:val="nil"/>
            </w:tcBorders>
          </w:tcPr>
          <w:p w14:paraId="1A9B0DCC" w14:textId="77777777" w:rsidR="00F134C7" w:rsidRDefault="00F134C7" w:rsidP="0059654E">
            <w:pPr>
              <w:pStyle w:val="TableText"/>
              <w:jc w:val="center"/>
            </w:pPr>
            <w:r>
              <w:rPr>
                <w:b/>
              </w:rPr>
              <w:t>[EES]</w:t>
            </w:r>
          </w:p>
        </w:tc>
        <w:tc>
          <w:tcPr>
            <w:tcW w:w="430" w:type="pct"/>
            <w:vMerge w:val="restart"/>
            <w:tcBorders>
              <w:left w:val="nil"/>
              <w:bottom w:val="single" w:sz="4" w:space="0" w:color="BFBFBF"/>
              <w:right w:val="nil"/>
            </w:tcBorders>
            <w:shd w:val="clear" w:color="auto" w:fill="auto"/>
          </w:tcPr>
          <w:p w14:paraId="496D17B0" w14:textId="77777777" w:rsidR="00F134C7" w:rsidRDefault="00F134C7" w:rsidP="0059654E">
            <w:pPr>
              <w:pStyle w:val="TableText"/>
              <w:jc w:val="center"/>
            </w:pPr>
            <w:r>
              <w:rPr>
                <w:b/>
              </w:rPr>
              <w:t>Consequences</w:t>
            </w:r>
          </w:p>
        </w:tc>
        <w:tc>
          <w:tcPr>
            <w:tcW w:w="601" w:type="pct"/>
            <w:vMerge w:val="restart"/>
            <w:tcBorders>
              <w:left w:val="nil"/>
              <w:bottom w:val="single" w:sz="4" w:space="0" w:color="BFBFBF"/>
              <w:right w:val="nil"/>
            </w:tcBorders>
            <w:shd w:val="clear" w:color="auto" w:fill="auto"/>
          </w:tcPr>
          <w:p w14:paraId="793286D6" w14:textId="77777777" w:rsidR="00F134C7" w:rsidRDefault="00F134C7" w:rsidP="0059654E">
            <w:pPr>
              <w:pStyle w:val="TableText"/>
              <w:jc w:val="center"/>
            </w:pPr>
            <w:r>
              <w:rPr>
                <w:b/>
              </w:rPr>
              <w:t>Unrestricted Risk Estimate</w:t>
            </w:r>
          </w:p>
        </w:tc>
        <w:tc>
          <w:tcPr>
            <w:tcW w:w="657" w:type="pct"/>
            <w:vMerge w:val="restart"/>
            <w:tcBorders>
              <w:left w:val="nil"/>
              <w:right w:val="nil"/>
            </w:tcBorders>
          </w:tcPr>
          <w:p w14:paraId="226BC006" w14:textId="77777777" w:rsidR="00F134C7" w:rsidRDefault="00F134C7" w:rsidP="0059654E">
            <w:pPr>
              <w:pStyle w:val="TableText"/>
              <w:jc w:val="center"/>
              <w:rPr>
                <w:b/>
              </w:rPr>
            </w:pPr>
            <w:r>
              <w:rPr>
                <w:b/>
              </w:rPr>
              <w:t>Outcome</w:t>
            </w:r>
          </w:p>
        </w:tc>
      </w:tr>
      <w:tr w:rsidR="00F134C7" w14:paraId="6B45AB8E" w14:textId="77777777" w:rsidTr="00F134C7">
        <w:tc>
          <w:tcPr>
            <w:tcW w:w="1129" w:type="pct"/>
            <w:vMerge/>
            <w:tcBorders>
              <w:left w:val="nil"/>
              <w:bottom w:val="single" w:sz="4" w:space="0" w:color="BFBFBF"/>
              <w:right w:val="nil"/>
            </w:tcBorders>
          </w:tcPr>
          <w:p w14:paraId="46F855C6" w14:textId="77777777" w:rsidR="00F134C7" w:rsidRDefault="00F134C7" w:rsidP="0059654E">
            <w:pPr>
              <w:pStyle w:val="TableText"/>
              <w:rPr>
                <w:b/>
                <w:i/>
                <w:lang w:eastAsia="en-AU"/>
              </w:rPr>
            </w:pPr>
          </w:p>
        </w:tc>
        <w:tc>
          <w:tcPr>
            <w:tcW w:w="378" w:type="pct"/>
            <w:tcBorders>
              <w:top w:val="single" w:sz="4" w:space="0" w:color="BFBFBF"/>
              <w:left w:val="nil"/>
              <w:bottom w:val="single" w:sz="4" w:space="0" w:color="BFBFBF"/>
              <w:right w:val="nil"/>
            </w:tcBorders>
            <w:shd w:val="clear" w:color="auto" w:fill="auto"/>
          </w:tcPr>
          <w:p w14:paraId="3FFF5B88" w14:textId="77777777" w:rsidR="00F134C7" w:rsidRDefault="00F134C7" w:rsidP="0059654E">
            <w:pPr>
              <w:pStyle w:val="TableText"/>
              <w:jc w:val="center"/>
            </w:pPr>
            <w:r>
              <w:t>Importation</w:t>
            </w:r>
          </w:p>
        </w:tc>
        <w:tc>
          <w:tcPr>
            <w:tcW w:w="377" w:type="pct"/>
            <w:tcBorders>
              <w:top w:val="single" w:sz="4" w:space="0" w:color="BFBFBF"/>
              <w:left w:val="nil"/>
              <w:bottom w:val="single" w:sz="4" w:space="0" w:color="BFBFBF"/>
              <w:right w:val="nil"/>
            </w:tcBorders>
            <w:shd w:val="clear" w:color="auto" w:fill="auto"/>
          </w:tcPr>
          <w:p w14:paraId="426738A3" w14:textId="77777777" w:rsidR="00F134C7" w:rsidRDefault="00F134C7" w:rsidP="0059654E">
            <w:pPr>
              <w:pStyle w:val="TableText"/>
              <w:jc w:val="center"/>
            </w:pPr>
            <w:r>
              <w:t>Distribution</w:t>
            </w:r>
          </w:p>
        </w:tc>
        <w:tc>
          <w:tcPr>
            <w:tcW w:w="227" w:type="pct"/>
            <w:tcBorders>
              <w:top w:val="single" w:sz="4" w:space="0" w:color="BFBFBF"/>
              <w:left w:val="nil"/>
              <w:bottom w:val="single" w:sz="4" w:space="0" w:color="BFBFBF"/>
              <w:right w:val="nil"/>
            </w:tcBorders>
            <w:shd w:val="clear" w:color="auto" w:fill="auto"/>
          </w:tcPr>
          <w:p w14:paraId="0CF4A2F4" w14:textId="77777777" w:rsidR="00F134C7" w:rsidRDefault="00F134C7" w:rsidP="0059654E">
            <w:pPr>
              <w:pStyle w:val="TableText"/>
              <w:jc w:val="center"/>
              <w:rPr>
                <w:b/>
              </w:rPr>
            </w:pPr>
            <w:r>
              <w:rPr>
                <w:b/>
              </w:rPr>
              <w:t>Entry</w:t>
            </w:r>
          </w:p>
        </w:tc>
        <w:tc>
          <w:tcPr>
            <w:tcW w:w="435" w:type="pct"/>
            <w:tcBorders>
              <w:top w:val="single" w:sz="4" w:space="0" w:color="BFBFBF"/>
              <w:left w:val="nil"/>
              <w:bottom w:val="single" w:sz="4" w:space="0" w:color="BFBFBF"/>
              <w:right w:val="nil"/>
            </w:tcBorders>
            <w:shd w:val="clear" w:color="auto" w:fill="auto"/>
          </w:tcPr>
          <w:p w14:paraId="201C2709" w14:textId="77777777" w:rsidR="00F134C7" w:rsidRDefault="00F134C7" w:rsidP="0059654E">
            <w:pPr>
              <w:pStyle w:val="TableText"/>
              <w:jc w:val="center"/>
              <w:rPr>
                <w:b/>
              </w:rPr>
            </w:pPr>
            <w:r>
              <w:rPr>
                <w:b/>
              </w:rPr>
              <w:t>Establishment</w:t>
            </w:r>
          </w:p>
        </w:tc>
        <w:tc>
          <w:tcPr>
            <w:tcW w:w="377" w:type="pct"/>
            <w:tcBorders>
              <w:top w:val="single" w:sz="4" w:space="0" w:color="BFBFBF"/>
              <w:left w:val="nil"/>
              <w:bottom w:val="single" w:sz="4" w:space="0" w:color="BFBFBF"/>
              <w:right w:val="nil"/>
            </w:tcBorders>
            <w:shd w:val="clear" w:color="auto" w:fill="auto"/>
          </w:tcPr>
          <w:p w14:paraId="7312472D" w14:textId="77777777" w:rsidR="00F134C7" w:rsidRDefault="00F134C7" w:rsidP="0059654E">
            <w:pPr>
              <w:pStyle w:val="TableText"/>
              <w:jc w:val="center"/>
              <w:rPr>
                <w:b/>
              </w:rPr>
            </w:pPr>
            <w:r>
              <w:rPr>
                <w:b/>
              </w:rPr>
              <w:t>Spread</w:t>
            </w:r>
          </w:p>
        </w:tc>
        <w:tc>
          <w:tcPr>
            <w:tcW w:w="389" w:type="pct"/>
            <w:vMerge/>
            <w:tcBorders>
              <w:left w:val="nil"/>
              <w:bottom w:val="single" w:sz="4" w:space="0" w:color="BFBFBF"/>
              <w:right w:val="nil"/>
            </w:tcBorders>
            <w:shd w:val="clear" w:color="auto" w:fill="auto"/>
          </w:tcPr>
          <w:p w14:paraId="1F41916B" w14:textId="77777777" w:rsidR="00F134C7" w:rsidRDefault="00F134C7" w:rsidP="0059654E">
            <w:pPr>
              <w:pStyle w:val="TableText"/>
              <w:jc w:val="center"/>
            </w:pPr>
          </w:p>
        </w:tc>
        <w:tc>
          <w:tcPr>
            <w:tcW w:w="430" w:type="pct"/>
            <w:vMerge/>
            <w:tcBorders>
              <w:top w:val="nil"/>
              <w:left w:val="nil"/>
              <w:bottom w:val="single" w:sz="4" w:space="0" w:color="BFBFBF"/>
              <w:right w:val="nil"/>
            </w:tcBorders>
            <w:shd w:val="clear" w:color="auto" w:fill="auto"/>
          </w:tcPr>
          <w:p w14:paraId="31748A51" w14:textId="77777777" w:rsidR="00F134C7" w:rsidRDefault="00F134C7" w:rsidP="0059654E">
            <w:pPr>
              <w:pStyle w:val="TableText"/>
              <w:rPr>
                <w:b/>
                <w:highlight w:val="yellow"/>
              </w:rPr>
            </w:pPr>
          </w:p>
        </w:tc>
        <w:tc>
          <w:tcPr>
            <w:tcW w:w="601" w:type="pct"/>
            <w:vMerge/>
            <w:tcBorders>
              <w:top w:val="nil"/>
              <w:left w:val="nil"/>
              <w:bottom w:val="single" w:sz="4" w:space="0" w:color="BFBFBF"/>
              <w:right w:val="nil"/>
            </w:tcBorders>
            <w:shd w:val="clear" w:color="auto" w:fill="auto"/>
          </w:tcPr>
          <w:p w14:paraId="5EEB1419" w14:textId="77777777" w:rsidR="00F134C7" w:rsidRDefault="00F134C7" w:rsidP="0059654E">
            <w:pPr>
              <w:pStyle w:val="TableText"/>
              <w:rPr>
                <w:b/>
              </w:rPr>
            </w:pPr>
          </w:p>
        </w:tc>
        <w:tc>
          <w:tcPr>
            <w:tcW w:w="657" w:type="pct"/>
            <w:vMerge/>
            <w:tcBorders>
              <w:left w:val="nil"/>
              <w:bottom w:val="single" w:sz="4" w:space="0" w:color="BFBFBF"/>
              <w:right w:val="nil"/>
            </w:tcBorders>
          </w:tcPr>
          <w:p w14:paraId="7B6EF8A4" w14:textId="77777777" w:rsidR="00F134C7" w:rsidRDefault="00F134C7" w:rsidP="0059654E">
            <w:pPr>
              <w:pStyle w:val="TableText"/>
              <w:rPr>
                <w:b/>
              </w:rPr>
            </w:pPr>
          </w:p>
        </w:tc>
      </w:tr>
      <w:tr w:rsidR="00F134C7" w14:paraId="1D4589EF" w14:textId="77777777" w:rsidTr="00F134C7">
        <w:tc>
          <w:tcPr>
            <w:tcW w:w="1129" w:type="pct"/>
            <w:tcBorders>
              <w:top w:val="single" w:sz="4" w:space="0" w:color="BFBFBF"/>
              <w:left w:val="nil"/>
              <w:bottom w:val="nil"/>
              <w:right w:val="nil"/>
            </w:tcBorders>
            <w:vAlign w:val="center"/>
          </w:tcPr>
          <w:p w14:paraId="6AD349B7" w14:textId="77777777" w:rsidR="00F134C7" w:rsidRPr="004003BD" w:rsidRDefault="00F134C7" w:rsidP="00283990">
            <w:pPr>
              <w:pStyle w:val="TableText"/>
            </w:pPr>
            <w:r w:rsidRPr="004003BD">
              <w:rPr>
                <w:b/>
              </w:rPr>
              <w:t>S</w:t>
            </w:r>
            <w:r>
              <w:rPr>
                <w:b/>
              </w:rPr>
              <w:t>oft s</w:t>
            </w:r>
            <w:r w:rsidRPr="004003BD">
              <w:rPr>
                <w:b/>
              </w:rPr>
              <w:t>cales [Hemiptera: Coccidae]</w:t>
            </w:r>
          </w:p>
        </w:tc>
        <w:tc>
          <w:tcPr>
            <w:tcW w:w="378" w:type="pct"/>
            <w:tcBorders>
              <w:top w:val="single" w:sz="4" w:space="0" w:color="BFBFBF"/>
              <w:left w:val="nil"/>
              <w:bottom w:val="nil"/>
              <w:right w:val="nil"/>
            </w:tcBorders>
            <w:shd w:val="clear" w:color="auto" w:fill="auto"/>
            <w:vAlign w:val="center"/>
          </w:tcPr>
          <w:p w14:paraId="46BFD74F" w14:textId="77777777" w:rsidR="00F134C7" w:rsidRPr="00E57A40" w:rsidRDefault="00F134C7" w:rsidP="00283990">
            <w:pPr>
              <w:pStyle w:val="TableText"/>
              <w:jc w:val="center"/>
            </w:pPr>
          </w:p>
        </w:tc>
        <w:tc>
          <w:tcPr>
            <w:tcW w:w="377" w:type="pct"/>
            <w:tcBorders>
              <w:top w:val="single" w:sz="4" w:space="0" w:color="BFBFBF"/>
              <w:left w:val="nil"/>
              <w:bottom w:val="nil"/>
              <w:right w:val="nil"/>
            </w:tcBorders>
            <w:shd w:val="clear" w:color="auto" w:fill="auto"/>
            <w:vAlign w:val="center"/>
          </w:tcPr>
          <w:p w14:paraId="48B3C5D8" w14:textId="77777777" w:rsidR="00F134C7" w:rsidRPr="00E57A40" w:rsidRDefault="00F134C7" w:rsidP="00283990">
            <w:pPr>
              <w:pStyle w:val="TableText"/>
              <w:jc w:val="center"/>
            </w:pPr>
          </w:p>
        </w:tc>
        <w:tc>
          <w:tcPr>
            <w:tcW w:w="227" w:type="pct"/>
            <w:tcBorders>
              <w:top w:val="single" w:sz="4" w:space="0" w:color="BFBFBF"/>
              <w:left w:val="nil"/>
              <w:bottom w:val="nil"/>
              <w:right w:val="nil"/>
            </w:tcBorders>
            <w:shd w:val="clear" w:color="auto" w:fill="auto"/>
            <w:vAlign w:val="center"/>
          </w:tcPr>
          <w:p w14:paraId="33B9C8A2" w14:textId="77777777" w:rsidR="00F134C7" w:rsidRPr="00E57A40" w:rsidRDefault="00F134C7" w:rsidP="00283990">
            <w:pPr>
              <w:pStyle w:val="TableText"/>
              <w:jc w:val="center"/>
            </w:pPr>
          </w:p>
        </w:tc>
        <w:tc>
          <w:tcPr>
            <w:tcW w:w="435" w:type="pct"/>
            <w:tcBorders>
              <w:top w:val="single" w:sz="4" w:space="0" w:color="BFBFBF"/>
              <w:left w:val="nil"/>
              <w:bottom w:val="nil"/>
              <w:right w:val="nil"/>
            </w:tcBorders>
            <w:shd w:val="clear" w:color="auto" w:fill="auto"/>
            <w:vAlign w:val="center"/>
          </w:tcPr>
          <w:p w14:paraId="7952CE88" w14:textId="77777777" w:rsidR="00F134C7" w:rsidRPr="00E57A40" w:rsidRDefault="00F134C7" w:rsidP="00283990">
            <w:pPr>
              <w:pStyle w:val="TableText"/>
              <w:jc w:val="center"/>
            </w:pPr>
          </w:p>
        </w:tc>
        <w:tc>
          <w:tcPr>
            <w:tcW w:w="377" w:type="pct"/>
            <w:tcBorders>
              <w:top w:val="single" w:sz="4" w:space="0" w:color="BFBFBF"/>
              <w:left w:val="nil"/>
              <w:bottom w:val="nil"/>
              <w:right w:val="nil"/>
            </w:tcBorders>
            <w:shd w:val="clear" w:color="auto" w:fill="auto"/>
            <w:vAlign w:val="center"/>
          </w:tcPr>
          <w:p w14:paraId="78CA35E2" w14:textId="77777777" w:rsidR="00F134C7" w:rsidRPr="00E57A40" w:rsidRDefault="00F134C7" w:rsidP="00283990">
            <w:pPr>
              <w:pStyle w:val="TableText"/>
              <w:jc w:val="center"/>
            </w:pPr>
          </w:p>
        </w:tc>
        <w:tc>
          <w:tcPr>
            <w:tcW w:w="389" w:type="pct"/>
            <w:tcBorders>
              <w:top w:val="single" w:sz="4" w:space="0" w:color="BFBFBF"/>
              <w:left w:val="nil"/>
              <w:bottom w:val="nil"/>
              <w:right w:val="nil"/>
            </w:tcBorders>
            <w:shd w:val="clear" w:color="auto" w:fill="auto"/>
            <w:vAlign w:val="center"/>
          </w:tcPr>
          <w:p w14:paraId="00821053" w14:textId="77777777" w:rsidR="00F134C7" w:rsidRPr="00E57A40" w:rsidRDefault="00F134C7" w:rsidP="00283990">
            <w:pPr>
              <w:pStyle w:val="TableText"/>
              <w:jc w:val="center"/>
            </w:pPr>
          </w:p>
        </w:tc>
        <w:tc>
          <w:tcPr>
            <w:tcW w:w="430" w:type="pct"/>
            <w:tcBorders>
              <w:top w:val="single" w:sz="4" w:space="0" w:color="BFBFBF"/>
              <w:left w:val="nil"/>
              <w:bottom w:val="nil"/>
              <w:right w:val="nil"/>
            </w:tcBorders>
            <w:shd w:val="clear" w:color="auto" w:fill="auto"/>
            <w:vAlign w:val="center"/>
          </w:tcPr>
          <w:p w14:paraId="18B8DEF3" w14:textId="77777777" w:rsidR="00F134C7" w:rsidRPr="00E57A40" w:rsidRDefault="00F134C7" w:rsidP="00283990">
            <w:pPr>
              <w:pStyle w:val="TableText"/>
              <w:jc w:val="center"/>
            </w:pPr>
          </w:p>
        </w:tc>
        <w:tc>
          <w:tcPr>
            <w:tcW w:w="601" w:type="pct"/>
            <w:tcBorders>
              <w:top w:val="single" w:sz="4" w:space="0" w:color="BFBFBF"/>
              <w:left w:val="nil"/>
              <w:bottom w:val="nil"/>
              <w:right w:val="nil"/>
            </w:tcBorders>
            <w:shd w:val="clear" w:color="auto" w:fill="auto"/>
            <w:vAlign w:val="center"/>
          </w:tcPr>
          <w:p w14:paraId="074DDCDC" w14:textId="77777777" w:rsidR="00F134C7" w:rsidRPr="00E57A40" w:rsidRDefault="00F134C7" w:rsidP="00283990">
            <w:pPr>
              <w:pStyle w:val="TableText"/>
              <w:jc w:val="center"/>
            </w:pPr>
          </w:p>
        </w:tc>
        <w:tc>
          <w:tcPr>
            <w:tcW w:w="657" w:type="pct"/>
            <w:tcBorders>
              <w:top w:val="single" w:sz="4" w:space="0" w:color="BFBFBF"/>
              <w:left w:val="nil"/>
              <w:bottom w:val="nil"/>
              <w:right w:val="nil"/>
            </w:tcBorders>
          </w:tcPr>
          <w:p w14:paraId="511E94F6" w14:textId="77777777" w:rsidR="00F134C7" w:rsidRPr="00E57A40" w:rsidRDefault="00F134C7" w:rsidP="00283990">
            <w:pPr>
              <w:pStyle w:val="TableText"/>
              <w:jc w:val="center"/>
            </w:pPr>
          </w:p>
        </w:tc>
      </w:tr>
      <w:tr w:rsidR="00F134C7" w14:paraId="48499F6D" w14:textId="77777777" w:rsidTr="00F134C7">
        <w:tc>
          <w:tcPr>
            <w:tcW w:w="1129" w:type="pct"/>
            <w:tcBorders>
              <w:top w:val="nil"/>
              <w:left w:val="nil"/>
              <w:bottom w:val="single" w:sz="4" w:space="0" w:color="BFBFBF"/>
              <w:right w:val="nil"/>
            </w:tcBorders>
            <w:vAlign w:val="center"/>
          </w:tcPr>
          <w:p w14:paraId="0FC9487B" w14:textId="77777777" w:rsidR="00F134C7" w:rsidRPr="004003BD" w:rsidRDefault="00F134C7" w:rsidP="00DD629A">
            <w:pPr>
              <w:pStyle w:val="TableText"/>
              <w:rPr>
                <w:i/>
              </w:rPr>
            </w:pPr>
            <w:r w:rsidRPr="004003BD">
              <w:rPr>
                <w:i/>
              </w:rPr>
              <w:t xml:space="preserve">Saissetia neglecta </w:t>
            </w:r>
            <w:r>
              <w:t>[</w:t>
            </w:r>
            <w:r w:rsidRPr="004003BD">
              <w:t>WA</w:t>
            </w:r>
            <w:r>
              <w:t>]</w:t>
            </w:r>
          </w:p>
        </w:tc>
        <w:tc>
          <w:tcPr>
            <w:tcW w:w="378" w:type="pct"/>
            <w:tcBorders>
              <w:top w:val="nil"/>
              <w:left w:val="nil"/>
              <w:bottom w:val="single" w:sz="4" w:space="0" w:color="BFBFBF"/>
              <w:right w:val="nil"/>
            </w:tcBorders>
            <w:shd w:val="clear" w:color="auto" w:fill="auto"/>
          </w:tcPr>
          <w:p w14:paraId="37EE4211" w14:textId="77777777" w:rsidR="00F134C7" w:rsidRPr="00E57A40" w:rsidRDefault="00F134C7" w:rsidP="00283990">
            <w:pPr>
              <w:pStyle w:val="TableText"/>
              <w:jc w:val="center"/>
            </w:pPr>
            <w:r w:rsidRPr="00086768">
              <w:t>High</w:t>
            </w:r>
          </w:p>
        </w:tc>
        <w:tc>
          <w:tcPr>
            <w:tcW w:w="377" w:type="pct"/>
            <w:tcBorders>
              <w:top w:val="nil"/>
              <w:left w:val="nil"/>
              <w:bottom w:val="single" w:sz="4" w:space="0" w:color="BFBFBF"/>
              <w:right w:val="nil"/>
            </w:tcBorders>
            <w:shd w:val="clear" w:color="auto" w:fill="auto"/>
          </w:tcPr>
          <w:p w14:paraId="4A696689" w14:textId="77777777" w:rsidR="00F134C7" w:rsidRPr="00E57A40" w:rsidRDefault="00F134C7" w:rsidP="00283990">
            <w:pPr>
              <w:pStyle w:val="TableText"/>
              <w:jc w:val="center"/>
            </w:pPr>
            <w:r>
              <w:t>Low</w:t>
            </w:r>
          </w:p>
        </w:tc>
        <w:tc>
          <w:tcPr>
            <w:tcW w:w="227" w:type="pct"/>
            <w:tcBorders>
              <w:top w:val="nil"/>
              <w:left w:val="nil"/>
              <w:bottom w:val="single" w:sz="4" w:space="0" w:color="BFBFBF"/>
              <w:right w:val="nil"/>
            </w:tcBorders>
            <w:shd w:val="clear" w:color="auto" w:fill="auto"/>
          </w:tcPr>
          <w:p w14:paraId="488F5FE0" w14:textId="77777777" w:rsidR="00F134C7" w:rsidRPr="00E57A40" w:rsidRDefault="00F134C7" w:rsidP="00283990">
            <w:pPr>
              <w:pStyle w:val="TableText"/>
              <w:jc w:val="center"/>
            </w:pPr>
            <w:r>
              <w:t>Low</w:t>
            </w:r>
          </w:p>
        </w:tc>
        <w:tc>
          <w:tcPr>
            <w:tcW w:w="435" w:type="pct"/>
            <w:tcBorders>
              <w:top w:val="nil"/>
              <w:left w:val="nil"/>
              <w:bottom w:val="single" w:sz="4" w:space="0" w:color="BFBFBF"/>
              <w:right w:val="nil"/>
            </w:tcBorders>
            <w:shd w:val="clear" w:color="auto" w:fill="auto"/>
          </w:tcPr>
          <w:p w14:paraId="3F5DE081" w14:textId="77777777" w:rsidR="00F134C7" w:rsidRPr="00E57A40" w:rsidRDefault="00F134C7" w:rsidP="00283990">
            <w:pPr>
              <w:pStyle w:val="TableText"/>
              <w:jc w:val="center"/>
            </w:pPr>
            <w:r w:rsidRPr="00086768">
              <w:t>High</w:t>
            </w:r>
          </w:p>
        </w:tc>
        <w:tc>
          <w:tcPr>
            <w:tcW w:w="377" w:type="pct"/>
            <w:tcBorders>
              <w:top w:val="nil"/>
              <w:left w:val="nil"/>
              <w:bottom w:val="single" w:sz="4" w:space="0" w:color="BFBFBF"/>
              <w:right w:val="nil"/>
            </w:tcBorders>
            <w:shd w:val="clear" w:color="auto" w:fill="auto"/>
          </w:tcPr>
          <w:p w14:paraId="0F7A7D52" w14:textId="77777777" w:rsidR="00F134C7" w:rsidRPr="00E57A40" w:rsidRDefault="00F134C7" w:rsidP="00283990">
            <w:pPr>
              <w:pStyle w:val="TableText"/>
              <w:jc w:val="center"/>
            </w:pPr>
            <w:r>
              <w:t>Moderate</w:t>
            </w:r>
          </w:p>
        </w:tc>
        <w:tc>
          <w:tcPr>
            <w:tcW w:w="389" w:type="pct"/>
            <w:tcBorders>
              <w:top w:val="nil"/>
              <w:left w:val="nil"/>
              <w:bottom w:val="single" w:sz="4" w:space="0" w:color="BFBFBF"/>
              <w:right w:val="nil"/>
            </w:tcBorders>
            <w:shd w:val="clear" w:color="auto" w:fill="auto"/>
          </w:tcPr>
          <w:p w14:paraId="69267F10" w14:textId="77777777" w:rsidR="00F134C7" w:rsidRPr="00E57A40" w:rsidRDefault="00F134C7" w:rsidP="00283990">
            <w:pPr>
              <w:pStyle w:val="TableText"/>
              <w:jc w:val="center"/>
            </w:pPr>
            <w:r>
              <w:t>Low</w:t>
            </w:r>
          </w:p>
        </w:tc>
        <w:tc>
          <w:tcPr>
            <w:tcW w:w="430" w:type="pct"/>
            <w:tcBorders>
              <w:top w:val="nil"/>
              <w:left w:val="nil"/>
              <w:bottom w:val="single" w:sz="4" w:space="0" w:color="BFBFBF"/>
              <w:right w:val="nil"/>
            </w:tcBorders>
            <w:shd w:val="clear" w:color="auto" w:fill="auto"/>
          </w:tcPr>
          <w:p w14:paraId="04E58592" w14:textId="77777777" w:rsidR="00F134C7" w:rsidRPr="00E57A40" w:rsidRDefault="00F134C7" w:rsidP="00283990">
            <w:pPr>
              <w:pStyle w:val="TableText"/>
              <w:jc w:val="center"/>
            </w:pPr>
            <w:r w:rsidRPr="00086768">
              <w:t>Low</w:t>
            </w:r>
          </w:p>
        </w:tc>
        <w:tc>
          <w:tcPr>
            <w:tcW w:w="601" w:type="pct"/>
            <w:tcBorders>
              <w:top w:val="nil"/>
              <w:left w:val="nil"/>
              <w:bottom w:val="single" w:sz="4" w:space="0" w:color="BFBFBF"/>
              <w:right w:val="nil"/>
            </w:tcBorders>
            <w:shd w:val="clear" w:color="auto" w:fill="auto"/>
          </w:tcPr>
          <w:p w14:paraId="7441F612" w14:textId="77777777" w:rsidR="00F134C7" w:rsidRPr="00E57A40" w:rsidRDefault="00F134C7" w:rsidP="00283990">
            <w:pPr>
              <w:pStyle w:val="TableText"/>
              <w:jc w:val="center"/>
            </w:pPr>
            <w:r>
              <w:t>Very l</w:t>
            </w:r>
            <w:r w:rsidRPr="00086768">
              <w:t>ow</w:t>
            </w:r>
          </w:p>
        </w:tc>
        <w:tc>
          <w:tcPr>
            <w:tcW w:w="657" w:type="pct"/>
            <w:tcBorders>
              <w:top w:val="nil"/>
              <w:left w:val="nil"/>
              <w:bottom w:val="single" w:sz="4" w:space="0" w:color="BFBFBF"/>
              <w:right w:val="nil"/>
            </w:tcBorders>
          </w:tcPr>
          <w:p w14:paraId="218A0E0C" w14:textId="77777777" w:rsidR="00F134C7" w:rsidRDefault="00F134C7" w:rsidP="00283990">
            <w:pPr>
              <w:pStyle w:val="TableText"/>
              <w:jc w:val="center"/>
            </w:pPr>
            <w:r>
              <w:t>Achieves ALOP</w:t>
            </w:r>
          </w:p>
        </w:tc>
      </w:tr>
      <w:tr w:rsidR="00F134C7" w14:paraId="6A3672BB" w14:textId="77777777" w:rsidTr="00F134C7">
        <w:tc>
          <w:tcPr>
            <w:tcW w:w="4343" w:type="pct"/>
            <w:gridSpan w:val="9"/>
            <w:tcBorders>
              <w:top w:val="single" w:sz="4" w:space="0" w:color="BFBFBF"/>
              <w:left w:val="nil"/>
              <w:bottom w:val="nil"/>
              <w:right w:val="nil"/>
            </w:tcBorders>
            <w:shd w:val="clear" w:color="auto" w:fill="auto"/>
            <w:vAlign w:val="center"/>
          </w:tcPr>
          <w:p w14:paraId="4B75F3DC" w14:textId="77777777" w:rsidR="00F134C7" w:rsidRPr="006D124D" w:rsidRDefault="00F134C7" w:rsidP="006D124D">
            <w:pPr>
              <w:pStyle w:val="TableText"/>
              <w:rPr>
                <w:b/>
              </w:rPr>
            </w:pPr>
            <w:r w:rsidRPr="006D124D">
              <w:rPr>
                <w:b/>
              </w:rPr>
              <w:t>Armoured scales [Hemiptera: Diaspididae]</w:t>
            </w:r>
          </w:p>
        </w:tc>
        <w:tc>
          <w:tcPr>
            <w:tcW w:w="657" w:type="pct"/>
            <w:tcBorders>
              <w:top w:val="single" w:sz="4" w:space="0" w:color="BFBFBF"/>
              <w:left w:val="nil"/>
              <w:bottom w:val="nil"/>
              <w:right w:val="nil"/>
            </w:tcBorders>
          </w:tcPr>
          <w:p w14:paraId="071921E8" w14:textId="77777777" w:rsidR="00F134C7" w:rsidRPr="006D124D" w:rsidRDefault="00F134C7" w:rsidP="006D124D">
            <w:pPr>
              <w:pStyle w:val="TableText"/>
              <w:rPr>
                <w:b/>
              </w:rPr>
            </w:pPr>
          </w:p>
        </w:tc>
      </w:tr>
      <w:tr w:rsidR="00F134C7" w14:paraId="360CF81E" w14:textId="77777777" w:rsidTr="00F134C7">
        <w:tc>
          <w:tcPr>
            <w:tcW w:w="1129" w:type="pct"/>
            <w:tcBorders>
              <w:top w:val="nil"/>
              <w:left w:val="nil"/>
              <w:bottom w:val="nil"/>
              <w:right w:val="single" w:sz="4" w:space="0" w:color="BFBFBF" w:themeColor="background1" w:themeShade="BF"/>
            </w:tcBorders>
            <w:vAlign w:val="center"/>
          </w:tcPr>
          <w:p w14:paraId="45DC6BA4" w14:textId="77777777" w:rsidR="00F134C7" w:rsidRPr="00E57A40" w:rsidRDefault="00F134C7" w:rsidP="00E316D1">
            <w:pPr>
              <w:pStyle w:val="TableText"/>
              <w:rPr>
                <w:i/>
                <w:lang w:eastAsia="en-AU"/>
              </w:rPr>
            </w:pPr>
            <w:r w:rsidRPr="00E316D1">
              <w:rPr>
                <w:i/>
                <w:lang w:eastAsia="en-AU"/>
              </w:rPr>
              <w:t xml:space="preserve">Chrysomphalus dictyospermi </w:t>
            </w:r>
            <w:r>
              <w:rPr>
                <w:lang w:eastAsia="en-AU"/>
              </w:rPr>
              <w:t xml:space="preserve">[EP, </w:t>
            </w:r>
            <w:r w:rsidRPr="00E316D1">
              <w:rPr>
                <w:lang w:eastAsia="en-AU"/>
              </w:rPr>
              <w:t>WA</w:t>
            </w:r>
            <w:r>
              <w:rPr>
                <w:lang w:eastAsia="en-AU"/>
              </w:rPr>
              <w:t>]</w:t>
            </w:r>
          </w:p>
        </w:tc>
        <w:tc>
          <w:tcPr>
            <w:tcW w:w="3214" w:type="pct"/>
            <w:gridSpan w:val="8"/>
            <w:vMerge w:val="restart"/>
            <w:tcBorders>
              <w:top w:val="nil"/>
              <w:left w:val="single" w:sz="4" w:space="0" w:color="BFBFBF" w:themeColor="background1" w:themeShade="BF"/>
              <w:right w:val="nil"/>
            </w:tcBorders>
            <w:shd w:val="clear" w:color="auto" w:fill="auto"/>
          </w:tcPr>
          <w:p w14:paraId="341A4826" w14:textId="77777777" w:rsidR="00F134C7" w:rsidRDefault="00F134C7" w:rsidP="002F16F4">
            <w:pPr>
              <w:pStyle w:val="TableText"/>
              <w:jc w:val="center"/>
            </w:pPr>
            <w:r>
              <w:t>O</w:t>
            </w:r>
            <w:r w:rsidRPr="002F16F4">
              <w:t>utcome</w:t>
            </w:r>
            <w:r>
              <w:t xml:space="preserve"> of previous assessments </w:t>
            </w:r>
            <w:r w:rsidRPr="002F16F4">
              <w:t>ha</w:t>
            </w:r>
            <w:r w:rsidR="00A348AE">
              <w:t>s</w:t>
            </w:r>
            <w:r w:rsidRPr="002F16F4">
              <w:t xml:space="preserve"> been adopted</w:t>
            </w:r>
            <w:r>
              <w:t xml:space="preserve"> for these pests</w:t>
            </w:r>
          </w:p>
        </w:tc>
        <w:tc>
          <w:tcPr>
            <w:tcW w:w="657" w:type="pct"/>
            <w:vMerge w:val="restart"/>
            <w:tcBorders>
              <w:top w:val="nil"/>
              <w:left w:val="nil"/>
              <w:right w:val="nil"/>
            </w:tcBorders>
          </w:tcPr>
          <w:p w14:paraId="6F4E9DE9" w14:textId="77777777" w:rsidR="00F134C7" w:rsidRDefault="00F134C7" w:rsidP="002F16F4">
            <w:pPr>
              <w:pStyle w:val="TableText"/>
              <w:jc w:val="center"/>
            </w:pPr>
            <w:r w:rsidRPr="00F134C7">
              <w:t>Achieves ALOP</w:t>
            </w:r>
          </w:p>
        </w:tc>
      </w:tr>
      <w:tr w:rsidR="00F134C7" w14:paraId="3073A5E4" w14:textId="77777777" w:rsidTr="00F134C7">
        <w:tc>
          <w:tcPr>
            <w:tcW w:w="1129" w:type="pct"/>
            <w:tcBorders>
              <w:top w:val="nil"/>
              <w:left w:val="nil"/>
              <w:bottom w:val="nil"/>
              <w:right w:val="single" w:sz="4" w:space="0" w:color="BFBFBF" w:themeColor="background1" w:themeShade="BF"/>
            </w:tcBorders>
            <w:vAlign w:val="center"/>
          </w:tcPr>
          <w:p w14:paraId="2A977622" w14:textId="77777777" w:rsidR="00F134C7" w:rsidRPr="00E316D1" w:rsidRDefault="00F134C7" w:rsidP="00E316D1">
            <w:pPr>
              <w:pStyle w:val="TableText"/>
              <w:rPr>
                <w:i/>
                <w:lang w:eastAsia="en-AU"/>
              </w:rPr>
            </w:pPr>
            <w:r w:rsidRPr="00E316D1">
              <w:rPr>
                <w:i/>
                <w:lang w:eastAsia="en-AU"/>
              </w:rPr>
              <w:t xml:space="preserve">Hemiberlesia cyanophylli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right w:val="nil"/>
            </w:tcBorders>
            <w:shd w:val="clear" w:color="auto" w:fill="auto"/>
            <w:vAlign w:val="center"/>
          </w:tcPr>
          <w:p w14:paraId="0F9BCB06" w14:textId="77777777" w:rsidR="00F134C7" w:rsidRDefault="00F134C7" w:rsidP="00E316D1">
            <w:pPr>
              <w:pStyle w:val="TableText"/>
              <w:jc w:val="center"/>
            </w:pPr>
          </w:p>
        </w:tc>
        <w:tc>
          <w:tcPr>
            <w:tcW w:w="657" w:type="pct"/>
            <w:vMerge/>
            <w:tcBorders>
              <w:left w:val="nil"/>
              <w:right w:val="nil"/>
            </w:tcBorders>
          </w:tcPr>
          <w:p w14:paraId="66C86265" w14:textId="77777777" w:rsidR="00F134C7" w:rsidRDefault="00F134C7" w:rsidP="00E316D1">
            <w:pPr>
              <w:pStyle w:val="TableText"/>
              <w:jc w:val="center"/>
            </w:pPr>
          </w:p>
        </w:tc>
      </w:tr>
      <w:tr w:rsidR="00F134C7" w14:paraId="540F6272" w14:textId="77777777" w:rsidTr="00F134C7">
        <w:tc>
          <w:tcPr>
            <w:tcW w:w="1129" w:type="pct"/>
            <w:tcBorders>
              <w:top w:val="nil"/>
              <w:left w:val="nil"/>
              <w:bottom w:val="nil"/>
              <w:right w:val="single" w:sz="4" w:space="0" w:color="BFBFBF" w:themeColor="background1" w:themeShade="BF"/>
            </w:tcBorders>
            <w:vAlign w:val="center"/>
          </w:tcPr>
          <w:p w14:paraId="5FAFF691" w14:textId="77777777" w:rsidR="00F134C7" w:rsidRPr="00E316D1" w:rsidRDefault="00F134C7" w:rsidP="00E316D1">
            <w:pPr>
              <w:pStyle w:val="TableText"/>
              <w:rPr>
                <w:i/>
                <w:lang w:eastAsia="en-AU"/>
              </w:rPr>
            </w:pPr>
            <w:r w:rsidRPr="00E316D1">
              <w:rPr>
                <w:i/>
                <w:lang w:eastAsia="en-AU"/>
              </w:rPr>
              <w:t xml:space="preserve">Morganella longispina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right w:val="nil"/>
            </w:tcBorders>
            <w:shd w:val="clear" w:color="auto" w:fill="auto"/>
            <w:vAlign w:val="center"/>
          </w:tcPr>
          <w:p w14:paraId="7C92F13D" w14:textId="77777777" w:rsidR="00F134C7" w:rsidRDefault="00F134C7" w:rsidP="00E316D1">
            <w:pPr>
              <w:pStyle w:val="TableText"/>
              <w:jc w:val="center"/>
            </w:pPr>
          </w:p>
        </w:tc>
        <w:tc>
          <w:tcPr>
            <w:tcW w:w="657" w:type="pct"/>
            <w:vMerge/>
            <w:tcBorders>
              <w:left w:val="nil"/>
              <w:right w:val="nil"/>
            </w:tcBorders>
          </w:tcPr>
          <w:p w14:paraId="2C3DA5D3" w14:textId="77777777" w:rsidR="00F134C7" w:rsidRDefault="00F134C7" w:rsidP="00E316D1">
            <w:pPr>
              <w:pStyle w:val="TableText"/>
              <w:jc w:val="center"/>
            </w:pPr>
          </w:p>
        </w:tc>
      </w:tr>
      <w:tr w:rsidR="00F134C7" w14:paraId="440EEBC0" w14:textId="77777777" w:rsidTr="00F134C7">
        <w:tc>
          <w:tcPr>
            <w:tcW w:w="1129" w:type="pct"/>
            <w:tcBorders>
              <w:top w:val="nil"/>
              <w:left w:val="nil"/>
              <w:bottom w:val="nil"/>
              <w:right w:val="single" w:sz="4" w:space="0" w:color="BFBFBF" w:themeColor="background1" w:themeShade="BF"/>
            </w:tcBorders>
            <w:vAlign w:val="center"/>
          </w:tcPr>
          <w:p w14:paraId="6D40A499" w14:textId="77777777" w:rsidR="00F134C7" w:rsidRPr="00E435A2" w:rsidRDefault="00F134C7" w:rsidP="00E316D1">
            <w:pPr>
              <w:pStyle w:val="TableText"/>
              <w:rPr>
                <w:lang w:eastAsia="en-AU"/>
              </w:rPr>
            </w:pPr>
            <w:r w:rsidRPr="00E316D1">
              <w:rPr>
                <w:i/>
                <w:lang w:eastAsia="en-AU"/>
              </w:rPr>
              <w:t>Parlatoria cinerea</w:t>
            </w:r>
            <w:r>
              <w:rPr>
                <w:lang w:eastAsia="en-AU"/>
              </w:rPr>
              <w:t xml:space="preserve"> [EP]</w:t>
            </w:r>
          </w:p>
        </w:tc>
        <w:tc>
          <w:tcPr>
            <w:tcW w:w="3214" w:type="pct"/>
            <w:gridSpan w:val="8"/>
            <w:vMerge/>
            <w:tcBorders>
              <w:left w:val="single" w:sz="4" w:space="0" w:color="BFBFBF" w:themeColor="background1" w:themeShade="BF"/>
              <w:right w:val="nil"/>
            </w:tcBorders>
            <w:shd w:val="clear" w:color="auto" w:fill="auto"/>
            <w:vAlign w:val="center"/>
          </w:tcPr>
          <w:p w14:paraId="63F78514" w14:textId="77777777" w:rsidR="00F134C7" w:rsidRDefault="00F134C7" w:rsidP="00E316D1">
            <w:pPr>
              <w:pStyle w:val="TableText"/>
              <w:jc w:val="center"/>
            </w:pPr>
          </w:p>
        </w:tc>
        <w:tc>
          <w:tcPr>
            <w:tcW w:w="657" w:type="pct"/>
            <w:vMerge/>
            <w:tcBorders>
              <w:left w:val="nil"/>
              <w:right w:val="nil"/>
            </w:tcBorders>
          </w:tcPr>
          <w:p w14:paraId="29B94814" w14:textId="77777777" w:rsidR="00F134C7" w:rsidRDefault="00F134C7" w:rsidP="00E316D1">
            <w:pPr>
              <w:pStyle w:val="TableText"/>
              <w:jc w:val="center"/>
            </w:pPr>
          </w:p>
        </w:tc>
      </w:tr>
      <w:tr w:rsidR="00F134C7" w14:paraId="11D64EA8" w14:textId="77777777" w:rsidTr="00F134C7">
        <w:tc>
          <w:tcPr>
            <w:tcW w:w="1129" w:type="pct"/>
            <w:tcBorders>
              <w:top w:val="nil"/>
              <w:left w:val="nil"/>
              <w:bottom w:val="nil"/>
              <w:right w:val="single" w:sz="4" w:space="0" w:color="BFBFBF" w:themeColor="background1" w:themeShade="BF"/>
            </w:tcBorders>
            <w:vAlign w:val="center"/>
          </w:tcPr>
          <w:p w14:paraId="0B76FF58" w14:textId="77777777" w:rsidR="00F134C7" w:rsidRPr="00E316D1" w:rsidRDefault="00F134C7" w:rsidP="00E316D1">
            <w:pPr>
              <w:pStyle w:val="TableText"/>
              <w:rPr>
                <w:i/>
                <w:lang w:eastAsia="en-AU"/>
              </w:rPr>
            </w:pPr>
            <w:r w:rsidRPr="00E316D1">
              <w:rPr>
                <w:i/>
                <w:lang w:eastAsia="en-AU"/>
              </w:rPr>
              <w:t xml:space="preserve">Parlatoria pergandii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right w:val="nil"/>
            </w:tcBorders>
            <w:shd w:val="clear" w:color="auto" w:fill="auto"/>
            <w:vAlign w:val="center"/>
          </w:tcPr>
          <w:p w14:paraId="6F2E773B" w14:textId="77777777" w:rsidR="00F134C7" w:rsidRDefault="00F134C7" w:rsidP="00E316D1">
            <w:pPr>
              <w:pStyle w:val="TableText"/>
              <w:jc w:val="center"/>
            </w:pPr>
          </w:p>
        </w:tc>
        <w:tc>
          <w:tcPr>
            <w:tcW w:w="657" w:type="pct"/>
            <w:vMerge/>
            <w:tcBorders>
              <w:left w:val="nil"/>
              <w:right w:val="nil"/>
            </w:tcBorders>
          </w:tcPr>
          <w:p w14:paraId="64A10F56" w14:textId="77777777" w:rsidR="00F134C7" w:rsidRDefault="00F134C7" w:rsidP="00E316D1">
            <w:pPr>
              <w:pStyle w:val="TableText"/>
              <w:jc w:val="center"/>
            </w:pPr>
          </w:p>
        </w:tc>
      </w:tr>
      <w:tr w:rsidR="00F134C7" w14:paraId="73014164" w14:textId="77777777" w:rsidTr="00F134C7">
        <w:tc>
          <w:tcPr>
            <w:tcW w:w="1129" w:type="pct"/>
            <w:tcBorders>
              <w:top w:val="nil"/>
              <w:left w:val="nil"/>
              <w:bottom w:val="nil"/>
              <w:right w:val="single" w:sz="4" w:space="0" w:color="BFBFBF" w:themeColor="background1" w:themeShade="BF"/>
            </w:tcBorders>
            <w:vAlign w:val="center"/>
          </w:tcPr>
          <w:p w14:paraId="65943289" w14:textId="15080399" w:rsidR="00F134C7" w:rsidRPr="00E316D1" w:rsidRDefault="00F134C7" w:rsidP="0008776E">
            <w:pPr>
              <w:pStyle w:val="TableText"/>
              <w:rPr>
                <w:i/>
                <w:lang w:eastAsia="en-AU"/>
              </w:rPr>
            </w:pPr>
            <w:r w:rsidRPr="00E316D1">
              <w:rPr>
                <w:i/>
                <w:lang w:eastAsia="en-AU"/>
              </w:rPr>
              <w:t xml:space="preserve">Pinnaspis </w:t>
            </w:r>
            <w:r w:rsidRPr="00F92A86">
              <w:rPr>
                <w:i/>
                <w:lang w:eastAsia="en-AU"/>
              </w:rPr>
              <w:t>aspidistrae</w:t>
            </w:r>
            <w:r w:rsidRPr="00E316D1">
              <w:rPr>
                <w:i/>
                <w:lang w:eastAsia="en-AU"/>
              </w:rPr>
              <w:t xml:space="preserve">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right w:val="nil"/>
            </w:tcBorders>
            <w:shd w:val="clear" w:color="auto" w:fill="auto"/>
            <w:vAlign w:val="center"/>
          </w:tcPr>
          <w:p w14:paraId="016391C2" w14:textId="77777777" w:rsidR="00F134C7" w:rsidRDefault="00F134C7" w:rsidP="00E316D1">
            <w:pPr>
              <w:pStyle w:val="TableText"/>
              <w:jc w:val="center"/>
            </w:pPr>
          </w:p>
        </w:tc>
        <w:tc>
          <w:tcPr>
            <w:tcW w:w="657" w:type="pct"/>
            <w:vMerge/>
            <w:tcBorders>
              <w:left w:val="nil"/>
              <w:right w:val="nil"/>
            </w:tcBorders>
          </w:tcPr>
          <w:p w14:paraId="63DB66BD" w14:textId="77777777" w:rsidR="00F134C7" w:rsidRDefault="00F134C7" w:rsidP="00E316D1">
            <w:pPr>
              <w:pStyle w:val="TableText"/>
              <w:jc w:val="center"/>
            </w:pPr>
          </w:p>
        </w:tc>
      </w:tr>
      <w:tr w:rsidR="00F134C7" w14:paraId="5B8E500F" w14:textId="77777777" w:rsidTr="00F134C7">
        <w:tc>
          <w:tcPr>
            <w:tcW w:w="1129" w:type="pct"/>
            <w:tcBorders>
              <w:top w:val="nil"/>
              <w:left w:val="nil"/>
              <w:bottom w:val="single" w:sz="4" w:space="0" w:color="BFBFBF"/>
              <w:right w:val="single" w:sz="4" w:space="0" w:color="BFBFBF" w:themeColor="background1" w:themeShade="BF"/>
            </w:tcBorders>
            <w:vAlign w:val="center"/>
          </w:tcPr>
          <w:p w14:paraId="123691BE" w14:textId="77777777" w:rsidR="00F134C7" w:rsidRPr="00E316D1" w:rsidRDefault="00F134C7" w:rsidP="00E316D1">
            <w:pPr>
              <w:pStyle w:val="TableText"/>
              <w:rPr>
                <w:i/>
                <w:lang w:eastAsia="en-AU"/>
              </w:rPr>
            </w:pPr>
            <w:r w:rsidRPr="00E316D1">
              <w:rPr>
                <w:i/>
                <w:lang w:eastAsia="en-AU"/>
              </w:rPr>
              <w:t xml:space="preserve">Unaspis citri </w:t>
            </w:r>
            <w:r>
              <w:rPr>
                <w:lang w:eastAsia="en-AU"/>
              </w:rPr>
              <w:t xml:space="preserve">[EP, </w:t>
            </w:r>
            <w:r w:rsidRPr="009A6B8B">
              <w:rPr>
                <w:lang w:eastAsia="en-AU"/>
              </w:rPr>
              <w:t>WA</w:t>
            </w:r>
            <w:r>
              <w:rPr>
                <w:lang w:eastAsia="en-AU"/>
              </w:rPr>
              <w:t>]</w:t>
            </w:r>
          </w:p>
        </w:tc>
        <w:tc>
          <w:tcPr>
            <w:tcW w:w="3214" w:type="pct"/>
            <w:gridSpan w:val="8"/>
            <w:vMerge/>
            <w:tcBorders>
              <w:left w:val="single" w:sz="4" w:space="0" w:color="BFBFBF" w:themeColor="background1" w:themeShade="BF"/>
              <w:bottom w:val="single" w:sz="4" w:space="0" w:color="BFBFBF"/>
              <w:right w:val="nil"/>
            </w:tcBorders>
            <w:shd w:val="clear" w:color="auto" w:fill="auto"/>
            <w:vAlign w:val="center"/>
          </w:tcPr>
          <w:p w14:paraId="5281D59A" w14:textId="77777777" w:rsidR="00F134C7" w:rsidRDefault="00F134C7" w:rsidP="00E316D1">
            <w:pPr>
              <w:pStyle w:val="TableText"/>
              <w:jc w:val="center"/>
            </w:pPr>
          </w:p>
        </w:tc>
        <w:tc>
          <w:tcPr>
            <w:tcW w:w="657" w:type="pct"/>
            <w:vMerge/>
            <w:tcBorders>
              <w:left w:val="nil"/>
              <w:bottom w:val="single" w:sz="4" w:space="0" w:color="BFBFBF"/>
              <w:right w:val="nil"/>
            </w:tcBorders>
          </w:tcPr>
          <w:p w14:paraId="59EC5BE5" w14:textId="77777777" w:rsidR="00F134C7" w:rsidRDefault="00F134C7" w:rsidP="00E316D1">
            <w:pPr>
              <w:pStyle w:val="TableText"/>
              <w:jc w:val="center"/>
            </w:pPr>
          </w:p>
        </w:tc>
      </w:tr>
      <w:tr w:rsidR="00F134C7" w14:paraId="3B86B972" w14:textId="77777777" w:rsidTr="00F134C7">
        <w:tc>
          <w:tcPr>
            <w:tcW w:w="4343" w:type="pct"/>
            <w:gridSpan w:val="9"/>
            <w:tcBorders>
              <w:top w:val="single" w:sz="4" w:space="0" w:color="BFBFBF"/>
              <w:left w:val="nil"/>
              <w:bottom w:val="nil"/>
              <w:right w:val="nil"/>
            </w:tcBorders>
            <w:shd w:val="clear" w:color="auto" w:fill="auto"/>
            <w:vAlign w:val="center"/>
          </w:tcPr>
          <w:p w14:paraId="7DA2308E" w14:textId="0F402DF4" w:rsidR="00F134C7" w:rsidRPr="00092D2C" w:rsidRDefault="00F134C7">
            <w:pPr>
              <w:pStyle w:val="TableText"/>
              <w:rPr>
                <w:b/>
              </w:rPr>
            </w:pPr>
            <w:r w:rsidRPr="00092D2C">
              <w:rPr>
                <w:b/>
              </w:rPr>
              <w:t>Mealybugs [Hemiptera: Pseudococcidae]</w:t>
            </w:r>
            <w:r w:rsidR="00A87459" w:rsidRPr="00092D2C">
              <w:t xml:space="preserve">                         </w:t>
            </w:r>
            <w:r w:rsidR="008A3E13" w:rsidRPr="00092D2C">
              <w:t xml:space="preserve">       </w:t>
            </w:r>
            <w:r w:rsidR="00A87459" w:rsidRPr="00092D2C">
              <w:t>Estimat</w:t>
            </w:r>
            <w:r w:rsidR="008A3E13" w:rsidRPr="00092D2C">
              <w:t>es</w:t>
            </w:r>
            <w:r w:rsidR="00A87459" w:rsidRPr="00092D2C">
              <w:t xml:space="preserve"> are based on evaluations provided in Appendix A, and prior assessments as referenced.</w:t>
            </w:r>
          </w:p>
        </w:tc>
        <w:tc>
          <w:tcPr>
            <w:tcW w:w="657" w:type="pct"/>
            <w:tcBorders>
              <w:top w:val="single" w:sz="4" w:space="0" w:color="BFBFBF"/>
              <w:left w:val="nil"/>
              <w:bottom w:val="nil"/>
              <w:right w:val="nil"/>
            </w:tcBorders>
          </w:tcPr>
          <w:p w14:paraId="522DA102" w14:textId="77777777" w:rsidR="00F134C7" w:rsidRPr="006D124D" w:rsidRDefault="00F134C7" w:rsidP="00E316D1">
            <w:pPr>
              <w:pStyle w:val="TableText"/>
              <w:rPr>
                <w:b/>
              </w:rPr>
            </w:pPr>
          </w:p>
        </w:tc>
      </w:tr>
      <w:tr w:rsidR="00F134C7" w14:paraId="4724D6D3" w14:textId="77777777" w:rsidTr="00F134C7">
        <w:tc>
          <w:tcPr>
            <w:tcW w:w="1129" w:type="pct"/>
            <w:tcBorders>
              <w:top w:val="nil"/>
              <w:left w:val="nil"/>
              <w:bottom w:val="nil"/>
              <w:right w:val="single" w:sz="4" w:space="0" w:color="BFBFBF" w:themeColor="background1" w:themeShade="BF"/>
            </w:tcBorders>
            <w:vAlign w:val="center"/>
          </w:tcPr>
          <w:p w14:paraId="0ED3C006" w14:textId="77777777" w:rsidR="00F134C7" w:rsidRPr="00092D2C" w:rsidRDefault="00F134C7" w:rsidP="00E316D1">
            <w:pPr>
              <w:pStyle w:val="TableText"/>
            </w:pPr>
            <w:r w:rsidRPr="00092D2C">
              <w:rPr>
                <w:i/>
              </w:rPr>
              <w:t>Dysmicoccus neobrevipes</w:t>
            </w:r>
            <w:r w:rsidRPr="00092D2C">
              <w:t xml:space="preserve"> [EP]</w:t>
            </w:r>
          </w:p>
          <w:p w14:paraId="3A851D96" w14:textId="25F11087" w:rsidR="00A87459" w:rsidRPr="00092D2C" w:rsidRDefault="00A87459" w:rsidP="00E316D1">
            <w:pPr>
              <w:pStyle w:val="TableText"/>
            </w:pPr>
            <w:r w:rsidRPr="00092D2C">
              <w:t>(DAFF 2012)</w:t>
            </w:r>
          </w:p>
        </w:tc>
        <w:tc>
          <w:tcPr>
            <w:tcW w:w="3214" w:type="pct"/>
            <w:gridSpan w:val="8"/>
            <w:vMerge w:val="restart"/>
            <w:tcBorders>
              <w:top w:val="nil"/>
              <w:left w:val="single" w:sz="4" w:space="0" w:color="BFBFBF" w:themeColor="background1" w:themeShade="BF"/>
              <w:right w:val="nil"/>
            </w:tcBorders>
            <w:shd w:val="clear" w:color="auto" w:fill="auto"/>
          </w:tcPr>
          <w:p w14:paraId="7D206578" w14:textId="6C470300" w:rsidR="00A87459" w:rsidRPr="00092D2C" w:rsidRDefault="00A87459" w:rsidP="003319C9">
            <w:pPr>
              <w:pStyle w:val="TableText"/>
              <w:tabs>
                <w:tab w:val="left" w:pos="1219"/>
                <w:tab w:val="left" w:pos="2211"/>
                <w:tab w:val="left" w:pos="3487"/>
                <w:tab w:val="left" w:pos="4621"/>
                <w:tab w:val="left" w:pos="5613"/>
              </w:tabs>
            </w:pPr>
            <w:r w:rsidRPr="00092D2C">
              <w:t xml:space="preserve">          High</w:t>
            </w:r>
            <w:r w:rsidRPr="00092D2C">
              <w:tab/>
              <w:t xml:space="preserve">Moderate </w:t>
            </w:r>
            <w:r w:rsidRPr="00092D2C">
              <w:tab/>
              <w:t xml:space="preserve"> Moderate</w:t>
            </w:r>
            <w:r w:rsidRPr="00092D2C">
              <w:tab/>
              <w:t xml:space="preserve">High </w:t>
            </w:r>
            <w:r w:rsidRPr="00092D2C">
              <w:tab/>
              <w:t>High</w:t>
            </w:r>
            <w:r w:rsidRPr="00092D2C">
              <w:tab/>
              <w:t xml:space="preserve">Moderate              </w:t>
            </w:r>
            <w:r w:rsidR="00BF2693" w:rsidRPr="00092D2C">
              <w:t xml:space="preserve">  </w:t>
            </w:r>
            <w:r w:rsidRPr="00092D2C">
              <w:t xml:space="preserve">Low                             </w:t>
            </w:r>
            <w:r w:rsidR="00BF2693" w:rsidRPr="00092D2C">
              <w:t xml:space="preserve"> </w:t>
            </w:r>
            <w:r w:rsidRPr="00092D2C">
              <w:t>Low</w:t>
            </w:r>
          </w:p>
          <w:p w14:paraId="0F4DA6DD" w14:textId="77777777" w:rsidR="00A87459" w:rsidRPr="00092D2C" w:rsidRDefault="00A87459" w:rsidP="003319C9">
            <w:pPr>
              <w:pStyle w:val="TableText"/>
              <w:tabs>
                <w:tab w:val="left" w:pos="1219"/>
                <w:tab w:val="left" w:pos="2211"/>
                <w:tab w:val="left" w:pos="3487"/>
                <w:tab w:val="left" w:pos="4621"/>
                <w:tab w:val="left" w:pos="5613"/>
              </w:tabs>
              <w:rPr>
                <w:sz w:val="23"/>
                <w:szCs w:val="23"/>
              </w:rPr>
            </w:pPr>
          </w:p>
          <w:p w14:paraId="4999088E" w14:textId="7B4B19F9" w:rsidR="008A3E13" w:rsidRPr="00092D2C" w:rsidRDefault="008A3E13" w:rsidP="008A3E13">
            <w:pPr>
              <w:pStyle w:val="TableText"/>
              <w:tabs>
                <w:tab w:val="left" w:pos="1219"/>
                <w:tab w:val="left" w:pos="2211"/>
                <w:tab w:val="left" w:pos="3487"/>
                <w:tab w:val="left" w:pos="4621"/>
                <w:tab w:val="left" w:pos="5613"/>
              </w:tabs>
            </w:pPr>
            <w:r w:rsidRPr="00092D2C">
              <w:t xml:space="preserve">          High</w:t>
            </w:r>
            <w:r w:rsidRPr="00092D2C">
              <w:tab/>
              <w:t xml:space="preserve">Moderate </w:t>
            </w:r>
            <w:r w:rsidRPr="00092D2C">
              <w:tab/>
              <w:t xml:space="preserve"> Moderate</w:t>
            </w:r>
            <w:r w:rsidRPr="00092D2C">
              <w:tab/>
              <w:t xml:space="preserve">High </w:t>
            </w:r>
            <w:r w:rsidRPr="00092D2C">
              <w:tab/>
              <w:t>High</w:t>
            </w:r>
            <w:r w:rsidRPr="00092D2C">
              <w:tab/>
              <w:t xml:space="preserve">Moderate              </w:t>
            </w:r>
            <w:r w:rsidR="00BF2693" w:rsidRPr="00092D2C">
              <w:t xml:space="preserve">  </w:t>
            </w:r>
            <w:r w:rsidRPr="00092D2C">
              <w:t>Low                              Low</w:t>
            </w:r>
          </w:p>
          <w:p w14:paraId="310713B3" w14:textId="77777777" w:rsidR="00A87459" w:rsidRPr="00092D2C" w:rsidRDefault="00A87459" w:rsidP="003319C9">
            <w:pPr>
              <w:pStyle w:val="TableText"/>
              <w:tabs>
                <w:tab w:val="left" w:pos="1219"/>
                <w:tab w:val="left" w:pos="2211"/>
                <w:tab w:val="left" w:pos="3487"/>
                <w:tab w:val="left" w:pos="4621"/>
                <w:tab w:val="left" w:pos="5613"/>
              </w:tabs>
              <w:rPr>
                <w:sz w:val="24"/>
                <w:szCs w:val="24"/>
              </w:rPr>
            </w:pPr>
          </w:p>
          <w:p w14:paraId="20129822" w14:textId="0B3052C8" w:rsidR="008A3E13" w:rsidRPr="00092D2C" w:rsidRDefault="008A3E13" w:rsidP="008A3E13">
            <w:pPr>
              <w:tabs>
                <w:tab w:val="left" w:pos="1219"/>
                <w:tab w:val="left" w:pos="2211"/>
                <w:tab w:val="left" w:pos="3487"/>
                <w:tab w:val="left" w:pos="4621"/>
                <w:tab w:val="left" w:pos="5613"/>
              </w:tabs>
              <w:spacing w:before="60" w:after="60" w:line="240" w:lineRule="auto"/>
              <w:rPr>
                <w:sz w:val="18"/>
              </w:rPr>
            </w:pPr>
            <w:r w:rsidRPr="00092D2C">
              <w:rPr>
                <w:sz w:val="18"/>
              </w:rPr>
              <w:t xml:space="preserve">          High</w:t>
            </w:r>
            <w:r w:rsidRPr="00092D2C">
              <w:rPr>
                <w:sz w:val="18"/>
              </w:rPr>
              <w:tab/>
              <w:t xml:space="preserve">Moderate </w:t>
            </w:r>
            <w:r w:rsidRPr="00092D2C">
              <w:rPr>
                <w:sz w:val="18"/>
              </w:rPr>
              <w:tab/>
              <w:t xml:space="preserve"> Moderate</w:t>
            </w:r>
            <w:r w:rsidRPr="00092D2C">
              <w:rPr>
                <w:sz w:val="18"/>
              </w:rPr>
              <w:tab/>
              <w:t xml:space="preserve">High </w:t>
            </w:r>
            <w:r w:rsidRPr="00092D2C">
              <w:rPr>
                <w:sz w:val="18"/>
              </w:rPr>
              <w:tab/>
              <w:t>High</w:t>
            </w:r>
            <w:r w:rsidRPr="00092D2C">
              <w:rPr>
                <w:sz w:val="18"/>
              </w:rPr>
              <w:tab/>
              <w:t xml:space="preserve">Moderate              </w:t>
            </w:r>
            <w:r w:rsidR="00BF2693" w:rsidRPr="00092D2C">
              <w:rPr>
                <w:sz w:val="18"/>
              </w:rPr>
              <w:t xml:space="preserve">  </w:t>
            </w:r>
            <w:r w:rsidRPr="00092D2C">
              <w:rPr>
                <w:sz w:val="18"/>
              </w:rPr>
              <w:t>Low                              Low</w:t>
            </w:r>
          </w:p>
          <w:p w14:paraId="1FCCCECC" w14:textId="2D2D10FA" w:rsidR="00F134C7" w:rsidRPr="00092D2C" w:rsidRDefault="00F134C7" w:rsidP="003319C9">
            <w:pPr>
              <w:pStyle w:val="TableText"/>
              <w:tabs>
                <w:tab w:val="left" w:pos="1219"/>
                <w:tab w:val="left" w:pos="2211"/>
                <w:tab w:val="left" w:pos="3487"/>
                <w:tab w:val="left" w:pos="4621"/>
                <w:tab w:val="left" w:pos="5613"/>
              </w:tabs>
            </w:pPr>
          </w:p>
        </w:tc>
        <w:tc>
          <w:tcPr>
            <w:tcW w:w="657" w:type="pct"/>
            <w:vMerge w:val="restart"/>
            <w:tcBorders>
              <w:top w:val="nil"/>
              <w:left w:val="nil"/>
              <w:right w:val="nil"/>
            </w:tcBorders>
          </w:tcPr>
          <w:p w14:paraId="3AB6AD8B" w14:textId="77777777" w:rsidR="00F134C7" w:rsidRPr="00092D2C" w:rsidRDefault="00F134C7" w:rsidP="00347588">
            <w:pPr>
              <w:pStyle w:val="TableText"/>
              <w:jc w:val="center"/>
            </w:pPr>
            <w:r w:rsidRPr="00092D2C">
              <w:t>Does not achieve ALOP</w:t>
            </w:r>
          </w:p>
          <w:p w14:paraId="0D2C8743" w14:textId="77777777" w:rsidR="008A3E13" w:rsidRPr="00092D2C" w:rsidRDefault="008A3E13" w:rsidP="00347588">
            <w:pPr>
              <w:pStyle w:val="TableText"/>
              <w:jc w:val="center"/>
              <w:rPr>
                <w:sz w:val="24"/>
                <w:szCs w:val="24"/>
              </w:rPr>
            </w:pPr>
          </w:p>
          <w:p w14:paraId="4698E382" w14:textId="77777777" w:rsidR="008A3E13" w:rsidRPr="00092D2C" w:rsidRDefault="008A3E13" w:rsidP="00347588">
            <w:pPr>
              <w:pStyle w:val="TableText"/>
              <w:jc w:val="center"/>
            </w:pPr>
            <w:r w:rsidRPr="00092D2C">
              <w:t>Does not achieve ALOP</w:t>
            </w:r>
          </w:p>
          <w:p w14:paraId="725CC013" w14:textId="15461CDC" w:rsidR="008A3E13" w:rsidRPr="00092D2C" w:rsidRDefault="008A3E13" w:rsidP="00347588">
            <w:pPr>
              <w:pStyle w:val="TableText"/>
              <w:jc w:val="center"/>
              <w:rPr>
                <w:sz w:val="24"/>
                <w:szCs w:val="24"/>
              </w:rPr>
            </w:pPr>
          </w:p>
          <w:p w14:paraId="0F2630A5" w14:textId="6B419CEC" w:rsidR="008A3E13" w:rsidRDefault="008A3E13" w:rsidP="00347588">
            <w:pPr>
              <w:pStyle w:val="TableText"/>
              <w:jc w:val="center"/>
            </w:pPr>
            <w:r w:rsidRPr="00092D2C">
              <w:t>Does not achieve ALOP</w:t>
            </w:r>
          </w:p>
        </w:tc>
      </w:tr>
      <w:tr w:rsidR="00F134C7" w14:paraId="2E1BF774" w14:textId="77777777" w:rsidTr="00F134C7">
        <w:tc>
          <w:tcPr>
            <w:tcW w:w="1129" w:type="pct"/>
            <w:tcBorders>
              <w:top w:val="nil"/>
              <w:left w:val="nil"/>
              <w:bottom w:val="nil"/>
              <w:right w:val="single" w:sz="4" w:space="0" w:color="BFBFBF" w:themeColor="background1" w:themeShade="BF"/>
            </w:tcBorders>
            <w:vAlign w:val="center"/>
          </w:tcPr>
          <w:p w14:paraId="2C13E3D6" w14:textId="26A13FFB" w:rsidR="00F134C7" w:rsidRPr="00092D2C" w:rsidRDefault="00F134C7" w:rsidP="00E316D1">
            <w:pPr>
              <w:pStyle w:val="TableText"/>
            </w:pPr>
            <w:r w:rsidRPr="00092D2C">
              <w:rPr>
                <w:i/>
              </w:rPr>
              <w:t xml:space="preserve">Planococcus minor </w:t>
            </w:r>
            <w:r w:rsidRPr="00092D2C">
              <w:t>[EP, WA]</w:t>
            </w:r>
            <w:r w:rsidR="008A3E13" w:rsidRPr="00092D2C">
              <w:t xml:space="preserve"> </w:t>
            </w:r>
          </w:p>
          <w:p w14:paraId="6B522EEC" w14:textId="370F9B93" w:rsidR="00A87459" w:rsidRPr="00092D2C" w:rsidRDefault="00A87459" w:rsidP="00E316D1">
            <w:pPr>
              <w:pStyle w:val="TableText"/>
              <w:rPr>
                <w:i/>
              </w:rPr>
            </w:pPr>
            <w:r w:rsidRPr="00092D2C">
              <w:t>(DAFF 2012)</w:t>
            </w:r>
          </w:p>
        </w:tc>
        <w:tc>
          <w:tcPr>
            <w:tcW w:w="3214" w:type="pct"/>
            <w:gridSpan w:val="8"/>
            <w:vMerge/>
            <w:tcBorders>
              <w:left w:val="single" w:sz="4" w:space="0" w:color="BFBFBF" w:themeColor="background1" w:themeShade="BF"/>
              <w:right w:val="nil"/>
            </w:tcBorders>
            <w:shd w:val="clear" w:color="auto" w:fill="auto"/>
            <w:vAlign w:val="center"/>
          </w:tcPr>
          <w:p w14:paraId="4ADEFE82" w14:textId="77777777" w:rsidR="00F134C7" w:rsidRPr="00E57A40" w:rsidRDefault="00F134C7" w:rsidP="00E316D1">
            <w:pPr>
              <w:pStyle w:val="TableText"/>
              <w:jc w:val="center"/>
            </w:pPr>
          </w:p>
        </w:tc>
        <w:tc>
          <w:tcPr>
            <w:tcW w:w="657" w:type="pct"/>
            <w:vMerge/>
            <w:tcBorders>
              <w:left w:val="nil"/>
              <w:right w:val="nil"/>
            </w:tcBorders>
          </w:tcPr>
          <w:p w14:paraId="67D694EB" w14:textId="77777777" w:rsidR="00F134C7" w:rsidRPr="00E57A40" w:rsidRDefault="00F134C7" w:rsidP="00E316D1">
            <w:pPr>
              <w:pStyle w:val="TableText"/>
              <w:jc w:val="center"/>
            </w:pPr>
          </w:p>
        </w:tc>
      </w:tr>
      <w:tr w:rsidR="00F134C7" w14:paraId="1EB6A86C" w14:textId="77777777" w:rsidTr="00F134C7">
        <w:tc>
          <w:tcPr>
            <w:tcW w:w="1129" w:type="pct"/>
            <w:tcBorders>
              <w:top w:val="nil"/>
              <w:left w:val="nil"/>
              <w:bottom w:val="single" w:sz="4" w:space="0" w:color="BFBFBF"/>
              <w:right w:val="single" w:sz="4" w:space="0" w:color="BFBFBF" w:themeColor="background1" w:themeShade="BF"/>
            </w:tcBorders>
            <w:vAlign w:val="center"/>
          </w:tcPr>
          <w:p w14:paraId="6CD0241A" w14:textId="20AA0EA4" w:rsidR="00F134C7" w:rsidRPr="00092D2C" w:rsidRDefault="00F134C7" w:rsidP="00E316D1">
            <w:pPr>
              <w:pStyle w:val="TableText"/>
            </w:pPr>
            <w:r w:rsidRPr="00092D2C">
              <w:rPr>
                <w:i/>
              </w:rPr>
              <w:t xml:space="preserve">Pseudococcus cryptus </w:t>
            </w:r>
            <w:r w:rsidRPr="00092D2C">
              <w:t>[EP, W</w:t>
            </w:r>
            <w:r w:rsidR="008A3E13" w:rsidRPr="00092D2C">
              <w:t xml:space="preserve">A] </w:t>
            </w:r>
          </w:p>
          <w:p w14:paraId="01F0EF31" w14:textId="44239B45" w:rsidR="00A87459" w:rsidRPr="00092D2C" w:rsidRDefault="00A87459" w:rsidP="00E316D1">
            <w:pPr>
              <w:pStyle w:val="TableText"/>
              <w:rPr>
                <w:i/>
              </w:rPr>
            </w:pPr>
            <w:r w:rsidRPr="00092D2C">
              <w:t>(BA 2006b)</w:t>
            </w:r>
          </w:p>
        </w:tc>
        <w:tc>
          <w:tcPr>
            <w:tcW w:w="3214" w:type="pct"/>
            <w:gridSpan w:val="8"/>
            <w:vMerge/>
            <w:tcBorders>
              <w:left w:val="single" w:sz="4" w:space="0" w:color="BFBFBF" w:themeColor="background1" w:themeShade="BF"/>
              <w:bottom w:val="single" w:sz="4" w:space="0" w:color="BFBFBF"/>
              <w:right w:val="nil"/>
            </w:tcBorders>
            <w:shd w:val="clear" w:color="auto" w:fill="auto"/>
            <w:vAlign w:val="center"/>
          </w:tcPr>
          <w:p w14:paraId="1314DA4F" w14:textId="77777777" w:rsidR="00F134C7" w:rsidRPr="00E57A40" w:rsidRDefault="00F134C7" w:rsidP="00E316D1">
            <w:pPr>
              <w:pStyle w:val="TableText"/>
              <w:jc w:val="center"/>
            </w:pPr>
          </w:p>
        </w:tc>
        <w:tc>
          <w:tcPr>
            <w:tcW w:w="657" w:type="pct"/>
            <w:vMerge/>
            <w:tcBorders>
              <w:left w:val="nil"/>
              <w:bottom w:val="single" w:sz="4" w:space="0" w:color="BFBFBF"/>
              <w:right w:val="nil"/>
            </w:tcBorders>
          </w:tcPr>
          <w:p w14:paraId="2207C253" w14:textId="77777777" w:rsidR="00F134C7" w:rsidRPr="00E57A40" w:rsidRDefault="00F134C7" w:rsidP="00E316D1">
            <w:pPr>
              <w:pStyle w:val="TableText"/>
              <w:jc w:val="center"/>
            </w:pPr>
          </w:p>
        </w:tc>
      </w:tr>
      <w:tr w:rsidR="00F134C7" w14:paraId="7CF3B68D" w14:textId="77777777" w:rsidTr="00F134C7">
        <w:tc>
          <w:tcPr>
            <w:tcW w:w="1129" w:type="pct"/>
            <w:tcBorders>
              <w:top w:val="single" w:sz="4" w:space="0" w:color="BFBFBF"/>
              <w:left w:val="nil"/>
              <w:bottom w:val="nil"/>
              <w:right w:val="nil"/>
            </w:tcBorders>
            <w:vAlign w:val="center"/>
          </w:tcPr>
          <w:p w14:paraId="6067E889" w14:textId="77777777" w:rsidR="00F134C7" w:rsidRPr="004F1764" w:rsidRDefault="00F134C7" w:rsidP="00E316D1">
            <w:pPr>
              <w:pStyle w:val="TableText"/>
            </w:pPr>
            <w:r w:rsidRPr="004F1764">
              <w:rPr>
                <w:b/>
              </w:rPr>
              <w:t>Fungi</w:t>
            </w:r>
          </w:p>
        </w:tc>
        <w:tc>
          <w:tcPr>
            <w:tcW w:w="378" w:type="pct"/>
            <w:tcBorders>
              <w:top w:val="single" w:sz="4" w:space="0" w:color="BFBFBF"/>
              <w:left w:val="nil"/>
              <w:bottom w:val="nil"/>
              <w:right w:val="nil"/>
            </w:tcBorders>
            <w:shd w:val="clear" w:color="auto" w:fill="auto"/>
            <w:vAlign w:val="center"/>
          </w:tcPr>
          <w:p w14:paraId="0D50BD8B" w14:textId="77777777" w:rsidR="00F134C7" w:rsidRDefault="00F134C7" w:rsidP="00E316D1">
            <w:pPr>
              <w:pStyle w:val="TableText"/>
              <w:jc w:val="center"/>
            </w:pPr>
          </w:p>
        </w:tc>
        <w:tc>
          <w:tcPr>
            <w:tcW w:w="377" w:type="pct"/>
            <w:tcBorders>
              <w:top w:val="single" w:sz="4" w:space="0" w:color="BFBFBF"/>
              <w:left w:val="nil"/>
              <w:bottom w:val="nil"/>
              <w:right w:val="nil"/>
            </w:tcBorders>
            <w:shd w:val="clear" w:color="auto" w:fill="auto"/>
            <w:vAlign w:val="center"/>
          </w:tcPr>
          <w:p w14:paraId="6D8434F1" w14:textId="77777777" w:rsidR="00F134C7" w:rsidRDefault="00F134C7" w:rsidP="00E316D1">
            <w:pPr>
              <w:pStyle w:val="TableText"/>
              <w:jc w:val="center"/>
            </w:pPr>
          </w:p>
        </w:tc>
        <w:tc>
          <w:tcPr>
            <w:tcW w:w="227" w:type="pct"/>
            <w:tcBorders>
              <w:top w:val="single" w:sz="4" w:space="0" w:color="BFBFBF"/>
              <w:left w:val="nil"/>
              <w:bottom w:val="nil"/>
              <w:right w:val="nil"/>
            </w:tcBorders>
            <w:shd w:val="clear" w:color="auto" w:fill="auto"/>
            <w:vAlign w:val="center"/>
          </w:tcPr>
          <w:p w14:paraId="03EFEB47" w14:textId="77777777" w:rsidR="00F134C7" w:rsidRDefault="00F134C7" w:rsidP="00E316D1">
            <w:pPr>
              <w:pStyle w:val="TableText"/>
              <w:jc w:val="center"/>
            </w:pPr>
          </w:p>
        </w:tc>
        <w:tc>
          <w:tcPr>
            <w:tcW w:w="435" w:type="pct"/>
            <w:tcBorders>
              <w:top w:val="single" w:sz="4" w:space="0" w:color="BFBFBF"/>
              <w:left w:val="nil"/>
              <w:bottom w:val="nil"/>
              <w:right w:val="nil"/>
            </w:tcBorders>
            <w:shd w:val="clear" w:color="auto" w:fill="auto"/>
            <w:vAlign w:val="center"/>
          </w:tcPr>
          <w:p w14:paraId="2621C1A9" w14:textId="77777777" w:rsidR="00F134C7" w:rsidRDefault="00F134C7" w:rsidP="00E316D1">
            <w:pPr>
              <w:pStyle w:val="TableText"/>
              <w:jc w:val="center"/>
            </w:pPr>
          </w:p>
        </w:tc>
        <w:tc>
          <w:tcPr>
            <w:tcW w:w="377" w:type="pct"/>
            <w:tcBorders>
              <w:top w:val="single" w:sz="4" w:space="0" w:color="BFBFBF"/>
              <w:left w:val="nil"/>
              <w:bottom w:val="nil"/>
              <w:right w:val="nil"/>
            </w:tcBorders>
            <w:shd w:val="clear" w:color="auto" w:fill="auto"/>
            <w:vAlign w:val="center"/>
          </w:tcPr>
          <w:p w14:paraId="780F3314" w14:textId="77777777" w:rsidR="00F134C7" w:rsidRDefault="00F134C7" w:rsidP="00E316D1">
            <w:pPr>
              <w:pStyle w:val="TableText"/>
              <w:jc w:val="center"/>
            </w:pPr>
          </w:p>
        </w:tc>
        <w:tc>
          <w:tcPr>
            <w:tcW w:w="389" w:type="pct"/>
            <w:tcBorders>
              <w:top w:val="single" w:sz="4" w:space="0" w:color="BFBFBF"/>
              <w:left w:val="nil"/>
              <w:bottom w:val="nil"/>
              <w:right w:val="nil"/>
            </w:tcBorders>
            <w:shd w:val="clear" w:color="auto" w:fill="auto"/>
            <w:vAlign w:val="center"/>
          </w:tcPr>
          <w:p w14:paraId="7A27796D" w14:textId="77777777" w:rsidR="00F134C7" w:rsidRDefault="00F134C7" w:rsidP="004003BD">
            <w:pPr>
              <w:pStyle w:val="TableText"/>
              <w:jc w:val="center"/>
            </w:pPr>
          </w:p>
        </w:tc>
        <w:tc>
          <w:tcPr>
            <w:tcW w:w="430" w:type="pct"/>
            <w:tcBorders>
              <w:top w:val="single" w:sz="4" w:space="0" w:color="BFBFBF"/>
              <w:left w:val="nil"/>
              <w:bottom w:val="nil"/>
              <w:right w:val="nil"/>
            </w:tcBorders>
            <w:shd w:val="clear" w:color="auto" w:fill="auto"/>
            <w:vAlign w:val="center"/>
          </w:tcPr>
          <w:p w14:paraId="576A51D8" w14:textId="77777777" w:rsidR="00F134C7" w:rsidRDefault="00F134C7" w:rsidP="00E316D1">
            <w:pPr>
              <w:pStyle w:val="TableText"/>
              <w:jc w:val="center"/>
            </w:pPr>
          </w:p>
        </w:tc>
        <w:tc>
          <w:tcPr>
            <w:tcW w:w="601" w:type="pct"/>
            <w:tcBorders>
              <w:top w:val="single" w:sz="4" w:space="0" w:color="BFBFBF"/>
              <w:left w:val="nil"/>
              <w:bottom w:val="nil"/>
              <w:right w:val="nil"/>
            </w:tcBorders>
            <w:shd w:val="clear" w:color="auto" w:fill="auto"/>
            <w:vAlign w:val="center"/>
          </w:tcPr>
          <w:p w14:paraId="24D2A011" w14:textId="77777777" w:rsidR="00F134C7" w:rsidRDefault="00F134C7" w:rsidP="00E316D1">
            <w:pPr>
              <w:pStyle w:val="TableText"/>
              <w:jc w:val="center"/>
            </w:pPr>
          </w:p>
        </w:tc>
        <w:tc>
          <w:tcPr>
            <w:tcW w:w="657" w:type="pct"/>
            <w:tcBorders>
              <w:top w:val="single" w:sz="4" w:space="0" w:color="BFBFBF"/>
              <w:left w:val="nil"/>
              <w:bottom w:val="nil"/>
              <w:right w:val="nil"/>
            </w:tcBorders>
          </w:tcPr>
          <w:p w14:paraId="3F53626D" w14:textId="77777777" w:rsidR="00F134C7" w:rsidRDefault="00F134C7" w:rsidP="00E316D1">
            <w:pPr>
              <w:pStyle w:val="TableText"/>
              <w:jc w:val="center"/>
            </w:pPr>
          </w:p>
        </w:tc>
      </w:tr>
      <w:tr w:rsidR="00F134C7" w14:paraId="778FCD89" w14:textId="77777777" w:rsidTr="00F134C7">
        <w:tc>
          <w:tcPr>
            <w:tcW w:w="1129" w:type="pct"/>
            <w:tcBorders>
              <w:top w:val="nil"/>
              <w:left w:val="nil"/>
              <w:right w:val="nil"/>
            </w:tcBorders>
            <w:vAlign w:val="center"/>
          </w:tcPr>
          <w:p w14:paraId="2CAF3FF3" w14:textId="1E0A8617" w:rsidR="00F134C7" w:rsidRPr="004F1764" w:rsidRDefault="00F134C7" w:rsidP="00DD629A">
            <w:pPr>
              <w:pStyle w:val="TableText"/>
            </w:pPr>
            <w:r w:rsidRPr="004003BD">
              <w:rPr>
                <w:i/>
              </w:rPr>
              <w:t>Elsinoë fawcettii</w:t>
            </w:r>
          </w:p>
        </w:tc>
        <w:tc>
          <w:tcPr>
            <w:tcW w:w="378" w:type="pct"/>
            <w:tcBorders>
              <w:top w:val="nil"/>
              <w:left w:val="nil"/>
              <w:right w:val="nil"/>
            </w:tcBorders>
            <w:shd w:val="clear" w:color="auto" w:fill="auto"/>
          </w:tcPr>
          <w:p w14:paraId="5A352983" w14:textId="0625B317" w:rsidR="00F134C7" w:rsidRDefault="002F7B3E" w:rsidP="00E95941">
            <w:pPr>
              <w:pStyle w:val="TableText"/>
              <w:jc w:val="center"/>
            </w:pPr>
            <w:r>
              <w:t>Moderate</w:t>
            </w:r>
          </w:p>
        </w:tc>
        <w:tc>
          <w:tcPr>
            <w:tcW w:w="377" w:type="pct"/>
            <w:tcBorders>
              <w:top w:val="nil"/>
              <w:left w:val="nil"/>
              <w:right w:val="nil"/>
            </w:tcBorders>
            <w:shd w:val="clear" w:color="auto" w:fill="auto"/>
          </w:tcPr>
          <w:p w14:paraId="4486776F" w14:textId="77777777" w:rsidR="00F134C7" w:rsidRDefault="00F134C7" w:rsidP="00E95941">
            <w:pPr>
              <w:pStyle w:val="TableText"/>
              <w:jc w:val="center"/>
            </w:pPr>
            <w:r w:rsidRPr="0068300C">
              <w:t>Low</w:t>
            </w:r>
          </w:p>
        </w:tc>
        <w:tc>
          <w:tcPr>
            <w:tcW w:w="227" w:type="pct"/>
            <w:tcBorders>
              <w:top w:val="nil"/>
              <w:left w:val="nil"/>
              <w:right w:val="nil"/>
            </w:tcBorders>
            <w:shd w:val="clear" w:color="auto" w:fill="auto"/>
          </w:tcPr>
          <w:p w14:paraId="75A0A5ED" w14:textId="3F1BAC43" w:rsidR="00F134C7" w:rsidRDefault="002F7B3E" w:rsidP="00E95941">
            <w:pPr>
              <w:pStyle w:val="TableText"/>
              <w:jc w:val="center"/>
            </w:pPr>
            <w:r>
              <w:t>L</w:t>
            </w:r>
            <w:r w:rsidR="00F134C7" w:rsidRPr="0068300C">
              <w:t>ow</w:t>
            </w:r>
          </w:p>
        </w:tc>
        <w:tc>
          <w:tcPr>
            <w:tcW w:w="435" w:type="pct"/>
            <w:tcBorders>
              <w:top w:val="nil"/>
              <w:left w:val="nil"/>
              <w:right w:val="nil"/>
            </w:tcBorders>
            <w:shd w:val="clear" w:color="auto" w:fill="auto"/>
          </w:tcPr>
          <w:p w14:paraId="2F0A75AD" w14:textId="77777777" w:rsidR="00F134C7" w:rsidRDefault="00F134C7" w:rsidP="00E95941">
            <w:pPr>
              <w:pStyle w:val="TableText"/>
              <w:jc w:val="center"/>
            </w:pPr>
            <w:r w:rsidRPr="0068300C">
              <w:t>Moderate</w:t>
            </w:r>
          </w:p>
        </w:tc>
        <w:tc>
          <w:tcPr>
            <w:tcW w:w="377" w:type="pct"/>
            <w:tcBorders>
              <w:top w:val="nil"/>
              <w:left w:val="nil"/>
              <w:right w:val="nil"/>
            </w:tcBorders>
            <w:shd w:val="clear" w:color="auto" w:fill="auto"/>
          </w:tcPr>
          <w:p w14:paraId="3F513C00" w14:textId="77777777" w:rsidR="00F134C7" w:rsidRDefault="00F134C7" w:rsidP="00E95941">
            <w:pPr>
              <w:pStyle w:val="TableText"/>
              <w:jc w:val="center"/>
            </w:pPr>
            <w:r w:rsidRPr="0068300C">
              <w:t>Moderate</w:t>
            </w:r>
          </w:p>
        </w:tc>
        <w:tc>
          <w:tcPr>
            <w:tcW w:w="389" w:type="pct"/>
            <w:tcBorders>
              <w:top w:val="nil"/>
              <w:left w:val="nil"/>
              <w:right w:val="nil"/>
            </w:tcBorders>
            <w:shd w:val="clear" w:color="auto" w:fill="auto"/>
          </w:tcPr>
          <w:p w14:paraId="2A7790C9" w14:textId="23AC62CE" w:rsidR="00F134C7" w:rsidRDefault="002F7B3E" w:rsidP="00AB21E9">
            <w:pPr>
              <w:pStyle w:val="TableText"/>
              <w:jc w:val="center"/>
            </w:pPr>
            <w:r>
              <w:t>L</w:t>
            </w:r>
            <w:r w:rsidR="00F134C7" w:rsidRPr="0068300C">
              <w:t>ow</w:t>
            </w:r>
          </w:p>
        </w:tc>
        <w:tc>
          <w:tcPr>
            <w:tcW w:w="430" w:type="pct"/>
            <w:tcBorders>
              <w:top w:val="nil"/>
              <w:left w:val="nil"/>
              <w:right w:val="nil"/>
            </w:tcBorders>
            <w:shd w:val="clear" w:color="auto" w:fill="auto"/>
          </w:tcPr>
          <w:p w14:paraId="47FA3F1E" w14:textId="77777777" w:rsidR="00F134C7" w:rsidRDefault="00F134C7" w:rsidP="00E95941">
            <w:pPr>
              <w:pStyle w:val="TableText"/>
              <w:jc w:val="center"/>
            </w:pPr>
            <w:r w:rsidRPr="0068300C">
              <w:t>Low</w:t>
            </w:r>
          </w:p>
        </w:tc>
        <w:tc>
          <w:tcPr>
            <w:tcW w:w="601" w:type="pct"/>
            <w:tcBorders>
              <w:top w:val="nil"/>
              <w:left w:val="nil"/>
              <w:right w:val="nil"/>
            </w:tcBorders>
            <w:shd w:val="clear" w:color="auto" w:fill="auto"/>
          </w:tcPr>
          <w:p w14:paraId="66544267" w14:textId="275731DC" w:rsidR="00F134C7" w:rsidRDefault="002F7B3E" w:rsidP="00E95941">
            <w:pPr>
              <w:pStyle w:val="TableText"/>
              <w:jc w:val="center"/>
            </w:pPr>
            <w:r>
              <w:t>Very low</w:t>
            </w:r>
          </w:p>
        </w:tc>
        <w:tc>
          <w:tcPr>
            <w:tcW w:w="657" w:type="pct"/>
            <w:tcBorders>
              <w:top w:val="nil"/>
              <w:left w:val="nil"/>
              <w:right w:val="nil"/>
            </w:tcBorders>
          </w:tcPr>
          <w:p w14:paraId="498467D2" w14:textId="77777777" w:rsidR="00F134C7" w:rsidRDefault="00F134C7" w:rsidP="00E95941">
            <w:pPr>
              <w:pStyle w:val="TableText"/>
              <w:jc w:val="center"/>
            </w:pPr>
            <w:r w:rsidRPr="00F134C7">
              <w:t>Achieves ALOP</w:t>
            </w:r>
          </w:p>
        </w:tc>
      </w:tr>
    </w:tbl>
    <w:p w14:paraId="62CCF056" w14:textId="11878B80" w:rsidR="00283990" w:rsidRDefault="00283990" w:rsidP="00E95941">
      <w:pPr>
        <w:pStyle w:val="FigureTableNoteSource"/>
      </w:pPr>
      <w:r>
        <w:t>[EP]</w:t>
      </w:r>
      <w:r>
        <w:tab/>
      </w:r>
      <w:r w:rsidR="00E435A2">
        <w:t xml:space="preserve">pest </w:t>
      </w:r>
      <w:r w:rsidR="004C0FEF">
        <w:t>for which</w:t>
      </w:r>
      <w:r w:rsidR="00E435A2">
        <w:t xml:space="preserve"> assessment from </w:t>
      </w:r>
      <w:r>
        <w:t>existing policy</w:t>
      </w:r>
      <w:r w:rsidR="00E435A2">
        <w:t xml:space="preserve"> has been used</w:t>
      </w:r>
    </w:p>
    <w:p w14:paraId="6B2CFEE9" w14:textId="77777777" w:rsidR="00E95941" w:rsidRDefault="00E95941" w:rsidP="00E95941">
      <w:pPr>
        <w:pStyle w:val="FigureTableNoteSource"/>
      </w:pPr>
      <w:r>
        <w:t>[WA]</w:t>
      </w:r>
      <w:r>
        <w:tab/>
        <w:t>regional quarantine pest for Western Australia</w:t>
      </w:r>
    </w:p>
    <w:p w14:paraId="383C3186" w14:textId="77777777" w:rsidR="00827E1C" w:rsidRDefault="00827E1C" w:rsidP="00827E1C">
      <w:pPr>
        <w:pStyle w:val="FigureTableNoteSource"/>
      </w:pPr>
      <w:r>
        <w:t>[EES]</w:t>
      </w:r>
      <w:r>
        <w:tab/>
        <w:t xml:space="preserve">overall </w:t>
      </w:r>
      <w:r w:rsidR="009F7D3D">
        <w:t>likelihood</w:t>
      </w:r>
      <w:r>
        <w:t xml:space="preserve"> of entry, establishment and spread</w:t>
      </w:r>
    </w:p>
    <w:p w14:paraId="7844A556" w14:textId="77777777" w:rsidR="00951580" w:rsidRDefault="00951580" w:rsidP="00621EC2">
      <w:pPr>
        <w:sectPr w:rsidR="00951580" w:rsidSect="00F93782">
          <w:headerReference w:type="even" r:id="rId51"/>
          <w:headerReference w:type="default" r:id="rId52"/>
          <w:footerReference w:type="even" r:id="rId53"/>
          <w:footerReference w:type="default" r:id="rId54"/>
          <w:pgSz w:w="16838" w:h="11906" w:orient="landscape"/>
          <w:pgMar w:top="1418" w:right="1418" w:bottom="1418" w:left="1418" w:header="567" w:footer="283" w:gutter="0"/>
          <w:cols w:space="708"/>
          <w:docGrid w:linePitch="360"/>
        </w:sectPr>
      </w:pPr>
    </w:p>
    <w:p w14:paraId="7C87D544" w14:textId="77777777" w:rsidR="00146544" w:rsidRDefault="00146544">
      <w:pPr>
        <w:pStyle w:val="Heading1"/>
      </w:pPr>
      <w:bookmarkStart w:id="126" w:name="_Toc501716497"/>
      <w:r>
        <w:t>Pest risk management</w:t>
      </w:r>
      <w:bookmarkEnd w:id="126"/>
    </w:p>
    <w:p w14:paraId="020D89D1" w14:textId="5D10A0C6" w:rsidR="00146544" w:rsidRDefault="00146544">
      <w:r>
        <w:t xml:space="preserve">This chapter provides information on the management of quarantine pests identified with an unrestricted risk </w:t>
      </w:r>
      <w:r w:rsidR="00C666A6">
        <w:t>that does not achieve</w:t>
      </w:r>
      <w:r>
        <w:t xml:space="preserve"> </w:t>
      </w:r>
      <w:r w:rsidR="00C666A6" w:rsidRPr="00C666A6">
        <w:t>the appropriate level of protection (ALOP) for Australia</w:t>
      </w:r>
      <w:r>
        <w:t xml:space="preserve">. The </w:t>
      </w:r>
      <w:r w:rsidR="00E41A42">
        <w:t>recommended</w:t>
      </w:r>
      <w:r w:rsidR="00827E1C" w:rsidRPr="00827E1C">
        <w:t xml:space="preserve"> </w:t>
      </w:r>
      <w:r>
        <w:t>phytosanitary measures are described in this chapter.</w:t>
      </w:r>
    </w:p>
    <w:p w14:paraId="5C6CD0FE" w14:textId="77777777" w:rsidR="00146544" w:rsidRDefault="00146544">
      <w:pPr>
        <w:pStyle w:val="Heading2"/>
      </w:pPr>
      <w:bookmarkStart w:id="127" w:name="_Toc501716498"/>
      <w:r>
        <w:t>Pest risk management measures and phytosanitary procedures</w:t>
      </w:r>
      <w:bookmarkEnd w:id="127"/>
    </w:p>
    <w:p w14:paraId="559A97B6" w14:textId="5EDB7CC8" w:rsidR="00B34C6B" w:rsidRDefault="003A1B6D" w:rsidP="00827E1C">
      <w:r>
        <w:t>The p</w:t>
      </w:r>
      <w:r w:rsidR="00885190">
        <w:t xml:space="preserve">est risk assessment </w:t>
      </w:r>
      <w:r>
        <w:t xml:space="preserve">process </w:t>
      </w:r>
      <w:r w:rsidR="00DC60EC">
        <w:t xml:space="preserve">(Chapter 4) </w:t>
      </w:r>
      <w:r w:rsidR="00885190">
        <w:t xml:space="preserve">identified </w:t>
      </w:r>
      <w:r>
        <w:t xml:space="preserve">three </w:t>
      </w:r>
      <w:r w:rsidR="00885190">
        <w:t xml:space="preserve">pests that </w:t>
      </w:r>
      <w:r w:rsidR="00885190" w:rsidRPr="00885190">
        <w:t xml:space="preserve">have an unrestricted risk level that does not achieve the ALOP for Australia. </w:t>
      </w:r>
      <w:r w:rsidR="00827E1C">
        <w:t xml:space="preserve">Specific pest risk management measures and a system of operational procedures are </w:t>
      </w:r>
      <w:r w:rsidR="00C666A6">
        <w:t>recommended</w:t>
      </w:r>
      <w:r w:rsidR="00827E1C">
        <w:t xml:space="preserve"> for fresh Tahitian lime fruit </w:t>
      </w:r>
      <w:r w:rsidR="00F91F0B">
        <w:t xml:space="preserve">imported </w:t>
      </w:r>
      <w:r w:rsidR="00827E1C">
        <w:t xml:space="preserve">from the Cook Islands, Niue, Samoa, Tonga and Vanuatu to reduce the risk to a level </w:t>
      </w:r>
      <w:r w:rsidR="00EC6387">
        <w:t xml:space="preserve">that achieves </w:t>
      </w:r>
      <w:r w:rsidR="00885190">
        <w:t xml:space="preserve">ALOP for </w:t>
      </w:r>
      <w:r w:rsidR="00EC6387">
        <w:t>Australia.</w:t>
      </w:r>
    </w:p>
    <w:p w14:paraId="17CE0881" w14:textId="58859288" w:rsidR="00135E1C" w:rsidRDefault="00135E1C" w:rsidP="00B34C6B">
      <w:pPr>
        <w:pStyle w:val="Heading3"/>
      </w:pPr>
      <w:r>
        <w:t>Analysis of pest interception data 2005 to 2015</w:t>
      </w:r>
    </w:p>
    <w:p w14:paraId="370F9BA3" w14:textId="77777777" w:rsidR="000C4539" w:rsidRPr="00135E1C" w:rsidRDefault="000C4539" w:rsidP="000C4539">
      <w:r>
        <w:t xml:space="preserve">As indicated, pest risk assessment </w:t>
      </w:r>
      <w:r w:rsidRPr="00135E1C">
        <w:t>identified t</w:t>
      </w:r>
      <w:r>
        <w:t xml:space="preserve">hree </w:t>
      </w:r>
      <w:r w:rsidRPr="00135E1C">
        <w:t xml:space="preserve">quarantine pests for Australia, and a further </w:t>
      </w:r>
      <w:r>
        <w:t>nine</w:t>
      </w:r>
      <w:r w:rsidRPr="00135E1C">
        <w:t xml:space="preserve"> pests potentially of regional concern to Western Australia. Examination of import records across all commodities and pathways indicates few interceptions of these </w:t>
      </w:r>
      <w:r>
        <w:t xml:space="preserve">particular </w:t>
      </w:r>
      <w:r w:rsidRPr="00135E1C">
        <w:t xml:space="preserve">pests in regulated commercial trade, although they have been encountered more frequently in non-commercial/illegal imports. The detection of some of these pests on fruit in passenger baggage indicates the pests do have an association with limes (or other citrus), but </w:t>
      </w:r>
      <w:r>
        <w:t xml:space="preserve">risks can be managed </w:t>
      </w:r>
      <w:r w:rsidRPr="00135E1C">
        <w:t>in commercial trade</w:t>
      </w:r>
      <w:r>
        <w:t>, through commercial production practices and measures which include pre-export phytosanitary inspection</w:t>
      </w:r>
      <w:r w:rsidRPr="00135E1C">
        <w:t>.</w:t>
      </w:r>
    </w:p>
    <w:p w14:paraId="6CD29E38" w14:textId="3C5326E4" w:rsidR="000C4539" w:rsidRPr="00135E1C" w:rsidRDefault="000C4539" w:rsidP="000C4539">
      <w:r w:rsidRPr="00135E1C">
        <w:t xml:space="preserve">Since 2005, the majority of lime consignments imported into Australia have come from the USA (California). There have also been limes imported from Egypt, New Zealand, New Caledonia and Spain. Data for </w:t>
      </w:r>
      <w:r>
        <w:t>imports</w:t>
      </w:r>
      <w:r w:rsidRPr="00135E1C">
        <w:t xml:space="preserve"> indicated </w:t>
      </w:r>
      <w:r>
        <w:t xml:space="preserve">presence of </w:t>
      </w:r>
      <w:r w:rsidRPr="00135E1C">
        <w:t>small numbers of mealybugs (Pseudococcidae), armoured scales (Diaspididae), spider mites (Tetranychidae) and yellow mites (Tydeidae). Other arthropods typically considered to be contaminant organisms were also found, including fungus gnats (Sciaridae), gall midges (Cecidomyiidae), brine flies (Ephydridae) and mites (Cheyletidae).</w:t>
      </w:r>
      <w:r w:rsidR="00B00210">
        <w:t xml:space="preserve"> Asian citrus psyllid, glassy winged sharpshooter and fruit flies have not been detected in commercial imports of limes</w:t>
      </w:r>
      <w:r w:rsidR="00DF7FA9">
        <w:t xml:space="preserve">, </w:t>
      </w:r>
      <w:r w:rsidR="00DF7FA9" w:rsidRPr="00E874BE">
        <w:t>or other goods</w:t>
      </w:r>
      <w:r w:rsidR="00F675AA" w:rsidRPr="00E874BE">
        <w:t xml:space="preserve"> imported</w:t>
      </w:r>
      <w:r w:rsidR="00DF7FA9" w:rsidRPr="00E874BE">
        <w:t xml:space="preserve"> from Pacific Island countries where these pests are present</w:t>
      </w:r>
      <w:r w:rsidR="00B00210" w:rsidRPr="00E874BE">
        <w:t>.</w:t>
      </w:r>
    </w:p>
    <w:p w14:paraId="670CBAA9" w14:textId="77777777" w:rsidR="000C4539" w:rsidRPr="00135E1C" w:rsidRDefault="000C4539" w:rsidP="000C4539">
      <w:r w:rsidRPr="00135E1C">
        <w:rPr>
          <w:i/>
        </w:rPr>
        <w:t>Parlatoria pergandii</w:t>
      </w:r>
      <w:r w:rsidRPr="00135E1C">
        <w:t xml:space="preserve"> and </w:t>
      </w:r>
      <w:r w:rsidRPr="00135E1C">
        <w:rPr>
          <w:i/>
        </w:rPr>
        <w:t>Planococcus minor</w:t>
      </w:r>
      <w:r w:rsidRPr="00135E1C">
        <w:t xml:space="preserve"> have been intercepted in commercial consignments of </w:t>
      </w:r>
      <w:r>
        <w:t xml:space="preserve">other </w:t>
      </w:r>
      <w:r w:rsidRPr="00135E1C">
        <w:t xml:space="preserve">citrus imported into Australia. A </w:t>
      </w:r>
      <w:r>
        <w:t xml:space="preserve">brief </w:t>
      </w:r>
      <w:r w:rsidRPr="00135E1C">
        <w:t>summary of interceptions of the pests assessed in th</w:t>
      </w:r>
      <w:r>
        <w:t>is report,</w:t>
      </w:r>
      <w:r w:rsidRPr="00135E1C">
        <w:t xml:space="preserve"> across all commodities for the per</w:t>
      </w:r>
      <w:r>
        <w:t>iod 2005–2015, is discussed here</w:t>
      </w:r>
      <w:r w:rsidRPr="00135E1C">
        <w:t xml:space="preserve">. </w:t>
      </w:r>
    </w:p>
    <w:p w14:paraId="6E61CA05" w14:textId="77777777" w:rsidR="000C4539" w:rsidRPr="00135E1C" w:rsidRDefault="000C4539" w:rsidP="000C4539">
      <w:pPr>
        <w:pStyle w:val="Heading4"/>
      </w:pPr>
      <w:r w:rsidRPr="00135E1C">
        <w:t>Soft scales</w:t>
      </w:r>
    </w:p>
    <w:p w14:paraId="38901FD9" w14:textId="77777777" w:rsidR="000C4539" w:rsidRPr="00135E1C" w:rsidRDefault="000C4539" w:rsidP="000C4539">
      <w:pPr>
        <w:pStyle w:val="ListBullet"/>
        <w:numPr>
          <w:ilvl w:val="0"/>
          <w:numId w:val="1"/>
        </w:numPr>
        <w:ind w:left="357" w:hanging="357"/>
      </w:pPr>
      <w:r w:rsidRPr="00135E1C">
        <w:rPr>
          <w:i/>
        </w:rPr>
        <w:t>Saissetia neglecta</w:t>
      </w:r>
      <w:r w:rsidRPr="00135E1C">
        <w:t xml:space="preserve"> – no interceptions on any commodity.</w:t>
      </w:r>
    </w:p>
    <w:p w14:paraId="0C228F64" w14:textId="77777777" w:rsidR="000C4539" w:rsidRPr="00135E1C" w:rsidRDefault="000C4539" w:rsidP="000C4539">
      <w:pPr>
        <w:pStyle w:val="Heading4"/>
      </w:pPr>
      <w:r w:rsidRPr="00135E1C">
        <w:t>Armoured scales</w:t>
      </w:r>
    </w:p>
    <w:p w14:paraId="24E3B4B7" w14:textId="77777777" w:rsidR="000C4539" w:rsidRPr="00135E1C" w:rsidRDefault="000C4539" w:rsidP="000C4539">
      <w:pPr>
        <w:pStyle w:val="ListBullet"/>
        <w:numPr>
          <w:ilvl w:val="0"/>
          <w:numId w:val="1"/>
        </w:numPr>
        <w:ind w:left="357" w:hanging="357"/>
      </w:pPr>
      <w:r w:rsidRPr="00211BE4">
        <w:rPr>
          <w:i/>
        </w:rPr>
        <w:t>Chrysomphalus dictyospermi</w:t>
      </w:r>
      <w:r w:rsidRPr="00135E1C">
        <w:t xml:space="preserve"> – no</w:t>
      </w:r>
      <w:r>
        <w:t xml:space="preserve"> interceptions on any commodity (</w:t>
      </w:r>
      <w:r w:rsidRPr="00135E1C">
        <w:t xml:space="preserve">an unidentified </w:t>
      </w:r>
      <w:r w:rsidRPr="00211BE4">
        <w:rPr>
          <w:i/>
        </w:rPr>
        <w:t>Chrysomphalus</w:t>
      </w:r>
      <w:r w:rsidRPr="00135E1C">
        <w:t xml:space="preserve"> sp</w:t>
      </w:r>
      <w:r>
        <w:t>ecies</w:t>
      </w:r>
      <w:r w:rsidRPr="00135E1C">
        <w:t xml:space="preserve"> was intercepted on oranges in passenger baggage</w:t>
      </w:r>
      <w:r>
        <w:t>)</w:t>
      </w:r>
      <w:r w:rsidRPr="00135E1C">
        <w:t>.</w:t>
      </w:r>
    </w:p>
    <w:p w14:paraId="4E988B99" w14:textId="77777777" w:rsidR="000C4539" w:rsidRPr="00135E1C" w:rsidRDefault="000C4539" w:rsidP="000C4539">
      <w:pPr>
        <w:pStyle w:val="ListBullet"/>
        <w:numPr>
          <w:ilvl w:val="0"/>
          <w:numId w:val="1"/>
        </w:numPr>
        <w:ind w:left="357" w:hanging="357"/>
      </w:pPr>
      <w:r w:rsidRPr="00135E1C">
        <w:rPr>
          <w:i/>
        </w:rPr>
        <w:t>Hemiberlesia</w:t>
      </w:r>
      <w:r w:rsidRPr="00135E1C">
        <w:t xml:space="preserve"> (</w:t>
      </w:r>
      <w:r w:rsidRPr="00135E1C">
        <w:rPr>
          <w:i/>
        </w:rPr>
        <w:t>Aonidiella</w:t>
      </w:r>
      <w:r w:rsidRPr="00135E1C">
        <w:t xml:space="preserve">) </w:t>
      </w:r>
      <w:r w:rsidRPr="00135E1C">
        <w:rPr>
          <w:i/>
        </w:rPr>
        <w:t>cyanophylli</w:t>
      </w:r>
      <w:r w:rsidRPr="00135E1C">
        <w:t xml:space="preserve"> – no interceptions on any commodity</w:t>
      </w:r>
      <w:r>
        <w:t xml:space="preserve"> (</w:t>
      </w:r>
      <w:r w:rsidRPr="00135E1C">
        <w:t xml:space="preserve">unidentified </w:t>
      </w:r>
      <w:r w:rsidRPr="00211BE4">
        <w:rPr>
          <w:i/>
        </w:rPr>
        <w:t>Aonidiella</w:t>
      </w:r>
      <w:r w:rsidRPr="00135E1C">
        <w:t xml:space="preserve"> sp</w:t>
      </w:r>
      <w:r>
        <w:t>ecies</w:t>
      </w:r>
      <w:r w:rsidRPr="00135E1C">
        <w:t xml:space="preserve"> have been intercepted on citrus and kiwifruit</w:t>
      </w:r>
      <w:r>
        <w:t>)</w:t>
      </w:r>
      <w:r w:rsidRPr="00135E1C">
        <w:t>.</w:t>
      </w:r>
    </w:p>
    <w:p w14:paraId="4D30527C" w14:textId="77777777" w:rsidR="000C4539" w:rsidRPr="00135E1C" w:rsidRDefault="000C4539" w:rsidP="000C4539">
      <w:pPr>
        <w:pStyle w:val="ListBullet"/>
        <w:numPr>
          <w:ilvl w:val="0"/>
          <w:numId w:val="1"/>
        </w:numPr>
        <w:ind w:left="357" w:hanging="357"/>
      </w:pPr>
      <w:r w:rsidRPr="00135E1C">
        <w:rPr>
          <w:i/>
        </w:rPr>
        <w:t>Morganella longispina</w:t>
      </w:r>
      <w:r w:rsidRPr="00135E1C">
        <w:t xml:space="preserve"> – no interceptions reported on any commodity.</w:t>
      </w:r>
    </w:p>
    <w:p w14:paraId="51D93A16" w14:textId="77777777" w:rsidR="000C4539" w:rsidRPr="00135E1C" w:rsidRDefault="000C4539" w:rsidP="000C4539">
      <w:pPr>
        <w:pStyle w:val="ListBullet"/>
        <w:numPr>
          <w:ilvl w:val="0"/>
          <w:numId w:val="1"/>
        </w:numPr>
        <w:ind w:left="357" w:hanging="357"/>
      </w:pPr>
      <w:r w:rsidRPr="00135E1C">
        <w:rPr>
          <w:i/>
        </w:rPr>
        <w:t>Parlatoria cinerea</w:t>
      </w:r>
      <w:r w:rsidRPr="00135E1C">
        <w:t xml:space="preserve"> – no interceptions reported on any commodity.</w:t>
      </w:r>
    </w:p>
    <w:p w14:paraId="15962C12" w14:textId="77777777" w:rsidR="000C4539" w:rsidRPr="00135E1C" w:rsidRDefault="000C4539" w:rsidP="000C4539">
      <w:pPr>
        <w:pStyle w:val="ListBullet"/>
        <w:numPr>
          <w:ilvl w:val="0"/>
          <w:numId w:val="1"/>
        </w:numPr>
        <w:ind w:left="357" w:hanging="357"/>
      </w:pPr>
      <w:r w:rsidRPr="00135E1C">
        <w:rPr>
          <w:i/>
        </w:rPr>
        <w:t>Parlatoria pergandii</w:t>
      </w:r>
      <w:r w:rsidRPr="00135E1C">
        <w:t xml:space="preserve"> – no interceptions on limes</w:t>
      </w:r>
      <w:r>
        <w:t xml:space="preserve"> (this species has been </w:t>
      </w:r>
      <w:r w:rsidRPr="00135E1C">
        <w:t xml:space="preserve">intercepted on mandarins in passenger baggage, </w:t>
      </w:r>
      <w:r>
        <w:t xml:space="preserve">and commercial consignments of </w:t>
      </w:r>
      <w:r w:rsidRPr="00135E1C">
        <w:t>mandarins and oranges</w:t>
      </w:r>
      <w:r>
        <w:t>)</w:t>
      </w:r>
      <w:r w:rsidRPr="00135E1C">
        <w:t>.</w:t>
      </w:r>
    </w:p>
    <w:p w14:paraId="3D256C5B" w14:textId="61F4C490" w:rsidR="000C4539" w:rsidRPr="00135E1C" w:rsidRDefault="000C4539" w:rsidP="000C4539">
      <w:pPr>
        <w:pStyle w:val="ListBullet"/>
        <w:numPr>
          <w:ilvl w:val="0"/>
          <w:numId w:val="1"/>
        </w:numPr>
        <w:ind w:left="357" w:hanging="357"/>
      </w:pPr>
      <w:r w:rsidRPr="00211BE4">
        <w:rPr>
          <w:i/>
        </w:rPr>
        <w:t>Pinnaspis aspidistrae</w:t>
      </w:r>
      <w:r w:rsidRPr="00135E1C">
        <w:t xml:space="preserve"> – no interceptions on limes</w:t>
      </w:r>
      <w:r>
        <w:t xml:space="preserve"> (this species has been </w:t>
      </w:r>
      <w:r w:rsidRPr="00135E1C">
        <w:t>intercepted on oranges in passenger baggage</w:t>
      </w:r>
      <w:r>
        <w:t>)</w:t>
      </w:r>
      <w:r w:rsidRPr="00135E1C">
        <w:t>.</w:t>
      </w:r>
    </w:p>
    <w:p w14:paraId="5FBAB347" w14:textId="77777777" w:rsidR="000C4539" w:rsidRPr="00135E1C" w:rsidRDefault="000C4539" w:rsidP="000C4539">
      <w:pPr>
        <w:pStyle w:val="ListBullet"/>
        <w:numPr>
          <w:ilvl w:val="0"/>
          <w:numId w:val="1"/>
        </w:numPr>
        <w:ind w:left="357" w:hanging="357"/>
      </w:pPr>
      <w:r w:rsidRPr="00135E1C">
        <w:rPr>
          <w:i/>
        </w:rPr>
        <w:t>Unaspis citri</w:t>
      </w:r>
      <w:r w:rsidRPr="00135E1C">
        <w:t xml:space="preserve"> – no interceptions on limes</w:t>
      </w:r>
      <w:r>
        <w:t xml:space="preserve"> (this species has been </w:t>
      </w:r>
      <w:r w:rsidRPr="00135E1C">
        <w:t>intercepted on oranges in passenger baggage</w:t>
      </w:r>
      <w:r>
        <w:t>)</w:t>
      </w:r>
      <w:r w:rsidRPr="00135E1C">
        <w:t>.</w:t>
      </w:r>
    </w:p>
    <w:p w14:paraId="187C8AEE" w14:textId="77777777" w:rsidR="000C4539" w:rsidRPr="00135E1C" w:rsidRDefault="000C4539" w:rsidP="000C4539">
      <w:pPr>
        <w:pStyle w:val="Heading4"/>
      </w:pPr>
      <w:r w:rsidRPr="00135E1C">
        <w:t>Mealybugs</w:t>
      </w:r>
    </w:p>
    <w:p w14:paraId="7CEA81A8" w14:textId="77777777" w:rsidR="000C4539" w:rsidRPr="00135E1C" w:rsidRDefault="000C4539" w:rsidP="000C4539">
      <w:pPr>
        <w:pStyle w:val="ListBullet"/>
        <w:numPr>
          <w:ilvl w:val="0"/>
          <w:numId w:val="1"/>
        </w:numPr>
        <w:ind w:left="357" w:hanging="357"/>
      </w:pPr>
      <w:r w:rsidRPr="00135E1C">
        <w:rPr>
          <w:i/>
        </w:rPr>
        <w:t>Dysmicoccus neobrevipes</w:t>
      </w:r>
      <w:r>
        <w:t xml:space="preserve"> – no interceptions on limes (</w:t>
      </w:r>
      <w:r w:rsidRPr="00135E1C">
        <w:t xml:space="preserve">an unidentified </w:t>
      </w:r>
      <w:r w:rsidRPr="00211BE4">
        <w:rPr>
          <w:i/>
        </w:rPr>
        <w:t>Dysmicoccus</w:t>
      </w:r>
      <w:r w:rsidRPr="00135E1C">
        <w:t xml:space="preserve"> sp</w:t>
      </w:r>
      <w:r>
        <w:t>ecies</w:t>
      </w:r>
      <w:r w:rsidRPr="00135E1C">
        <w:t xml:space="preserve"> was detected on </w:t>
      </w:r>
      <w:r>
        <w:t xml:space="preserve">a commercial consignment of </w:t>
      </w:r>
      <w:r w:rsidRPr="00135E1C">
        <w:t>limes</w:t>
      </w:r>
      <w:r>
        <w:t>)</w:t>
      </w:r>
      <w:r w:rsidRPr="00135E1C">
        <w:t>.</w:t>
      </w:r>
    </w:p>
    <w:p w14:paraId="4B7D08E2" w14:textId="77777777" w:rsidR="000C4539" w:rsidRPr="00135E1C" w:rsidRDefault="000C4539" w:rsidP="000C4539">
      <w:pPr>
        <w:pStyle w:val="ListBullet"/>
        <w:numPr>
          <w:ilvl w:val="0"/>
          <w:numId w:val="1"/>
        </w:numPr>
        <w:ind w:left="357" w:hanging="357"/>
      </w:pPr>
      <w:r w:rsidRPr="00135E1C">
        <w:rPr>
          <w:i/>
        </w:rPr>
        <w:t>Planococcus minor</w:t>
      </w:r>
      <w:r>
        <w:t xml:space="preserve"> – no interceptions on limes (</w:t>
      </w:r>
      <w:r w:rsidRPr="00135E1C">
        <w:t xml:space="preserve">there have been interceptions on </w:t>
      </w:r>
      <w:r>
        <w:t xml:space="preserve">commercial consignments of </w:t>
      </w:r>
      <w:r w:rsidRPr="00135E1C">
        <w:t>betel leaves, mangosteens and grapefruit</w:t>
      </w:r>
      <w:r>
        <w:t xml:space="preserve">, as well as </w:t>
      </w:r>
      <w:r w:rsidRPr="00135E1C">
        <w:t xml:space="preserve">longan fruit </w:t>
      </w:r>
      <w:r>
        <w:t xml:space="preserve">in </w:t>
      </w:r>
      <w:r w:rsidRPr="00135E1C">
        <w:t>passenger baggage)</w:t>
      </w:r>
      <w:r>
        <w:t>.</w:t>
      </w:r>
    </w:p>
    <w:p w14:paraId="16CAB3E0" w14:textId="77777777" w:rsidR="000C4539" w:rsidRPr="00135E1C" w:rsidRDefault="000C4539" w:rsidP="000C4539">
      <w:pPr>
        <w:pStyle w:val="ListBullet"/>
        <w:numPr>
          <w:ilvl w:val="0"/>
          <w:numId w:val="1"/>
        </w:numPr>
        <w:ind w:left="357" w:hanging="357"/>
      </w:pPr>
      <w:r w:rsidRPr="00135E1C">
        <w:rPr>
          <w:i/>
        </w:rPr>
        <w:t>Pseudococcus cryptus</w:t>
      </w:r>
      <w:r w:rsidRPr="00135E1C">
        <w:t xml:space="preserve"> – no interceptions reported on any commodity.</w:t>
      </w:r>
    </w:p>
    <w:p w14:paraId="79634FD2" w14:textId="77777777" w:rsidR="000C4539" w:rsidRPr="00135E1C" w:rsidRDefault="000C4539" w:rsidP="000C4539">
      <w:pPr>
        <w:pStyle w:val="Heading4"/>
      </w:pPr>
      <w:r w:rsidRPr="00135E1C">
        <w:t>Fungi</w:t>
      </w:r>
    </w:p>
    <w:p w14:paraId="71FA1503" w14:textId="3B8918CB" w:rsidR="000C4539" w:rsidRPr="00135E1C" w:rsidRDefault="000C4539" w:rsidP="000C4539">
      <w:pPr>
        <w:pStyle w:val="ListBullet"/>
        <w:numPr>
          <w:ilvl w:val="0"/>
          <w:numId w:val="1"/>
        </w:numPr>
        <w:spacing w:after="240"/>
        <w:ind w:left="357" w:hanging="357"/>
      </w:pPr>
      <w:r w:rsidRPr="00135E1C">
        <w:rPr>
          <w:i/>
        </w:rPr>
        <w:t>Elsino</w:t>
      </w:r>
      <w:r w:rsidR="0008776E">
        <w:rPr>
          <w:i/>
        </w:rPr>
        <w:t>ë</w:t>
      </w:r>
      <w:r w:rsidRPr="00135E1C">
        <w:rPr>
          <w:i/>
        </w:rPr>
        <w:t xml:space="preserve"> fawcettii</w:t>
      </w:r>
      <w:r w:rsidRPr="00135E1C">
        <w:t xml:space="preserve"> – intercepted on limes in passenger baggage.</w:t>
      </w:r>
    </w:p>
    <w:p w14:paraId="26BB0021" w14:textId="77777777" w:rsidR="00B34C6B" w:rsidRDefault="00B34C6B" w:rsidP="00B34C6B">
      <w:pPr>
        <w:pStyle w:val="Heading3"/>
      </w:pPr>
      <w:r>
        <w:t>Pest risk management for quarantine pests</w:t>
      </w:r>
    </w:p>
    <w:p w14:paraId="6F00B1C0" w14:textId="76EFDFBD" w:rsidR="00132A6F" w:rsidRDefault="006241CC" w:rsidP="006241CC">
      <w:r>
        <w:rPr>
          <w:i/>
        </w:rPr>
        <w:t>Dysmicoccus neobrevipes</w:t>
      </w:r>
      <w:r w:rsidR="00D45FBC">
        <w:t xml:space="preserve">, </w:t>
      </w:r>
      <w:r w:rsidR="00D45FBC" w:rsidRPr="00D45FBC">
        <w:rPr>
          <w:i/>
        </w:rPr>
        <w:t>Planococcus minor</w:t>
      </w:r>
      <w:r w:rsidR="00D45FBC">
        <w:t xml:space="preserve"> and </w:t>
      </w:r>
      <w:r w:rsidR="00D45FBC" w:rsidRPr="00D45FBC">
        <w:rPr>
          <w:i/>
        </w:rPr>
        <w:t>Pseudococcus cryptus</w:t>
      </w:r>
      <w:r w:rsidR="00D45FBC">
        <w:t xml:space="preserve"> </w:t>
      </w:r>
      <w:r w:rsidR="00736901">
        <w:t>ha</w:t>
      </w:r>
      <w:r w:rsidR="00D45FBC">
        <w:t>ve</w:t>
      </w:r>
      <w:r>
        <w:t xml:space="preserve"> been assessed </w:t>
      </w:r>
      <w:r w:rsidR="003A1B6D">
        <w:t>as having</w:t>
      </w:r>
      <w:r>
        <w:t xml:space="preserve"> an unrestricted risk </w:t>
      </w:r>
      <w:r w:rsidR="00AC09E6">
        <w:t>that does not achieve</w:t>
      </w:r>
      <w:r w:rsidR="00750DE8">
        <w:t xml:space="preserve"> </w:t>
      </w:r>
      <w:r w:rsidR="00D45FBC">
        <w:t xml:space="preserve">the ALOP for </w:t>
      </w:r>
      <w:r w:rsidR="00750DE8">
        <w:t xml:space="preserve">Australia, so </w:t>
      </w:r>
      <w:r>
        <w:t>measures are therefore required to manage this risk</w:t>
      </w:r>
      <w:r w:rsidR="009F7D3D">
        <w:t xml:space="preserve"> to an acceptable level</w:t>
      </w:r>
      <w:r>
        <w:t xml:space="preserve">. </w:t>
      </w:r>
    </w:p>
    <w:p w14:paraId="08B002B2" w14:textId="09343320" w:rsidR="006241CC" w:rsidRDefault="006241CC" w:rsidP="006241CC">
      <w:r>
        <w:t xml:space="preserve">The </w:t>
      </w:r>
      <w:r w:rsidR="00C666A6">
        <w:t>recommended</w:t>
      </w:r>
      <w:r>
        <w:t xml:space="preserve"> risk management measure is a pre-export phytosanitary inspection by the NPPO to ensure that </w:t>
      </w:r>
      <w:r w:rsidR="002C22E0">
        <w:t xml:space="preserve">the </w:t>
      </w:r>
      <w:r w:rsidR="00132A6F">
        <w:t xml:space="preserve">Tahitian </w:t>
      </w:r>
      <w:r w:rsidR="002C22E0">
        <w:t>limes</w:t>
      </w:r>
      <w:r>
        <w:t xml:space="preserve"> are free of</w:t>
      </w:r>
      <w:r w:rsidR="00EC12F7">
        <w:t xml:space="preserve"> </w:t>
      </w:r>
      <w:r w:rsidR="00171E86" w:rsidRPr="00132A6F">
        <w:rPr>
          <w:i/>
        </w:rPr>
        <w:t>Dysmicoccus neobrevipes</w:t>
      </w:r>
      <w:r w:rsidR="00171E86" w:rsidRPr="00132A6F">
        <w:t xml:space="preserve">, </w:t>
      </w:r>
      <w:r w:rsidR="00171E86" w:rsidRPr="00132A6F">
        <w:rPr>
          <w:i/>
        </w:rPr>
        <w:t>Planococcus minor</w:t>
      </w:r>
      <w:r w:rsidR="00171E86" w:rsidRPr="00132A6F">
        <w:t xml:space="preserve"> and </w:t>
      </w:r>
      <w:r w:rsidR="00171E86" w:rsidRPr="00132A6F">
        <w:rPr>
          <w:i/>
        </w:rPr>
        <w:t>Pseudococcus cryptus</w:t>
      </w:r>
      <w:r w:rsidR="002C22E0">
        <w:t>,</w:t>
      </w:r>
      <w:r>
        <w:t xml:space="preserve"> and </w:t>
      </w:r>
      <w:r w:rsidR="00171E86">
        <w:t xml:space="preserve">any </w:t>
      </w:r>
      <w:r>
        <w:t xml:space="preserve">infested </w:t>
      </w:r>
      <w:r w:rsidR="002C22E0">
        <w:t xml:space="preserve">consignments </w:t>
      </w:r>
      <w:r>
        <w:t xml:space="preserve">are identified and </w:t>
      </w:r>
      <w:r w:rsidR="000F7235">
        <w:t>removed from the export pathway,</w:t>
      </w:r>
      <w:r w:rsidR="002C22E0">
        <w:t xml:space="preserve"> or </w:t>
      </w:r>
      <w:r>
        <w:t xml:space="preserve">subjected to </w:t>
      </w:r>
      <w:r w:rsidR="00171E86">
        <w:t xml:space="preserve">appropriate </w:t>
      </w:r>
      <w:r>
        <w:t>remedial action</w:t>
      </w:r>
      <w:r w:rsidR="002D0D24">
        <w:t xml:space="preserve"> prior to export</w:t>
      </w:r>
      <w:r>
        <w:t>.</w:t>
      </w:r>
      <w:r w:rsidR="002C15B9" w:rsidRPr="002C15B9">
        <w:t xml:space="preserve"> </w:t>
      </w:r>
    </w:p>
    <w:p w14:paraId="63642886" w14:textId="4DC405F5" w:rsidR="00EC12F7" w:rsidRDefault="00132A6F" w:rsidP="00EC12F7">
      <w:r>
        <w:t>E</w:t>
      </w:r>
      <w:r w:rsidRPr="00132A6F">
        <w:t>xport consignments found to contain any of these pests must be subject to remedial action</w:t>
      </w:r>
      <w:r>
        <w:t>, which</w:t>
      </w:r>
      <w:r w:rsidRPr="00132A6F">
        <w:t xml:space="preserve"> may include withdrawing the consignment from export to Australia or</w:t>
      </w:r>
      <w:r>
        <w:t xml:space="preserve"> application of an </w:t>
      </w:r>
      <w:r w:rsidRPr="00132A6F">
        <w:t xml:space="preserve">approved treatment to ensure that the pest is no longer viable. </w:t>
      </w:r>
      <w:r w:rsidR="00FA6201" w:rsidRPr="00BB43BC">
        <w:t xml:space="preserve">Adoption of these measures, which are further described in Section 5.2, is expected to </w:t>
      </w:r>
      <w:r w:rsidRPr="00BB43BC">
        <w:t xml:space="preserve">reduce the risk </w:t>
      </w:r>
      <w:r w:rsidR="00FA6201" w:rsidRPr="00BB43BC">
        <w:t xml:space="preserve">of entry, establishment and spread of </w:t>
      </w:r>
      <w:r w:rsidRPr="00BB43BC">
        <w:t>th</w:t>
      </w:r>
      <w:r w:rsidR="0068757B" w:rsidRPr="00BB43BC">
        <w:t>e pests</w:t>
      </w:r>
      <w:r w:rsidRPr="00BB43BC">
        <w:t xml:space="preserve"> to </w:t>
      </w:r>
      <w:r w:rsidR="00FA6201" w:rsidRPr="00BB43BC">
        <w:t xml:space="preserve">a level that </w:t>
      </w:r>
      <w:r w:rsidRPr="00BB43BC">
        <w:t>achieve</w:t>
      </w:r>
      <w:r w:rsidR="00FA6201" w:rsidRPr="00BB43BC">
        <w:t>s</w:t>
      </w:r>
      <w:r w:rsidRPr="00BB43BC">
        <w:t xml:space="preserve"> </w:t>
      </w:r>
      <w:r w:rsidR="000911AD" w:rsidRPr="00BB43BC">
        <w:t xml:space="preserve">the </w:t>
      </w:r>
      <w:r w:rsidRPr="00BB43BC">
        <w:t>ALOP for Australia.</w:t>
      </w:r>
    </w:p>
    <w:p w14:paraId="14738FEC" w14:textId="77777777" w:rsidR="006241CC" w:rsidRDefault="006241CC" w:rsidP="006241CC">
      <w:pPr>
        <w:pStyle w:val="Heading3"/>
      </w:pPr>
      <w:r>
        <w:t>Consideration of alternative measures</w:t>
      </w:r>
    </w:p>
    <w:p w14:paraId="30651226" w14:textId="07D88320" w:rsidR="006241CC" w:rsidRDefault="006241CC" w:rsidP="006241CC">
      <w:r>
        <w:t xml:space="preserve">Consistent with the principle of equivalence detailed in ISPM 11: </w:t>
      </w:r>
      <w:r>
        <w:rPr>
          <w:i/>
        </w:rPr>
        <w:t>Pest risk analysis for quarantine pests</w:t>
      </w:r>
      <w:r>
        <w:t xml:space="preserve"> (FAO 2013), the </w:t>
      </w:r>
      <w:r w:rsidR="00FC5582">
        <w:t>department</w:t>
      </w:r>
      <w:r>
        <w:t xml:space="preserve"> will consider any alternative measure proposed by </w:t>
      </w:r>
      <w:r w:rsidR="00FC5582">
        <w:t>an</w:t>
      </w:r>
      <w:r>
        <w:t xml:space="preserve"> exporting country’s NPPO, providing that it achieves Australia’s ALOP. Evaluation of such measures or treatments will require a technical submission from the NPPO that details the proposed treatment and includ</w:t>
      </w:r>
      <w:r w:rsidR="003A1B6D">
        <w:t>es</w:t>
      </w:r>
      <w:r>
        <w:t xml:space="preserve"> data from suitable treatment trials to demonstrate efficacy.</w:t>
      </w:r>
    </w:p>
    <w:p w14:paraId="3076053C" w14:textId="77777777" w:rsidR="00146544" w:rsidRDefault="00146544" w:rsidP="00380963">
      <w:pPr>
        <w:pStyle w:val="Heading2"/>
        <w:ind w:left="709" w:hanging="709"/>
      </w:pPr>
      <w:bookmarkStart w:id="128" w:name="_Toc501716499"/>
      <w:r>
        <w:t>Operational system for the maintenance and verification of phytosanitary status</w:t>
      </w:r>
      <w:bookmarkEnd w:id="128"/>
    </w:p>
    <w:p w14:paraId="3AB3A8F0" w14:textId="4B0DE4C7" w:rsidR="00BB43BC" w:rsidRDefault="00E81A07" w:rsidP="00E81A07">
      <w:r w:rsidRPr="00E81A07">
        <w:t>A system of operational procedures is necessary to maintain and verify the phytosanitary status of Tahitian limes from the Cook Islands, Niue, Samoa, Tonga and Vanuatu. This is to ensure that the recommended risk management measures have been met and are maintained.</w:t>
      </w:r>
      <w:r w:rsidR="00211BE4">
        <w:t xml:space="preserve"> </w:t>
      </w:r>
    </w:p>
    <w:p w14:paraId="1964C65F" w14:textId="77777777" w:rsidR="00E81A07" w:rsidRDefault="00E81A07" w:rsidP="00E81A07">
      <w:pPr>
        <w:pStyle w:val="Heading3"/>
      </w:pPr>
      <w:r w:rsidRPr="00E81A07">
        <w:t>A system of traceability to source orchards</w:t>
      </w:r>
    </w:p>
    <w:p w14:paraId="64F5F576" w14:textId="77777777" w:rsidR="002C57E8" w:rsidRPr="002C57E8" w:rsidRDefault="002C57E8" w:rsidP="002C57E8">
      <w:r w:rsidRPr="002C57E8">
        <w:t>The objectives of this recommended procedure are to ensure that:</w:t>
      </w:r>
    </w:p>
    <w:p w14:paraId="4AD69253" w14:textId="5A838974" w:rsidR="002C57E8" w:rsidRPr="002C57E8" w:rsidRDefault="002C57E8" w:rsidP="009910FF">
      <w:pPr>
        <w:pStyle w:val="ListBullet"/>
      </w:pPr>
      <w:r w:rsidRPr="002C57E8">
        <w:t xml:space="preserve">Tahitian limes are sourced only from </w:t>
      </w:r>
      <w:r w:rsidR="008A30A7">
        <w:t xml:space="preserve">commercial </w:t>
      </w:r>
      <w:r w:rsidRPr="002C57E8">
        <w:t>orchards</w:t>
      </w:r>
    </w:p>
    <w:p w14:paraId="24B8478E" w14:textId="77777777" w:rsidR="002C57E8" w:rsidRPr="002C57E8" w:rsidRDefault="002C57E8" w:rsidP="002C57E8">
      <w:pPr>
        <w:numPr>
          <w:ilvl w:val="0"/>
          <w:numId w:val="26"/>
        </w:numPr>
      </w:pPr>
      <w:r w:rsidRPr="002C57E8">
        <w:t>orchards from which limes are sourced can be identified so investigation and corrective action can be targeted rather than applied to all contributing export orchards in the event that live pests are intercepted.</w:t>
      </w:r>
    </w:p>
    <w:p w14:paraId="4A1AF36B" w14:textId="65588F7F" w:rsidR="008A61A5" w:rsidRDefault="00D9707E" w:rsidP="008A61A5">
      <w:pPr>
        <w:pBdr>
          <w:top w:val="single" w:sz="4" w:space="1" w:color="auto"/>
          <w:left w:val="single" w:sz="4" w:space="4" w:color="auto"/>
          <w:bottom w:val="single" w:sz="4" w:space="1" w:color="auto"/>
          <w:right w:val="single" w:sz="4" w:space="4" w:color="auto"/>
        </w:pBdr>
      </w:pPr>
      <w:r>
        <w:t>T</w:t>
      </w:r>
      <w:r w:rsidR="008A61A5" w:rsidRPr="008A61A5">
        <w:t xml:space="preserve">he exporting country’s NPPO </w:t>
      </w:r>
      <w:r>
        <w:t xml:space="preserve">is required to establish and maintain </w:t>
      </w:r>
      <w:r w:rsidR="008A61A5" w:rsidRPr="008A61A5">
        <w:t>a system to enable traceability back to the orchard where Tahitian limes for export to Australia are sourced. The NPPO w</w:t>
      </w:r>
      <w:r>
        <w:t>ill</w:t>
      </w:r>
      <w:r w:rsidR="008A61A5" w:rsidRPr="008A61A5">
        <w:t xml:space="preserve"> be responsible for ensuring that export lime growers are aware of pests of quarantine concern to Australia.</w:t>
      </w:r>
    </w:p>
    <w:p w14:paraId="4D64F0C8" w14:textId="77777777" w:rsidR="002D0D24" w:rsidRDefault="002D0D24" w:rsidP="002D0D24">
      <w:pPr>
        <w:pStyle w:val="Heading3"/>
      </w:pPr>
      <w:r>
        <w:t>Packaging and labelling</w:t>
      </w:r>
    </w:p>
    <w:p w14:paraId="1FBBD678" w14:textId="5B5F23A5" w:rsidR="002C57E8" w:rsidRPr="002C57E8" w:rsidRDefault="002C57E8" w:rsidP="002C57E8">
      <w:r w:rsidRPr="002C57E8">
        <w:t>The objective of this requirement for packaging and labelling is to ensure that Tahitian limes exported to Australia are not contaminated by quarantine pests or other regulated articles such as trash, soil and weed seeds.</w:t>
      </w:r>
    </w:p>
    <w:p w14:paraId="34760378" w14:textId="068D8A7E" w:rsidR="008A61A5" w:rsidRDefault="008A61A5" w:rsidP="008A61A5">
      <w:pPr>
        <w:pBdr>
          <w:top w:val="single" w:sz="4" w:space="1" w:color="auto"/>
          <w:left w:val="single" w:sz="4" w:space="4" w:color="auto"/>
          <w:bottom w:val="single" w:sz="4" w:space="1" w:color="auto"/>
          <w:right w:val="single" w:sz="4" w:space="4" w:color="auto"/>
        </w:pBdr>
      </w:pPr>
      <w:r w:rsidRPr="008A61A5">
        <w:t>Each consignment must be securely packed in new, clean packaging. All boxes must be labelled with details of the source orchard and packing</w:t>
      </w:r>
      <w:r w:rsidR="00962213">
        <w:t xml:space="preserve"> </w:t>
      </w:r>
      <w:r w:rsidRPr="008A61A5">
        <w:t>house for the purpose of traceback.</w:t>
      </w:r>
    </w:p>
    <w:p w14:paraId="17A8A62C" w14:textId="77777777" w:rsidR="005D6B61" w:rsidRDefault="005D6B61" w:rsidP="005D6B61">
      <w:pPr>
        <w:pStyle w:val="Heading3"/>
      </w:pPr>
      <w:r w:rsidRPr="005D6B61">
        <w:t>Specific conditions for storage and movement</w:t>
      </w:r>
    </w:p>
    <w:p w14:paraId="648F4C6A" w14:textId="13F5B6E1" w:rsidR="002C57E8" w:rsidRPr="002C57E8" w:rsidRDefault="002C57E8" w:rsidP="002C57E8">
      <w:r w:rsidRPr="002C57E8">
        <w:t>The objective of this recommended procedure is to ensure that the quarantine integrity of the commodity during storage and movement is maintained.</w:t>
      </w:r>
    </w:p>
    <w:p w14:paraId="3BFB92B8" w14:textId="77777777" w:rsidR="005D6B61" w:rsidRPr="005D6B61" w:rsidRDefault="005D6B61" w:rsidP="008A61A5">
      <w:pPr>
        <w:pBdr>
          <w:top w:val="single" w:sz="4" w:space="1" w:color="auto"/>
          <w:left w:val="single" w:sz="4" w:space="4" w:color="auto"/>
          <w:bottom w:val="single" w:sz="4" w:space="1" w:color="auto"/>
          <w:right w:val="single" w:sz="4" w:space="4" w:color="auto"/>
        </w:pBdr>
        <w:rPr>
          <w:rFonts w:eastAsia="Calibri" w:cs="Times New Roman"/>
        </w:rPr>
      </w:pPr>
      <w:r w:rsidRPr="008A61A5">
        <w:rPr>
          <w:rFonts w:eastAsia="Calibri" w:cs="Times New Roman"/>
        </w:rPr>
        <w:t xml:space="preserve">Tahitian limes </w:t>
      </w:r>
      <w:r w:rsidRPr="005D6B61">
        <w:rPr>
          <w:rFonts w:eastAsia="Calibri" w:cs="Times New Roman"/>
        </w:rPr>
        <w:t xml:space="preserve">for export to Australia that have been inspected </w:t>
      </w:r>
      <w:r>
        <w:rPr>
          <w:rFonts w:eastAsia="Calibri" w:cs="Times New Roman"/>
        </w:rPr>
        <w:t xml:space="preserve">by the NPPO </w:t>
      </w:r>
      <w:r w:rsidRPr="005D6B61">
        <w:rPr>
          <w:rFonts w:eastAsia="Calibri" w:cs="Times New Roman"/>
        </w:rPr>
        <w:t xml:space="preserve">must be kept secure and segregated at all times from any fruit for domestic or other markets, </w:t>
      </w:r>
      <w:r w:rsidR="008A61A5">
        <w:rPr>
          <w:rFonts w:eastAsia="Calibri" w:cs="Times New Roman"/>
        </w:rPr>
        <w:t>or fruit that has not been inspected</w:t>
      </w:r>
      <w:r w:rsidRPr="005D6B61">
        <w:rPr>
          <w:rFonts w:eastAsia="Calibri" w:cs="Times New Roman"/>
        </w:rPr>
        <w:t>, to prevent mixing or cross-contamination.</w:t>
      </w:r>
    </w:p>
    <w:p w14:paraId="36F4EE5D" w14:textId="77777777" w:rsidR="002D0D24" w:rsidRDefault="002D0D24" w:rsidP="002D0D24">
      <w:pPr>
        <w:pStyle w:val="Heading3"/>
      </w:pPr>
      <w:r>
        <w:t>Freedom from trash</w:t>
      </w:r>
    </w:p>
    <w:p w14:paraId="28317C2C" w14:textId="17443EC3" w:rsidR="002C57E8" w:rsidRPr="002C57E8" w:rsidRDefault="002C57E8" w:rsidP="002C57E8">
      <w:r w:rsidRPr="002C57E8">
        <w:t xml:space="preserve">Freedom from trash will be confirmed by the inspection procedures. Export consignments found to contain trash or foreign matter </w:t>
      </w:r>
      <w:r w:rsidR="00C327F2">
        <w:t>must</w:t>
      </w:r>
      <w:r w:rsidR="00C327F2" w:rsidRPr="002C57E8">
        <w:t xml:space="preserve"> </w:t>
      </w:r>
      <w:r w:rsidRPr="002C57E8">
        <w:t>be withdrawn from export unless approved remedial action is available and applied to the consignment, which must then be re-inspected.</w:t>
      </w:r>
    </w:p>
    <w:p w14:paraId="6D6938A7" w14:textId="77777777" w:rsidR="008A61A5" w:rsidRDefault="002D0D24" w:rsidP="008A61A5">
      <w:pPr>
        <w:pBdr>
          <w:top w:val="single" w:sz="4" w:space="1" w:color="auto"/>
          <w:left w:val="single" w:sz="4" w:space="4" w:color="auto"/>
          <w:bottom w:val="single" w:sz="4" w:space="1" w:color="auto"/>
          <w:right w:val="single" w:sz="4" w:space="4" w:color="auto"/>
        </w:pBdr>
      </w:pPr>
      <w:r>
        <w:t xml:space="preserve">All Tahitian limes for export must be free from trash (stem and leaf material, </w:t>
      </w:r>
      <w:r w:rsidR="00024083">
        <w:t xml:space="preserve">weed </w:t>
      </w:r>
      <w:r>
        <w:t>seeds, soil or other extraneous material) and foreign matter.</w:t>
      </w:r>
    </w:p>
    <w:p w14:paraId="7A3C29BD" w14:textId="77777777" w:rsidR="002D0D24" w:rsidRDefault="002D0D24" w:rsidP="002D0D24">
      <w:pPr>
        <w:pStyle w:val="Heading3"/>
      </w:pPr>
      <w:r>
        <w:t>Pre-export phytosanitary inspectio</w:t>
      </w:r>
      <w:r w:rsidR="00B460DB">
        <w:t>n and certification by a NPPO</w:t>
      </w:r>
    </w:p>
    <w:p w14:paraId="162CD20F" w14:textId="32D5C058" w:rsidR="002C57E8" w:rsidRPr="002C57E8" w:rsidRDefault="002C57E8" w:rsidP="002C57E8">
      <w:r w:rsidRPr="002C57E8">
        <w:t>Every consignment must be accompanied by an International Phytosanitary Certificate (IPC) providing formal documentation to the department verifying that any required measures have been undertaken, and identifying the product and country of origin.</w:t>
      </w:r>
    </w:p>
    <w:p w14:paraId="711A36D0" w14:textId="77777777" w:rsidR="008A61A5" w:rsidRDefault="002D0D24" w:rsidP="008A61A5">
      <w:pPr>
        <w:pBdr>
          <w:top w:val="single" w:sz="4" w:space="1" w:color="auto"/>
          <w:left w:val="single" w:sz="4" w:space="4" w:color="auto"/>
          <w:bottom w:val="single" w:sz="4" w:space="1" w:color="auto"/>
          <w:right w:val="single" w:sz="4" w:space="4" w:color="auto"/>
        </w:pBdr>
      </w:pPr>
      <w:r w:rsidRPr="008A61A5">
        <w:t>The exporting country’s NPPO</w:t>
      </w:r>
      <w:r w:rsidR="00B460DB" w:rsidRPr="008A61A5">
        <w:t>, or other relevant agency nominated by the NPPO,</w:t>
      </w:r>
      <w:r w:rsidRPr="008A61A5">
        <w:t xml:space="preserve"> must undertake a 600-unit phytosanitary inspection for each consignment prior to export.</w:t>
      </w:r>
    </w:p>
    <w:p w14:paraId="75B4A7DE" w14:textId="77777777" w:rsidR="002D0D24" w:rsidRDefault="002D0D24" w:rsidP="002D0D24">
      <w:pPr>
        <w:pStyle w:val="Heading3"/>
      </w:pPr>
      <w:r>
        <w:t>On-arrival verification inspection</w:t>
      </w:r>
    </w:p>
    <w:p w14:paraId="086C2888" w14:textId="1185DE7F" w:rsidR="00DB4E82" w:rsidRDefault="00DB4E82">
      <w:pPr>
        <w:rPr>
          <w:color w:val="000000"/>
        </w:rPr>
      </w:pPr>
      <w:r>
        <w:t xml:space="preserve">On arrival in Australia, the </w:t>
      </w:r>
      <w:r>
        <w:rPr>
          <w:color w:val="000000"/>
        </w:rPr>
        <w:t>Australian Government Department of Agriculture and Water Resources will:</w:t>
      </w:r>
    </w:p>
    <w:p w14:paraId="385B9251" w14:textId="77777777" w:rsidR="00DB4E82" w:rsidRPr="00DB4E82" w:rsidRDefault="00DB4E82" w:rsidP="00051223">
      <w:pPr>
        <w:pStyle w:val="ListBullet"/>
      </w:pPr>
      <w:r w:rsidRPr="00DB4E82">
        <w:t>assess documentation to verify that the consignment is as described on the phytosanitary certificate and that product security has been maintained</w:t>
      </w:r>
    </w:p>
    <w:p w14:paraId="2C090E03" w14:textId="77777777" w:rsidR="00DB4E82" w:rsidRDefault="00DB4E82" w:rsidP="00051223">
      <w:pPr>
        <w:pStyle w:val="ListBullet"/>
      </w:pPr>
      <w:r w:rsidRPr="00DB4E82">
        <w:t>complete an inspection of a random sample of 600 units of Tahitian lime fruit per consignment to verify that the biosecurity status of the consignment meets Australia’s import</w:t>
      </w:r>
      <w:r>
        <w:t xml:space="preserve"> conditions.</w:t>
      </w:r>
    </w:p>
    <w:p w14:paraId="43F09933" w14:textId="35E5171E" w:rsidR="002C57E8" w:rsidRPr="002C57E8" w:rsidRDefault="002C57E8">
      <w:r w:rsidRPr="002C57E8">
        <w:t>Consignments will be released from quarantine if found free of live quarantine pests and other regulated articles.</w:t>
      </w:r>
    </w:p>
    <w:p w14:paraId="7D33777B" w14:textId="7E8DE5FC" w:rsidR="002D0D24" w:rsidRDefault="002D0D24" w:rsidP="002D0D24">
      <w:pPr>
        <w:pStyle w:val="Heading3"/>
      </w:pPr>
      <w:r>
        <w:t>Remedial action</w:t>
      </w:r>
      <w:r w:rsidR="00E41A42">
        <w:t>(s)</w:t>
      </w:r>
      <w:r>
        <w:t xml:space="preserve"> for non-compliance</w:t>
      </w:r>
    </w:p>
    <w:p w14:paraId="4BF8F16D" w14:textId="77777777" w:rsidR="00E41A42" w:rsidRDefault="00E41A42" w:rsidP="00E41A42">
      <w:r>
        <w:t>The objectives of remedial action(s) for non-compliance are to ensure that:</w:t>
      </w:r>
    </w:p>
    <w:p w14:paraId="2852BC37" w14:textId="77777777" w:rsidR="00E41A42" w:rsidRDefault="00E41A42" w:rsidP="00E41A42">
      <w:pPr>
        <w:pStyle w:val="ListBullet"/>
      </w:pPr>
      <w:r>
        <w:t>any quarantine pest or regulated article is addressed by remedial action, as appropriate</w:t>
      </w:r>
    </w:p>
    <w:p w14:paraId="090B46C0" w14:textId="77777777" w:rsidR="00E41A42" w:rsidRDefault="00E41A42" w:rsidP="00E41A42">
      <w:pPr>
        <w:pStyle w:val="ListBullet"/>
      </w:pPr>
      <w:r>
        <w:t>non-compliance with import requirements is addressed, as appropriate.</w:t>
      </w:r>
    </w:p>
    <w:p w14:paraId="07A30177" w14:textId="5A6A9525" w:rsidR="00553E74" w:rsidRDefault="008A61A5" w:rsidP="00553E74">
      <w:pPr>
        <w:pBdr>
          <w:top w:val="single" w:sz="4" w:space="1" w:color="auto"/>
          <w:left w:val="single" w:sz="4" w:space="4" w:color="auto"/>
          <w:bottom w:val="single" w:sz="4" w:space="1" w:color="auto"/>
          <w:right w:val="single" w:sz="4" w:space="4" w:color="auto"/>
        </w:pBdr>
      </w:pPr>
      <w:r w:rsidRPr="008A61A5">
        <w:t>Any consignment that fails to meet Australia’s import conditions must be subject to a suitable remedial action</w:t>
      </w:r>
      <w:r w:rsidR="00E41A42">
        <w:t xml:space="preserve"> (</w:t>
      </w:r>
      <w:r w:rsidRPr="008A61A5">
        <w:t>if one is available</w:t>
      </w:r>
      <w:r w:rsidR="00E41A42" w:rsidRPr="00E41A42">
        <w:t xml:space="preserve">), </w:t>
      </w:r>
      <w:r w:rsidR="00DB4E82">
        <w:t xml:space="preserve">or otherwise </w:t>
      </w:r>
      <w:r w:rsidR="00E41A42" w:rsidRPr="00E41A42">
        <w:t xml:space="preserve">destroyed or </w:t>
      </w:r>
      <w:r w:rsidR="00DB4E82">
        <w:t>re-ex</w:t>
      </w:r>
      <w:r w:rsidR="00E41A42" w:rsidRPr="00E41A42">
        <w:t>ported</w:t>
      </w:r>
      <w:r w:rsidR="00553E74">
        <w:t>.</w:t>
      </w:r>
      <w:r w:rsidR="00E41A42" w:rsidRPr="00E41A42">
        <w:t xml:space="preserve"> </w:t>
      </w:r>
      <w:r w:rsidR="00553E74" w:rsidRPr="00E41A42">
        <w:t xml:space="preserve"> </w:t>
      </w:r>
    </w:p>
    <w:p w14:paraId="54DD6BD0" w14:textId="137BDFDD" w:rsidR="00553E74" w:rsidRDefault="00553E74" w:rsidP="008567D4">
      <w:pPr>
        <w:rPr>
          <w:rFonts w:eastAsia="Calibri" w:cs="Times New Roman"/>
        </w:rPr>
      </w:pPr>
      <w:r w:rsidRPr="00E41A42">
        <w:t>Other</w:t>
      </w:r>
      <w:r w:rsidRPr="00553E74">
        <w:rPr>
          <w:rFonts w:eastAsia="Calibri" w:cs="Times New Roman"/>
        </w:rPr>
        <w:t xml:space="preserve"> actions may be taken depending on the specific pest intercepted and the risk management strategy put in place against that pest.</w:t>
      </w:r>
    </w:p>
    <w:p w14:paraId="5603A18A" w14:textId="45E8A5FA" w:rsidR="008567D4" w:rsidRDefault="008567D4" w:rsidP="008567D4">
      <w:r w:rsidRPr="008567D4">
        <w:rPr>
          <w:rFonts w:eastAsia="Calibri" w:cs="Times New Roman"/>
        </w:rPr>
        <w:t xml:space="preserve">If consignments are repeatedly non-compliant, the </w:t>
      </w:r>
      <w:r>
        <w:rPr>
          <w:rFonts w:eastAsia="Calibri" w:cs="Times New Roman"/>
        </w:rPr>
        <w:t>department</w:t>
      </w:r>
      <w:r w:rsidRPr="008567D4">
        <w:rPr>
          <w:rFonts w:eastAsia="Calibri" w:cs="Times New Roman"/>
        </w:rPr>
        <w:t xml:space="preserve"> reserves the right to suspend imports (either all imports or imports from specific </w:t>
      </w:r>
      <w:r w:rsidR="00BE6E07">
        <w:rPr>
          <w:rFonts w:eastAsia="Calibri" w:cs="Times New Roman"/>
        </w:rPr>
        <w:t>sources</w:t>
      </w:r>
      <w:r w:rsidRPr="008567D4">
        <w:rPr>
          <w:rFonts w:eastAsia="Calibri" w:cs="Times New Roman"/>
        </w:rPr>
        <w:t xml:space="preserve">) and conduct an audit of the risk management systems. Imports will recommence only when the </w:t>
      </w:r>
      <w:r>
        <w:rPr>
          <w:rFonts w:eastAsia="Calibri" w:cs="Times New Roman"/>
        </w:rPr>
        <w:t>department</w:t>
      </w:r>
      <w:r w:rsidRPr="008567D4">
        <w:rPr>
          <w:rFonts w:eastAsia="Calibri" w:cs="Times New Roman"/>
        </w:rPr>
        <w:t xml:space="preserve"> is satisfied that appropriate corrective action has been undertaken.</w:t>
      </w:r>
    </w:p>
    <w:p w14:paraId="64591FDF" w14:textId="77777777" w:rsidR="00146544" w:rsidRDefault="00146544">
      <w:pPr>
        <w:pStyle w:val="Heading2"/>
      </w:pPr>
      <w:bookmarkStart w:id="129" w:name="_Toc501716500"/>
      <w:r>
        <w:t>Uncategorised pests</w:t>
      </w:r>
      <w:bookmarkEnd w:id="129"/>
    </w:p>
    <w:p w14:paraId="4A2887B3" w14:textId="5A58D229" w:rsidR="002D0D24" w:rsidRDefault="002D0D24" w:rsidP="002D0D24">
      <w:r>
        <w:t xml:space="preserve">If an organism that has not been categorised (Appendix A) is detected on Tahitian lime fruit during inspection, assessment </w:t>
      </w:r>
      <w:r w:rsidR="003A1B6D">
        <w:t xml:space="preserve">may be required </w:t>
      </w:r>
      <w:r>
        <w:t xml:space="preserve">to determine its quarantine status and </w:t>
      </w:r>
      <w:r w:rsidR="003A1B6D">
        <w:t>whether</w:t>
      </w:r>
      <w:r>
        <w:t xml:space="preserve"> phytosanitary action is required. The detection of any pests of quarantine concern not already identified in the analysis will result in remedial action, as appropriate</w:t>
      </w:r>
      <w:r w:rsidR="00B705C8">
        <w:t>. This could include</w:t>
      </w:r>
      <w:r>
        <w:t xml:space="preserve"> temporary suspension of trade while a review is conducted to ensure that existing measures continue to provide the </w:t>
      </w:r>
      <w:r w:rsidR="00962213">
        <w:t>ALOP</w:t>
      </w:r>
      <w:r>
        <w:t xml:space="preserve"> for Australia.</w:t>
      </w:r>
    </w:p>
    <w:p w14:paraId="0FEAC821" w14:textId="77777777" w:rsidR="00E44D0E" w:rsidRDefault="00E44D0E" w:rsidP="00E44D0E">
      <w:pPr>
        <w:pStyle w:val="Heading2"/>
      </w:pPr>
      <w:bookmarkStart w:id="130" w:name="_Toc391301386"/>
      <w:bookmarkStart w:id="131" w:name="_Toc501716501"/>
      <w:r>
        <w:t>Review of policy</w:t>
      </w:r>
      <w:bookmarkEnd w:id="130"/>
      <w:bookmarkEnd w:id="131"/>
    </w:p>
    <w:p w14:paraId="3D0C5542" w14:textId="7F06AD5B" w:rsidR="00E972B3" w:rsidRDefault="00E972B3" w:rsidP="00E44D0E">
      <w:r w:rsidRPr="00E972B3">
        <w:t xml:space="preserve">The Australian Government Department of Agriculture and Water Resources will review the import policy after the first year of trade. In addition, the department reserves the right to review the import policy as deemed necessary, </w:t>
      </w:r>
      <w:r w:rsidR="003A1B6D">
        <w:t xml:space="preserve">for example, </w:t>
      </w:r>
      <w:r w:rsidR="00011737">
        <w:t>if</w:t>
      </w:r>
      <w:r w:rsidRPr="00E972B3">
        <w:t xml:space="preserve"> there is reason to believe that the pest or phytosanitary status in </w:t>
      </w:r>
      <w:r>
        <w:t xml:space="preserve">the Cook Islands, Niue, Samoa, Tonga </w:t>
      </w:r>
      <w:r w:rsidR="003A1B6D">
        <w:t>or</w:t>
      </w:r>
      <w:r>
        <w:t xml:space="preserve"> Vanuatu </w:t>
      </w:r>
      <w:r w:rsidRPr="00E972B3">
        <w:t>has changed.</w:t>
      </w:r>
    </w:p>
    <w:p w14:paraId="4965DB60" w14:textId="737914B1" w:rsidR="002C17AA" w:rsidRDefault="002C17AA" w:rsidP="00E44D0E">
      <w:r w:rsidRPr="00B049A4">
        <w:rPr>
          <w:color w:val="000000" w:themeColor="text1"/>
        </w:rPr>
        <w:t>The NPPO of the exporting country must inform the Australian Government Department of Agriculture and Water Resources immediately on detection in the exporting country of</w:t>
      </w:r>
      <w:r>
        <w:t xml:space="preserve"> any new pests of limes that are of potential quarantine concern to Australia.</w:t>
      </w:r>
    </w:p>
    <w:p w14:paraId="1D2F9274" w14:textId="77777777" w:rsidR="00146544" w:rsidRDefault="00146544">
      <w:pPr>
        <w:pStyle w:val="Heading2"/>
      </w:pPr>
      <w:bookmarkStart w:id="132" w:name="_Toc501716502"/>
      <w:r>
        <w:t xml:space="preserve">Meeting Australia’s food </w:t>
      </w:r>
      <w:r w:rsidR="003E4FF0">
        <w:t>laws</w:t>
      </w:r>
      <w:bookmarkEnd w:id="132"/>
    </w:p>
    <w:p w14:paraId="45123EF0" w14:textId="77777777" w:rsidR="003E4FF0" w:rsidRPr="00493687" w:rsidRDefault="003E4FF0" w:rsidP="003E4FF0">
      <w:r w:rsidRPr="00493687">
        <w:t xml:space="preserve">Imported food for human consumption must </w:t>
      </w:r>
      <w:r>
        <w:t xml:space="preserve">comply with </w:t>
      </w:r>
      <w:r w:rsidRPr="00493687">
        <w:t xml:space="preserve">the requirements of the </w:t>
      </w:r>
      <w:r w:rsidRPr="00767269">
        <w:rPr>
          <w:i/>
        </w:rPr>
        <w:t>Imported Food Control Act 1992</w:t>
      </w:r>
      <w:r>
        <w:rPr>
          <w:i/>
        </w:rPr>
        <w:t xml:space="preserve">, </w:t>
      </w:r>
      <w:r w:rsidRPr="00195F0B">
        <w:t xml:space="preserve">as well as </w:t>
      </w:r>
      <w:r w:rsidRPr="00493687">
        <w:t xml:space="preserve">Australian state and territory food laws. </w:t>
      </w:r>
      <w:r>
        <w:t xml:space="preserve">Among other things, these laws </w:t>
      </w:r>
      <w:r w:rsidRPr="00493687">
        <w:t xml:space="preserve">require all food, including imported food, </w:t>
      </w:r>
      <w:r>
        <w:t xml:space="preserve">to </w:t>
      </w:r>
      <w:r w:rsidRPr="00493687">
        <w:t>meet the standards set out in the Australia New Zealand Food Standards Code (the Code).</w:t>
      </w:r>
    </w:p>
    <w:p w14:paraId="68054C03" w14:textId="77777777" w:rsidR="003E4FF0" w:rsidRPr="00493687" w:rsidRDefault="003E4FF0" w:rsidP="003E4FF0">
      <w:pPr>
        <w:rPr>
          <w:color w:val="000000"/>
        </w:rPr>
      </w:pPr>
      <w:r w:rsidRPr="00493687">
        <w:rPr>
          <w:color w:val="000000"/>
        </w:rPr>
        <w:t xml:space="preserve">The </w:t>
      </w:r>
      <w:r>
        <w:rPr>
          <w:color w:val="000000"/>
        </w:rPr>
        <w:t xml:space="preserve">Australian Government </w:t>
      </w:r>
      <w:r w:rsidRPr="00493687">
        <w:rPr>
          <w:color w:val="000000"/>
        </w:rPr>
        <w:t xml:space="preserve">Department of Agriculture and Water Resources administers the </w:t>
      </w:r>
      <w:r w:rsidRPr="002B6748">
        <w:rPr>
          <w:i/>
          <w:color w:val="000000"/>
        </w:rPr>
        <w:t>Imported Food Control Act 1992</w:t>
      </w:r>
      <w:r>
        <w:rPr>
          <w:i/>
          <w:color w:val="000000"/>
        </w:rPr>
        <w:t>.</w:t>
      </w:r>
      <w:r w:rsidRPr="00195F0B">
        <w:rPr>
          <w:color w:val="000000"/>
        </w:rPr>
        <w:t xml:space="preserve"> This legislation provides for </w:t>
      </w:r>
      <w:r>
        <w:rPr>
          <w:color w:val="000000"/>
        </w:rPr>
        <w:t xml:space="preserve">the inspection and control of imported food using </w:t>
      </w:r>
      <w:r w:rsidRPr="00195F0B">
        <w:rPr>
          <w:color w:val="000000"/>
        </w:rPr>
        <w:t>a</w:t>
      </w:r>
      <w:r>
        <w:rPr>
          <w:color w:val="000000"/>
        </w:rPr>
        <w:t xml:space="preserve"> risk-based border inspection program, the </w:t>
      </w:r>
      <w:r w:rsidRPr="00493687">
        <w:rPr>
          <w:color w:val="000000"/>
        </w:rPr>
        <w:t>Imported Food Inspection Scheme</w:t>
      </w:r>
      <w:r>
        <w:rPr>
          <w:color w:val="000000"/>
        </w:rPr>
        <w:t xml:space="preserve">. </w:t>
      </w:r>
      <w:r w:rsidRPr="00493687">
        <w:rPr>
          <w:color w:val="000000"/>
        </w:rPr>
        <w:t>More information on this inspection scheme, including the testing of imported food, is available from the department’s</w:t>
      </w:r>
      <w:r w:rsidRPr="00493687">
        <w:t xml:space="preserve"> </w:t>
      </w:r>
      <w:hyperlink r:id="rId55" w:history="1">
        <w:r w:rsidRPr="00493687">
          <w:rPr>
            <w:color w:val="165788"/>
            <w:u w:val="single"/>
          </w:rPr>
          <w:t>website</w:t>
        </w:r>
      </w:hyperlink>
      <w:r w:rsidRPr="00493687">
        <w:rPr>
          <w:color w:val="000000"/>
        </w:rPr>
        <w:t>.</w:t>
      </w:r>
    </w:p>
    <w:p w14:paraId="2E41EC3A" w14:textId="1757B44A" w:rsidR="003E4FF0" w:rsidRPr="00493687" w:rsidRDefault="003E4FF0" w:rsidP="003E4FF0">
      <w:r w:rsidRPr="00493687">
        <w:t>Food Standards Australia New Zealand (FSANZ) is responsible for developing and maintaining the Code, including Standard 1.4.2</w:t>
      </w:r>
      <w:r w:rsidR="00F43BE0">
        <w:t xml:space="preserve"> for</w:t>
      </w:r>
      <w:r w:rsidRPr="00493687">
        <w:t xml:space="preserve"> </w:t>
      </w:r>
      <w:r w:rsidR="00F43BE0">
        <w:t>agricultural and veterinary</w:t>
      </w:r>
      <w:r>
        <w:t xml:space="preserve"> chemicals. This standard is available on the </w:t>
      </w:r>
      <w:hyperlink r:id="rId56" w:history="1">
        <w:r>
          <w:rPr>
            <w:rStyle w:val="Hyperlink"/>
          </w:rPr>
          <w:t>Federal Register of Legislation</w:t>
        </w:r>
      </w:hyperlink>
      <w:r w:rsidR="0006105C">
        <w:t xml:space="preserve"> or through the</w:t>
      </w:r>
      <w:r>
        <w:t xml:space="preserve"> </w:t>
      </w:r>
      <w:hyperlink r:id="rId57" w:history="1">
        <w:r w:rsidR="0006105C">
          <w:rPr>
            <w:rStyle w:val="Hyperlink"/>
          </w:rPr>
          <w:t>FSANZ website</w:t>
        </w:r>
      </w:hyperlink>
      <w:r w:rsidRPr="00493687">
        <w:t xml:space="preserve">. </w:t>
      </w:r>
    </w:p>
    <w:p w14:paraId="32103E72" w14:textId="77777777" w:rsidR="003E4FF0" w:rsidRPr="00493687" w:rsidRDefault="003E4FF0" w:rsidP="003E4FF0">
      <w:r>
        <w:t>Standard 1.4.2 and Schedules 20 and 21</w:t>
      </w:r>
      <w:r w:rsidRPr="00493687">
        <w:t xml:space="preserve"> of the Code</w:t>
      </w:r>
      <w:r>
        <w:t xml:space="preserve"> set out the maximum residue limits (MRLs) and extraneous residue limits (ERLs)</w:t>
      </w:r>
      <w:r w:rsidRPr="00493687">
        <w:t xml:space="preserve"> </w:t>
      </w:r>
      <w:r>
        <w:t xml:space="preserve">for agricultural or veterinary chemicals that are permitted in food, including imported food. </w:t>
      </w:r>
    </w:p>
    <w:p w14:paraId="343858EE" w14:textId="3F7A34DD" w:rsidR="003E4FF0" w:rsidRDefault="003E4FF0" w:rsidP="003E4FF0">
      <w:r>
        <w:t>Standard 1.1.1 of the Code</w:t>
      </w:r>
      <w:r w:rsidRPr="0085322F">
        <w:t xml:space="preserve"> </w:t>
      </w:r>
      <w:r>
        <w:t xml:space="preserve">specifies </w:t>
      </w:r>
      <w:r w:rsidRPr="0085322F">
        <w:t xml:space="preserve">that a food must not </w:t>
      </w:r>
      <w:r w:rsidR="00F43BE0">
        <w:t>contain</w:t>
      </w:r>
      <w:r w:rsidRPr="0085322F">
        <w:t>, as an ingredient or a component, a detectable amount of an ag</w:t>
      </w:r>
      <w:r w:rsidR="00B705C8">
        <w:t xml:space="preserve">ricultural </w:t>
      </w:r>
      <w:r w:rsidR="00F43BE0">
        <w:t>or</w:t>
      </w:r>
      <w:r w:rsidR="00B705C8">
        <w:t xml:space="preserve"> veterinary</w:t>
      </w:r>
      <w:r w:rsidRPr="0085322F">
        <w:t xml:space="preserve"> chemical or a metabolite or a degradation product of </w:t>
      </w:r>
      <w:r w:rsidR="00F43BE0">
        <w:t>an</w:t>
      </w:r>
      <w:r w:rsidRPr="0085322F">
        <w:t xml:space="preserve"> </w:t>
      </w:r>
      <w:r w:rsidR="00B705C8" w:rsidRPr="00B705C8">
        <w:t xml:space="preserve">agricultural </w:t>
      </w:r>
      <w:r w:rsidR="00F43BE0">
        <w:t>or</w:t>
      </w:r>
      <w:r w:rsidR="00B705C8" w:rsidRPr="00B705C8">
        <w:t xml:space="preserve"> veterinary</w:t>
      </w:r>
      <w:r w:rsidRPr="0085322F">
        <w:t xml:space="preserve"> chemical</w:t>
      </w:r>
      <w:r w:rsidR="00F43BE0">
        <w:t>,</w:t>
      </w:r>
      <w:r w:rsidRPr="0085322F">
        <w:t xml:space="preserve"> unless expressly permitted by th</w:t>
      </w:r>
      <w:r>
        <w:t>e</w:t>
      </w:r>
      <w:r w:rsidRPr="0085322F">
        <w:t xml:space="preserve"> Code</w:t>
      </w:r>
      <w:r w:rsidRPr="00493687">
        <w:t xml:space="preserve">. </w:t>
      </w:r>
    </w:p>
    <w:p w14:paraId="70B8812B" w14:textId="77777777" w:rsidR="003E4FF0" w:rsidRDefault="003E4FF0"/>
    <w:p w14:paraId="71403F3C" w14:textId="77777777" w:rsidR="00951580" w:rsidRDefault="00951580">
      <w:pPr>
        <w:sectPr w:rsidR="00951580" w:rsidSect="00951580">
          <w:headerReference w:type="even" r:id="rId58"/>
          <w:headerReference w:type="default" r:id="rId59"/>
          <w:footerReference w:type="even" r:id="rId60"/>
          <w:footerReference w:type="default" r:id="rId61"/>
          <w:pgSz w:w="11906" w:h="16838"/>
          <w:pgMar w:top="1418" w:right="1418" w:bottom="1418" w:left="1418" w:header="567" w:footer="283" w:gutter="0"/>
          <w:cols w:space="708"/>
          <w:docGrid w:linePitch="360"/>
        </w:sectPr>
      </w:pPr>
    </w:p>
    <w:p w14:paraId="48C6E14C" w14:textId="77777777" w:rsidR="00146544" w:rsidRDefault="00146544" w:rsidP="00ED1566">
      <w:pPr>
        <w:pStyle w:val="Heading1"/>
      </w:pPr>
      <w:bookmarkStart w:id="133" w:name="_Toc501716503"/>
      <w:r>
        <w:t>Conclusion</w:t>
      </w:r>
      <w:bookmarkEnd w:id="133"/>
    </w:p>
    <w:p w14:paraId="10BE0E3C" w14:textId="3E3574FE" w:rsidR="000911AD" w:rsidRDefault="00ED1566" w:rsidP="00ED1566">
      <w:r>
        <w:t>The findings of this draft report are based on a comprehensive analysis of relevant scientific literature</w:t>
      </w:r>
      <w:r w:rsidR="006D124D">
        <w:t xml:space="preserve">, as well as observations of orchards </w:t>
      </w:r>
      <w:r w:rsidR="00011737">
        <w:t xml:space="preserve">and export procedures </w:t>
      </w:r>
      <w:r w:rsidR="006D124D">
        <w:t>in Vanuatu</w:t>
      </w:r>
      <w:r w:rsidR="00011737">
        <w:t>,</w:t>
      </w:r>
      <w:r w:rsidR="006D124D">
        <w:t xml:space="preserve"> and other information</w:t>
      </w:r>
      <w:r w:rsidR="00011737">
        <w:t xml:space="preserve"> from previous department activities in the exporting countries</w:t>
      </w:r>
      <w:r>
        <w:t xml:space="preserve">. </w:t>
      </w:r>
    </w:p>
    <w:p w14:paraId="6634BD4E" w14:textId="77777777" w:rsidR="00ED1566" w:rsidRDefault="00ED1566" w:rsidP="00ED1566">
      <w:r>
        <w:t xml:space="preserve">The department considers that the risk management measures and operational procedures proposed in this report will provide an appropriate level of protection against the pests identified </w:t>
      </w:r>
      <w:r w:rsidR="000911AD">
        <w:t xml:space="preserve">as being associated with trade of Tahitian limes </w:t>
      </w:r>
      <w:r w:rsidR="000911AD" w:rsidRPr="000911AD">
        <w:t>from the Cook Islands, Niue, Samoa, Tonga and Vanuatu</w:t>
      </w:r>
      <w:r w:rsidR="000911AD">
        <w:t>.</w:t>
      </w:r>
      <w:r w:rsidR="000911AD" w:rsidRPr="000911AD">
        <w:t xml:space="preserve"> </w:t>
      </w:r>
      <w:r>
        <w:t>A</w:t>
      </w:r>
      <w:r w:rsidR="00B15949">
        <w:t>lternative</w:t>
      </w:r>
      <w:r>
        <w:t xml:space="preserve"> risk management measures may be suitable to manage the risks</w:t>
      </w:r>
      <w:r w:rsidR="000911AD">
        <w:t>, and t</w:t>
      </w:r>
      <w:r>
        <w:t>he department will consider any other measures suggested by stakeholders that provide an equivalent level of phytosanitary protection.</w:t>
      </w:r>
    </w:p>
    <w:p w14:paraId="104F4B4E" w14:textId="77777777" w:rsidR="00146544" w:rsidRDefault="00146544"/>
    <w:p w14:paraId="4D08AD60" w14:textId="77777777" w:rsidR="00D96E92" w:rsidRDefault="00D96E92">
      <w:pPr>
        <w:pStyle w:val="Heading1nonumbers"/>
        <w:sectPr w:rsidR="00D96E92" w:rsidSect="00951580">
          <w:headerReference w:type="even" r:id="rId62"/>
          <w:headerReference w:type="default" r:id="rId63"/>
          <w:pgSz w:w="11906" w:h="16838"/>
          <w:pgMar w:top="1418" w:right="1418" w:bottom="1418" w:left="1418" w:header="567" w:footer="283" w:gutter="0"/>
          <w:cols w:space="708"/>
          <w:docGrid w:linePitch="360"/>
        </w:sectPr>
      </w:pPr>
    </w:p>
    <w:p w14:paraId="60F024FF" w14:textId="5FA553AF" w:rsidR="00146544" w:rsidRDefault="00146544">
      <w:pPr>
        <w:pStyle w:val="Heading1nonumbers"/>
      </w:pPr>
      <w:bookmarkStart w:id="134" w:name="_Toc501716504"/>
      <w:r>
        <w:t>Appendix A</w:t>
      </w:r>
      <w:r>
        <w:tab/>
      </w:r>
      <w:r w:rsidR="00E03B6F">
        <w:t>C</w:t>
      </w:r>
      <w:r w:rsidR="0059654E">
        <w:t xml:space="preserve">ategorisation </w:t>
      </w:r>
      <w:r w:rsidR="00142137">
        <w:t xml:space="preserve">of </w:t>
      </w:r>
      <w:r w:rsidR="0059654E">
        <w:t>pests of fresh Tahitian limes from the Cook Islands, Niue, Samoa, Tonga and Vanuatu</w:t>
      </w:r>
      <w:bookmarkEnd w:id="134"/>
    </w:p>
    <w:p w14:paraId="6BC5A644" w14:textId="302D4D7D" w:rsidR="000C3786" w:rsidRDefault="00E03B6F" w:rsidP="000C3786">
      <w:r>
        <w:t>This table</w:t>
      </w:r>
      <w:r w:rsidRPr="009E0F00">
        <w:t xml:space="preserve"> </w:t>
      </w:r>
      <w:r w:rsidRPr="006C790D">
        <w:t>identifies the pests</w:t>
      </w:r>
      <w:r w:rsidRPr="009E0F00">
        <w:t xml:space="preserve"> that have the potential to be present on fresh Tahitian lime</w:t>
      </w:r>
      <w:r>
        <w:t xml:space="preserve"> fruit</w:t>
      </w:r>
      <w:r w:rsidRPr="009E0F00">
        <w:t xml:space="preserve"> </w:t>
      </w:r>
      <w:r>
        <w:t>grown</w:t>
      </w:r>
      <w:r w:rsidRPr="009E0F00">
        <w:t xml:space="preserve"> in the Cook Islands, Niue, Samoa, Tonga and Vanuatu</w:t>
      </w:r>
      <w:r>
        <w:t>,</w:t>
      </w:r>
      <w:r w:rsidRPr="009E0F00">
        <w:t xml:space="preserve"> using typical commercial production and packing procedures, and imported into Australia. </w:t>
      </w:r>
    </w:p>
    <w:p w14:paraId="77C844C4" w14:textId="02287107" w:rsidR="00E03B6F" w:rsidRDefault="000E00B3" w:rsidP="00E03B6F">
      <w:r>
        <w:t xml:space="preserve">The purpose of pest categorisation is to ascertain which </w:t>
      </w:r>
      <w:r w:rsidR="006D1A2B">
        <w:t xml:space="preserve">of these </w:t>
      </w:r>
      <w:r>
        <w:t xml:space="preserve">pests require </w:t>
      </w:r>
      <w:r w:rsidR="00011737">
        <w:t xml:space="preserve">detailed </w:t>
      </w:r>
      <w:r>
        <w:t xml:space="preserve">assessment to determine whether phytosanitary measures are </w:t>
      </w:r>
      <w:r w:rsidR="00011737">
        <w:t>appropriate</w:t>
      </w:r>
      <w:r>
        <w:t xml:space="preserve">. </w:t>
      </w:r>
      <w:r w:rsidR="000C3786" w:rsidRPr="000C3786">
        <w:t>The steps in the pest categorisation process are considered sequentially, with the assessment terminating at ‘Yes’ for column 3 (except for pests that are present, but under official control and/or pests of regional concern) or the first ‘No’ for columns 4, 5 or 6.</w:t>
      </w:r>
    </w:p>
    <w:p w14:paraId="59031640" w14:textId="6484BC02" w:rsidR="00825228" w:rsidRDefault="002D13CA" w:rsidP="00825228">
      <w:r>
        <w:t>This</w:t>
      </w:r>
      <w:r w:rsidR="00E03B6F">
        <w:t xml:space="preserve"> is</w:t>
      </w:r>
      <w:r w:rsidR="00E03B6F" w:rsidRPr="009E0F00">
        <w:t xml:space="preserve"> not a comprehensive list of all pests associated with Tahitian lime trees</w:t>
      </w:r>
      <w:r w:rsidR="00FF4BF1">
        <w:t xml:space="preserve">, and </w:t>
      </w:r>
      <w:r>
        <w:t xml:space="preserve">it </w:t>
      </w:r>
      <w:r w:rsidR="00E03B6F">
        <w:t xml:space="preserve">does not include </w:t>
      </w:r>
      <w:r w:rsidR="00E03B6F" w:rsidRPr="009E0F00">
        <w:t xml:space="preserve">soil-borne pests and pathogens, </w:t>
      </w:r>
      <w:r w:rsidR="00142137">
        <w:t xml:space="preserve">or </w:t>
      </w:r>
      <w:r w:rsidR="00E03B6F">
        <w:t>wood</w:t>
      </w:r>
      <w:r w:rsidR="00011737">
        <w:t>-</w:t>
      </w:r>
      <w:r w:rsidR="00E03B6F">
        <w:t>borers</w:t>
      </w:r>
      <w:r w:rsidR="00FF4BF1">
        <w:t xml:space="preserve"> and</w:t>
      </w:r>
      <w:r w:rsidR="00E03B6F">
        <w:t xml:space="preserve"> </w:t>
      </w:r>
      <w:r w:rsidR="00E03B6F" w:rsidRPr="009E0F00">
        <w:t>root pests</w:t>
      </w:r>
      <w:r w:rsidR="00FF4BF1">
        <w:t>,</w:t>
      </w:r>
      <w:r w:rsidR="00E03B6F" w:rsidRPr="009E0F00">
        <w:t xml:space="preserve"> as the</w:t>
      </w:r>
      <w:r w:rsidR="00E03B6F">
        <w:t>se</w:t>
      </w:r>
      <w:r w:rsidR="00E03B6F" w:rsidRPr="009E0F00">
        <w:t xml:space="preserve"> are not directly related to the export pathway of fresh lime fruit. </w:t>
      </w:r>
      <w:r w:rsidR="00E03B6F">
        <w:t>Other pests</w:t>
      </w:r>
      <w:r w:rsidR="00FF4BF1">
        <w:t xml:space="preserve"> that may occasionally be detected in trade, which are not specifically associated with limes, are not categorised here.</w:t>
      </w:r>
      <w:r w:rsidR="00FF4BF1" w:rsidRPr="009E0F00">
        <w:t xml:space="preserve"> </w:t>
      </w:r>
      <w:r w:rsidR="00E03B6F">
        <w:t xml:space="preserve">Any </w:t>
      </w:r>
      <w:r w:rsidR="00FF4BF1">
        <w:t xml:space="preserve">such </w:t>
      </w:r>
      <w:r w:rsidR="00E03B6F">
        <w:t>c</w:t>
      </w:r>
      <w:r w:rsidR="00E03B6F" w:rsidRPr="009E0F00">
        <w:t xml:space="preserve">ontaminant pests </w:t>
      </w:r>
      <w:r w:rsidR="00E03B6F">
        <w:t xml:space="preserve">detected at the border </w:t>
      </w:r>
      <w:r w:rsidR="00E03B6F" w:rsidRPr="009E0F00">
        <w:t xml:space="preserve">are </w:t>
      </w:r>
      <w:r w:rsidR="00E03B6F">
        <w:t xml:space="preserve">managed </w:t>
      </w:r>
      <w:r w:rsidR="00E03B6F" w:rsidRPr="009E0F00">
        <w:t>under existing standard operational procedures.</w:t>
      </w:r>
      <w:r w:rsidR="000C3786" w:rsidRPr="000C3786">
        <w:t xml:space="preserve"> </w:t>
      </w:r>
      <w:r w:rsidR="000C3786">
        <w:t>It is important to note that any quarantine pests detected on arrival at quarantine inspection will be actioned as appropriate, even if they have not been assessed in this report.</w:t>
      </w:r>
    </w:p>
    <w:p w14:paraId="6679899D" w14:textId="12FEC178" w:rsidR="006D5260" w:rsidRDefault="00020BBB" w:rsidP="00020BBB">
      <w:pPr>
        <w:sectPr w:rsidR="006D5260" w:rsidSect="00D96E92">
          <w:headerReference w:type="even" r:id="rId64"/>
          <w:headerReference w:type="default" r:id="rId65"/>
          <w:footerReference w:type="even" r:id="rId66"/>
          <w:pgSz w:w="11906" w:h="16838"/>
          <w:pgMar w:top="1418" w:right="1418" w:bottom="1418" w:left="1418" w:header="567" w:footer="283" w:gutter="0"/>
          <w:cols w:space="708"/>
          <w:docGrid w:linePitch="360"/>
        </w:sectPr>
      </w:pPr>
      <w:r w:rsidRPr="00020BBB">
        <w:t xml:space="preserve">The department is aware of recent changes in fungal nomenclature </w:t>
      </w:r>
      <w:r w:rsidR="008F357F">
        <w:t>that</w:t>
      </w:r>
      <w:r w:rsidRPr="00020BBB">
        <w:t xml:space="preserve"> ended the separate naming of different states of fungi with a</w:t>
      </w:r>
      <w:r>
        <w:t xml:space="preserve"> </w:t>
      </w:r>
      <w:r w:rsidR="00553E74" w:rsidRPr="00020BBB">
        <w:t>pleomorphic</w:t>
      </w:r>
      <w:r w:rsidRPr="00020BBB">
        <w:t xml:space="preserve"> life cycle. However, as the nomenclature for these fungi is in a phase of transition and many priorities of names are still to be resolved,</w:t>
      </w:r>
      <w:r>
        <w:t xml:space="preserve"> </w:t>
      </w:r>
      <w:r w:rsidRPr="00020BBB">
        <w:t>this report uses the generally accepted names and provides alternatively used names as synonyms, where required. As official lists of accepted and</w:t>
      </w:r>
      <w:r>
        <w:t xml:space="preserve"> </w:t>
      </w:r>
      <w:r w:rsidRPr="00020BBB">
        <w:t>rejected fungal names become available, these accepted names will be adopted.</w:t>
      </w:r>
    </w:p>
    <w:tbl>
      <w:tblPr>
        <w:tblW w:w="1545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1974"/>
        <w:gridCol w:w="1701"/>
        <w:gridCol w:w="2410"/>
        <w:gridCol w:w="2410"/>
        <w:gridCol w:w="2268"/>
        <w:gridCol w:w="1285"/>
      </w:tblGrid>
      <w:tr w:rsidR="00E735F3" w:rsidRPr="00E735F3" w14:paraId="6E99CE51" w14:textId="77777777" w:rsidTr="00063347">
        <w:trPr>
          <w:cantSplit/>
          <w:tblHeader/>
        </w:trPr>
        <w:tc>
          <w:tcPr>
            <w:tcW w:w="3403" w:type="dxa"/>
            <w:tcBorders>
              <w:top w:val="single" w:sz="4" w:space="0" w:color="auto"/>
              <w:left w:val="nil"/>
              <w:bottom w:val="single" w:sz="4" w:space="0" w:color="808080"/>
              <w:right w:val="nil"/>
            </w:tcBorders>
            <w:shd w:val="clear" w:color="auto" w:fill="auto"/>
          </w:tcPr>
          <w:p w14:paraId="5FA1293F" w14:textId="77777777" w:rsidR="00E735F3" w:rsidRPr="00E735F3" w:rsidRDefault="00E735F3" w:rsidP="00E735F3">
            <w:pPr>
              <w:keepNext/>
              <w:spacing w:before="60" w:after="60" w:line="240" w:lineRule="auto"/>
              <w:rPr>
                <w:b/>
                <w:sz w:val="18"/>
              </w:rPr>
            </w:pPr>
            <w:r w:rsidRPr="00E735F3">
              <w:rPr>
                <w:b/>
                <w:sz w:val="18"/>
              </w:rPr>
              <w:t>Pest</w:t>
            </w:r>
          </w:p>
        </w:tc>
        <w:tc>
          <w:tcPr>
            <w:tcW w:w="1974" w:type="dxa"/>
            <w:tcBorders>
              <w:top w:val="single" w:sz="4" w:space="0" w:color="auto"/>
              <w:left w:val="nil"/>
              <w:bottom w:val="single" w:sz="4" w:space="0" w:color="808080"/>
              <w:right w:val="nil"/>
            </w:tcBorders>
            <w:shd w:val="clear" w:color="auto" w:fill="auto"/>
          </w:tcPr>
          <w:p w14:paraId="44B82E3A" w14:textId="77F2542E" w:rsidR="00E735F3" w:rsidRPr="00E735F3" w:rsidRDefault="00E735F3" w:rsidP="008A567C">
            <w:pPr>
              <w:keepNext/>
              <w:spacing w:before="60" w:after="60" w:line="240" w:lineRule="auto"/>
              <w:rPr>
                <w:b/>
                <w:sz w:val="18"/>
              </w:rPr>
            </w:pPr>
            <w:r w:rsidRPr="00E735F3">
              <w:rPr>
                <w:b/>
                <w:sz w:val="18"/>
              </w:rPr>
              <w:t>Presen</w:t>
            </w:r>
            <w:r w:rsidR="008A567C">
              <w:rPr>
                <w:b/>
                <w:sz w:val="18"/>
              </w:rPr>
              <w:t>t</w:t>
            </w:r>
            <w:r w:rsidRPr="00E735F3">
              <w:rPr>
                <w:b/>
                <w:sz w:val="18"/>
              </w:rPr>
              <w:t xml:space="preserve"> in Cook Islands, Niue, Samoa, Tonga or Vanuatu</w:t>
            </w:r>
          </w:p>
        </w:tc>
        <w:tc>
          <w:tcPr>
            <w:tcW w:w="1701" w:type="dxa"/>
            <w:tcBorders>
              <w:top w:val="single" w:sz="4" w:space="0" w:color="auto"/>
              <w:left w:val="nil"/>
              <w:bottom w:val="single" w:sz="4" w:space="0" w:color="808080"/>
              <w:right w:val="nil"/>
            </w:tcBorders>
            <w:shd w:val="clear" w:color="auto" w:fill="auto"/>
          </w:tcPr>
          <w:p w14:paraId="68D246D4" w14:textId="673AFD24" w:rsidR="00E735F3" w:rsidRPr="00E735F3" w:rsidRDefault="00A53245" w:rsidP="008A567C">
            <w:pPr>
              <w:keepNext/>
              <w:spacing w:before="60" w:after="60" w:line="240" w:lineRule="auto"/>
              <w:rPr>
                <w:b/>
                <w:sz w:val="18"/>
              </w:rPr>
            </w:pPr>
            <w:r>
              <w:rPr>
                <w:b/>
                <w:sz w:val="18"/>
              </w:rPr>
              <w:t>P</w:t>
            </w:r>
            <w:r w:rsidR="00E735F3" w:rsidRPr="00E735F3">
              <w:rPr>
                <w:b/>
                <w:sz w:val="18"/>
              </w:rPr>
              <w:t>resen</w:t>
            </w:r>
            <w:r w:rsidR="008A567C">
              <w:rPr>
                <w:b/>
                <w:sz w:val="18"/>
              </w:rPr>
              <w:t>t in Australia</w:t>
            </w:r>
          </w:p>
        </w:tc>
        <w:tc>
          <w:tcPr>
            <w:tcW w:w="2410" w:type="dxa"/>
            <w:tcBorders>
              <w:top w:val="single" w:sz="4" w:space="0" w:color="auto"/>
              <w:left w:val="nil"/>
              <w:bottom w:val="single" w:sz="4" w:space="0" w:color="808080"/>
              <w:right w:val="nil"/>
            </w:tcBorders>
          </w:tcPr>
          <w:p w14:paraId="65F41219" w14:textId="23EEC8C3" w:rsidR="00E735F3" w:rsidRPr="00E735F3" w:rsidRDefault="00E735F3" w:rsidP="00E735F3">
            <w:pPr>
              <w:keepNext/>
              <w:spacing w:before="60" w:after="60" w:line="240" w:lineRule="auto"/>
              <w:rPr>
                <w:b/>
                <w:sz w:val="18"/>
              </w:rPr>
            </w:pPr>
            <w:r w:rsidRPr="00E735F3">
              <w:rPr>
                <w:b/>
                <w:sz w:val="18"/>
              </w:rPr>
              <w:t>Potential to be on fresh Tahit</w:t>
            </w:r>
            <w:r w:rsidR="008A567C">
              <w:rPr>
                <w:b/>
                <w:sz w:val="18"/>
              </w:rPr>
              <w:t>ian lime fruit pathway</w:t>
            </w:r>
          </w:p>
        </w:tc>
        <w:tc>
          <w:tcPr>
            <w:tcW w:w="2410" w:type="dxa"/>
            <w:tcBorders>
              <w:top w:val="single" w:sz="4" w:space="0" w:color="auto"/>
              <w:left w:val="nil"/>
              <w:bottom w:val="single" w:sz="4" w:space="0" w:color="808080"/>
              <w:right w:val="nil"/>
            </w:tcBorders>
            <w:shd w:val="clear" w:color="auto" w:fill="auto"/>
          </w:tcPr>
          <w:p w14:paraId="5F67362D" w14:textId="353CC8DA" w:rsidR="00E735F3" w:rsidRPr="00E735F3" w:rsidRDefault="00E735F3" w:rsidP="00E735F3">
            <w:pPr>
              <w:keepNext/>
              <w:spacing w:before="60" w:after="60" w:line="240" w:lineRule="auto"/>
              <w:rPr>
                <w:b/>
                <w:sz w:val="18"/>
              </w:rPr>
            </w:pPr>
            <w:r w:rsidRPr="00E735F3">
              <w:rPr>
                <w:b/>
                <w:sz w:val="18"/>
              </w:rPr>
              <w:t>Potential for e</w:t>
            </w:r>
            <w:r w:rsidR="008A567C">
              <w:rPr>
                <w:b/>
                <w:sz w:val="18"/>
              </w:rPr>
              <w:t>stablishment and spread</w:t>
            </w:r>
          </w:p>
        </w:tc>
        <w:tc>
          <w:tcPr>
            <w:tcW w:w="2268" w:type="dxa"/>
            <w:tcBorders>
              <w:top w:val="single" w:sz="4" w:space="0" w:color="auto"/>
              <w:left w:val="nil"/>
              <w:bottom w:val="single" w:sz="4" w:space="0" w:color="808080"/>
              <w:right w:val="nil"/>
            </w:tcBorders>
            <w:shd w:val="clear" w:color="auto" w:fill="auto"/>
          </w:tcPr>
          <w:p w14:paraId="1596482C" w14:textId="34CD22B7" w:rsidR="00E735F3" w:rsidRPr="00E735F3" w:rsidRDefault="00E735F3" w:rsidP="00E735F3">
            <w:pPr>
              <w:keepNext/>
              <w:spacing w:before="60" w:after="60" w:line="240" w:lineRule="auto"/>
              <w:rPr>
                <w:b/>
                <w:sz w:val="18"/>
              </w:rPr>
            </w:pPr>
            <w:r w:rsidRPr="00E735F3">
              <w:rPr>
                <w:b/>
                <w:sz w:val="18"/>
              </w:rPr>
              <w:t>Pote</w:t>
            </w:r>
            <w:r w:rsidR="008A567C">
              <w:rPr>
                <w:b/>
                <w:sz w:val="18"/>
              </w:rPr>
              <w:t>ntial for economic consequences</w:t>
            </w:r>
          </w:p>
        </w:tc>
        <w:tc>
          <w:tcPr>
            <w:tcW w:w="1285" w:type="dxa"/>
            <w:tcBorders>
              <w:top w:val="single" w:sz="4" w:space="0" w:color="auto"/>
              <w:left w:val="nil"/>
              <w:bottom w:val="single" w:sz="4" w:space="0" w:color="808080"/>
              <w:right w:val="nil"/>
            </w:tcBorders>
            <w:shd w:val="clear" w:color="auto" w:fill="auto"/>
          </w:tcPr>
          <w:p w14:paraId="415B8212" w14:textId="71AEFA70" w:rsidR="00E735F3" w:rsidRPr="00E735F3" w:rsidRDefault="00A53245" w:rsidP="00E735F3">
            <w:pPr>
              <w:keepNext/>
              <w:spacing w:before="60" w:after="60" w:line="240" w:lineRule="auto"/>
              <w:rPr>
                <w:b/>
                <w:sz w:val="18"/>
              </w:rPr>
            </w:pPr>
            <w:r>
              <w:rPr>
                <w:b/>
                <w:sz w:val="18"/>
              </w:rPr>
              <w:t>Pest risk assessment required</w:t>
            </w:r>
          </w:p>
        </w:tc>
      </w:tr>
      <w:tr w:rsidR="00E735F3" w:rsidRPr="00E735F3" w14:paraId="448DC472" w14:textId="77777777" w:rsidTr="00063347">
        <w:trPr>
          <w:cantSplit/>
        </w:trPr>
        <w:tc>
          <w:tcPr>
            <w:tcW w:w="15451" w:type="dxa"/>
            <w:gridSpan w:val="7"/>
            <w:tcBorders>
              <w:top w:val="single" w:sz="4" w:space="0" w:color="808080"/>
              <w:left w:val="nil"/>
              <w:bottom w:val="single" w:sz="4" w:space="0" w:color="BFBFBF"/>
              <w:right w:val="nil"/>
            </w:tcBorders>
            <w:shd w:val="clear" w:color="auto" w:fill="FFFFFF"/>
          </w:tcPr>
          <w:p w14:paraId="1D8CFB34" w14:textId="77777777" w:rsidR="00E735F3" w:rsidRPr="00E735F3" w:rsidRDefault="00E735F3" w:rsidP="00E735F3">
            <w:pPr>
              <w:spacing w:before="60" w:after="60" w:line="240" w:lineRule="auto"/>
              <w:rPr>
                <w:sz w:val="18"/>
              </w:rPr>
            </w:pPr>
            <w:r w:rsidRPr="00E735F3">
              <w:rPr>
                <w:b/>
                <w:sz w:val="18"/>
                <w:lang w:val="pt-BR"/>
              </w:rPr>
              <w:t>ARTHROPODS</w:t>
            </w:r>
          </w:p>
        </w:tc>
      </w:tr>
      <w:tr w:rsidR="00E735F3" w:rsidRPr="00E735F3" w14:paraId="1DE97801" w14:textId="77777777" w:rsidTr="00063347">
        <w:trPr>
          <w:cantSplit/>
        </w:trPr>
        <w:tc>
          <w:tcPr>
            <w:tcW w:w="15451" w:type="dxa"/>
            <w:gridSpan w:val="7"/>
            <w:tcBorders>
              <w:top w:val="single" w:sz="4" w:space="0" w:color="BFBFBF"/>
              <w:left w:val="nil"/>
              <w:bottom w:val="nil"/>
              <w:right w:val="nil"/>
            </w:tcBorders>
            <w:shd w:val="clear" w:color="auto" w:fill="FFFFFF"/>
          </w:tcPr>
          <w:p w14:paraId="0DB618FE" w14:textId="77777777" w:rsidR="00E735F3" w:rsidRPr="00E735F3" w:rsidRDefault="00E735F3" w:rsidP="00E735F3">
            <w:pPr>
              <w:spacing w:before="60" w:after="60" w:line="240" w:lineRule="auto"/>
              <w:rPr>
                <w:b/>
                <w:sz w:val="18"/>
              </w:rPr>
            </w:pPr>
            <w:r w:rsidRPr="00E735F3">
              <w:rPr>
                <w:b/>
                <w:sz w:val="18"/>
              </w:rPr>
              <w:t>Acari (mites)</w:t>
            </w:r>
          </w:p>
        </w:tc>
      </w:tr>
      <w:tr w:rsidR="00E735F3" w:rsidRPr="00E735F3" w14:paraId="76E6943C" w14:textId="77777777" w:rsidTr="00063347">
        <w:trPr>
          <w:cantSplit/>
        </w:trPr>
        <w:tc>
          <w:tcPr>
            <w:tcW w:w="3403" w:type="dxa"/>
            <w:tcBorders>
              <w:top w:val="nil"/>
              <w:left w:val="nil"/>
              <w:bottom w:val="nil"/>
              <w:right w:val="nil"/>
            </w:tcBorders>
          </w:tcPr>
          <w:p w14:paraId="20AD8CE4" w14:textId="77777777" w:rsidR="00E735F3" w:rsidRPr="00E735F3" w:rsidRDefault="00E735F3" w:rsidP="00E735F3">
            <w:pPr>
              <w:spacing w:before="60" w:after="60" w:line="240" w:lineRule="auto"/>
              <w:rPr>
                <w:sz w:val="18"/>
              </w:rPr>
            </w:pPr>
            <w:r w:rsidRPr="00E735F3">
              <w:rPr>
                <w:b/>
                <w:i/>
                <w:sz w:val="18"/>
              </w:rPr>
              <w:t>Brevipalpus phoenicis</w:t>
            </w:r>
            <w:r w:rsidRPr="00E735F3">
              <w:rPr>
                <w:i/>
                <w:sz w:val="18"/>
              </w:rPr>
              <w:t xml:space="preserve"> </w:t>
            </w:r>
            <w:r w:rsidRPr="00E735F3">
              <w:rPr>
                <w:sz w:val="18"/>
              </w:rPr>
              <w:t>(Geijskes, 1936)</w:t>
            </w:r>
          </w:p>
          <w:p w14:paraId="3D02C817" w14:textId="77777777" w:rsidR="00E735F3" w:rsidRPr="00E735F3" w:rsidRDefault="00E735F3" w:rsidP="00E735F3">
            <w:pPr>
              <w:spacing w:before="60" w:after="60" w:line="240" w:lineRule="auto"/>
              <w:rPr>
                <w:sz w:val="18"/>
              </w:rPr>
            </w:pPr>
            <w:r w:rsidRPr="00E735F3">
              <w:rPr>
                <w:sz w:val="18"/>
              </w:rPr>
              <w:t>[Tenuipalpidae]</w:t>
            </w:r>
          </w:p>
          <w:p w14:paraId="2EC2FC37" w14:textId="77777777" w:rsidR="00E735F3" w:rsidRPr="00E735F3" w:rsidRDefault="00E735F3" w:rsidP="00E735F3">
            <w:pPr>
              <w:spacing w:before="60" w:after="60" w:line="240" w:lineRule="auto"/>
              <w:rPr>
                <w:sz w:val="18"/>
              </w:rPr>
            </w:pPr>
            <w:r w:rsidRPr="00E735F3">
              <w:rPr>
                <w:sz w:val="18"/>
              </w:rPr>
              <w:t>Red crevice mite</w:t>
            </w:r>
          </w:p>
          <w:p w14:paraId="09528600" w14:textId="77777777" w:rsidR="00E735F3" w:rsidRPr="00E735F3" w:rsidRDefault="00E735F3" w:rsidP="00E735F3">
            <w:pPr>
              <w:spacing w:before="60" w:after="60" w:line="240" w:lineRule="auto"/>
              <w:rPr>
                <w:i/>
                <w:sz w:val="18"/>
              </w:rPr>
            </w:pPr>
            <w:r w:rsidRPr="00E735F3">
              <w:rPr>
                <w:sz w:val="18"/>
              </w:rPr>
              <w:t xml:space="preserve">The taxonomy of the </w:t>
            </w:r>
            <w:r w:rsidRPr="00E735F3">
              <w:rPr>
                <w:i/>
                <w:sz w:val="18"/>
              </w:rPr>
              <w:t>Brevipalpus phoenicis</w:t>
            </w:r>
            <w:r w:rsidRPr="00E735F3">
              <w:rPr>
                <w:sz w:val="18"/>
              </w:rPr>
              <w:t xml:space="preserve"> complex has recently been revised (Beard </w:t>
            </w:r>
            <w:r w:rsidRPr="00E735F3">
              <w:rPr>
                <w:i/>
                <w:sz w:val="18"/>
              </w:rPr>
              <w:t>et al</w:t>
            </w:r>
            <w:r w:rsidRPr="00E735F3">
              <w:rPr>
                <w:sz w:val="18"/>
              </w:rPr>
              <w:t>. 2015). Further identification of specimens is being undertaken to verify the species present in these Pacific Island countries.</w:t>
            </w:r>
          </w:p>
        </w:tc>
        <w:tc>
          <w:tcPr>
            <w:tcW w:w="1974" w:type="dxa"/>
            <w:tcBorders>
              <w:top w:val="nil"/>
              <w:left w:val="nil"/>
              <w:bottom w:val="nil"/>
              <w:right w:val="nil"/>
            </w:tcBorders>
          </w:tcPr>
          <w:p w14:paraId="3DEB746F" w14:textId="77777777" w:rsidR="00E735F3" w:rsidRPr="00E735F3" w:rsidRDefault="00E735F3" w:rsidP="00E735F3">
            <w:pPr>
              <w:spacing w:before="60" w:after="60" w:line="240" w:lineRule="auto"/>
              <w:rPr>
                <w:sz w:val="18"/>
              </w:rPr>
            </w:pPr>
            <w:r w:rsidRPr="00E735F3">
              <w:rPr>
                <w:sz w:val="18"/>
              </w:rPr>
              <w:t>Cook Islands, Samoa, Tonga (SPC 2016; Stout 1982).</w:t>
            </w:r>
          </w:p>
        </w:tc>
        <w:tc>
          <w:tcPr>
            <w:tcW w:w="1701" w:type="dxa"/>
            <w:tcBorders>
              <w:top w:val="nil"/>
              <w:left w:val="nil"/>
              <w:bottom w:val="nil"/>
              <w:right w:val="nil"/>
            </w:tcBorders>
            <w:shd w:val="clear" w:color="auto" w:fill="FFFFFF"/>
          </w:tcPr>
          <w:p w14:paraId="0CDE9647" w14:textId="77777777" w:rsidR="00E735F3" w:rsidRPr="00E735F3" w:rsidRDefault="00E735F3" w:rsidP="00E735F3">
            <w:pPr>
              <w:spacing w:before="60" w:after="60" w:line="240" w:lineRule="auto"/>
              <w:rPr>
                <w:sz w:val="18"/>
              </w:rPr>
            </w:pPr>
            <w:r w:rsidRPr="00E735F3">
              <w:rPr>
                <w:sz w:val="18"/>
              </w:rPr>
              <w:t>Yes. NSW, NT, Qld and WA (CSIRO 2016).</w:t>
            </w:r>
          </w:p>
        </w:tc>
        <w:tc>
          <w:tcPr>
            <w:tcW w:w="2410" w:type="dxa"/>
            <w:tcBorders>
              <w:top w:val="nil"/>
              <w:left w:val="nil"/>
              <w:bottom w:val="nil"/>
              <w:right w:val="nil"/>
            </w:tcBorders>
          </w:tcPr>
          <w:p w14:paraId="5237CE00" w14:textId="78AE814C"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41E6B648" w14:textId="77777777" w:rsidR="00E735F3" w:rsidRPr="00E735F3" w:rsidRDefault="006876FA" w:rsidP="006876FA">
            <w:pPr>
              <w:spacing w:before="60" w:after="60" w:line="240" w:lineRule="auto"/>
              <w:rPr>
                <w:sz w:val="18"/>
              </w:rPr>
            </w:pPr>
            <w:r>
              <w:rPr>
                <w:sz w:val="18"/>
              </w:rPr>
              <w:t>Assessment not required.</w:t>
            </w:r>
          </w:p>
        </w:tc>
        <w:tc>
          <w:tcPr>
            <w:tcW w:w="2268" w:type="dxa"/>
            <w:tcBorders>
              <w:top w:val="nil"/>
              <w:left w:val="nil"/>
              <w:bottom w:val="nil"/>
              <w:right w:val="nil"/>
            </w:tcBorders>
            <w:shd w:val="clear" w:color="auto" w:fill="auto"/>
          </w:tcPr>
          <w:p w14:paraId="4AEBD1A8" w14:textId="77777777" w:rsidR="00E735F3" w:rsidRPr="00E735F3" w:rsidRDefault="006876FA" w:rsidP="006876FA">
            <w:pPr>
              <w:spacing w:before="60" w:after="60" w:line="240" w:lineRule="auto"/>
              <w:rPr>
                <w:sz w:val="18"/>
              </w:rPr>
            </w:pPr>
            <w:r>
              <w:rPr>
                <w:sz w:val="18"/>
              </w:rPr>
              <w:t>Assessment not required.</w:t>
            </w:r>
          </w:p>
        </w:tc>
        <w:tc>
          <w:tcPr>
            <w:tcW w:w="1285" w:type="dxa"/>
            <w:tcBorders>
              <w:top w:val="nil"/>
              <w:left w:val="nil"/>
              <w:bottom w:val="nil"/>
              <w:right w:val="nil"/>
            </w:tcBorders>
          </w:tcPr>
          <w:p w14:paraId="53D6EA47" w14:textId="77777777" w:rsidR="00E735F3" w:rsidRPr="00E735F3" w:rsidRDefault="00E735F3" w:rsidP="00E735F3">
            <w:pPr>
              <w:spacing w:before="60" w:after="60" w:line="240" w:lineRule="auto"/>
              <w:rPr>
                <w:sz w:val="18"/>
              </w:rPr>
            </w:pPr>
            <w:r w:rsidRPr="00E735F3">
              <w:rPr>
                <w:sz w:val="18"/>
              </w:rPr>
              <w:t>No</w:t>
            </w:r>
          </w:p>
        </w:tc>
      </w:tr>
      <w:tr w:rsidR="00E735F3" w:rsidRPr="00E735F3" w14:paraId="444B9B82" w14:textId="77777777" w:rsidTr="00063347">
        <w:trPr>
          <w:cantSplit/>
          <w:trHeight w:val="694"/>
        </w:trPr>
        <w:tc>
          <w:tcPr>
            <w:tcW w:w="3403" w:type="dxa"/>
            <w:tcBorders>
              <w:top w:val="nil"/>
              <w:left w:val="nil"/>
              <w:bottom w:val="nil"/>
              <w:right w:val="nil"/>
            </w:tcBorders>
          </w:tcPr>
          <w:p w14:paraId="06D1B7F6" w14:textId="77777777" w:rsidR="00E735F3" w:rsidRPr="00E735F3" w:rsidRDefault="00E735F3" w:rsidP="00E735F3">
            <w:pPr>
              <w:spacing w:before="60" w:after="60" w:line="240" w:lineRule="auto"/>
              <w:rPr>
                <w:sz w:val="18"/>
              </w:rPr>
            </w:pPr>
            <w:r w:rsidRPr="00E735F3">
              <w:rPr>
                <w:b/>
                <w:i/>
                <w:sz w:val="18"/>
              </w:rPr>
              <w:t>Phyllocoptruta oleivora</w:t>
            </w:r>
            <w:r w:rsidRPr="00E735F3">
              <w:rPr>
                <w:i/>
                <w:sz w:val="18"/>
              </w:rPr>
              <w:t xml:space="preserve"> </w:t>
            </w:r>
            <w:r w:rsidRPr="00E735F3">
              <w:rPr>
                <w:sz w:val="18"/>
              </w:rPr>
              <w:t>(Ashmead, 1879)</w:t>
            </w:r>
          </w:p>
          <w:p w14:paraId="368B1D14" w14:textId="77777777" w:rsidR="00E735F3" w:rsidRPr="00E735F3" w:rsidRDefault="00E735F3" w:rsidP="00E735F3">
            <w:pPr>
              <w:spacing w:before="60" w:after="60" w:line="240" w:lineRule="auto"/>
              <w:rPr>
                <w:sz w:val="18"/>
              </w:rPr>
            </w:pPr>
            <w:r w:rsidRPr="00E735F3">
              <w:rPr>
                <w:sz w:val="18"/>
              </w:rPr>
              <w:t>[Eriophyidae]</w:t>
            </w:r>
          </w:p>
          <w:p w14:paraId="11E75166" w14:textId="77777777" w:rsidR="00E735F3" w:rsidRPr="00E735F3" w:rsidRDefault="00E735F3" w:rsidP="00E735F3">
            <w:pPr>
              <w:spacing w:before="60" w:after="60" w:line="240" w:lineRule="auto"/>
              <w:rPr>
                <w:i/>
                <w:sz w:val="18"/>
              </w:rPr>
            </w:pPr>
            <w:r w:rsidRPr="00E735F3">
              <w:rPr>
                <w:sz w:val="18"/>
              </w:rPr>
              <w:t>Citrus rust mite</w:t>
            </w:r>
          </w:p>
        </w:tc>
        <w:tc>
          <w:tcPr>
            <w:tcW w:w="1974" w:type="dxa"/>
            <w:tcBorders>
              <w:top w:val="nil"/>
              <w:left w:val="nil"/>
              <w:bottom w:val="nil"/>
              <w:right w:val="nil"/>
            </w:tcBorders>
          </w:tcPr>
          <w:p w14:paraId="722A7451" w14:textId="77777777" w:rsidR="00E735F3" w:rsidRPr="00E735F3" w:rsidRDefault="00E735F3" w:rsidP="00E735F3">
            <w:pPr>
              <w:spacing w:before="60" w:after="60" w:line="240" w:lineRule="auto"/>
              <w:rPr>
                <w:sz w:val="18"/>
              </w:rPr>
            </w:pPr>
            <w:r w:rsidRPr="00E735F3">
              <w:rPr>
                <w:sz w:val="18"/>
              </w:rPr>
              <w:t>Cook Islands, Vanuatu (SPC 2016).</w:t>
            </w:r>
          </w:p>
        </w:tc>
        <w:tc>
          <w:tcPr>
            <w:tcW w:w="1701" w:type="dxa"/>
            <w:tcBorders>
              <w:top w:val="nil"/>
              <w:left w:val="nil"/>
              <w:bottom w:val="nil"/>
              <w:right w:val="nil"/>
            </w:tcBorders>
            <w:shd w:val="clear" w:color="auto" w:fill="FFFFFF"/>
          </w:tcPr>
          <w:p w14:paraId="61BD4574" w14:textId="77777777" w:rsidR="00E735F3" w:rsidRPr="00E735F3" w:rsidRDefault="00E735F3" w:rsidP="00E735F3">
            <w:pPr>
              <w:spacing w:before="60" w:after="60" w:line="240" w:lineRule="auto"/>
              <w:rPr>
                <w:sz w:val="18"/>
              </w:rPr>
            </w:pPr>
            <w:r w:rsidRPr="00E735F3">
              <w:rPr>
                <w:sz w:val="18"/>
              </w:rPr>
              <w:t>Yes. NSW, Qld and WA (CABI 2016).</w:t>
            </w:r>
          </w:p>
        </w:tc>
        <w:tc>
          <w:tcPr>
            <w:tcW w:w="2410" w:type="dxa"/>
            <w:tcBorders>
              <w:top w:val="nil"/>
              <w:left w:val="nil"/>
              <w:bottom w:val="nil"/>
              <w:right w:val="nil"/>
            </w:tcBorders>
          </w:tcPr>
          <w:p w14:paraId="351E6110" w14:textId="59A34502"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697E683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17027A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6ADCAD8" w14:textId="77777777" w:rsidR="00E735F3" w:rsidRPr="00E735F3" w:rsidRDefault="00E735F3" w:rsidP="00E735F3">
            <w:pPr>
              <w:spacing w:before="60" w:after="60" w:line="240" w:lineRule="auto"/>
              <w:rPr>
                <w:sz w:val="18"/>
              </w:rPr>
            </w:pPr>
            <w:r w:rsidRPr="00E735F3">
              <w:rPr>
                <w:sz w:val="18"/>
              </w:rPr>
              <w:t>No</w:t>
            </w:r>
          </w:p>
        </w:tc>
      </w:tr>
      <w:tr w:rsidR="00E735F3" w:rsidRPr="00E735F3" w14:paraId="2E3C2257" w14:textId="77777777" w:rsidTr="00063347">
        <w:trPr>
          <w:cantSplit/>
          <w:trHeight w:val="694"/>
        </w:trPr>
        <w:tc>
          <w:tcPr>
            <w:tcW w:w="3403" w:type="dxa"/>
            <w:tcBorders>
              <w:top w:val="nil"/>
              <w:left w:val="nil"/>
              <w:bottom w:val="nil"/>
              <w:right w:val="nil"/>
            </w:tcBorders>
          </w:tcPr>
          <w:p w14:paraId="2399984E" w14:textId="77777777" w:rsidR="00E735F3" w:rsidRPr="00E735F3" w:rsidRDefault="00E735F3" w:rsidP="00E735F3">
            <w:pPr>
              <w:spacing w:before="60" w:after="60" w:line="240" w:lineRule="auto"/>
              <w:rPr>
                <w:sz w:val="18"/>
              </w:rPr>
            </w:pPr>
            <w:r w:rsidRPr="00E735F3">
              <w:rPr>
                <w:b/>
                <w:i/>
                <w:sz w:val="18"/>
              </w:rPr>
              <w:t>Polyphagotarsonemus latus</w:t>
            </w:r>
            <w:r w:rsidRPr="00E735F3">
              <w:rPr>
                <w:i/>
                <w:sz w:val="18"/>
              </w:rPr>
              <w:t xml:space="preserve"> </w:t>
            </w:r>
            <w:r w:rsidRPr="00E735F3">
              <w:rPr>
                <w:sz w:val="18"/>
              </w:rPr>
              <w:t>(Banks, 1904)</w:t>
            </w:r>
          </w:p>
          <w:p w14:paraId="5674A627" w14:textId="77777777" w:rsidR="00E735F3" w:rsidRPr="00E735F3" w:rsidRDefault="00E735F3" w:rsidP="00E735F3">
            <w:pPr>
              <w:spacing w:before="60" w:after="60" w:line="240" w:lineRule="auto"/>
              <w:rPr>
                <w:sz w:val="18"/>
              </w:rPr>
            </w:pPr>
            <w:r w:rsidRPr="00E735F3">
              <w:rPr>
                <w:sz w:val="18"/>
              </w:rPr>
              <w:t>[Tarsonemidae]</w:t>
            </w:r>
          </w:p>
          <w:p w14:paraId="5416FA63" w14:textId="77777777" w:rsidR="00E735F3" w:rsidRPr="00E735F3" w:rsidRDefault="00E735F3" w:rsidP="00E735F3">
            <w:pPr>
              <w:spacing w:before="60" w:after="60" w:line="240" w:lineRule="auto"/>
              <w:rPr>
                <w:i/>
                <w:sz w:val="18"/>
              </w:rPr>
            </w:pPr>
            <w:r w:rsidRPr="00E735F3">
              <w:rPr>
                <w:sz w:val="18"/>
              </w:rPr>
              <w:t>Broad mite</w:t>
            </w:r>
          </w:p>
        </w:tc>
        <w:tc>
          <w:tcPr>
            <w:tcW w:w="1974" w:type="dxa"/>
            <w:tcBorders>
              <w:top w:val="nil"/>
              <w:left w:val="nil"/>
              <w:bottom w:val="nil"/>
              <w:right w:val="nil"/>
            </w:tcBorders>
          </w:tcPr>
          <w:p w14:paraId="1090881A" w14:textId="77777777" w:rsidR="00E735F3" w:rsidRPr="00E735F3" w:rsidRDefault="00E735F3" w:rsidP="00E735F3">
            <w:pPr>
              <w:spacing w:before="60" w:after="60" w:line="240" w:lineRule="auto"/>
              <w:rPr>
                <w:sz w:val="18"/>
              </w:rPr>
            </w:pPr>
            <w:r w:rsidRPr="00E735F3">
              <w:rPr>
                <w:sz w:val="18"/>
              </w:rPr>
              <w:t>Cook Islands, Samoa (Stout 1982; SPC 2016).</w:t>
            </w:r>
          </w:p>
        </w:tc>
        <w:tc>
          <w:tcPr>
            <w:tcW w:w="1701" w:type="dxa"/>
            <w:tcBorders>
              <w:top w:val="nil"/>
              <w:left w:val="nil"/>
              <w:bottom w:val="nil"/>
              <w:right w:val="nil"/>
            </w:tcBorders>
            <w:shd w:val="clear" w:color="auto" w:fill="FFFFFF"/>
          </w:tcPr>
          <w:p w14:paraId="13C202A6" w14:textId="77777777" w:rsidR="00E735F3" w:rsidRPr="00E735F3" w:rsidRDefault="00E735F3" w:rsidP="00E735F3">
            <w:pPr>
              <w:spacing w:before="60" w:after="60" w:line="240" w:lineRule="auto"/>
              <w:rPr>
                <w:sz w:val="18"/>
              </w:rPr>
            </w:pPr>
            <w:r w:rsidRPr="00E735F3">
              <w:rPr>
                <w:sz w:val="18"/>
              </w:rPr>
              <w:t>Yes. NSW, Qld and WA (CABI 2016).</w:t>
            </w:r>
          </w:p>
        </w:tc>
        <w:tc>
          <w:tcPr>
            <w:tcW w:w="2410" w:type="dxa"/>
            <w:tcBorders>
              <w:top w:val="nil"/>
              <w:left w:val="nil"/>
              <w:bottom w:val="nil"/>
              <w:right w:val="nil"/>
            </w:tcBorders>
          </w:tcPr>
          <w:p w14:paraId="14EC4C6F" w14:textId="679B3611"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483D05A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80ED4D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C095CDC" w14:textId="77777777" w:rsidR="00E735F3" w:rsidRPr="00E735F3" w:rsidRDefault="00E735F3" w:rsidP="00E735F3">
            <w:pPr>
              <w:spacing w:before="60" w:after="60" w:line="240" w:lineRule="auto"/>
              <w:rPr>
                <w:sz w:val="18"/>
              </w:rPr>
            </w:pPr>
            <w:r w:rsidRPr="00E735F3">
              <w:rPr>
                <w:sz w:val="18"/>
              </w:rPr>
              <w:t>No</w:t>
            </w:r>
          </w:p>
        </w:tc>
      </w:tr>
      <w:tr w:rsidR="00E735F3" w:rsidRPr="00E735F3" w14:paraId="07577893" w14:textId="77777777" w:rsidTr="00063347">
        <w:trPr>
          <w:cantSplit/>
        </w:trPr>
        <w:tc>
          <w:tcPr>
            <w:tcW w:w="3403" w:type="dxa"/>
            <w:tcBorders>
              <w:top w:val="nil"/>
              <w:left w:val="nil"/>
              <w:bottom w:val="single" w:sz="4" w:space="0" w:color="BFBFBF"/>
              <w:right w:val="nil"/>
            </w:tcBorders>
          </w:tcPr>
          <w:p w14:paraId="53FE22D8" w14:textId="77777777" w:rsidR="00E735F3" w:rsidRPr="00E735F3" w:rsidRDefault="00E735F3" w:rsidP="00E735F3">
            <w:pPr>
              <w:spacing w:before="60" w:after="60" w:line="240" w:lineRule="auto"/>
              <w:rPr>
                <w:sz w:val="18"/>
              </w:rPr>
            </w:pPr>
            <w:r w:rsidRPr="00E735F3">
              <w:rPr>
                <w:b/>
                <w:i/>
                <w:sz w:val="18"/>
              </w:rPr>
              <w:t>Tetranychus neocaledonicus</w:t>
            </w:r>
            <w:r w:rsidRPr="00E735F3">
              <w:rPr>
                <w:i/>
                <w:sz w:val="18"/>
              </w:rPr>
              <w:t xml:space="preserve"> </w:t>
            </w:r>
            <w:r w:rsidRPr="00E735F3">
              <w:rPr>
                <w:sz w:val="18"/>
              </w:rPr>
              <w:t>(André, 1933)</w:t>
            </w:r>
          </w:p>
          <w:p w14:paraId="578B9DFF" w14:textId="77777777" w:rsidR="00E735F3" w:rsidRPr="00E735F3" w:rsidRDefault="00E735F3" w:rsidP="00E735F3">
            <w:pPr>
              <w:spacing w:before="60" w:after="60" w:line="240" w:lineRule="auto"/>
              <w:rPr>
                <w:sz w:val="18"/>
              </w:rPr>
            </w:pPr>
            <w:r w:rsidRPr="00E735F3">
              <w:rPr>
                <w:sz w:val="18"/>
              </w:rPr>
              <w:t>[Tetranychidae]</w:t>
            </w:r>
          </w:p>
          <w:p w14:paraId="22391E33" w14:textId="77777777" w:rsidR="00E735F3" w:rsidRPr="00E735F3" w:rsidRDefault="00E735F3" w:rsidP="00E735F3">
            <w:pPr>
              <w:spacing w:before="60" w:after="60" w:line="240" w:lineRule="auto"/>
              <w:rPr>
                <w:i/>
                <w:sz w:val="18"/>
              </w:rPr>
            </w:pPr>
            <w:r w:rsidRPr="00E735F3">
              <w:rPr>
                <w:sz w:val="18"/>
              </w:rPr>
              <w:t>Vegetable spider mite</w:t>
            </w:r>
          </w:p>
        </w:tc>
        <w:tc>
          <w:tcPr>
            <w:tcW w:w="1974" w:type="dxa"/>
            <w:tcBorders>
              <w:top w:val="nil"/>
              <w:left w:val="nil"/>
              <w:bottom w:val="single" w:sz="4" w:space="0" w:color="BFBFBF"/>
              <w:right w:val="nil"/>
            </w:tcBorders>
          </w:tcPr>
          <w:p w14:paraId="044846D9" w14:textId="77777777" w:rsidR="00E735F3" w:rsidRPr="00E735F3" w:rsidRDefault="00E735F3" w:rsidP="00E735F3">
            <w:pPr>
              <w:spacing w:before="60" w:after="60" w:line="240" w:lineRule="auto"/>
              <w:rPr>
                <w:sz w:val="18"/>
              </w:rPr>
            </w:pPr>
            <w:r w:rsidRPr="00E735F3">
              <w:rPr>
                <w:sz w:val="18"/>
              </w:rPr>
              <w:t>Cook Islands, Niue, Samoa, Vanuatu (SPC 2016; Stout 1982).</w:t>
            </w:r>
          </w:p>
        </w:tc>
        <w:tc>
          <w:tcPr>
            <w:tcW w:w="1701" w:type="dxa"/>
            <w:tcBorders>
              <w:top w:val="nil"/>
              <w:left w:val="nil"/>
              <w:bottom w:val="single" w:sz="4" w:space="0" w:color="BFBFBF"/>
              <w:right w:val="nil"/>
            </w:tcBorders>
            <w:shd w:val="clear" w:color="auto" w:fill="FFFFFF"/>
          </w:tcPr>
          <w:p w14:paraId="63D2AEC6" w14:textId="77777777" w:rsidR="00E735F3" w:rsidRPr="00E735F3" w:rsidRDefault="00E735F3" w:rsidP="00E735F3">
            <w:pPr>
              <w:spacing w:before="60" w:after="60" w:line="240" w:lineRule="auto"/>
              <w:rPr>
                <w:sz w:val="18"/>
              </w:rPr>
            </w:pPr>
            <w:r w:rsidRPr="00E735F3">
              <w:rPr>
                <w:sz w:val="18"/>
              </w:rPr>
              <w:t xml:space="preserve">Yes. NSW, Qld and WA (Gutierrez and Schicha 1983), NT (Zhang 2008), WA (Botha </w:t>
            </w:r>
            <w:r w:rsidRPr="00E735F3">
              <w:rPr>
                <w:i/>
                <w:sz w:val="18"/>
              </w:rPr>
              <w:t>et al</w:t>
            </w:r>
            <w:r w:rsidRPr="00E735F3">
              <w:rPr>
                <w:sz w:val="18"/>
              </w:rPr>
              <w:t>. 2014).</w:t>
            </w:r>
          </w:p>
        </w:tc>
        <w:tc>
          <w:tcPr>
            <w:tcW w:w="2410" w:type="dxa"/>
            <w:tcBorders>
              <w:top w:val="nil"/>
              <w:left w:val="nil"/>
              <w:bottom w:val="single" w:sz="4" w:space="0" w:color="BFBFBF"/>
              <w:right w:val="nil"/>
            </w:tcBorders>
          </w:tcPr>
          <w:p w14:paraId="2487C7C2" w14:textId="487609EF"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single" w:sz="4" w:space="0" w:color="BFBFBF"/>
              <w:right w:val="nil"/>
            </w:tcBorders>
            <w:shd w:val="clear" w:color="auto" w:fill="auto"/>
          </w:tcPr>
          <w:p w14:paraId="0807318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17049A0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2696EEE4" w14:textId="77777777" w:rsidR="00E735F3" w:rsidRPr="00E735F3" w:rsidRDefault="00E735F3" w:rsidP="000F7235">
            <w:pPr>
              <w:spacing w:before="60" w:after="60" w:line="240" w:lineRule="auto"/>
              <w:rPr>
                <w:sz w:val="18"/>
              </w:rPr>
            </w:pPr>
            <w:r w:rsidRPr="00E735F3">
              <w:rPr>
                <w:sz w:val="18"/>
              </w:rPr>
              <w:t>No</w:t>
            </w:r>
          </w:p>
        </w:tc>
      </w:tr>
      <w:tr w:rsidR="00E735F3" w:rsidRPr="00E735F3" w14:paraId="7BF58732" w14:textId="77777777" w:rsidTr="00063347">
        <w:trPr>
          <w:cantSplit/>
        </w:trPr>
        <w:tc>
          <w:tcPr>
            <w:tcW w:w="15451" w:type="dxa"/>
            <w:gridSpan w:val="7"/>
            <w:tcBorders>
              <w:top w:val="single" w:sz="4" w:space="0" w:color="BFBFBF"/>
              <w:left w:val="nil"/>
              <w:bottom w:val="nil"/>
              <w:right w:val="nil"/>
            </w:tcBorders>
            <w:shd w:val="clear" w:color="auto" w:fill="FFFFFF"/>
          </w:tcPr>
          <w:p w14:paraId="41B9476A" w14:textId="77777777" w:rsidR="00E735F3" w:rsidRPr="00E735F3" w:rsidRDefault="00E735F3" w:rsidP="00E735F3">
            <w:pPr>
              <w:spacing w:before="60" w:after="60" w:line="240" w:lineRule="auto"/>
              <w:rPr>
                <w:b/>
                <w:sz w:val="18"/>
              </w:rPr>
            </w:pPr>
            <w:r w:rsidRPr="00E735F3">
              <w:rPr>
                <w:b/>
                <w:sz w:val="18"/>
              </w:rPr>
              <w:t>Coleoptera (beetles, weevils)</w:t>
            </w:r>
          </w:p>
        </w:tc>
      </w:tr>
      <w:tr w:rsidR="00E735F3" w:rsidRPr="00E735F3" w14:paraId="748EE787" w14:textId="77777777" w:rsidTr="00063347">
        <w:trPr>
          <w:cantSplit/>
        </w:trPr>
        <w:tc>
          <w:tcPr>
            <w:tcW w:w="3403" w:type="dxa"/>
            <w:tcBorders>
              <w:top w:val="nil"/>
              <w:left w:val="nil"/>
              <w:bottom w:val="single" w:sz="4" w:space="0" w:color="BFBFBF"/>
              <w:right w:val="nil"/>
            </w:tcBorders>
          </w:tcPr>
          <w:p w14:paraId="15507344" w14:textId="77777777" w:rsidR="00E735F3" w:rsidRPr="00E735F3" w:rsidRDefault="00E735F3" w:rsidP="00E735F3">
            <w:pPr>
              <w:spacing w:before="60" w:after="60" w:line="240" w:lineRule="auto"/>
              <w:rPr>
                <w:sz w:val="18"/>
              </w:rPr>
            </w:pPr>
            <w:r w:rsidRPr="00E735F3">
              <w:rPr>
                <w:b/>
                <w:i/>
                <w:iCs/>
                <w:sz w:val="18"/>
              </w:rPr>
              <w:t>Bradymerus amicorum</w:t>
            </w:r>
            <w:r w:rsidRPr="00E735F3">
              <w:rPr>
                <w:i/>
                <w:iCs/>
                <w:sz w:val="18"/>
              </w:rPr>
              <w:t xml:space="preserve"> </w:t>
            </w:r>
            <w:r w:rsidRPr="00E735F3">
              <w:rPr>
                <w:iCs/>
                <w:sz w:val="18"/>
              </w:rPr>
              <w:t>(</w:t>
            </w:r>
            <w:r w:rsidRPr="00E735F3">
              <w:rPr>
                <w:sz w:val="18"/>
              </w:rPr>
              <w:t>Fairmaire, 1849)</w:t>
            </w:r>
          </w:p>
          <w:p w14:paraId="4A62B2F9" w14:textId="77777777" w:rsidR="00E735F3" w:rsidRPr="00E735F3" w:rsidRDefault="00E735F3" w:rsidP="00E735F3">
            <w:pPr>
              <w:spacing w:before="60" w:after="60" w:line="240" w:lineRule="auto"/>
              <w:rPr>
                <w:sz w:val="18"/>
              </w:rPr>
            </w:pPr>
            <w:r w:rsidRPr="00E735F3">
              <w:rPr>
                <w:sz w:val="18"/>
              </w:rPr>
              <w:t>[Tenebrionidae]</w:t>
            </w:r>
          </w:p>
          <w:p w14:paraId="4778C7EF" w14:textId="77777777" w:rsidR="00E735F3" w:rsidRPr="00E735F3" w:rsidRDefault="00E735F3" w:rsidP="00E735F3">
            <w:pPr>
              <w:spacing w:before="60" w:after="60" w:line="240" w:lineRule="auto"/>
              <w:rPr>
                <w:sz w:val="18"/>
              </w:rPr>
            </w:pPr>
            <w:r w:rsidRPr="00E735F3">
              <w:rPr>
                <w:sz w:val="18"/>
              </w:rPr>
              <w:t>Tenebrionid beetle</w:t>
            </w:r>
          </w:p>
        </w:tc>
        <w:tc>
          <w:tcPr>
            <w:tcW w:w="1974" w:type="dxa"/>
            <w:tcBorders>
              <w:top w:val="nil"/>
              <w:left w:val="nil"/>
              <w:bottom w:val="single" w:sz="4" w:space="0" w:color="BFBFBF"/>
              <w:right w:val="nil"/>
            </w:tcBorders>
          </w:tcPr>
          <w:p w14:paraId="7F9AEE9E" w14:textId="77777777" w:rsidR="00E735F3" w:rsidRPr="00E735F3" w:rsidRDefault="00E735F3" w:rsidP="00E735F3">
            <w:pPr>
              <w:spacing w:before="60" w:after="60" w:line="240" w:lineRule="auto"/>
              <w:rPr>
                <w:sz w:val="18"/>
              </w:rPr>
            </w:pPr>
            <w:r w:rsidRPr="00E735F3">
              <w:rPr>
                <w:sz w:val="18"/>
              </w:rPr>
              <w:t>Samoa, Tonga (Kaszab 1955).</w:t>
            </w:r>
          </w:p>
        </w:tc>
        <w:tc>
          <w:tcPr>
            <w:tcW w:w="1701" w:type="dxa"/>
            <w:tcBorders>
              <w:top w:val="nil"/>
              <w:left w:val="nil"/>
              <w:bottom w:val="single" w:sz="4" w:space="0" w:color="BFBFBF"/>
              <w:right w:val="nil"/>
            </w:tcBorders>
            <w:shd w:val="clear" w:color="auto" w:fill="auto"/>
          </w:tcPr>
          <w:p w14:paraId="75C11895"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single" w:sz="4" w:space="0" w:color="BFBFBF"/>
              <w:right w:val="nil"/>
            </w:tcBorders>
          </w:tcPr>
          <w:p w14:paraId="0BD90FA2" w14:textId="77777777" w:rsidR="00E735F3" w:rsidRPr="00E735F3" w:rsidRDefault="00E735F3" w:rsidP="00E735F3">
            <w:pPr>
              <w:spacing w:before="60" w:after="60" w:line="240" w:lineRule="auto"/>
              <w:rPr>
                <w:sz w:val="18"/>
              </w:rPr>
            </w:pPr>
            <w:r w:rsidRPr="00E735F3">
              <w:rPr>
                <w:sz w:val="18"/>
              </w:rPr>
              <w:t>No. This beetle is associated with dead bark (Kaszab 1955). Unlikely to be present on fruit.</w:t>
            </w:r>
          </w:p>
        </w:tc>
        <w:tc>
          <w:tcPr>
            <w:tcW w:w="2410" w:type="dxa"/>
            <w:tcBorders>
              <w:top w:val="nil"/>
              <w:left w:val="nil"/>
              <w:bottom w:val="single" w:sz="4" w:space="0" w:color="BFBFBF"/>
              <w:right w:val="nil"/>
            </w:tcBorders>
            <w:shd w:val="clear" w:color="auto" w:fill="auto"/>
          </w:tcPr>
          <w:p w14:paraId="213964F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31E20FAC" w14:textId="77777777" w:rsidR="00E735F3" w:rsidRPr="00E735F3" w:rsidRDefault="00E735F3" w:rsidP="006876FA">
            <w:pPr>
              <w:spacing w:before="60" w:after="60" w:line="240" w:lineRule="auto"/>
              <w:rPr>
                <w:sz w:val="18"/>
                <w:highlight w:val="yellow"/>
              </w:rPr>
            </w:pPr>
            <w:r w:rsidRPr="00E735F3">
              <w:rPr>
                <w:sz w:val="18"/>
              </w:rPr>
              <w:t xml:space="preserve">Assessment not required. </w:t>
            </w:r>
          </w:p>
        </w:tc>
        <w:tc>
          <w:tcPr>
            <w:tcW w:w="1285" w:type="dxa"/>
            <w:tcBorders>
              <w:top w:val="nil"/>
              <w:left w:val="nil"/>
              <w:bottom w:val="single" w:sz="4" w:space="0" w:color="BFBFBF"/>
              <w:right w:val="nil"/>
            </w:tcBorders>
          </w:tcPr>
          <w:p w14:paraId="48801413" w14:textId="77777777" w:rsidR="00E735F3" w:rsidRPr="00E735F3" w:rsidRDefault="00E735F3" w:rsidP="006D373C">
            <w:pPr>
              <w:spacing w:before="60" w:after="60" w:line="240" w:lineRule="auto"/>
              <w:rPr>
                <w:sz w:val="18"/>
                <w:highlight w:val="yellow"/>
              </w:rPr>
            </w:pPr>
            <w:r w:rsidRPr="00E735F3">
              <w:rPr>
                <w:sz w:val="18"/>
              </w:rPr>
              <w:t>No</w:t>
            </w:r>
          </w:p>
        </w:tc>
      </w:tr>
      <w:tr w:rsidR="00E735F3" w:rsidRPr="00E735F3" w14:paraId="422A9653" w14:textId="77777777" w:rsidTr="00063347">
        <w:trPr>
          <w:cantSplit/>
        </w:trPr>
        <w:tc>
          <w:tcPr>
            <w:tcW w:w="15451" w:type="dxa"/>
            <w:gridSpan w:val="7"/>
            <w:tcBorders>
              <w:top w:val="single" w:sz="4" w:space="0" w:color="BFBFBF"/>
              <w:left w:val="nil"/>
              <w:bottom w:val="nil"/>
              <w:right w:val="nil"/>
            </w:tcBorders>
            <w:shd w:val="clear" w:color="auto" w:fill="FFFFFF"/>
          </w:tcPr>
          <w:p w14:paraId="295522F3" w14:textId="77777777" w:rsidR="00E735F3" w:rsidRPr="00E735F3" w:rsidRDefault="00E735F3" w:rsidP="009B250F">
            <w:pPr>
              <w:keepNext/>
              <w:spacing w:before="60" w:after="60" w:line="240" w:lineRule="auto"/>
              <w:rPr>
                <w:b/>
                <w:sz w:val="18"/>
              </w:rPr>
            </w:pPr>
            <w:r w:rsidRPr="00E735F3">
              <w:rPr>
                <w:b/>
                <w:sz w:val="18"/>
              </w:rPr>
              <w:t>Diptera (flies)</w:t>
            </w:r>
          </w:p>
        </w:tc>
      </w:tr>
      <w:tr w:rsidR="00E735F3" w:rsidRPr="00E735F3" w14:paraId="78DA5FDA" w14:textId="77777777" w:rsidTr="00063347">
        <w:trPr>
          <w:cantSplit/>
        </w:trPr>
        <w:tc>
          <w:tcPr>
            <w:tcW w:w="3403" w:type="dxa"/>
            <w:tcBorders>
              <w:top w:val="nil"/>
              <w:left w:val="nil"/>
              <w:bottom w:val="nil"/>
              <w:right w:val="nil"/>
            </w:tcBorders>
          </w:tcPr>
          <w:p w14:paraId="76D5C404" w14:textId="77777777" w:rsidR="00E735F3" w:rsidRPr="00E735F3" w:rsidRDefault="00E735F3" w:rsidP="00E735F3">
            <w:pPr>
              <w:spacing w:before="60" w:after="60" w:line="240" w:lineRule="auto"/>
              <w:rPr>
                <w:sz w:val="18"/>
              </w:rPr>
            </w:pPr>
            <w:r w:rsidRPr="00E735F3">
              <w:rPr>
                <w:b/>
                <w:i/>
                <w:sz w:val="18"/>
              </w:rPr>
              <w:t>Bactrocera curvipennis</w:t>
            </w:r>
            <w:r w:rsidRPr="00E735F3">
              <w:rPr>
                <w:i/>
                <w:sz w:val="18"/>
              </w:rPr>
              <w:t xml:space="preserve"> </w:t>
            </w:r>
            <w:r w:rsidRPr="00E735F3">
              <w:rPr>
                <w:sz w:val="18"/>
              </w:rPr>
              <w:t>(Froggatt, 1909)</w:t>
            </w:r>
          </w:p>
          <w:p w14:paraId="01CDD3CE" w14:textId="77777777" w:rsidR="00E735F3" w:rsidRPr="00E735F3" w:rsidRDefault="00E735F3" w:rsidP="00E735F3">
            <w:pPr>
              <w:spacing w:before="60" w:after="60" w:line="240" w:lineRule="auto"/>
              <w:rPr>
                <w:sz w:val="18"/>
              </w:rPr>
            </w:pPr>
            <w:r w:rsidRPr="00E735F3">
              <w:rPr>
                <w:sz w:val="18"/>
              </w:rPr>
              <w:t>[Tephritidae]</w:t>
            </w:r>
          </w:p>
          <w:p w14:paraId="50432D2C" w14:textId="77777777" w:rsidR="00E735F3" w:rsidRPr="00E735F3" w:rsidRDefault="00E735F3" w:rsidP="00E735F3">
            <w:pPr>
              <w:spacing w:before="60" w:after="60" w:line="240" w:lineRule="auto"/>
              <w:rPr>
                <w:sz w:val="18"/>
              </w:rPr>
            </w:pPr>
            <w:r w:rsidRPr="00E735F3">
              <w:rPr>
                <w:sz w:val="18"/>
              </w:rPr>
              <w:t>Banana fruit fly</w:t>
            </w:r>
          </w:p>
        </w:tc>
        <w:tc>
          <w:tcPr>
            <w:tcW w:w="1974" w:type="dxa"/>
            <w:tcBorders>
              <w:top w:val="nil"/>
              <w:left w:val="nil"/>
              <w:bottom w:val="nil"/>
              <w:right w:val="nil"/>
            </w:tcBorders>
          </w:tcPr>
          <w:p w14:paraId="3C28D8B0" w14:textId="77777777" w:rsidR="00E735F3" w:rsidRPr="00E735F3" w:rsidRDefault="00E735F3" w:rsidP="00E735F3">
            <w:pPr>
              <w:spacing w:before="60" w:after="60" w:line="240" w:lineRule="auto"/>
              <w:rPr>
                <w:sz w:val="18"/>
              </w:rPr>
            </w:pPr>
            <w:r w:rsidRPr="00E735F3">
              <w:rPr>
                <w:sz w:val="18"/>
              </w:rPr>
              <w:t xml:space="preserve">No. Previously reported from the island of Aneityum in southern Vanuatu in 1930 (Allwood </w:t>
            </w:r>
            <w:r w:rsidRPr="00E735F3">
              <w:rPr>
                <w:i/>
                <w:sz w:val="18"/>
              </w:rPr>
              <w:t>et al</w:t>
            </w:r>
            <w:r w:rsidRPr="00E735F3">
              <w:rPr>
                <w:sz w:val="18"/>
              </w:rPr>
              <w:t>. 1997) but it is no longer considered to be present (Drew and Romig 2001).</w:t>
            </w:r>
          </w:p>
        </w:tc>
        <w:tc>
          <w:tcPr>
            <w:tcW w:w="1701" w:type="dxa"/>
            <w:tcBorders>
              <w:top w:val="nil"/>
              <w:left w:val="nil"/>
              <w:bottom w:val="nil"/>
              <w:right w:val="nil"/>
            </w:tcBorders>
            <w:shd w:val="clear" w:color="auto" w:fill="auto"/>
          </w:tcPr>
          <w:p w14:paraId="060DB168"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565B919C" w14:textId="77777777" w:rsidR="00E735F3" w:rsidRPr="00E735F3" w:rsidRDefault="00E735F3" w:rsidP="00E735F3">
            <w:pPr>
              <w:spacing w:before="60" w:after="60" w:line="240" w:lineRule="auto"/>
              <w:rPr>
                <w:sz w:val="18"/>
              </w:rPr>
            </w:pPr>
            <w:r w:rsidRPr="00E735F3">
              <w:rPr>
                <w:sz w:val="18"/>
              </w:rPr>
              <w:t>Assessment not required. Not present in assessed countries.</w:t>
            </w:r>
          </w:p>
        </w:tc>
        <w:tc>
          <w:tcPr>
            <w:tcW w:w="2410" w:type="dxa"/>
            <w:tcBorders>
              <w:top w:val="nil"/>
              <w:left w:val="nil"/>
              <w:bottom w:val="nil"/>
              <w:right w:val="nil"/>
            </w:tcBorders>
            <w:shd w:val="clear" w:color="auto" w:fill="auto"/>
          </w:tcPr>
          <w:p w14:paraId="11EDFBA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1DC9B7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7454E52" w14:textId="77777777" w:rsidR="00E735F3" w:rsidRPr="00E735F3" w:rsidRDefault="00E735F3" w:rsidP="00E735F3">
            <w:pPr>
              <w:spacing w:before="60" w:after="60" w:line="240" w:lineRule="auto"/>
              <w:rPr>
                <w:sz w:val="18"/>
              </w:rPr>
            </w:pPr>
            <w:r w:rsidRPr="00E735F3">
              <w:rPr>
                <w:sz w:val="18"/>
              </w:rPr>
              <w:t>No</w:t>
            </w:r>
          </w:p>
        </w:tc>
      </w:tr>
      <w:tr w:rsidR="00E735F3" w:rsidRPr="00E735F3" w14:paraId="6D14F647" w14:textId="77777777" w:rsidTr="00063347">
        <w:trPr>
          <w:cantSplit/>
          <w:trHeight w:val="694"/>
        </w:trPr>
        <w:tc>
          <w:tcPr>
            <w:tcW w:w="3403" w:type="dxa"/>
            <w:tcBorders>
              <w:top w:val="nil"/>
              <w:left w:val="nil"/>
              <w:bottom w:val="nil"/>
              <w:right w:val="nil"/>
            </w:tcBorders>
            <w:shd w:val="clear" w:color="auto" w:fill="FFFFFF"/>
          </w:tcPr>
          <w:p w14:paraId="6C9C13A5" w14:textId="77777777" w:rsidR="00E735F3" w:rsidRPr="00E735F3" w:rsidRDefault="00E735F3" w:rsidP="00E735F3">
            <w:pPr>
              <w:spacing w:before="60" w:after="60" w:line="240" w:lineRule="auto"/>
              <w:rPr>
                <w:sz w:val="18"/>
              </w:rPr>
            </w:pPr>
            <w:r w:rsidRPr="00E735F3">
              <w:rPr>
                <w:b/>
                <w:i/>
                <w:sz w:val="18"/>
              </w:rPr>
              <w:t>Bactrocera dorsalis</w:t>
            </w:r>
            <w:r w:rsidRPr="00E735F3">
              <w:rPr>
                <w:sz w:val="18"/>
              </w:rPr>
              <w:t xml:space="preserve"> (Hendel, 1912)</w:t>
            </w:r>
          </w:p>
          <w:p w14:paraId="3AAA9F0C" w14:textId="77777777" w:rsidR="00E735F3" w:rsidRPr="00E735F3" w:rsidRDefault="00E735F3" w:rsidP="00E735F3">
            <w:pPr>
              <w:spacing w:before="60" w:after="60" w:line="240" w:lineRule="auto"/>
              <w:rPr>
                <w:sz w:val="18"/>
              </w:rPr>
            </w:pPr>
            <w:r w:rsidRPr="00E735F3">
              <w:rPr>
                <w:sz w:val="18"/>
              </w:rPr>
              <w:t>[Tephritidae]</w:t>
            </w:r>
          </w:p>
          <w:p w14:paraId="3EA45DCF" w14:textId="77777777" w:rsidR="00E735F3" w:rsidRPr="00E735F3" w:rsidRDefault="00E735F3" w:rsidP="00E735F3">
            <w:pPr>
              <w:spacing w:before="60" w:after="60" w:line="240" w:lineRule="auto"/>
              <w:rPr>
                <w:sz w:val="18"/>
              </w:rPr>
            </w:pPr>
            <w:r w:rsidRPr="00E735F3">
              <w:rPr>
                <w:sz w:val="18"/>
              </w:rPr>
              <w:t>Oriental fruit fly</w:t>
            </w:r>
          </w:p>
        </w:tc>
        <w:tc>
          <w:tcPr>
            <w:tcW w:w="1974" w:type="dxa"/>
            <w:tcBorders>
              <w:top w:val="nil"/>
              <w:left w:val="nil"/>
              <w:bottom w:val="nil"/>
              <w:right w:val="nil"/>
            </w:tcBorders>
            <w:shd w:val="clear" w:color="auto" w:fill="FFFFFF"/>
          </w:tcPr>
          <w:p w14:paraId="42AFAEDB" w14:textId="77777777" w:rsidR="00E735F3" w:rsidRPr="00E735F3" w:rsidRDefault="00E735F3" w:rsidP="001B63BB">
            <w:pPr>
              <w:spacing w:before="60" w:after="60" w:line="240" w:lineRule="auto"/>
              <w:rPr>
                <w:sz w:val="18"/>
              </w:rPr>
            </w:pPr>
            <w:r w:rsidRPr="00E735F3">
              <w:rPr>
                <w:sz w:val="18"/>
              </w:rPr>
              <w:t>No. Incursion in the Cook Islands (</w:t>
            </w:r>
            <w:r w:rsidR="001B63BB">
              <w:rPr>
                <w:sz w:val="18"/>
              </w:rPr>
              <w:t>SPC 2013) has been eradicated (</w:t>
            </w:r>
            <w:r w:rsidR="00DD18FF">
              <w:rPr>
                <w:sz w:val="18"/>
              </w:rPr>
              <w:t xml:space="preserve">Vargas </w:t>
            </w:r>
            <w:r w:rsidR="00DD18FF" w:rsidRPr="00DD18FF">
              <w:rPr>
                <w:i/>
                <w:sz w:val="18"/>
              </w:rPr>
              <w:t>et al</w:t>
            </w:r>
            <w:r w:rsidR="00DD18FF">
              <w:rPr>
                <w:sz w:val="18"/>
              </w:rPr>
              <w:t xml:space="preserve">. 2015; </w:t>
            </w:r>
            <w:r w:rsidR="001B63BB">
              <w:rPr>
                <w:sz w:val="18"/>
              </w:rPr>
              <w:t>CABI 2016)</w:t>
            </w:r>
            <w:r w:rsidRPr="00E735F3">
              <w:rPr>
                <w:sz w:val="18"/>
              </w:rPr>
              <w:t>.</w:t>
            </w:r>
          </w:p>
        </w:tc>
        <w:tc>
          <w:tcPr>
            <w:tcW w:w="1701" w:type="dxa"/>
            <w:tcBorders>
              <w:top w:val="nil"/>
              <w:left w:val="nil"/>
              <w:bottom w:val="nil"/>
              <w:right w:val="nil"/>
            </w:tcBorders>
            <w:shd w:val="clear" w:color="auto" w:fill="FFFFFF"/>
          </w:tcPr>
          <w:p w14:paraId="68D3ED89" w14:textId="4220B8D5" w:rsidR="00E735F3" w:rsidRPr="00E735F3" w:rsidRDefault="00E735F3" w:rsidP="00E735F3">
            <w:pPr>
              <w:spacing w:before="60" w:after="60" w:line="240" w:lineRule="auto"/>
              <w:rPr>
                <w:sz w:val="18"/>
              </w:rPr>
            </w:pPr>
            <w:r w:rsidRPr="00E735F3">
              <w:rPr>
                <w:sz w:val="18"/>
              </w:rPr>
              <w:t xml:space="preserve">No. An incursion in Far North Queensland was eradicated in 1999 (under the name of </w:t>
            </w:r>
            <w:r w:rsidRPr="00E735F3">
              <w:rPr>
                <w:i/>
                <w:sz w:val="18"/>
              </w:rPr>
              <w:t>Bactrocera</w:t>
            </w:r>
            <w:r w:rsidRPr="00E735F3">
              <w:rPr>
                <w:sz w:val="18"/>
              </w:rPr>
              <w:t xml:space="preserve"> </w:t>
            </w:r>
            <w:r w:rsidRPr="00E735F3">
              <w:rPr>
                <w:i/>
                <w:sz w:val="18"/>
              </w:rPr>
              <w:t>papaya</w:t>
            </w:r>
            <w:r w:rsidR="0073381F">
              <w:rPr>
                <w:i/>
                <w:sz w:val="18"/>
              </w:rPr>
              <w:t>e</w:t>
            </w:r>
            <w:r w:rsidRPr="00E735F3">
              <w:rPr>
                <w:sz w:val="18"/>
              </w:rPr>
              <w:t xml:space="preserve">) and has been detected and eradicated from Torres Strait islands a number of times (Cantrell </w:t>
            </w:r>
            <w:r w:rsidRPr="00E735F3">
              <w:rPr>
                <w:i/>
                <w:sz w:val="18"/>
              </w:rPr>
              <w:t>et al.</w:t>
            </w:r>
            <w:r w:rsidRPr="00E735F3">
              <w:rPr>
                <w:sz w:val="18"/>
              </w:rPr>
              <w:t xml:space="preserve"> 2002). </w:t>
            </w:r>
          </w:p>
        </w:tc>
        <w:tc>
          <w:tcPr>
            <w:tcW w:w="2410" w:type="dxa"/>
            <w:tcBorders>
              <w:top w:val="nil"/>
              <w:left w:val="nil"/>
              <w:bottom w:val="nil"/>
              <w:right w:val="nil"/>
            </w:tcBorders>
            <w:shd w:val="clear" w:color="auto" w:fill="FFFFFF"/>
          </w:tcPr>
          <w:p w14:paraId="254C82C7" w14:textId="77777777" w:rsidR="00E735F3" w:rsidRPr="00E735F3" w:rsidRDefault="00E735F3" w:rsidP="00E735F3">
            <w:pPr>
              <w:spacing w:before="60" w:after="60" w:line="240" w:lineRule="auto"/>
              <w:rPr>
                <w:sz w:val="18"/>
              </w:rPr>
            </w:pPr>
            <w:r w:rsidRPr="00E735F3">
              <w:rPr>
                <w:sz w:val="18"/>
              </w:rPr>
              <w:t>Assessment not required. Not present in assessed countries.</w:t>
            </w:r>
          </w:p>
        </w:tc>
        <w:tc>
          <w:tcPr>
            <w:tcW w:w="2410" w:type="dxa"/>
            <w:tcBorders>
              <w:top w:val="nil"/>
              <w:left w:val="nil"/>
              <w:bottom w:val="nil"/>
              <w:right w:val="nil"/>
            </w:tcBorders>
            <w:shd w:val="clear" w:color="auto" w:fill="FFFFFF"/>
          </w:tcPr>
          <w:p w14:paraId="0341D64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FFFFFF"/>
          </w:tcPr>
          <w:p w14:paraId="0FC5137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shd w:val="clear" w:color="auto" w:fill="auto"/>
          </w:tcPr>
          <w:p w14:paraId="1687A6C1" w14:textId="77777777" w:rsidR="00E735F3" w:rsidRPr="00E735F3" w:rsidRDefault="00E735F3" w:rsidP="00E735F3">
            <w:pPr>
              <w:spacing w:before="60" w:after="60" w:line="240" w:lineRule="auto"/>
              <w:rPr>
                <w:bCs/>
                <w:sz w:val="18"/>
              </w:rPr>
            </w:pPr>
            <w:r w:rsidRPr="00E735F3">
              <w:rPr>
                <w:bCs/>
                <w:sz w:val="18"/>
              </w:rPr>
              <w:t>No</w:t>
            </w:r>
          </w:p>
        </w:tc>
      </w:tr>
      <w:tr w:rsidR="00E735F3" w:rsidRPr="00E735F3" w14:paraId="6E653313" w14:textId="77777777" w:rsidTr="00063347">
        <w:trPr>
          <w:cantSplit/>
          <w:trHeight w:val="694"/>
        </w:trPr>
        <w:tc>
          <w:tcPr>
            <w:tcW w:w="3403" w:type="dxa"/>
            <w:tcBorders>
              <w:top w:val="nil"/>
              <w:left w:val="nil"/>
              <w:bottom w:val="nil"/>
              <w:right w:val="nil"/>
            </w:tcBorders>
          </w:tcPr>
          <w:p w14:paraId="5838FC86" w14:textId="77777777" w:rsidR="00E735F3" w:rsidRPr="00E735F3" w:rsidRDefault="00E735F3" w:rsidP="00E735F3">
            <w:pPr>
              <w:spacing w:before="60" w:after="60" w:line="240" w:lineRule="auto"/>
              <w:rPr>
                <w:sz w:val="18"/>
              </w:rPr>
            </w:pPr>
            <w:r w:rsidRPr="00E735F3">
              <w:rPr>
                <w:b/>
                <w:i/>
                <w:sz w:val="18"/>
              </w:rPr>
              <w:t>Bactrocera kirki</w:t>
            </w:r>
            <w:r w:rsidRPr="00E735F3">
              <w:rPr>
                <w:sz w:val="18"/>
              </w:rPr>
              <w:t xml:space="preserve"> (Froggatt, 1911)</w:t>
            </w:r>
          </w:p>
          <w:p w14:paraId="1D3C8EE7" w14:textId="77777777" w:rsidR="00E735F3" w:rsidRPr="00E735F3" w:rsidRDefault="00E735F3" w:rsidP="00E735F3">
            <w:pPr>
              <w:spacing w:before="60" w:after="60" w:line="240" w:lineRule="auto"/>
              <w:rPr>
                <w:sz w:val="18"/>
              </w:rPr>
            </w:pPr>
            <w:r w:rsidRPr="00E735F3">
              <w:rPr>
                <w:sz w:val="18"/>
              </w:rPr>
              <w:t>[Tephritidae]</w:t>
            </w:r>
          </w:p>
          <w:p w14:paraId="3742EED0" w14:textId="77777777" w:rsidR="00E735F3" w:rsidRPr="00E735F3" w:rsidRDefault="00E735F3" w:rsidP="00E735F3">
            <w:pPr>
              <w:spacing w:before="60" w:after="60" w:line="240" w:lineRule="auto"/>
              <w:rPr>
                <w:sz w:val="18"/>
              </w:rPr>
            </w:pPr>
            <w:r w:rsidRPr="00E735F3">
              <w:rPr>
                <w:sz w:val="18"/>
              </w:rPr>
              <w:t>Fruit fly</w:t>
            </w:r>
          </w:p>
        </w:tc>
        <w:tc>
          <w:tcPr>
            <w:tcW w:w="1974" w:type="dxa"/>
            <w:tcBorders>
              <w:top w:val="nil"/>
              <w:left w:val="nil"/>
              <w:bottom w:val="nil"/>
              <w:right w:val="nil"/>
            </w:tcBorders>
          </w:tcPr>
          <w:p w14:paraId="1DD07290" w14:textId="77777777" w:rsidR="00E735F3" w:rsidRPr="00E735F3" w:rsidRDefault="00E735F3" w:rsidP="00E735F3">
            <w:pPr>
              <w:spacing w:before="60" w:after="60" w:line="240" w:lineRule="auto"/>
              <w:rPr>
                <w:sz w:val="18"/>
              </w:rPr>
            </w:pPr>
            <w:r w:rsidRPr="00E735F3">
              <w:rPr>
                <w:sz w:val="18"/>
              </w:rPr>
              <w:t>Niue, Samoa, Tonga (White and Elson-Harris 1994).</w:t>
            </w:r>
          </w:p>
        </w:tc>
        <w:tc>
          <w:tcPr>
            <w:tcW w:w="1701" w:type="dxa"/>
            <w:tcBorders>
              <w:top w:val="nil"/>
              <w:left w:val="nil"/>
              <w:bottom w:val="nil"/>
              <w:right w:val="nil"/>
            </w:tcBorders>
            <w:shd w:val="clear" w:color="auto" w:fill="auto"/>
          </w:tcPr>
          <w:p w14:paraId="60C7BF59"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6A04ACA5" w14:textId="6ECDF1B4" w:rsidR="00E735F3" w:rsidRPr="00E735F3" w:rsidRDefault="00E735F3" w:rsidP="009438BE">
            <w:pPr>
              <w:spacing w:before="60" w:after="60" w:line="240" w:lineRule="auto"/>
              <w:rPr>
                <w:sz w:val="18"/>
              </w:rPr>
            </w:pPr>
            <w:r w:rsidRPr="00E735F3">
              <w:rPr>
                <w:sz w:val="18"/>
              </w:rPr>
              <w:t xml:space="preserve">No. </w:t>
            </w:r>
            <w:r w:rsidRPr="00E735F3">
              <w:rPr>
                <w:i/>
                <w:sz w:val="18"/>
              </w:rPr>
              <w:t>Bactrocera kirki</w:t>
            </w:r>
            <w:r w:rsidRPr="00E735F3">
              <w:rPr>
                <w:sz w:val="18"/>
              </w:rPr>
              <w:t xml:space="preserve"> was bred from damaged fruit exposed to gravid females in laboratory cage trials in Samoa (Heimoana </w:t>
            </w:r>
            <w:r w:rsidRPr="00E735F3">
              <w:rPr>
                <w:i/>
                <w:sz w:val="18"/>
              </w:rPr>
              <w:t>et al</w:t>
            </w:r>
            <w:r w:rsidRPr="00E735F3">
              <w:rPr>
                <w:sz w:val="18"/>
              </w:rPr>
              <w:t xml:space="preserve">. 1997a), but </w:t>
            </w:r>
            <w:r w:rsidR="00B75CC2">
              <w:rPr>
                <w:sz w:val="18"/>
              </w:rPr>
              <w:t xml:space="preserve">there is </w:t>
            </w:r>
            <w:r w:rsidRPr="00E735F3">
              <w:rPr>
                <w:sz w:val="18"/>
              </w:rPr>
              <w:t xml:space="preserve">no evidence of field infestation. Tahitian limes are not considered a host. </w:t>
            </w:r>
          </w:p>
        </w:tc>
        <w:tc>
          <w:tcPr>
            <w:tcW w:w="2410" w:type="dxa"/>
            <w:tcBorders>
              <w:top w:val="nil"/>
              <w:left w:val="nil"/>
              <w:bottom w:val="nil"/>
              <w:right w:val="nil"/>
            </w:tcBorders>
            <w:shd w:val="clear" w:color="auto" w:fill="auto"/>
          </w:tcPr>
          <w:p w14:paraId="506024A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36C394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9DD0067" w14:textId="77777777" w:rsidR="00E735F3" w:rsidRPr="00E735F3" w:rsidRDefault="00231B42" w:rsidP="006D373C">
            <w:pPr>
              <w:spacing w:before="60" w:after="60" w:line="240" w:lineRule="auto"/>
              <w:rPr>
                <w:sz w:val="18"/>
              </w:rPr>
            </w:pPr>
            <w:r w:rsidRPr="00231B42">
              <w:rPr>
                <w:sz w:val="18"/>
              </w:rPr>
              <w:t>No</w:t>
            </w:r>
          </w:p>
        </w:tc>
      </w:tr>
      <w:tr w:rsidR="00E735F3" w:rsidRPr="00E735F3" w14:paraId="5342DEAF" w14:textId="77777777" w:rsidTr="00063347">
        <w:trPr>
          <w:cantSplit/>
          <w:trHeight w:val="694"/>
        </w:trPr>
        <w:tc>
          <w:tcPr>
            <w:tcW w:w="3403" w:type="dxa"/>
            <w:tcBorders>
              <w:top w:val="nil"/>
              <w:left w:val="nil"/>
              <w:bottom w:val="nil"/>
              <w:right w:val="nil"/>
            </w:tcBorders>
          </w:tcPr>
          <w:p w14:paraId="3B6560EE" w14:textId="77777777" w:rsidR="00E735F3" w:rsidRPr="00E735F3" w:rsidRDefault="00E735F3" w:rsidP="00E735F3">
            <w:pPr>
              <w:spacing w:before="60" w:after="60" w:line="240" w:lineRule="auto"/>
              <w:rPr>
                <w:sz w:val="18"/>
              </w:rPr>
            </w:pPr>
            <w:r w:rsidRPr="00E735F3">
              <w:rPr>
                <w:b/>
                <w:i/>
                <w:sz w:val="18"/>
              </w:rPr>
              <w:t>Bactrocera passiflorae</w:t>
            </w:r>
            <w:r w:rsidRPr="00E735F3">
              <w:rPr>
                <w:sz w:val="18"/>
              </w:rPr>
              <w:t xml:space="preserve"> (Froggatt, 1911)</w:t>
            </w:r>
          </w:p>
          <w:p w14:paraId="3B445C35" w14:textId="77777777" w:rsidR="00E735F3" w:rsidRPr="00E735F3" w:rsidRDefault="00E735F3" w:rsidP="00E735F3">
            <w:pPr>
              <w:spacing w:before="60" w:after="60" w:line="240" w:lineRule="auto"/>
              <w:rPr>
                <w:sz w:val="18"/>
              </w:rPr>
            </w:pPr>
            <w:r w:rsidRPr="00E735F3">
              <w:rPr>
                <w:sz w:val="18"/>
              </w:rPr>
              <w:t>[Tephritidae]</w:t>
            </w:r>
          </w:p>
          <w:p w14:paraId="48923D9D" w14:textId="77777777" w:rsidR="00E735F3" w:rsidRPr="00E735F3" w:rsidRDefault="00E735F3" w:rsidP="00E735F3">
            <w:pPr>
              <w:spacing w:before="60" w:after="60" w:line="240" w:lineRule="auto"/>
              <w:rPr>
                <w:sz w:val="18"/>
              </w:rPr>
            </w:pPr>
            <w:r w:rsidRPr="00E735F3">
              <w:rPr>
                <w:sz w:val="18"/>
              </w:rPr>
              <w:t>Fijian fruit fly</w:t>
            </w:r>
          </w:p>
        </w:tc>
        <w:tc>
          <w:tcPr>
            <w:tcW w:w="1974" w:type="dxa"/>
            <w:tcBorders>
              <w:top w:val="nil"/>
              <w:left w:val="nil"/>
              <w:bottom w:val="nil"/>
              <w:right w:val="nil"/>
            </w:tcBorders>
          </w:tcPr>
          <w:p w14:paraId="2D527A24" w14:textId="77777777" w:rsidR="00E735F3" w:rsidRPr="00E735F3" w:rsidRDefault="00E735F3" w:rsidP="00E735F3">
            <w:pPr>
              <w:spacing w:before="60" w:after="60" w:line="240" w:lineRule="auto"/>
              <w:rPr>
                <w:sz w:val="18"/>
              </w:rPr>
            </w:pPr>
            <w:r w:rsidRPr="00E735F3">
              <w:rPr>
                <w:sz w:val="18"/>
              </w:rPr>
              <w:t xml:space="preserve">Niue, Tonga (Niuatoputapu and Niuaf’ou islands) (White and Elson-Harris 1994; Heimoana </w:t>
            </w:r>
            <w:r w:rsidRPr="00E735F3">
              <w:rPr>
                <w:i/>
                <w:sz w:val="18"/>
              </w:rPr>
              <w:t>et al</w:t>
            </w:r>
            <w:r w:rsidRPr="00E735F3">
              <w:rPr>
                <w:sz w:val="18"/>
              </w:rPr>
              <w:t>. 1997b).</w:t>
            </w:r>
          </w:p>
        </w:tc>
        <w:tc>
          <w:tcPr>
            <w:tcW w:w="1701" w:type="dxa"/>
            <w:tcBorders>
              <w:top w:val="nil"/>
              <w:left w:val="nil"/>
              <w:bottom w:val="nil"/>
              <w:right w:val="nil"/>
            </w:tcBorders>
            <w:shd w:val="clear" w:color="auto" w:fill="auto"/>
          </w:tcPr>
          <w:p w14:paraId="50248334"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23CA50B6" w14:textId="6B8CE17E" w:rsidR="00E735F3" w:rsidRPr="00E735F3" w:rsidRDefault="00E735F3" w:rsidP="00E735F3">
            <w:pPr>
              <w:spacing w:before="60" w:after="60" w:line="240" w:lineRule="auto"/>
              <w:rPr>
                <w:sz w:val="18"/>
              </w:rPr>
            </w:pPr>
            <w:r w:rsidRPr="00E735F3">
              <w:rPr>
                <w:sz w:val="18"/>
              </w:rPr>
              <w:t xml:space="preserve">No. This species has been recorded on some other citrus hosts in the Pacific (Leblanc </w:t>
            </w:r>
            <w:r w:rsidRPr="00E735F3">
              <w:rPr>
                <w:i/>
                <w:sz w:val="18"/>
              </w:rPr>
              <w:t>et al</w:t>
            </w:r>
            <w:r w:rsidRPr="00E735F3">
              <w:rPr>
                <w:sz w:val="18"/>
              </w:rPr>
              <w:t>. 2012)</w:t>
            </w:r>
            <w:r w:rsidR="00B75CC2">
              <w:rPr>
                <w:sz w:val="18"/>
              </w:rPr>
              <w:t>,</w:t>
            </w:r>
            <w:r w:rsidRPr="00E735F3">
              <w:rPr>
                <w:sz w:val="18"/>
              </w:rPr>
              <w:t xml:space="preserve"> but is not reported as a pest of limes. Tahitian limes are not considered a host.</w:t>
            </w:r>
          </w:p>
        </w:tc>
        <w:tc>
          <w:tcPr>
            <w:tcW w:w="2410" w:type="dxa"/>
            <w:tcBorders>
              <w:top w:val="nil"/>
              <w:left w:val="nil"/>
              <w:bottom w:val="nil"/>
              <w:right w:val="nil"/>
            </w:tcBorders>
            <w:shd w:val="clear" w:color="auto" w:fill="auto"/>
          </w:tcPr>
          <w:p w14:paraId="2387226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23F531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2633707" w14:textId="77777777" w:rsidR="00E735F3" w:rsidRPr="00E735F3" w:rsidRDefault="00231B42" w:rsidP="006D373C">
            <w:pPr>
              <w:spacing w:before="60" w:after="60" w:line="240" w:lineRule="auto"/>
              <w:rPr>
                <w:sz w:val="18"/>
              </w:rPr>
            </w:pPr>
            <w:r w:rsidRPr="00231B42">
              <w:rPr>
                <w:sz w:val="18"/>
              </w:rPr>
              <w:t>No</w:t>
            </w:r>
          </w:p>
        </w:tc>
      </w:tr>
      <w:tr w:rsidR="00E735F3" w:rsidRPr="00E735F3" w14:paraId="5F458E03" w14:textId="77777777" w:rsidTr="00063347">
        <w:trPr>
          <w:cantSplit/>
        </w:trPr>
        <w:tc>
          <w:tcPr>
            <w:tcW w:w="3403" w:type="dxa"/>
            <w:tcBorders>
              <w:top w:val="nil"/>
              <w:left w:val="nil"/>
              <w:bottom w:val="nil"/>
              <w:right w:val="nil"/>
            </w:tcBorders>
          </w:tcPr>
          <w:p w14:paraId="4765C2EE" w14:textId="77777777" w:rsidR="00E735F3" w:rsidRPr="00E735F3" w:rsidRDefault="00E735F3" w:rsidP="00E735F3">
            <w:pPr>
              <w:spacing w:before="60" w:after="60" w:line="240" w:lineRule="auto"/>
              <w:rPr>
                <w:sz w:val="18"/>
              </w:rPr>
            </w:pPr>
            <w:r w:rsidRPr="00E735F3">
              <w:rPr>
                <w:b/>
                <w:i/>
                <w:sz w:val="18"/>
              </w:rPr>
              <w:t>Bactrocera trilineola</w:t>
            </w:r>
            <w:r w:rsidRPr="00E735F3">
              <w:rPr>
                <w:i/>
                <w:sz w:val="18"/>
              </w:rPr>
              <w:t xml:space="preserve"> </w:t>
            </w:r>
            <w:r w:rsidRPr="00E735F3">
              <w:rPr>
                <w:sz w:val="18"/>
              </w:rPr>
              <w:t>Drew, 1989</w:t>
            </w:r>
          </w:p>
          <w:p w14:paraId="25F3F8C2" w14:textId="77777777" w:rsidR="00E735F3" w:rsidRPr="00E735F3" w:rsidRDefault="00E735F3" w:rsidP="00E735F3">
            <w:pPr>
              <w:spacing w:before="60" w:after="60" w:line="240" w:lineRule="auto"/>
              <w:rPr>
                <w:sz w:val="18"/>
              </w:rPr>
            </w:pPr>
            <w:r w:rsidRPr="00E735F3">
              <w:rPr>
                <w:sz w:val="18"/>
              </w:rPr>
              <w:t>[Tephritidae]</w:t>
            </w:r>
          </w:p>
          <w:p w14:paraId="1B9AEB38" w14:textId="77777777" w:rsidR="00E735F3" w:rsidRPr="00E735F3" w:rsidRDefault="00E735F3" w:rsidP="00E735F3">
            <w:pPr>
              <w:spacing w:before="60" w:after="60" w:line="240" w:lineRule="auto"/>
              <w:rPr>
                <w:sz w:val="18"/>
              </w:rPr>
            </w:pPr>
            <w:r w:rsidRPr="00E735F3">
              <w:rPr>
                <w:sz w:val="18"/>
              </w:rPr>
              <w:t>Fruit fly</w:t>
            </w:r>
          </w:p>
        </w:tc>
        <w:tc>
          <w:tcPr>
            <w:tcW w:w="1974" w:type="dxa"/>
            <w:tcBorders>
              <w:top w:val="nil"/>
              <w:left w:val="nil"/>
              <w:bottom w:val="nil"/>
              <w:right w:val="nil"/>
            </w:tcBorders>
          </w:tcPr>
          <w:p w14:paraId="213E746D" w14:textId="77777777" w:rsidR="00E735F3" w:rsidRPr="00E735F3" w:rsidRDefault="00E735F3" w:rsidP="00E735F3">
            <w:pPr>
              <w:spacing w:before="60" w:after="60" w:line="240" w:lineRule="auto"/>
              <w:rPr>
                <w:sz w:val="18"/>
              </w:rPr>
            </w:pPr>
            <w:r w:rsidRPr="00E735F3">
              <w:rPr>
                <w:sz w:val="18"/>
              </w:rPr>
              <w:t xml:space="preserve">Vanuatu (Leblanc </w:t>
            </w:r>
            <w:r w:rsidRPr="00E735F3">
              <w:rPr>
                <w:i/>
                <w:sz w:val="18"/>
              </w:rPr>
              <w:t>et al</w:t>
            </w:r>
            <w:r w:rsidRPr="00E735F3">
              <w:rPr>
                <w:sz w:val="18"/>
              </w:rPr>
              <w:t>. 2012).</w:t>
            </w:r>
          </w:p>
        </w:tc>
        <w:tc>
          <w:tcPr>
            <w:tcW w:w="1701" w:type="dxa"/>
            <w:tcBorders>
              <w:top w:val="nil"/>
              <w:left w:val="nil"/>
              <w:bottom w:val="nil"/>
              <w:right w:val="nil"/>
            </w:tcBorders>
            <w:shd w:val="clear" w:color="auto" w:fill="auto"/>
          </w:tcPr>
          <w:p w14:paraId="74052C19"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0579A542" w14:textId="77777777" w:rsidR="00E735F3" w:rsidRPr="00E735F3" w:rsidRDefault="00E735F3" w:rsidP="00E735F3">
            <w:pPr>
              <w:spacing w:before="60" w:after="60" w:line="240" w:lineRule="auto"/>
              <w:rPr>
                <w:sz w:val="18"/>
              </w:rPr>
            </w:pPr>
            <w:r w:rsidRPr="00E735F3">
              <w:rPr>
                <w:sz w:val="18"/>
              </w:rPr>
              <w:t>No. Host testing has determined that Tahitian limes are not a host of this species (Tau and Berukilukilu 2000).</w:t>
            </w:r>
          </w:p>
        </w:tc>
        <w:tc>
          <w:tcPr>
            <w:tcW w:w="2410" w:type="dxa"/>
            <w:tcBorders>
              <w:top w:val="nil"/>
              <w:left w:val="nil"/>
              <w:bottom w:val="nil"/>
              <w:right w:val="nil"/>
            </w:tcBorders>
            <w:shd w:val="clear" w:color="auto" w:fill="auto"/>
          </w:tcPr>
          <w:p w14:paraId="26C5974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0549C23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9AC3A4D" w14:textId="77777777" w:rsidR="00E735F3" w:rsidRPr="00E735F3" w:rsidRDefault="00231B42" w:rsidP="006D373C">
            <w:pPr>
              <w:spacing w:before="60" w:after="60" w:line="240" w:lineRule="auto"/>
              <w:rPr>
                <w:sz w:val="18"/>
              </w:rPr>
            </w:pPr>
            <w:r w:rsidRPr="00231B42">
              <w:rPr>
                <w:sz w:val="18"/>
              </w:rPr>
              <w:t>No</w:t>
            </w:r>
          </w:p>
        </w:tc>
      </w:tr>
      <w:tr w:rsidR="00E735F3" w:rsidRPr="00E735F3" w14:paraId="3FF5F329" w14:textId="77777777" w:rsidTr="00682791">
        <w:trPr>
          <w:cantSplit/>
        </w:trPr>
        <w:tc>
          <w:tcPr>
            <w:tcW w:w="3403" w:type="dxa"/>
            <w:tcBorders>
              <w:top w:val="nil"/>
              <w:left w:val="nil"/>
              <w:bottom w:val="nil"/>
              <w:right w:val="nil"/>
            </w:tcBorders>
          </w:tcPr>
          <w:p w14:paraId="0A65F49E" w14:textId="77777777" w:rsidR="00E735F3" w:rsidRPr="00E735F3" w:rsidRDefault="00E735F3" w:rsidP="00E735F3">
            <w:pPr>
              <w:spacing w:before="60" w:after="60" w:line="240" w:lineRule="auto"/>
              <w:rPr>
                <w:sz w:val="18"/>
              </w:rPr>
            </w:pPr>
            <w:r w:rsidRPr="00E735F3">
              <w:rPr>
                <w:b/>
                <w:i/>
                <w:sz w:val="18"/>
              </w:rPr>
              <w:t>Bactrocera umbrosa</w:t>
            </w:r>
            <w:r w:rsidRPr="00E735F3">
              <w:rPr>
                <w:i/>
                <w:sz w:val="18"/>
              </w:rPr>
              <w:t xml:space="preserve"> </w:t>
            </w:r>
            <w:r w:rsidRPr="00E735F3">
              <w:rPr>
                <w:sz w:val="18"/>
              </w:rPr>
              <w:t>(Fabricius, 1805)</w:t>
            </w:r>
          </w:p>
          <w:p w14:paraId="0465F79E" w14:textId="77777777" w:rsidR="00E735F3" w:rsidRPr="00E735F3" w:rsidRDefault="00E735F3" w:rsidP="00E735F3">
            <w:pPr>
              <w:spacing w:before="60" w:after="60" w:line="240" w:lineRule="auto"/>
              <w:rPr>
                <w:sz w:val="18"/>
              </w:rPr>
            </w:pPr>
            <w:r w:rsidRPr="00E735F3">
              <w:rPr>
                <w:sz w:val="18"/>
              </w:rPr>
              <w:t>[Tephritidae]</w:t>
            </w:r>
          </w:p>
          <w:p w14:paraId="56D90DF0" w14:textId="77777777" w:rsidR="00E735F3" w:rsidRPr="00E735F3" w:rsidRDefault="00E735F3" w:rsidP="00E735F3">
            <w:pPr>
              <w:spacing w:before="60" w:after="60" w:line="240" w:lineRule="auto"/>
              <w:rPr>
                <w:i/>
                <w:sz w:val="18"/>
              </w:rPr>
            </w:pPr>
            <w:r w:rsidRPr="00E735F3">
              <w:rPr>
                <w:sz w:val="18"/>
              </w:rPr>
              <w:t>Breadfruit fly</w:t>
            </w:r>
          </w:p>
        </w:tc>
        <w:tc>
          <w:tcPr>
            <w:tcW w:w="1974" w:type="dxa"/>
            <w:tcBorders>
              <w:top w:val="nil"/>
              <w:left w:val="nil"/>
              <w:bottom w:val="nil"/>
              <w:right w:val="nil"/>
            </w:tcBorders>
          </w:tcPr>
          <w:p w14:paraId="5FF88A1A" w14:textId="77777777" w:rsidR="00E735F3" w:rsidRPr="00E735F3" w:rsidRDefault="00E735F3" w:rsidP="00E735F3">
            <w:pPr>
              <w:spacing w:before="60" w:after="60" w:line="240" w:lineRule="auto"/>
              <w:rPr>
                <w:sz w:val="18"/>
              </w:rPr>
            </w:pPr>
            <w:r w:rsidRPr="00E735F3">
              <w:rPr>
                <w:sz w:val="18"/>
              </w:rPr>
              <w:t xml:space="preserve">Vanuatu (Leblanc </w:t>
            </w:r>
            <w:r w:rsidRPr="00E735F3">
              <w:rPr>
                <w:i/>
                <w:sz w:val="18"/>
              </w:rPr>
              <w:t>et al</w:t>
            </w:r>
            <w:r w:rsidRPr="00E735F3">
              <w:rPr>
                <w:sz w:val="18"/>
              </w:rPr>
              <w:t>. 2012).</w:t>
            </w:r>
          </w:p>
        </w:tc>
        <w:tc>
          <w:tcPr>
            <w:tcW w:w="1701" w:type="dxa"/>
            <w:tcBorders>
              <w:top w:val="nil"/>
              <w:left w:val="nil"/>
              <w:bottom w:val="nil"/>
              <w:right w:val="nil"/>
            </w:tcBorders>
            <w:shd w:val="clear" w:color="auto" w:fill="auto"/>
          </w:tcPr>
          <w:p w14:paraId="5CD6E016"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3A5F8143" w14:textId="77777777" w:rsidR="00E735F3" w:rsidRPr="00E735F3" w:rsidRDefault="00E735F3" w:rsidP="00E735F3">
            <w:pPr>
              <w:spacing w:before="60" w:after="60" w:line="240" w:lineRule="auto"/>
              <w:rPr>
                <w:sz w:val="18"/>
              </w:rPr>
            </w:pPr>
            <w:r w:rsidRPr="00E735F3">
              <w:rPr>
                <w:sz w:val="18"/>
              </w:rPr>
              <w:t xml:space="preserve">No. This species mainly attacks </w:t>
            </w:r>
            <w:r w:rsidRPr="00E735F3">
              <w:rPr>
                <w:i/>
                <w:sz w:val="18"/>
              </w:rPr>
              <w:t>Artocarpus</w:t>
            </w:r>
            <w:r w:rsidRPr="00E735F3">
              <w:rPr>
                <w:sz w:val="18"/>
              </w:rPr>
              <w:t xml:space="preserve"> spp. (Drew and Romig 2001), but there are some old reports on citrus (White and Elson-Harris 1994). Tahitian limes are not known to be hosts of this pest (Leblanc </w:t>
            </w:r>
            <w:r w:rsidRPr="00E735F3">
              <w:rPr>
                <w:i/>
                <w:sz w:val="18"/>
              </w:rPr>
              <w:t>et al</w:t>
            </w:r>
            <w:r w:rsidRPr="00E735F3">
              <w:rPr>
                <w:sz w:val="18"/>
              </w:rPr>
              <w:t xml:space="preserve">. 2012). It has only ever been recorded in breadfruit in Vanuatu (Allwood </w:t>
            </w:r>
            <w:r w:rsidRPr="00E735F3">
              <w:rPr>
                <w:i/>
                <w:sz w:val="18"/>
              </w:rPr>
              <w:t>et al</w:t>
            </w:r>
            <w:r w:rsidRPr="00E735F3">
              <w:rPr>
                <w:sz w:val="18"/>
              </w:rPr>
              <w:t xml:space="preserve">. 1997). </w:t>
            </w:r>
          </w:p>
        </w:tc>
        <w:tc>
          <w:tcPr>
            <w:tcW w:w="2410" w:type="dxa"/>
            <w:tcBorders>
              <w:top w:val="nil"/>
              <w:left w:val="nil"/>
              <w:bottom w:val="nil"/>
              <w:right w:val="nil"/>
            </w:tcBorders>
            <w:shd w:val="clear" w:color="auto" w:fill="auto"/>
          </w:tcPr>
          <w:p w14:paraId="7CEEB5F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CC6A6C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BF92465" w14:textId="77777777" w:rsidR="00E735F3" w:rsidRPr="00E735F3" w:rsidRDefault="00231B42" w:rsidP="006D373C">
            <w:pPr>
              <w:spacing w:before="60" w:after="60" w:line="240" w:lineRule="auto"/>
              <w:rPr>
                <w:sz w:val="18"/>
              </w:rPr>
            </w:pPr>
            <w:r w:rsidRPr="00231B42">
              <w:rPr>
                <w:sz w:val="18"/>
              </w:rPr>
              <w:t>No</w:t>
            </w:r>
          </w:p>
        </w:tc>
      </w:tr>
      <w:tr w:rsidR="00E735F3" w:rsidRPr="00E735F3" w14:paraId="2C60E036" w14:textId="77777777" w:rsidTr="00682791">
        <w:trPr>
          <w:cantSplit/>
        </w:trPr>
        <w:tc>
          <w:tcPr>
            <w:tcW w:w="3403" w:type="dxa"/>
            <w:tcBorders>
              <w:top w:val="nil"/>
              <w:left w:val="nil"/>
              <w:bottom w:val="single" w:sz="4" w:space="0" w:color="BFBFBF"/>
              <w:right w:val="nil"/>
            </w:tcBorders>
          </w:tcPr>
          <w:p w14:paraId="597E35C6" w14:textId="77777777" w:rsidR="00E735F3" w:rsidRPr="00E735F3" w:rsidRDefault="00E735F3" w:rsidP="00E735F3">
            <w:pPr>
              <w:spacing w:before="60" w:after="60" w:line="240" w:lineRule="auto"/>
              <w:rPr>
                <w:sz w:val="18"/>
              </w:rPr>
            </w:pPr>
            <w:r w:rsidRPr="00E735F3">
              <w:rPr>
                <w:b/>
                <w:i/>
                <w:sz w:val="18"/>
              </w:rPr>
              <w:t xml:space="preserve">Bactrocera xanthodes </w:t>
            </w:r>
            <w:r w:rsidRPr="00E735F3">
              <w:rPr>
                <w:sz w:val="18"/>
              </w:rPr>
              <w:t>(Broun, 1904)</w:t>
            </w:r>
          </w:p>
          <w:p w14:paraId="59E1CA84" w14:textId="77777777" w:rsidR="00E735F3" w:rsidRPr="00E735F3" w:rsidRDefault="00E735F3" w:rsidP="00E735F3">
            <w:pPr>
              <w:spacing w:before="60" w:after="60" w:line="240" w:lineRule="auto"/>
              <w:rPr>
                <w:sz w:val="18"/>
              </w:rPr>
            </w:pPr>
            <w:r w:rsidRPr="00E735F3">
              <w:rPr>
                <w:sz w:val="18"/>
              </w:rPr>
              <w:t>[Tephritidae]</w:t>
            </w:r>
          </w:p>
          <w:p w14:paraId="4622FEC6" w14:textId="77777777" w:rsidR="00E735F3" w:rsidRPr="00F46407" w:rsidRDefault="00E735F3" w:rsidP="00E735F3">
            <w:pPr>
              <w:spacing w:before="60" w:after="60" w:line="240" w:lineRule="auto"/>
              <w:rPr>
                <w:b/>
                <w:sz w:val="18"/>
              </w:rPr>
            </w:pPr>
            <w:r w:rsidRPr="00E735F3">
              <w:rPr>
                <w:sz w:val="18"/>
              </w:rPr>
              <w:t>Pacific fruit fly</w:t>
            </w:r>
          </w:p>
        </w:tc>
        <w:tc>
          <w:tcPr>
            <w:tcW w:w="1974" w:type="dxa"/>
            <w:tcBorders>
              <w:top w:val="nil"/>
              <w:left w:val="nil"/>
              <w:bottom w:val="single" w:sz="4" w:space="0" w:color="BFBFBF"/>
              <w:right w:val="nil"/>
            </w:tcBorders>
          </w:tcPr>
          <w:p w14:paraId="4794BD15" w14:textId="77777777" w:rsidR="00E735F3" w:rsidRPr="00E735F3" w:rsidRDefault="00E735F3" w:rsidP="00E735F3">
            <w:pPr>
              <w:spacing w:before="60" w:after="60" w:line="240" w:lineRule="auto"/>
              <w:rPr>
                <w:sz w:val="18"/>
              </w:rPr>
            </w:pPr>
            <w:r w:rsidRPr="00E735F3">
              <w:rPr>
                <w:sz w:val="18"/>
              </w:rPr>
              <w:t xml:space="preserve">Cook Islands, Niue, Samoa, Tonga (Leblanc </w:t>
            </w:r>
            <w:r w:rsidRPr="00E735F3">
              <w:rPr>
                <w:i/>
                <w:sz w:val="18"/>
              </w:rPr>
              <w:t>et al</w:t>
            </w:r>
            <w:r w:rsidRPr="00E735F3">
              <w:rPr>
                <w:sz w:val="18"/>
              </w:rPr>
              <w:t>. 2012).</w:t>
            </w:r>
          </w:p>
        </w:tc>
        <w:tc>
          <w:tcPr>
            <w:tcW w:w="1701" w:type="dxa"/>
            <w:tcBorders>
              <w:top w:val="nil"/>
              <w:left w:val="nil"/>
              <w:bottom w:val="single" w:sz="4" w:space="0" w:color="BFBFBF"/>
              <w:right w:val="nil"/>
            </w:tcBorders>
            <w:shd w:val="clear" w:color="auto" w:fill="auto"/>
          </w:tcPr>
          <w:p w14:paraId="3026AF96"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single" w:sz="4" w:space="0" w:color="BFBFBF"/>
              <w:right w:val="nil"/>
            </w:tcBorders>
          </w:tcPr>
          <w:p w14:paraId="572AE8FB" w14:textId="6DBE85D7" w:rsidR="00E735F3" w:rsidRPr="00E735F3" w:rsidRDefault="00E735F3" w:rsidP="00E735F3">
            <w:pPr>
              <w:spacing w:before="60" w:after="60" w:line="240" w:lineRule="auto"/>
              <w:rPr>
                <w:sz w:val="18"/>
              </w:rPr>
            </w:pPr>
            <w:r w:rsidRPr="00E735F3">
              <w:rPr>
                <w:sz w:val="18"/>
              </w:rPr>
              <w:t xml:space="preserve">No. </w:t>
            </w:r>
            <w:r w:rsidRPr="00E735F3">
              <w:rPr>
                <w:i/>
                <w:sz w:val="18"/>
              </w:rPr>
              <w:t>Bactrocera xanthodes</w:t>
            </w:r>
            <w:r w:rsidRPr="00E735F3">
              <w:rPr>
                <w:sz w:val="18"/>
              </w:rPr>
              <w:t xml:space="preserve"> was bred from damaged fruit exposed to gravid females in laboratory cage trials in Samoa (Heimoana </w:t>
            </w:r>
            <w:r w:rsidRPr="00E735F3">
              <w:rPr>
                <w:i/>
                <w:sz w:val="18"/>
              </w:rPr>
              <w:t>et al</w:t>
            </w:r>
            <w:r w:rsidRPr="00E735F3">
              <w:rPr>
                <w:sz w:val="18"/>
              </w:rPr>
              <w:t>. 1997a), but no evidence of field infestation has been reported. Tahitian limes are not considered a host.</w:t>
            </w:r>
          </w:p>
        </w:tc>
        <w:tc>
          <w:tcPr>
            <w:tcW w:w="2410" w:type="dxa"/>
            <w:tcBorders>
              <w:top w:val="nil"/>
              <w:left w:val="nil"/>
              <w:bottom w:val="single" w:sz="4" w:space="0" w:color="BFBFBF"/>
              <w:right w:val="nil"/>
            </w:tcBorders>
            <w:shd w:val="clear" w:color="auto" w:fill="auto"/>
          </w:tcPr>
          <w:p w14:paraId="2438B6B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2EC6093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7E5C0CB8" w14:textId="77777777" w:rsidR="00E735F3" w:rsidRPr="00E735F3" w:rsidRDefault="00231B42" w:rsidP="006D373C">
            <w:pPr>
              <w:spacing w:before="60" w:after="60" w:line="240" w:lineRule="auto"/>
              <w:rPr>
                <w:sz w:val="18"/>
              </w:rPr>
            </w:pPr>
            <w:r w:rsidRPr="00231B42">
              <w:rPr>
                <w:sz w:val="18"/>
              </w:rPr>
              <w:t>No</w:t>
            </w:r>
          </w:p>
        </w:tc>
      </w:tr>
      <w:tr w:rsidR="00E735F3" w:rsidRPr="00E735F3" w14:paraId="09ED12D2" w14:textId="77777777" w:rsidTr="00063347">
        <w:trPr>
          <w:cantSplit/>
        </w:trPr>
        <w:tc>
          <w:tcPr>
            <w:tcW w:w="15451" w:type="dxa"/>
            <w:gridSpan w:val="7"/>
            <w:tcBorders>
              <w:top w:val="single" w:sz="4" w:space="0" w:color="BFBFBF"/>
              <w:left w:val="nil"/>
              <w:bottom w:val="nil"/>
              <w:right w:val="nil"/>
            </w:tcBorders>
            <w:shd w:val="clear" w:color="auto" w:fill="FFFFFF"/>
          </w:tcPr>
          <w:p w14:paraId="1B864AB7" w14:textId="77777777" w:rsidR="00E735F3" w:rsidRPr="00E735F3" w:rsidRDefault="00E735F3" w:rsidP="00E735F3">
            <w:pPr>
              <w:keepNext/>
              <w:spacing w:before="60" w:after="60" w:line="240" w:lineRule="auto"/>
              <w:rPr>
                <w:b/>
                <w:sz w:val="18"/>
              </w:rPr>
            </w:pPr>
            <w:r w:rsidRPr="00E735F3">
              <w:rPr>
                <w:b/>
                <w:sz w:val="18"/>
              </w:rPr>
              <w:t>Hemiptera (aphids, leafhoppers, mealybugs, scales, true bugs, whiteflies)</w:t>
            </w:r>
          </w:p>
        </w:tc>
      </w:tr>
      <w:tr w:rsidR="00E735F3" w:rsidRPr="00E735F3" w14:paraId="284DE1B5" w14:textId="77777777" w:rsidTr="00063347">
        <w:trPr>
          <w:cantSplit/>
        </w:trPr>
        <w:tc>
          <w:tcPr>
            <w:tcW w:w="3403" w:type="dxa"/>
            <w:tcBorders>
              <w:top w:val="nil"/>
              <w:left w:val="nil"/>
              <w:bottom w:val="nil"/>
              <w:right w:val="nil"/>
            </w:tcBorders>
          </w:tcPr>
          <w:p w14:paraId="66F7A893" w14:textId="77777777" w:rsidR="00E735F3" w:rsidRPr="00E735F3" w:rsidRDefault="00E735F3" w:rsidP="00E735F3">
            <w:pPr>
              <w:spacing w:before="60" w:after="60" w:line="240" w:lineRule="auto"/>
              <w:rPr>
                <w:sz w:val="18"/>
              </w:rPr>
            </w:pPr>
            <w:r w:rsidRPr="00E735F3">
              <w:rPr>
                <w:b/>
                <w:i/>
                <w:sz w:val="18"/>
              </w:rPr>
              <w:t>Aonidiella aurantii</w:t>
            </w:r>
            <w:r w:rsidRPr="00E735F3">
              <w:rPr>
                <w:i/>
                <w:sz w:val="18"/>
              </w:rPr>
              <w:t xml:space="preserve"> </w:t>
            </w:r>
            <w:r w:rsidRPr="00E735F3">
              <w:rPr>
                <w:sz w:val="18"/>
              </w:rPr>
              <w:t>(Maskell, 1879)</w:t>
            </w:r>
          </w:p>
          <w:p w14:paraId="460B08A3" w14:textId="77777777" w:rsidR="00E735F3" w:rsidRPr="00E735F3" w:rsidRDefault="00E735F3" w:rsidP="00E735F3">
            <w:pPr>
              <w:spacing w:before="60" w:after="60" w:line="240" w:lineRule="auto"/>
              <w:rPr>
                <w:sz w:val="18"/>
              </w:rPr>
            </w:pPr>
            <w:r w:rsidRPr="00E735F3">
              <w:rPr>
                <w:sz w:val="18"/>
              </w:rPr>
              <w:t>[Diaspididae]</w:t>
            </w:r>
          </w:p>
          <w:p w14:paraId="30572B02" w14:textId="77777777" w:rsidR="00E735F3" w:rsidRPr="00E735F3" w:rsidRDefault="00E735F3" w:rsidP="00E735F3">
            <w:pPr>
              <w:spacing w:before="60" w:after="60" w:line="240" w:lineRule="auto"/>
              <w:rPr>
                <w:i/>
                <w:sz w:val="18"/>
              </w:rPr>
            </w:pPr>
            <w:r w:rsidRPr="00E735F3">
              <w:rPr>
                <w:sz w:val="18"/>
              </w:rPr>
              <w:t>Red scale</w:t>
            </w:r>
          </w:p>
        </w:tc>
        <w:tc>
          <w:tcPr>
            <w:tcW w:w="1974" w:type="dxa"/>
            <w:tcBorders>
              <w:top w:val="nil"/>
              <w:left w:val="nil"/>
              <w:bottom w:val="nil"/>
              <w:right w:val="nil"/>
            </w:tcBorders>
          </w:tcPr>
          <w:p w14:paraId="1B19C4BE" w14:textId="77777777" w:rsidR="00E735F3" w:rsidRPr="00E735F3" w:rsidRDefault="00E735F3" w:rsidP="00E735F3">
            <w:pPr>
              <w:spacing w:before="60" w:after="60" w:line="240" w:lineRule="auto"/>
              <w:rPr>
                <w:sz w:val="18"/>
              </w:rPr>
            </w:pPr>
            <w:r w:rsidRPr="00E735F3">
              <w:rPr>
                <w:sz w:val="18"/>
              </w:rPr>
              <w:t>Cook Islands, Niue, Samoa, Tonga, Vanuatu (Watson 2016; SPC 2016).</w:t>
            </w:r>
          </w:p>
        </w:tc>
        <w:tc>
          <w:tcPr>
            <w:tcW w:w="1701" w:type="dxa"/>
            <w:tcBorders>
              <w:top w:val="nil"/>
              <w:left w:val="nil"/>
              <w:bottom w:val="nil"/>
              <w:right w:val="nil"/>
            </w:tcBorders>
            <w:shd w:val="clear" w:color="auto" w:fill="FFFFFF"/>
          </w:tcPr>
          <w:p w14:paraId="469D7EC5" w14:textId="77777777" w:rsidR="00E735F3" w:rsidRPr="00E735F3" w:rsidRDefault="00E735F3" w:rsidP="00E735F3">
            <w:pPr>
              <w:spacing w:before="60" w:after="60" w:line="240" w:lineRule="auto"/>
              <w:rPr>
                <w:sz w:val="18"/>
              </w:rPr>
            </w:pPr>
            <w:r w:rsidRPr="00E735F3">
              <w:rPr>
                <w:sz w:val="18"/>
              </w:rPr>
              <w:t>Yes. NSW, NT, Qld, SA, Vic. and WA (Poole 2010; Donaldson and Tsang 2002).</w:t>
            </w:r>
          </w:p>
        </w:tc>
        <w:tc>
          <w:tcPr>
            <w:tcW w:w="2410" w:type="dxa"/>
            <w:tcBorders>
              <w:top w:val="nil"/>
              <w:left w:val="nil"/>
              <w:bottom w:val="nil"/>
              <w:right w:val="nil"/>
            </w:tcBorders>
          </w:tcPr>
          <w:p w14:paraId="23152BED" w14:textId="762B5560"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7E42ED3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892B00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E777845" w14:textId="77777777" w:rsidR="00E735F3" w:rsidRPr="00E735F3" w:rsidRDefault="00E735F3" w:rsidP="00E735F3">
            <w:pPr>
              <w:spacing w:before="60" w:after="60" w:line="240" w:lineRule="auto"/>
              <w:rPr>
                <w:sz w:val="18"/>
              </w:rPr>
            </w:pPr>
            <w:r w:rsidRPr="00E735F3">
              <w:rPr>
                <w:sz w:val="18"/>
              </w:rPr>
              <w:t>No</w:t>
            </w:r>
          </w:p>
        </w:tc>
      </w:tr>
      <w:tr w:rsidR="00E735F3" w:rsidRPr="00E735F3" w14:paraId="0B62FF07" w14:textId="77777777" w:rsidTr="00063347">
        <w:trPr>
          <w:cantSplit/>
          <w:trHeight w:val="694"/>
        </w:trPr>
        <w:tc>
          <w:tcPr>
            <w:tcW w:w="3403" w:type="dxa"/>
            <w:tcBorders>
              <w:top w:val="nil"/>
              <w:left w:val="nil"/>
              <w:bottom w:val="nil"/>
              <w:right w:val="nil"/>
            </w:tcBorders>
          </w:tcPr>
          <w:p w14:paraId="4ED8B325" w14:textId="77777777" w:rsidR="00E735F3" w:rsidRPr="00E735F3" w:rsidRDefault="00E735F3" w:rsidP="00E735F3">
            <w:pPr>
              <w:spacing w:before="60" w:after="60" w:line="240" w:lineRule="auto"/>
              <w:rPr>
                <w:sz w:val="18"/>
              </w:rPr>
            </w:pPr>
            <w:r w:rsidRPr="00E735F3">
              <w:rPr>
                <w:b/>
                <w:i/>
                <w:sz w:val="18"/>
              </w:rPr>
              <w:t>Aonidiella inornata</w:t>
            </w:r>
            <w:r w:rsidRPr="00E735F3">
              <w:rPr>
                <w:sz w:val="18"/>
              </w:rPr>
              <w:t xml:space="preserve"> McKenzie, 1938</w:t>
            </w:r>
          </w:p>
          <w:p w14:paraId="6A5D7CD6" w14:textId="77777777" w:rsidR="00E735F3" w:rsidRPr="00E735F3" w:rsidRDefault="00E735F3" w:rsidP="00E735F3">
            <w:pPr>
              <w:spacing w:before="60" w:after="60" w:line="240" w:lineRule="auto"/>
              <w:rPr>
                <w:sz w:val="18"/>
              </w:rPr>
            </w:pPr>
            <w:r w:rsidRPr="00E735F3">
              <w:rPr>
                <w:sz w:val="18"/>
              </w:rPr>
              <w:t>[Diaspididae]</w:t>
            </w:r>
          </w:p>
          <w:p w14:paraId="1F8B1B40" w14:textId="77777777" w:rsidR="00E735F3" w:rsidRPr="00E735F3" w:rsidRDefault="00E735F3" w:rsidP="00E735F3">
            <w:pPr>
              <w:spacing w:before="60" w:after="60" w:line="240" w:lineRule="auto"/>
              <w:rPr>
                <w:sz w:val="18"/>
              </w:rPr>
            </w:pPr>
            <w:r w:rsidRPr="00E735F3">
              <w:rPr>
                <w:sz w:val="18"/>
              </w:rPr>
              <w:t>Papaya red scale</w:t>
            </w:r>
          </w:p>
        </w:tc>
        <w:tc>
          <w:tcPr>
            <w:tcW w:w="1974" w:type="dxa"/>
            <w:tcBorders>
              <w:top w:val="nil"/>
              <w:left w:val="nil"/>
              <w:bottom w:val="nil"/>
              <w:right w:val="nil"/>
            </w:tcBorders>
          </w:tcPr>
          <w:p w14:paraId="36A1233E" w14:textId="77777777" w:rsidR="00E735F3" w:rsidRPr="00E735F3" w:rsidRDefault="00E735F3" w:rsidP="00E735F3">
            <w:pPr>
              <w:spacing w:before="60" w:after="60" w:line="240" w:lineRule="auto"/>
              <w:rPr>
                <w:sz w:val="18"/>
              </w:rPr>
            </w:pPr>
            <w:r w:rsidRPr="00E735F3">
              <w:rPr>
                <w:sz w:val="18"/>
              </w:rPr>
              <w:t xml:space="preserve">Samoa, Vanuatu (García Morales </w:t>
            </w:r>
            <w:r w:rsidRPr="00E735F3">
              <w:rPr>
                <w:i/>
                <w:sz w:val="18"/>
              </w:rPr>
              <w:t>et al</w:t>
            </w:r>
            <w:r w:rsidRPr="00E735F3">
              <w:rPr>
                <w:sz w:val="18"/>
              </w:rPr>
              <w:t>. 2016; Williams and Butcher 1987).</w:t>
            </w:r>
          </w:p>
        </w:tc>
        <w:tc>
          <w:tcPr>
            <w:tcW w:w="1701" w:type="dxa"/>
            <w:tcBorders>
              <w:top w:val="nil"/>
              <w:left w:val="nil"/>
              <w:bottom w:val="nil"/>
              <w:right w:val="nil"/>
            </w:tcBorders>
          </w:tcPr>
          <w:p w14:paraId="5ED1D5D1" w14:textId="77777777" w:rsidR="00E735F3" w:rsidRPr="00E735F3" w:rsidRDefault="00E735F3" w:rsidP="00E735F3">
            <w:pPr>
              <w:spacing w:before="60" w:after="60" w:line="240" w:lineRule="auto"/>
              <w:rPr>
                <w:sz w:val="18"/>
              </w:rPr>
            </w:pPr>
            <w:r w:rsidRPr="00E735F3">
              <w:rPr>
                <w:sz w:val="18"/>
              </w:rPr>
              <w:t>Yes. NT, Qld and WA (Poole 2010; Donaldson and Tsang 2002).</w:t>
            </w:r>
          </w:p>
        </w:tc>
        <w:tc>
          <w:tcPr>
            <w:tcW w:w="2410" w:type="dxa"/>
            <w:tcBorders>
              <w:top w:val="nil"/>
              <w:left w:val="nil"/>
              <w:bottom w:val="nil"/>
              <w:right w:val="nil"/>
            </w:tcBorders>
          </w:tcPr>
          <w:p w14:paraId="33049A07" w14:textId="33DA2243"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5295D5FC"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93EFD6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08C8F51" w14:textId="77777777" w:rsidR="00E735F3" w:rsidRPr="00E735F3" w:rsidRDefault="00E735F3" w:rsidP="00E735F3">
            <w:pPr>
              <w:spacing w:before="60" w:after="60" w:line="240" w:lineRule="auto"/>
              <w:rPr>
                <w:sz w:val="18"/>
              </w:rPr>
            </w:pPr>
            <w:r w:rsidRPr="00E735F3">
              <w:rPr>
                <w:sz w:val="18"/>
              </w:rPr>
              <w:t>No</w:t>
            </w:r>
          </w:p>
        </w:tc>
      </w:tr>
      <w:tr w:rsidR="00774D7F" w:rsidRPr="00E735F3" w14:paraId="6591A4AC" w14:textId="77777777" w:rsidTr="000420D3">
        <w:trPr>
          <w:cantSplit/>
        </w:trPr>
        <w:tc>
          <w:tcPr>
            <w:tcW w:w="3403" w:type="dxa"/>
            <w:tcBorders>
              <w:top w:val="nil"/>
              <w:left w:val="nil"/>
              <w:bottom w:val="nil"/>
              <w:right w:val="nil"/>
            </w:tcBorders>
          </w:tcPr>
          <w:p w14:paraId="6FDE78E5" w14:textId="77777777" w:rsidR="00774D7F" w:rsidRPr="00E735F3" w:rsidRDefault="00774D7F" w:rsidP="000420D3">
            <w:pPr>
              <w:spacing w:before="60" w:after="60" w:line="240" w:lineRule="auto"/>
              <w:rPr>
                <w:sz w:val="18"/>
              </w:rPr>
            </w:pPr>
            <w:r w:rsidRPr="00E735F3">
              <w:rPr>
                <w:b/>
                <w:i/>
                <w:sz w:val="18"/>
              </w:rPr>
              <w:t>Aphis craccivora</w:t>
            </w:r>
            <w:r w:rsidRPr="00E735F3">
              <w:rPr>
                <w:i/>
                <w:sz w:val="18"/>
              </w:rPr>
              <w:t xml:space="preserve"> </w:t>
            </w:r>
            <w:r w:rsidRPr="00E735F3">
              <w:rPr>
                <w:sz w:val="18"/>
              </w:rPr>
              <w:t>Koch, 1854</w:t>
            </w:r>
          </w:p>
          <w:p w14:paraId="44D0E2BA" w14:textId="77777777" w:rsidR="00774D7F" w:rsidRPr="00E735F3" w:rsidRDefault="00774D7F" w:rsidP="000420D3">
            <w:pPr>
              <w:spacing w:before="60" w:after="60" w:line="240" w:lineRule="auto"/>
              <w:rPr>
                <w:sz w:val="18"/>
              </w:rPr>
            </w:pPr>
            <w:r w:rsidRPr="00E735F3">
              <w:rPr>
                <w:sz w:val="18"/>
              </w:rPr>
              <w:t>[Aphididae]</w:t>
            </w:r>
          </w:p>
          <w:p w14:paraId="1C96C507" w14:textId="77777777" w:rsidR="00774D7F" w:rsidRPr="00E735F3" w:rsidRDefault="00774D7F" w:rsidP="000420D3">
            <w:pPr>
              <w:spacing w:before="60" w:after="60" w:line="240" w:lineRule="auto"/>
              <w:rPr>
                <w:i/>
                <w:sz w:val="18"/>
              </w:rPr>
            </w:pPr>
            <w:r w:rsidRPr="00E735F3">
              <w:rPr>
                <w:sz w:val="18"/>
              </w:rPr>
              <w:t>Cowpea aphid</w:t>
            </w:r>
          </w:p>
        </w:tc>
        <w:tc>
          <w:tcPr>
            <w:tcW w:w="1974" w:type="dxa"/>
            <w:tcBorders>
              <w:top w:val="nil"/>
              <w:left w:val="nil"/>
              <w:bottom w:val="nil"/>
              <w:right w:val="nil"/>
            </w:tcBorders>
          </w:tcPr>
          <w:p w14:paraId="5F114DA5" w14:textId="77777777" w:rsidR="00774D7F" w:rsidRPr="00E735F3" w:rsidRDefault="00774D7F" w:rsidP="000420D3">
            <w:pPr>
              <w:spacing w:before="60" w:after="60" w:line="240" w:lineRule="auto"/>
              <w:rPr>
                <w:sz w:val="18"/>
              </w:rPr>
            </w:pPr>
            <w:r w:rsidRPr="00E735F3">
              <w:rPr>
                <w:sz w:val="18"/>
              </w:rPr>
              <w:t>Cook Islands, Samoa, Tonga (SPC 2016; CABI 2016).</w:t>
            </w:r>
          </w:p>
        </w:tc>
        <w:tc>
          <w:tcPr>
            <w:tcW w:w="1701" w:type="dxa"/>
            <w:tcBorders>
              <w:top w:val="nil"/>
              <w:left w:val="nil"/>
              <w:bottom w:val="nil"/>
              <w:right w:val="nil"/>
            </w:tcBorders>
            <w:shd w:val="clear" w:color="auto" w:fill="auto"/>
          </w:tcPr>
          <w:p w14:paraId="35DCA44F" w14:textId="77777777" w:rsidR="00774D7F" w:rsidRPr="00E735F3" w:rsidRDefault="00774D7F" w:rsidP="000420D3">
            <w:pPr>
              <w:spacing w:before="60" w:after="60" w:line="240" w:lineRule="auto"/>
              <w:rPr>
                <w:sz w:val="18"/>
              </w:rPr>
            </w:pPr>
            <w:r w:rsidRPr="00E735F3">
              <w:rPr>
                <w:sz w:val="18"/>
              </w:rPr>
              <w:t>Yes. NSW, Qld, Tas., Vic. and WA (Hollis and Eastop 2005).</w:t>
            </w:r>
          </w:p>
        </w:tc>
        <w:tc>
          <w:tcPr>
            <w:tcW w:w="2410" w:type="dxa"/>
            <w:tcBorders>
              <w:top w:val="nil"/>
              <w:left w:val="nil"/>
              <w:bottom w:val="nil"/>
              <w:right w:val="nil"/>
            </w:tcBorders>
          </w:tcPr>
          <w:p w14:paraId="6C983DB8" w14:textId="7844D4C0" w:rsidR="00774D7F" w:rsidRPr="00E735F3" w:rsidRDefault="000E37D4" w:rsidP="000420D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27849F93" w14:textId="77777777" w:rsidR="00774D7F" w:rsidRPr="00E735F3" w:rsidRDefault="00774D7F" w:rsidP="000420D3">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25EA9B40" w14:textId="77777777" w:rsidR="00774D7F" w:rsidRPr="00E735F3" w:rsidRDefault="00774D7F" w:rsidP="000420D3">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452BFB7" w14:textId="77777777" w:rsidR="00774D7F" w:rsidRPr="00E735F3" w:rsidRDefault="00774D7F" w:rsidP="000420D3">
            <w:pPr>
              <w:spacing w:before="60" w:after="60" w:line="240" w:lineRule="auto"/>
              <w:rPr>
                <w:sz w:val="18"/>
              </w:rPr>
            </w:pPr>
            <w:r w:rsidRPr="00E735F3">
              <w:rPr>
                <w:sz w:val="18"/>
              </w:rPr>
              <w:t>No</w:t>
            </w:r>
          </w:p>
        </w:tc>
      </w:tr>
      <w:tr w:rsidR="00E735F3" w:rsidRPr="00E735F3" w14:paraId="4DE7D8DF" w14:textId="77777777" w:rsidTr="00063347">
        <w:trPr>
          <w:cantSplit/>
          <w:trHeight w:val="694"/>
        </w:trPr>
        <w:tc>
          <w:tcPr>
            <w:tcW w:w="3403" w:type="dxa"/>
            <w:tcBorders>
              <w:top w:val="nil"/>
              <w:left w:val="nil"/>
              <w:bottom w:val="nil"/>
              <w:right w:val="nil"/>
            </w:tcBorders>
          </w:tcPr>
          <w:p w14:paraId="1F67487B" w14:textId="77777777" w:rsidR="00E735F3" w:rsidRPr="00E735F3" w:rsidRDefault="00E735F3" w:rsidP="00E735F3">
            <w:pPr>
              <w:spacing w:before="60" w:after="60" w:line="240" w:lineRule="auto"/>
              <w:rPr>
                <w:sz w:val="18"/>
              </w:rPr>
            </w:pPr>
            <w:r w:rsidRPr="00E735F3">
              <w:rPr>
                <w:b/>
                <w:i/>
                <w:sz w:val="18"/>
              </w:rPr>
              <w:t>Aphis gossypii</w:t>
            </w:r>
            <w:r w:rsidRPr="00E735F3">
              <w:rPr>
                <w:i/>
                <w:sz w:val="18"/>
              </w:rPr>
              <w:t xml:space="preserve"> </w:t>
            </w:r>
            <w:r w:rsidRPr="00E735F3">
              <w:rPr>
                <w:sz w:val="18"/>
              </w:rPr>
              <w:t>Glover, 1877</w:t>
            </w:r>
          </w:p>
          <w:p w14:paraId="58546309" w14:textId="77777777" w:rsidR="00E735F3" w:rsidRPr="00E735F3" w:rsidRDefault="00E735F3" w:rsidP="00E735F3">
            <w:pPr>
              <w:spacing w:before="60" w:after="60" w:line="240" w:lineRule="auto"/>
              <w:rPr>
                <w:sz w:val="18"/>
              </w:rPr>
            </w:pPr>
            <w:r w:rsidRPr="00E735F3">
              <w:rPr>
                <w:sz w:val="18"/>
              </w:rPr>
              <w:t>[Aphididae]</w:t>
            </w:r>
          </w:p>
          <w:p w14:paraId="38682DA2" w14:textId="77777777" w:rsidR="00E735F3" w:rsidRPr="00E735F3" w:rsidRDefault="00E735F3" w:rsidP="00E735F3">
            <w:pPr>
              <w:spacing w:before="60" w:after="60" w:line="240" w:lineRule="auto"/>
              <w:rPr>
                <w:i/>
                <w:sz w:val="18"/>
              </w:rPr>
            </w:pPr>
            <w:r w:rsidRPr="00E735F3">
              <w:rPr>
                <w:sz w:val="18"/>
              </w:rPr>
              <w:t>Cotton aphid</w:t>
            </w:r>
          </w:p>
        </w:tc>
        <w:tc>
          <w:tcPr>
            <w:tcW w:w="1974" w:type="dxa"/>
            <w:tcBorders>
              <w:top w:val="nil"/>
              <w:left w:val="nil"/>
              <w:bottom w:val="nil"/>
              <w:right w:val="nil"/>
            </w:tcBorders>
          </w:tcPr>
          <w:p w14:paraId="0FAB5FC5" w14:textId="77777777" w:rsidR="00E735F3" w:rsidRPr="00E735F3" w:rsidRDefault="00E735F3" w:rsidP="00E735F3">
            <w:pPr>
              <w:spacing w:before="60" w:after="60" w:line="240" w:lineRule="auto"/>
              <w:rPr>
                <w:sz w:val="18"/>
              </w:rPr>
            </w:pPr>
            <w:r w:rsidRPr="00E735F3">
              <w:rPr>
                <w:sz w:val="18"/>
              </w:rPr>
              <w:t>Cook Islands, Niue, Samoa, Tonga, Vanuatu (SPC 2016).</w:t>
            </w:r>
          </w:p>
        </w:tc>
        <w:tc>
          <w:tcPr>
            <w:tcW w:w="1701" w:type="dxa"/>
            <w:tcBorders>
              <w:top w:val="nil"/>
              <w:left w:val="nil"/>
              <w:bottom w:val="nil"/>
              <w:right w:val="nil"/>
            </w:tcBorders>
            <w:shd w:val="clear" w:color="auto" w:fill="auto"/>
          </w:tcPr>
          <w:p w14:paraId="3C85B9B8" w14:textId="77777777" w:rsidR="00E735F3" w:rsidRPr="00E735F3" w:rsidRDefault="00E735F3" w:rsidP="00E735F3">
            <w:pPr>
              <w:spacing w:before="60" w:after="60" w:line="240" w:lineRule="auto"/>
              <w:rPr>
                <w:sz w:val="18"/>
              </w:rPr>
            </w:pPr>
            <w:r w:rsidRPr="00E735F3">
              <w:rPr>
                <w:sz w:val="18"/>
              </w:rPr>
              <w:t>Yes. NSW, Qld, SA, Tas., Vic. and WA (Hollis and Eastop 2005).</w:t>
            </w:r>
          </w:p>
        </w:tc>
        <w:tc>
          <w:tcPr>
            <w:tcW w:w="2410" w:type="dxa"/>
            <w:tcBorders>
              <w:top w:val="nil"/>
              <w:left w:val="nil"/>
              <w:bottom w:val="nil"/>
              <w:right w:val="nil"/>
            </w:tcBorders>
          </w:tcPr>
          <w:p w14:paraId="7132A7AD" w14:textId="03A2BC8B"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3F577DE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A85C9A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996EBFC" w14:textId="77777777" w:rsidR="00E735F3" w:rsidRPr="00E735F3" w:rsidRDefault="00E735F3" w:rsidP="00E735F3">
            <w:pPr>
              <w:spacing w:before="60" w:after="60" w:line="240" w:lineRule="auto"/>
              <w:rPr>
                <w:sz w:val="18"/>
              </w:rPr>
            </w:pPr>
            <w:r w:rsidRPr="00E735F3">
              <w:rPr>
                <w:sz w:val="18"/>
              </w:rPr>
              <w:t>No</w:t>
            </w:r>
          </w:p>
        </w:tc>
      </w:tr>
      <w:tr w:rsidR="00E735F3" w:rsidRPr="00E735F3" w14:paraId="135D4BBD" w14:textId="77777777" w:rsidTr="00063347">
        <w:trPr>
          <w:cantSplit/>
        </w:trPr>
        <w:tc>
          <w:tcPr>
            <w:tcW w:w="3403" w:type="dxa"/>
            <w:tcBorders>
              <w:top w:val="nil"/>
              <w:left w:val="nil"/>
              <w:bottom w:val="nil"/>
              <w:right w:val="nil"/>
            </w:tcBorders>
          </w:tcPr>
          <w:p w14:paraId="5277B0F0" w14:textId="77777777" w:rsidR="00E735F3" w:rsidRPr="00E735F3" w:rsidRDefault="00E735F3" w:rsidP="00E735F3">
            <w:pPr>
              <w:spacing w:before="60" w:after="60" w:line="240" w:lineRule="auto"/>
              <w:rPr>
                <w:sz w:val="18"/>
              </w:rPr>
            </w:pPr>
            <w:r w:rsidRPr="00E735F3">
              <w:rPr>
                <w:b/>
                <w:i/>
                <w:sz w:val="18"/>
              </w:rPr>
              <w:t>Aspidiotus destructor</w:t>
            </w:r>
            <w:r w:rsidRPr="00E735F3">
              <w:rPr>
                <w:sz w:val="18"/>
              </w:rPr>
              <w:t xml:space="preserve"> Signoret, 1869</w:t>
            </w:r>
          </w:p>
          <w:p w14:paraId="54CBBD6E" w14:textId="77777777" w:rsidR="00E735F3" w:rsidRPr="00E735F3" w:rsidRDefault="00E735F3" w:rsidP="00E735F3">
            <w:pPr>
              <w:spacing w:before="60" w:after="60" w:line="240" w:lineRule="auto"/>
              <w:rPr>
                <w:sz w:val="18"/>
              </w:rPr>
            </w:pPr>
            <w:r w:rsidRPr="00E735F3">
              <w:rPr>
                <w:sz w:val="18"/>
              </w:rPr>
              <w:t>[Diaspididae]</w:t>
            </w:r>
          </w:p>
          <w:p w14:paraId="272F016D" w14:textId="77777777" w:rsidR="00E735F3" w:rsidRPr="00E735F3" w:rsidRDefault="00E735F3" w:rsidP="00E735F3">
            <w:pPr>
              <w:spacing w:before="60" w:after="60" w:line="240" w:lineRule="auto"/>
              <w:rPr>
                <w:sz w:val="18"/>
              </w:rPr>
            </w:pPr>
            <w:r w:rsidRPr="00E735F3">
              <w:rPr>
                <w:sz w:val="18"/>
              </w:rPr>
              <w:t>Coconut scale</w:t>
            </w:r>
          </w:p>
        </w:tc>
        <w:tc>
          <w:tcPr>
            <w:tcW w:w="1974" w:type="dxa"/>
            <w:tcBorders>
              <w:top w:val="nil"/>
              <w:left w:val="nil"/>
              <w:bottom w:val="nil"/>
              <w:right w:val="nil"/>
            </w:tcBorders>
          </w:tcPr>
          <w:p w14:paraId="51566B9E" w14:textId="77777777" w:rsidR="00E735F3" w:rsidRPr="00E735F3" w:rsidRDefault="00E735F3" w:rsidP="00E735F3">
            <w:pPr>
              <w:spacing w:before="60" w:after="60" w:line="240" w:lineRule="auto"/>
              <w:rPr>
                <w:sz w:val="18"/>
              </w:rPr>
            </w:pPr>
            <w:r w:rsidRPr="00E735F3">
              <w:rPr>
                <w:sz w:val="18"/>
              </w:rPr>
              <w:t>Samoa, Vanuatu, (Miller and Davidson 2005), Tonga (SPC 2016).</w:t>
            </w:r>
          </w:p>
        </w:tc>
        <w:tc>
          <w:tcPr>
            <w:tcW w:w="1701" w:type="dxa"/>
            <w:tcBorders>
              <w:top w:val="nil"/>
              <w:left w:val="nil"/>
              <w:bottom w:val="nil"/>
              <w:right w:val="nil"/>
            </w:tcBorders>
            <w:shd w:val="clear" w:color="auto" w:fill="auto"/>
          </w:tcPr>
          <w:p w14:paraId="7B6B6F00" w14:textId="77777777" w:rsidR="00E735F3" w:rsidRPr="00E735F3" w:rsidRDefault="00E735F3" w:rsidP="00E735F3">
            <w:pPr>
              <w:spacing w:before="60" w:after="60" w:line="240" w:lineRule="auto"/>
              <w:rPr>
                <w:sz w:val="18"/>
              </w:rPr>
            </w:pPr>
            <w:r w:rsidRPr="00E735F3">
              <w:rPr>
                <w:sz w:val="18"/>
              </w:rPr>
              <w:t>Yes. NSW, NT, Qld and WA (Poole 2010; Donaldson and Tsang 2002).</w:t>
            </w:r>
          </w:p>
        </w:tc>
        <w:tc>
          <w:tcPr>
            <w:tcW w:w="2410" w:type="dxa"/>
            <w:tcBorders>
              <w:top w:val="nil"/>
              <w:left w:val="nil"/>
              <w:bottom w:val="nil"/>
              <w:right w:val="nil"/>
            </w:tcBorders>
          </w:tcPr>
          <w:p w14:paraId="638E54B3" w14:textId="0D85C3DB"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6654410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9506A6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D0E2990" w14:textId="77777777" w:rsidR="00E735F3" w:rsidRPr="00E735F3" w:rsidRDefault="00E735F3" w:rsidP="00E735F3">
            <w:pPr>
              <w:spacing w:before="60" w:after="60" w:line="240" w:lineRule="auto"/>
              <w:rPr>
                <w:sz w:val="18"/>
              </w:rPr>
            </w:pPr>
            <w:r w:rsidRPr="00E735F3">
              <w:rPr>
                <w:sz w:val="18"/>
              </w:rPr>
              <w:t>No</w:t>
            </w:r>
          </w:p>
        </w:tc>
      </w:tr>
      <w:tr w:rsidR="00E735F3" w:rsidRPr="00E735F3" w14:paraId="0619E62D" w14:textId="77777777" w:rsidTr="00063347">
        <w:trPr>
          <w:cantSplit/>
        </w:trPr>
        <w:tc>
          <w:tcPr>
            <w:tcW w:w="3403" w:type="dxa"/>
            <w:tcBorders>
              <w:top w:val="nil"/>
              <w:left w:val="nil"/>
              <w:bottom w:val="nil"/>
              <w:right w:val="nil"/>
            </w:tcBorders>
          </w:tcPr>
          <w:p w14:paraId="7D2F3DA4" w14:textId="77777777" w:rsidR="00E735F3" w:rsidRPr="00E735F3" w:rsidRDefault="00E735F3" w:rsidP="00E735F3">
            <w:pPr>
              <w:spacing w:before="60" w:after="60" w:line="240" w:lineRule="auto"/>
              <w:rPr>
                <w:sz w:val="18"/>
              </w:rPr>
            </w:pPr>
            <w:r w:rsidRPr="00E735F3">
              <w:rPr>
                <w:b/>
                <w:i/>
                <w:sz w:val="18"/>
              </w:rPr>
              <w:t>Bemisia tabaci</w:t>
            </w:r>
            <w:r w:rsidRPr="00E735F3">
              <w:rPr>
                <w:sz w:val="18"/>
              </w:rPr>
              <w:t xml:space="preserve"> (Gennadius, 1889)</w:t>
            </w:r>
          </w:p>
          <w:p w14:paraId="185CAE52" w14:textId="77777777" w:rsidR="00E735F3" w:rsidRPr="00E735F3" w:rsidRDefault="00E735F3" w:rsidP="00E735F3">
            <w:pPr>
              <w:spacing w:before="60" w:after="60" w:line="240" w:lineRule="auto"/>
              <w:rPr>
                <w:sz w:val="18"/>
              </w:rPr>
            </w:pPr>
            <w:r w:rsidRPr="00E735F3">
              <w:rPr>
                <w:sz w:val="18"/>
              </w:rPr>
              <w:t>[Aleyrodidae]</w:t>
            </w:r>
          </w:p>
          <w:p w14:paraId="36984F70" w14:textId="77777777" w:rsidR="00E735F3" w:rsidRPr="00E735F3" w:rsidRDefault="00E735F3" w:rsidP="00E735F3">
            <w:pPr>
              <w:spacing w:before="60" w:after="60" w:line="240" w:lineRule="auto"/>
              <w:rPr>
                <w:sz w:val="18"/>
              </w:rPr>
            </w:pPr>
            <w:r w:rsidRPr="00E735F3">
              <w:rPr>
                <w:sz w:val="18"/>
              </w:rPr>
              <w:t>Whitefly</w:t>
            </w:r>
          </w:p>
        </w:tc>
        <w:tc>
          <w:tcPr>
            <w:tcW w:w="1974" w:type="dxa"/>
            <w:tcBorders>
              <w:top w:val="nil"/>
              <w:left w:val="nil"/>
              <w:bottom w:val="nil"/>
              <w:right w:val="nil"/>
            </w:tcBorders>
          </w:tcPr>
          <w:p w14:paraId="0C2C58C0" w14:textId="77777777" w:rsidR="00E735F3" w:rsidRPr="00E735F3" w:rsidRDefault="00E735F3" w:rsidP="00E735F3">
            <w:pPr>
              <w:spacing w:before="60" w:after="60" w:line="240" w:lineRule="auto"/>
              <w:rPr>
                <w:sz w:val="18"/>
              </w:rPr>
            </w:pPr>
            <w:r w:rsidRPr="00E735F3">
              <w:rPr>
                <w:sz w:val="18"/>
              </w:rPr>
              <w:t xml:space="preserve">Cook Islands, Niue, Samoa, Vanuatu (De Barro </w:t>
            </w:r>
            <w:r w:rsidRPr="00E735F3">
              <w:rPr>
                <w:i/>
                <w:sz w:val="18"/>
              </w:rPr>
              <w:t>et al</w:t>
            </w:r>
            <w:r w:rsidRPr="00E735F3">
              <w:rPr>
                <w:sz w:val="18"/>
              </w:rPr>
              <w:t>. 1998).</w:t>
            </w:r>
          </w:p>
        </w:tc>
        <w:tc>
          <w:tcPr>
            <w:tcW w:w="1701" w:type="dxa"/>
            <w:tcBorders>
              <w:top w:val="nil"/>
              <w:left w:val="nil"/>
              <w:bottom w:val="nil"/>
              <w:right w:val="nil"/>
            </w:tcBorders>
            <w:shd w:val="clear" w:color="auto" w:fill="auto"/>
          </w:tcPr>
          <w:p w14:paraId="1C558828" w14:textId="77777777" w:rsidR="00E735F3" w:rsidRPr="00E735F3" w:rsidRDefault="00E735F3" w:rsidP="00E735F3">
            <w:pPr>
              <w:spacing w:before="60" w:after="60" w:line="240" w:lineRule="auto"/>
              <w:rPr>
                <w:sz w:val="18"/>
              </w:rPr>
            </w:pPr>
            <w:r w:rsidRPr="00E735F3">
              <w:rPr>
                <w:sz w:val="18"/>
              </w:rPr>
              <w:t xml:space="preserve">Yes. NSW, NT, Qld, SA, Vic. and WA (Martin and Gillespie 2001). </w:t>
            </w:r>
          </w:p>
          <w:p w14:paraId="1855282C" w14:textId="40FA8A4E" w:rsidR="00E735F3" w:rsidRPr="00E735F3" w:rsidRDefault="00E735F3" w:rsidP="00410AB9">
            <w:pPr>
              <w:spacing w:before="60" w:after="60" w:line="240" w:lineRule="auto"/>
              <w:rPr>
                <w:sz w:val="18"/>
              </w:rPr>
            </w:pPr>
            <w:r w:rsidRPr="00E735F3">
              <w:rPr>
                <w:sz w:val="18"/>
              </w:rPr>
              <w:t xml:space="preserve">‘Nauru’ biotype not known to be present in Australia (DeBarro </w:t>
            </w:r>
            <w:r w:rsidRPr="00E735F3">
              <w:rPr>
                <w:i/>
                <w:sz w:val="18"/>
              </w:rPr>
              <w:t>et al</w:t>
            </w:r>
            <w:r w:rsidRPr="00E735F3">
              <w:rPr>
                <w:sz w:val="18"/>
              </w:rPr>
              <w:t>. 2011)</w:t>
            </w:r>
            <w:r w:rsidR="00410AB9">
              <w:rPr>
                <w:sz w:val="18"/>
              </w:rPr>
              <w:t xml:space="preserve">, and is a </w:t>
            </w:r>
            <w:r w:rsidR="00225083" w:rsidRPr="00225083">
              <w:rPr>
                <w:sz w:val="18"/>
              </w:rPr>
              <w:t>Declared Organism (Prohibited - section 12) for WA (Government of Western Australia 2017).</w:t>
            </w:r>
          </w:p>
        </w:tc>
        <w:tc>
          <w:tcPr>
            <w:tcW w:w="2410" w:type="dxa"/>
            <w:tcBorders>
              <w:top w:val="nil"/>
              <w:left w:val="nil"/>
              <w:bottom w:val="nil"/>
              <w:right w:val="nil"/>
            </w:tcBorders>
          </w:tcPr>
          <w:p w14:paraId="15F2D7F5" w14:textId="41218842" w:rsidR="00E735F3" w:rsidRPr="00E735F3" w:rsidRDefault="00E735F3" w:rsidP="00E735F3">
            <w:pPr>
              <w:spacing w:before="60" w:after="60" w:line="240" w:lineRule="auto"/>
              <w:rPr>
                <w:sz w:val="18"/>
              </w:rPr>
            </w:pPr>
            <w:r w:rsidRPr="00E735F3">
              <w:rPr>
                <w:sz w:val="18"/>
              </w:rPr>
              <w:t>No. Not associated with the fruit. Adults and nymphs feed on the leaves of host plants (</w:t>
            </w:r>
            <w:r w:rsidRPr="00211BE4">
              <w:rPr>
                <w:sz w:val="18"/>
              </w:rPr>
              <w:t>EPPO 1997</w:t>
            </w:r>
            <w:r w:rsidRPr="00E735F3">
              <w:rPr>
                <w:sz w:val="18"/>
              </w:rPr>
              <w:t xml:space="preserve">). The ‘Nauru’ biotype, which is not known to be present in Australia, but the most widely distributed biotype in the Pacific, has not been recorded on citrus (De Barro </w:t>
            </w:r>
            <w:r w:rsidRPr="00E735F3">
              <w:rPr>
                <w:i/>
                <w:sz w:val="18"/>
              </w:rPr>
              <w:t>et al</w:t>
            </w:r>
            <w:r w:rsidRPr="00E735F3">
              <w:rPr>
                <w:sz w:val="18"/>
              </w:rPr>
              <w:t>. 1998).</w:t>
            </w:r>
          </w:p>
        </w:tc>
        <w:tc>
          <w:tcPr>
            <w:tcW w:w="2410" w:type="dxa"/>
            <w:tcBorders>
              <w:top w:val="nil"/>
              <w:left w:val="nil"/>
              <w:bottom w:val="nil"/>
              <w:right w:val="nil"/>
            </w:tcBorders>
            <w:shd w:val="clear" w:color="auto" w:fill="auto"/>
          </w:tcPr>
          <w:p w14:paraId="20539FC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32583F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1445913" w14:textId="77777777" w:rsidR="00E735F3" w:rsidRPr="00E735F3" w:rsidRDefault="00E735F3" w:rsidP="00E735F3">
            <w:pPr>
              <w:spacing w:before="60" w:after="60" w:line="240" w:lineRule="auto"/>
              <w:rPr>
                <w:sz w:val="18"/>
              </w:rPr>
            </w:pPr>
            <w:r w:rsidRPr="00E735F3">
              <w:rPr>
                <w:sz w:val="18"/>
              </w:rPr>
              <w:t>No</w:t>
            </w:r>
          </w:p>
        </w:tc>
      </w:tr>
      <w:tr w:rsidR="00E735F3" w:rsidRPr="00E735F3" w14:paraId="5530C91B" w14:textId="77777777" w:rsidTr="00063347">
        <w:trPr>
          <w:cantSplit/>
        </w:trPr>
        <w:tc>
          <w:tcPr>
            <w:tcW w:w="3403" w:type="dxa"/>
            <w:tcBorders>
              <w:top w:val="nil"/>
              <w:left w:val="nil"/>
              <w:bottom w:val="nil"/>
              <w:right w:val="nil"/>
            </w:tcBorders>
          </w:tcPr>
          <w:p w14:paraId="2AA00FA3" w14:textId="77777777" w:rsidR="00E735F3" w:rsidRPr="00E735F3" w:rsidRDefault="00E735F3" w:rsidP="00E735F3">
            <w:pPr>
              <w:spacing w:before="60" w:after="60" w:line="240" w:lineRule="auto"/>
              <w:rPr>
                <w:sz w:val="18"/>
              </w:rPr>
            </w:pPr>
            <w:r w:rsidRPr="00E735F3">
              <w:rPr>
                <w:b/>
                <w:i/>
                <w:sz w:val="18"/>
              </w:rPr>
              <w:t>Ceroplastes ceriferus</w:t>
            </w:r>
            <w:r w:rsidRPr="00E735F3">
              <w:rPr>
                <w:sz w:val="18"/>
              </w:rPr>
              <w:t xml:space="preserve"> (Fabricius, 1798)</w:t>
            </w:r>
          </w:p>
          <w:p w14:paraId="59849809" w14:textId="77777777" w:rsidR="00E735F3" w:rsidRPr="00E735F3" w:rsidRDefault="00E735F3" w:rsidP="00E735F3">
            <w:pPr>
              <w:spacing w:before="60" w:after="60" w:line="240" w:lineRule="auto"/>
              <w:rPr>
                <w:sz w:val="18"/>
              </w:rPr>
            </w:pPr>
            <w:r w:rsidRPr="00E735F3">
              <w:rPr>
                <w:sz w:val="18"/>
              </w:rPr>
              <w:t>[Coccidae]</w:t>
            </w:r>
          </w:p>
          <w:p w14:paraId="4EC97779" w14:textId="77777777" w:rsidR="00E735F3" w:rsidRPr="00E735F3" w:rsidRDefault="00E735F3" w:rsidP="00E735F3">
            <w:pPr>
              <w:spacing w:before="60" w:after="60" w:line="240" w:lineRule="auto"/>
              <w:rPr>
                <w:i/>
                <w:sz w:val="18"/>
              </w:rPr>
            </w:pPr>
            <w:r w:rsidRPr="00E735F3">
              <w:rPr>
                <w:sz w:val="18"/>
              </w:rPr>
              <w:t>Indian wax scale</w:t>
            </w:r>
          </w:p>
        </w:tc>
        <w:tc>
          <w:tcPr>
            <w:tcW w:w="1974" w:type="dxa"/>
            <w:tcBorders>
              <w:top w:val="nil"/>
              <w:left w:val="nil"/>
              <w:bottom w:val="nil"/>
              <w:right w:val="nil"/>
            </w:tcBorders>
          </w:tcPr>
          <w:p w14:paraId="21F92D82" w14:textId="77777777" w:rsidR="00E735F3" w:rsidRPr="00E735F3" w:rsidRDefault="00E735F3" w:rsidP="00E735F3">
            <w:pPr>
              <w:spacing w:before="60" w:after="60" w:line="240" w:lineRule="auto"/>
              <w:rPr>
                <w:sz w:val="18"/>
              </w:rPr>
            </w:pPr>
            <w:r w:rsidRPr="00E735F3">
              <w:rPr>
                <w:sz w:val="18"/>
              </w:rPr>
              <w:t xml:space="preserve">Cook Islands, Tonga, Vanuatu (Garcia Morales </w:t>
            </w:r>
            <w:r w:rsidRPr="00E735F3">
              <w:rPr>
                <w:i/>
                <w:sz w:val="18"/>
              </w:rPr>
              <w:t>et al</w:t>
            </w:r>
            <w:r w:rsidRPr="00E735F3">
              <w:rPr>
                <w:sz w:val="18"/>
              </w:rPr>
              <w:t>. 2016).</w:t>
            </w:r>
          </w:p>
        </w:tc>
        <w:tc>
          <w:tcPr>
            <w:tcW w:w="1701" w:type="dxa"/>
            <w:tcBorders>
              <w:top w:val="nil"/>
              <w:left w:val="nil"/>
              <w:bottom w:val="nil"/>
              <w:right w:val="nil"/>
            </w:tcBorders>
            <w:shd w:val="clear" w:color="auto" w:fill="auto"/>
          </w:tcPr>
          <w:p w14:paraId="6F5391D1" w14:textId="77777777" w:rsidR="00E735F3" w:rsidRPr="00E735F3" w:rsidRDefault="00E735F3" w:rsidP="00E735F3">
            <w:pPr>
              <w:spacing w:before="60" w:after="60" w:line="240" w:lineRule="auto"/>
              <w:rPr>
                <w:sz w:val="18"/>
              </w:rPr>
            </w:pPr>
            <w:r w:rsidRPr="00E735F3">
              <w:rPr>
                <w:sz w:val="18"/>
              </w:rPr>
              <w:t>Yes. NSW, Qld and WA (Qin and Gullan 1994).</w:t>
            </w:r>
          </w:p>
        </w:tc>
        <w:tc>
          <w:tcPr>
            <w:tcW w:w="2410" w:type="dxa"/>
            <w:tcBorders>
              <w:top w:val="nil"/>
              <w:left w:val="nil"/>
              <w:bottom w:val="nil"/>
              <w:right w:val="nil"/>
            </w:tcBorders>
          </w:tcPr>
          <w:p w14:paraId="740DE49A" w14:textId="1710A56E"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5407D48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B70AD6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CBA613A" w14:textId="77777777" w:rsidR="00E735F3" w:rsidRPr="00E735F3" w:rsidRDefault="00E735F3" w:rsidP="00E735F3">
            <w:pPr>
              <w:spacing w:before="60" w:after="60" w:line="240" w:lineRule="auto"/>
              <w:rPr>
                <w:sz w:val="18"/>
              </w:rPr>
            </w:pPr>
            <w:r w:rsidRPr="00E735F3">
              <w:rPr>
                <w:sz w:val="18"/>
              </w:rPr>
              <w:t xml:space="preserve">No </w:t>
            </w:r>
          </w:p>
        </w:tc>
      </w:tr>
      <w:tr w:rsidR="00E735F3" w:rsidRPr="00E735F3" w14:paraId="6869A236" w14:textId="77777777" w:rsidTr="00063347">
        <w:trPr>
          <w:cantSplit/>
          <w:trHeight w:val="694"/>
        </w:trPr>
        <w:tc>
          <w:tcPr>
            <w:tcW w:w="3403" w:type="dxa"/>
            <w:tcBorders>
              <w:top w:val="nil"/>
              <w:left w:val="nil"/>
              <w:bottom w:val="nil"/>
              <w:right w:val="nil"/>
            </w:tcBorders>
          </w:tcPr>
          <w:p w14:paraId="4BA0053F" w14:textId="77777777" w:rsidR="00E735F3" w:rsidRPr="00E735F3" w:rsidRDefault="00E735F3" w:rsidP="00E735F3">
            <w:pPr>
              <w:spacing w:before="60" w:after="60" w:line="240" w:lineRule="auto"/>
              <w:rPr>
                <w:sz w:val="18"/>
              </w:rPr>
            </w:pPr>
            <w:r w:rsidRPr="00E735F3">
              <w:rPr>
                <w:b/>
                <w:i/>
                <w:sz w:val="18"/>
              </w:rPr>
              <w:t>Ceroplastes rubens</w:t>
            </w:r>
            <w:r w:rsidRPr="00E735F3">
              <w:rPr>
                <w:i/>
                <w:sz w:val="18"/>
              </w:rPr>
              <w:t xml:space="preserve"> </w:t>
            </w:r>
            <w:r w:rsidRPr="00E735F3">
              <w:rPr>
                <w:sz w:val="18"/>
              </w:rPr>
              <w:t>Maskell, 1893</w:t>
            </w:r>
          </w:p>
          <w:p w14:paraId="54F62611" w14:textId="77777777" w:rsidR="00E735F3" w:rsidRPr="00E735F3" w:rsidRDefault="00E735F3" w:rsidP="00E735F3">
            <w:pPr>
              <w:spacing w:before="60" w:after="60" w:line="240" w:lineRule="auto"/>
              <w:rPr>
                <w:sz w:val="18"/>
              </w:rPr>
            </w:pPr>
            <w:r w:rsidRPr="00E735F3">
              <w:rPr>
                <w:sz w:val="18"/>
              </w:rPr>
              <w:t>[Coccidae]</w:t>
            </w:r>
          </w:p>
          <w:p w14:paraId="021F2E66" w14:textId="271F8667" w:rsidR="00E735F3" w:rsidRPr="00E735F3" w:rsidRDefault="00E735F3" w:rsidP="001138C2">
            <w:pPr>
              <w:spacing w:before="60" w:after="60" w:line="240" w:lineRule="auto"/>
              <w:rPr>
                <w:i/>
                <w:sz w:val="18"/>
              </w:rPr>
            </w:pPr>
            <w:r w:rsidRPr="00E735F3">
              <w:rPr>
                <w:sz w:val="18"/>
              </w:rPr>
              <w:t>Pink wax scale</w:t>
            </w:r>
          </w:p>
        </w:tc>
        <w:tc>
          <w:tcPr>
            <w:tcW w:w="1974" w:type="dxa"/>
            <w:tcBorders>
              <w:top w:val="nil"/>
              <w:left w:val="nil"/>
              <w:bottom w:val="nil"/>
              <w:right w:val="nil"/>
            </w:tcBorders>
          </w:tcPr>
          <w:p w14:paraId="0143B8D4" w14:textId="77777777" w:rsidR="00E735F3" w:rsidRPr="00E735F3" w:rsidRDefault="00E735F3" w:rsidP="00E735F3">
            <w:pPr>
              <w:spacing w:before="60" w:after="60" w:line="240" w:lineRule="auto"/>
              <w:rPr>
                <w:sz w:val="18"/>
              </w:rPr>
            </w:pPr>
            <w:r w:rsidRPr="00E735F3">
              <w:rPr>
                <w:sz w:val="18"/>
              </w:rPr>
              <w:t xml:space="preserve">Cook Islands, Samoa, Vanuatu (Garcia Morales </w:t>
            </w:r>
            <w:r w:rsidRPr="00E735F3">
              <w:rPr>
                <w:i/>
                <w:sz w:val="18"/>
              </w:rPr>
              <w:t>et al.</w:t>
            </w:r>
            <w:r w:rsidRPr="00E735F3">
              <w:rPr>
                <w:sz w:val="18"/>
              </w:rPr>
              <w:t xml:space="preserve"> 2016), Niue (Williams and Watson 1990), Tonga (SPC 2016).</w:t>
            </w:r>
          </w:p>
        </w:tc>
        <w:tc>
          <w:tcPr>
            <w:tcW w:w="1701" w:type="dxa"/>
            <w:tcBorders>
              <w:top w:val="nil"/>
              <w:left w:val="nil"/>
              <w:bottom w:val="nil"/>
              <w:right w:val="nil"/>
            </w:tcBorders>
            <w:shd w:val="clear" w:color="auto" w:fill="auto"/>
          </w:tcPr>
          <w:p w14:paraId="1E165238" w14:textId="77777777" w:rsidR="00E735F3" w:rsidRPr="00E735F3" w:rsidRDefault="00E735F3" w:rsidP="00E735F3">
            <w:pPr>
              <w:spacing w:before="60" w:after="60" w:line="240" w:lineRule="auto"/>
              <w:rPr>
                <w:sz w:val="18"/>
              </w:rPr>
            </w:pPr>
            <w:r w:rsidRPr="00E735F3">
              <w:rPr>
                <w:sz w:val="18"/>
              </w:rPr>
              <w:t>Yes. ACT, NSW, NT, Qld, Vic. and WA (Qin and Gullan 1994).</w:t>
            </w:r>
          </w:p>
        </w:tc>
        <w:tc>
          <w:tcPr>
            <w:tcW w:w="2410" w:type="dxa"/>
            <w:tcBorders>
              <w:top w:val="nil"/>
              <w:left w:val="nil"/>
              <w:bottom w:val="nil"/>
              <w:right w:val="nil"/>
            </w:tcBorders>
          </w:tcPr>
          <w:p w14:paraId="595CF777" w14:textId="4AB0F911"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5E8E881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D07426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A8A5848" w14:textId="77777777" w:rsidR="00E735F3" w:rsidRPr="00E735F3" w:rsidRDefault="00E735F3" w:rsidP="00E735F3">
            <w:pPr>
              <w:spacing w:before="60" w:after="60" w:line="240" w:lineRule="auto"/>
              <w:rPr>
                <w:sz w:val="18"/>
              </w:rPr>
            </w:pPr>
            <w:r w:rsidRPr="00E735F3">
              <w:rPr>
                <w:sz w:val="18"/>
              </w:rPr>
              <w:t xml:space="preserve">No </w:t>
            </w:r>
          </w:p>
        </w:tc>
      </w:tr>
      <w:tr w:rsidR="00E735F3" w:rsidRPr="00E735F3" w14:paraId="1DE1B4C0" w14:textId="77777777" w:rsidTr="00063347">
        <w:trPr>
          <w:cantSplit/>
        </w:trPr>
        <w:tc>
          <w:tcPr>
            <w:tcW w:w="3403" w:type="dxa"/>
            <w:tcBorders>
              <w:top w:val="nil"/>
              <w:left w:val="nil"/>
              <w:bottom w:val="nil"/>
              <w:right w:val="nil"/>
            </w:tcBorders>
          </w:tcPr>
          <w:p w14:paraId="3780EC93" w14:textId="1A370DB1" w:rsidR="00E735F3" w:rsidRPr="00E735F3" w:rsidRDefault="00E735F3" w:rsidP="00E735F3">
            <w:pPr>
              <w:spacing w:before="60" w:after="60" w:line="240" w:lineRule="auto"/>
              <w:rPr>
                <w:sz w:val="18"/>
              </w:rPr>
            </w:pPr>
            <w:r w:rsidRPr="00E735F3">
              <w:rPr>
                <w:b/>
                <w:i/>
                <w:sz w:val="18"/>
              </w:rPr>
              <w:t>Chrysomphalus aonidum</w:t>
            </w:r>
            <w:r w:rsidRPr="00E735F3">
              <w:rPr>
                <w:i/>
                <w:sz w:val="18"/>
              </w:rPr>
              <w:t xml:space="preserve"> </w:t>
            </w:r>
            <w:r w:rsidRPr="00E735F3">
              <w:rPr>
                <w:sz w:val="18"/>
              </w:rPr>
              <w:t>(L</w:t>
            </w:r>
            <w:r w:rsidR="0062504A">
              <w:rPr>
                <w:sz w:val="18"/>
              </w:rPr>
              <w:t>.</w:t>
            </w:r>
            <w:r w:rsidRPr="00E735F3">
              <w:rPr>
                <w:sz w:val="18"/>
              </w:rPr>
              <w:t>, 1758)</w:t>
            </w:r>
          </w:p>
          <w:p w14:paraId="6800A003" w14:textId="77777777" w:rsidR="00E735F3" w:rsidRPr="00E735F3" w:rsidRDefault="00E735F3" w:rsidP="00E735F3">
            <w:pPr>
              <w:spacing w:before="60" w:after="60" w:line="240" w:lineRule="auto"/>
              <w:rPr>
                <w:sz w:val="18"/>
              </w:rPr>
            </w:pPr>
            <w:r w:rsidRPr="00E735F3">
              <w:rPr>
                <w:sz w:val="18"/>
              </w:rPr>
              <w:t>[Diaspididae]</w:t>
            </w:r>
          </w:p>
          <w:p w14:paraId="7B078068" w14:textId="77777777" w:rsidR="00E735F3" w:rsidRPr="00E735F3" w:rsidRDefault="00E735F3" w:rsidP="00E735F3">
            <w:pPr>
              <w:spacing w:before="60" w:after="60" w:line="240" w:lineRule="auto"/>
              <w:rPr>
                <w:i/>
                <w:sz w:val="18"/>
              </w:rPr>
            </w:pPr>
            <w:r w:rsidRPr="00E735F3">
              <w:rPr>
                <w:sz w:val="18"/>
              </w:rPr>
              <w:t>Florida red scale</w:t>
            </w:r>
          </w:p>
        </w:tc>
        <w:tc>
          <w:tcPr>
            <w:tcW w:w="1974" w:type="dxa"/>
            <w:tcBorders>
              <w:top w:val="nil"/>
              <w:left w:val="nil"/>
              <w:bottom w:val="nil"/>
              <w:right w:val="nil"/>
            </w:tcBorders>
          </w:tcPr>
          <w:p w14:paraId="69D61681" w14:textId="77777777" w:rsidR="00E735F3" w:rsidRPr="00E735F3" w:rsidRDefault="00E735F3" w:rsidP="00E735F3">
            <w:pPr>
              <w:spacing w:before="60" w:after="60" w:line="240" w:lineRule="auto"/>
              <w:rPr>
                <w:sz w:val="18"/>
              </w:rPr>
            </w:pPr>
            <w:r w:rsidRPr="00E735F3">
              <w:rPr>
                <w:sz w:val="18"/>
              </w:rPr>
              <w:t xml:space="preserve">Cook Islands, Niue, Samoa, Tonga (Garcia Morales </w:t>
            </w:r>
            <w:r w:rsidRPr="00E735F3">
              <w:rPr>
                <w:i/>
                <w:sz w:val="18"/>
              </w:rPr>
              <w:t>et al.</w:t>
            </w:r>
            <w:r w:rsidRPr="00E735F3">
              <w:rPr>
                <w:sz w:val="18"/>
              </w:rPr>
              <w:t xml:space="preserve"> 2016; Watson 2016).</w:t>
            </w:r>
          </w:p>
        </w:tc>
        <w:tc>
          <w:tcPr>
            <w:tcW w:w="1701" w:type="dxa"/>
            <w:tcBorders>
              <w:top w:val="nil"/>
              <w:left w:val="nil"/>
              <w:bottom w:val="nil"/>
              <w:right w:val="nil"/>
            </w:tcBorders>
            <w:shd w:val="clear" w:color="auto" w:fill="auto"/>
          </w:tcPr>
          <w:p w14:paraId="552A5576" w14:textId="77777777" w:rsidR="00E735F3" w:rsidRPr="00E735F3" w:rsidRDefault="00E735F3" w:rsidP="00E735F3">
            <w:pPr>
              <w:spacing w:before="60" w:after="60" w:line="240" w:lineRule="auto"/>
              <w:rPr>
                <w:sz w:val="18"/>
              </w:rPr>
            </w:pPr>
            <w:r w:rsidRPr="00E735F3">
              <w:rPr>
                <w:sz w:val="18"/>
              </w:rPr>
              <w:t>Yes. NSW, NT, Qld and WA (Poole 2010; Donaldson and Tsang 2002).</w:t>
            </w:r>
          </w:p>
        </w:tc>
        <w:tc>
          <w:tcPr>
            <w:tcW w:w="2410" w:type="dxa"/>
            <w:tcBorders>
              <w:top w:val="nil"/>
              <w:left w:val="nil"/>
              <w:bottom w:val="nil"/>
              <w:right w:val="nil"/>
            </w:tcBorders>
          </w:tcPr>
          <w:p w14:paraId="541D80B5" w14:textId="024FD7B9"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0ADF8EB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D73296C"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608E263" w14:textId="77777777" w:rsidR="00E735F3" w:rsidRPr="00E735F3" w:rsidRDefault="00F67F65" w:rsidP="00E735F3">
            <w:pPr>
              <w:spacing w:before="60" w:after="60" w:line="240" w:lineRule="auto"/>
              <w:rPr>
                <w:sz w:val="18"/>
              </w:rPr>
            </w:pPr>
            <w:r>
              <w:rPr>
                <w:sz w:val="18"/>
              </w:rPr>
              <w:t>No</w:t>
            </w:r>
          </w:p>
        </w:tc>
      </w:tr>
      <w:tr w:rsidR="00E735F3" w:rsidRPr="00E735F3" w14:paraId="584D7993" w14:textId="77777777" w:rsidTr="00063347">
        <w:trPr>
          <w:cantSplit/>
        </w:trPr>
        <w:tc>
          <w:tcPr>
            <w:tcW w:w="3403" w:type="dxa"/>
            <w:tcBorders>
              <w:top w:val="nil"/>
              <w:left w:val="nil"/>
              <w:bottom w:val="nil"/>
              <w:right w:val="nil"/>
            </w:tcBorders>
            <w:shd w:val="clear" w:color="auto" w:fill="FFFFFF"/>
          </w:tcPr>
          <w:p w14:paraId="76DFF9D8" w14:textId="77777777" w:rsidR="00E735F3" w:rsidRPr="00E735F3" w:rsidRDefault="00E735F3" w:rsidP="00E735F3">
            <w:pPr>
              <w:spacing w:before="60" w:after="60" w:line="240" w:lineRule="auto"/>
              <w:rPr>
                <w:sz w:val="18"/>
              </w:rPr>
            </w:pPr>
            <w:r w:rsidRPr="00E735F3">
              <w:rPr>
                <w:b/>
                <w:i/>
                <w:sz w:val="18"/>
              </w:rPr>
              <w:t>Chrysomphalus dictyospermi</w:t>
            </w:r>
            <w:r w:rsidRPr="00E735F3">
              <w:rPr>
                <w:i/>
                <w:sz w:val="18"/>
              </w:rPr>
              <w:t xml:space="preserve"> </w:t>
            </w:r>
            <w:r w:rsidRPr="00E735F3">
              <w:rPr>
                <w:sz w:val="18"/>
              </w:rPr>
              <w:t>(Morgan, 1889)</w:t>
            </w:r>
          </w:p>
          <w:p w14:paraId="0980DA58" w14:textId="77777777" w:rsidR="00E735F3" w:rsidRPr="00E735F3" w:rsidRDefault="00E735F3" w:rsidP="00E735F3">
            <w:pPr>
              <w:spacing w:before="60" w:after="60" w:line="240" w:lineRule="auto"/>
              <w:rPr>
                <w:sz w:val="18"/>
              </w:rPr>
            </w:pPr>
            <w:r w:rsidRPr="00E735F3">
              <w:rPr>
                <w:sz w:val="18"/>
              </w:rPr>
              <w:t>[Diaspididae]</w:t>
            </w:r>
          </w:p>
          <w:p w14:paraId="2F4513A6" w14:textId="77777777" w:rsidR="00E735F3" w:rsidRPr="00E735F3" w:rsidRDefault="00E735F3" w:rsidP="00E735F3">
            <w:pPr>
              <w:spacing w:before="60" w:after="60" w:line="240" w:lineRule="auto"/>
              <w:rPr>
                <w:sz w:val="18"/>
              </w:rPr>
            </w:pPr>
            <w:r w:rsidRPr="00E735F3">
              <w:rPr>
                <w:sz w:val="18"/>
              </w:rPr>
              <w:t>Spanish red scale</w:t>
            </w:r>
          </w:p>
        </w:tc>
        <w:tc>
          <w:tcPr>
            <w:tcW w:w="1974" w:type="dxa"/>
            <w:tcBorders>
              <w:top w:val="nil"/>
              <w:left w:val="nil"/>
              <w:bottom w:val="nil"/>
              <w:right w:val="nil"/>
            </w:tcBorders>
            <w:shd w:val="clear" w:color="auto" w:fill="FFFFFF"/>
          </w:tcPr>
          <w:p w14:paraId="080F8B32" w14:textId="77777777" w:rsidR="00E735F3" w:rsidRPr="00E735F3" w:rsidRDefault="00E735F3" w:rsidP="00E735F3">
            <w:pPr>
              <w:spacing w:before="60" w:after="60" w:line="240" w:lineRule="auto"/>
              <w:rPr>
                <w:sz w:val="18"/>
              </w:rPr>
            </w:pPr>
            <w:r w:rsidRPr="00E735F3">
              <w:rPr>
                <w:sz w:val="18"/>
              </w:rPr>
              <w:t>Cook Islands, Niue, Samoa, Tonga (Watson 2016).</w:t>
            </w:r>
          </w:p>
        </w:tc>
        <w:tc>
          <w:tcPr>
            <w:tcW w:w="1701" w:type="dxa"/>
            <w:tcBorders>
              <w:top w:val="nil"/>
              <w:left w:val="nil"/>
              <w:bottom w:val="nil"/>
              <w:right w:val="nil"/>
            </w:tcBorders>
            <w:shd w:val="clear" w:color="auto" w:fill="FFFFFF"/>
          </w:tcPr>
          <w:p w14:paraId="575BA001" w14:textId="77777777" w:rsidR="00E735F3" w:rsidRDefault="00E735F3" w:rsidP="00E735F3">
            <w:pPr>
              <w:spacing w:before="60" w:after="60" w:line="240" w:lineRule="auto"/>
              <w:rPr>
                <w:sz w:val="18"/>
              </w:rPr>
            </w:pPr>
            <w:r w:rsidRPr="00E735F3">
              <w:rPr>
                <w:sz w:val="18"/>
              </w:rPr>
              <w:t>Yes. Qld (Donaldson and Tsang 2002).</w:t>
            </w:r>
          </w:p>
          <w:p w14:paraId="711631F5" w14:textId="4C137FD1"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shd w:val="clear" w:color="auto" w:fill="FFFFFF"/>
          </w:tcPr>
          <w:p w14:paraId="7B877DE9" w14:textId="77777777" w:rsidR="00E735F3" w:rsidRPr="00E735F3" w:rsidRDefault="00E735F3" w:rsidP="00E735F3">
            <w:pPr>
              <w:spacing w:before="60" w:after="60" w:line="240" w:lineRule="auto"/>
              <w:rPr>
                <w:sz w:val="18"/>
              </w:rPr>
            </w:pPr>
            <w:r w:rsidRPr="00E735F3">
              <w:rPr>
                <w:sz w:val="18"/>
              </w:rPr>
              <w:t>Yes. Highly polyphagous pest associated with a number of citrus species. Typically found on the upper surface of the leaves but can also infest fruit (Stout 1982; Miller and Davidson 2005).</w:t>
            </w:r>
          </w:p>
        </w:tc>
        <w:tc>
          <w:tcPr>
            <w:tcW w:w="2410" w:type="dxa"/>
            <w:tcBorders>
              <w:top w:val="nil"/>
              <w:left w:val="nil"/>
              <w:bottom w:val="nil"/>
              <w:right w:val="nil"/>
            </w:tcBorders>
            <w:shd w:val="clear" w:color="auto" w:fill="FFFFFF"/>
          </w:tcPr>
          <w:p w14:paraId="17F641DE"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species has already established in Qld and has a wide distribution globally. It is highly polyphagous (Garcia Morales </w:t>
            </w:r>
            <w:r w:rsidRPr="00CF6334">
              <w:rPr>
                <w:i/>
                <w:sz w:val="18"/>
              </w:rPr>
              <w:t>et al.</w:t>
            </w:r>
            <w:r w:rsidRPr="00CF6334">
              <w:rPr>
                <w:sz w:val="18"/>
              </w:rPr>
              <w:t xml:space="preserve"> 2016) and feeds on many plants that are common in Australia.</w:t>
            </w:r>
            <w:r w:rsidR="00E735F3" w:rsidRPr="00E735F3">
              <w:rPr>
                <w:sz w:val="18"/>
              </w:rPr>
              <w:t xml:space="preserve"> </w:t>
            </w:r>
          </w:p>
        </w:tc>
        <w:tc>
          <w:tcPr>
            <w:tcW w:w="2268" w:type="dxa"/>
            <w:tcBorders>
              <w:top w:val="nil"/>
              <w:left w:val="nil"/>
              <w:bottom w:val="nil"/>
              <w:right w:val="nil"/>
            </w:tcBorders>
            <w:shd w:val="clear" w:color="auto" w:fill="FFFFFF"/>
          </w:tcPr>
          <w:p w14:paraId="5D499C9E"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species is a serious pest of citrus in the western Mediterranean, Greece and Iran (Garcia Morales </w:t>
            </w:r>
            <w:r w:rsidRPr="00CF6334">
              <w:rPr>
                <w:i/>
                <w:sz w:val="18"/>
              </w:rPr>
              <w:t>et al.</w:t>
            </w:r>
            <w:r w:rsidRPr="00CF6334">
              <w:rPr>
                <w:sz w:val="18"/>
              </w:rPr>
              <w:t xml:space="preserve"> 2016</w:t>
            </w:r>
            <w:r>
              <w:rPr>
                <w:sz w:val="18"/>
              </w:rPr>
              <w:t>)</w:t>
            </w:r>
            <w:r w:rsidRPr="00CF6334">
              <w:rPr>
                <w:sz w:val="18"/>
              </w:rPr>
              <w:t>.</w:t>
            </w:r>
            <w:r w:rsidR="00E735F3" w:rsidRPr="00E735F3">
              <w:rPr>
                <w:sz w:val="18"/>
              </w:rPr>
              <w:t xml:space="preserve"> </w:t>
            </w:r>
          </w:p>
        </w:tc>
        <w:tc>
          <w:tcPr>
            <w:tcW w:w="1285" w:type="dxa"/>
            <w:tcBorders>
              <w:top w:val="nil"/>
              <w:left w:val="nil"/>
              <w:bottom w:val="nil"/>
              <w:right w:val="nil"/>
            </w:tcBorders>
            <w:shd w:val="clear" w:color="auto" w:fill="auto"/>
          </w:tcPr>
          <w:p w14:paraId="5E14A010" w14:textId="6805F0C2" w:rsidR="00E735F3" w:rsidRPr="00E735F3" w:rsidRDefault="00DD114D" w:rsidP="00B2341E">
            <w:pPr>
              <w:spacing w:before="60" w:after="60" w:line="240" w:lineRule="auto"/>
              <w:rPr>
                <w:b/>
                <w:bCs/>
                <w:sz w:val="18"/>
              </w:rPr>
            </w:pPr>
            <w:r w:rsidRPr="00DD114D">
              <w:rPr>
                <w:b/>
                <w:bCs/>
                <w:sz w:val="18"/>
              </w:rPr>
              <w:t>Yes</w:t>
            </w:r>
            <w:r w:rsidR="00360033">
              <w:rPr>
                <w:bCs/>
                <w:sz w:val="18"/>
              </w:rPr>
              <w:t xml:space="preserve"> </w:t>
            </w:r>
            <w:r w:rsidRPr="00DD114D">
              <w:rPr>
                <w:bCs/>
                <w:sz w:val="18"/>
              </w:rPr>
              <w:t>(WA)</w:t>
            </w:r>
          </w:p>
        </w:tc>
      </w:tr>
      <w:tr w:rsidR="00E735F3" w:rsidRPr="00E735F3" w14:paraId="23E2D7C5" w14:textId="77777777" w:rsidTr="00063347">
        <w:trPr>
          <w:cantSplit/>
        </w:trPr>
        <w:tc>
          <w:tcPr>
            <w:tcW w:w="3403" w:type="dxa"/>
            <w:tcBorders>
              <w:top w:val="nil"/>
              <w:left w:val="nil"/>
              <w:bottom w:val="nil"/>
              <w:right w:val="nil"/>
            </w:tcBorders>
          </w:tcPr>
          <w:p w14:paraId="2F3DEE98" w14:textId="4C9C146E" w:rsidR="00E735F3" w:rsidRPr="00E735F3" w:rsidRDefault="00E735F3" w:rsidP="00E735F3">
            <w:pPr>
              <w:spacing w:before="60" w:after="60" w:line="240" w:lineRule="auto"/>
              <w:rPr>
                <w:sz w:val="18"/>
              </w:rPr>
            </w:pPr>
            <w:r w:rsidRPr="00E735F3">
              <w:rPr>
                <w:b/>
                <w:i/>
                <w:sz w:val="18"/>
              </w:rPr>
              <w:t>Coccus hesperidum</w:t>
            </w:r>
            <w:r w:rsidRPr="00E735F3">
              <w:rPr>
                <w:i/>
                <w:sz w:val="18"/>
              </w:rPr>
              <w:t xml:space="preserve"> </w:t>
            </w:r>
            <w:r w:rsidRPr="00E735F3">
              <w:rPr>
                <w:sz w:val="18"/>
              </w:rPr>
              <w:t>L</w:t>
            </w:r>
            <w:r w:rsidR="0062504A">
              <w:rPr>
                <w:sz w:val="18"/>
              </w:rPr>
              <w:t>.</w:t>
            </w:r>
            <w:r w:rsidRPr="00E735F3">
              <w:rPr>
                <w:sz w:val="18"/>
              </w:rPr>
              <w:t>, 1758</w:t>
            </w:r>
          </w:p>
          <w:p w14:paraId="75F71029" w14:textId="77777777" w:rsidR="00E735F3" w:rsidRPr="00E735F3" w:rsidRDefault="00E735F3" w:rsidP="00E735F3">
            <w:pPr>
              <w:spacing w:before="60" w:after="60" w:line="240" w:lineRule="auto"/>
              <w:rPr>
                <w:sz w:val="18"/>
              </w:rPr>
            </w:pPr>
            <w:r w:rsidRPr="00E735F3">
              <w:rPr>
                <w:sz w:val="18"/>
              </w:rPr>
              <w:t>[Coccidae]</w:t>
            </w:r>
          </w:p>
          <w:p w14:paraId="2233F805" w14:textId="77777777" w:rsidR="00E735F3" w:rsidRPr="00E735F3" w:rsidRDefault="00E735F3" w:rsidP="00E735F3">
            <w:pPr>
              <w:spacing w:before="60" w:after="60" w:line="240" w:lineRule="auto"/>
              <w:rPr>
                <w:i/>
                <w:sz w:val="18"/>
              </w:rPr>
            </w:pPr>
            <w:r w:rsidRPr="00E735F3">
              <w:rPr>
                <w:sz w:val="18"/>
              </w:rPr>
              <w:t>Soft scale</w:t>
            </w:r>
          </w:p>
        </w:tc>
        <w:tc>
          <w:tcPr>
            <w:tcW w:w="1974" w:type="dxa"/>
            <w:tcBorders>
              <w:top w:val="nil"/>
              <w:left w:val="nil"/>
              <w:bottom w:val="nil"/>
              <w:right w:val="nil"/>
            </w:tcBorders>
          </w:tcPr>
          <w:p w14:paraId="3EBEACDC" w14:textId="77777777" w:rsidR="00E735F3" w:rsidRPr="00E735F3" w:rsidRDefault="00E735F3" w:rsidP="00E735F3">
            <w:pPr>
              <w:spacing w:before="60" w:after="60" w:line="240" w:lineRule="auto"/>
              <w:rPr>
                <w:sz w:val="18"/>
              </w:rPr>
            </w:pPr>
            <w:r w:rsidRPr="00E735F3">
              <w:rPr>
                <w:sz w:val="18"/>
              </w:rPr>
              <w:t>Cook Islands, Niue, Samoa, Tonga (Williams and Watson 1990), Vanuatu (Williams and Butcher 1987).</w:t>
            </w:r>
          </w:p>
        </w:tc>
        <w:tc>
          <w:tcPr>
            <w:tcW w:w="1701" w:type="dxa"/>
            <w:tcBorders>
              <w:top w:val="nil"/>
              <w:left w:val="nil"/>
              <w:bottom w:val="nil"/>
              <w:right w:val="nil"/>
            </w:tcBorders>
            <w:shd w:val="clear" w:color="auto" w:fill="auto"/>
          </w:tcPr>
          <w:p w14:paraId="33FA53FB" w14:textId="7EF64716" w:rsidR="00E735F3" w:rsidRPr="00E735F3" w:rsidRDefault="00E735F3" w:rsidP="00165B8A">
            <w:pPr>
              <w:spacing w:before="60" w:after="60" w:line="240" w:lineRule="auto"/>
              <w:rPr>
                <w:sz w:val="18"/>
              </w:rPr>
            </w:pPr>
            <w:r w:rsidRPr="00E735F3">
              <w:rPr>
                <w:sz w:val="18"/>
              </w:rPr>
              <w:t>Yes. NT, Qld, SA, Vic. and WA (</w:t>
            </w:r>
            <w:r w:rsidRPr="00165B8A">
              <w:rPr>
                <w:sz w:val="18"/>
              </w:rPr>
              <w:t>Smith</w:t>
            </w:r>
            <w:r w:rsidR="00165B8A">
              <w:rPr>
                <w:sz w:val="18"/>
                <w:highlight w:val="yellow"/>
              </w:rPr>
              <w:t xml:space="preserve"> </w:t>
            </w:r>
            <w:r w:rsidR="00165B8A" w:rsidRPr="00165B8A">
              <w:rPr>
                <w:sz w:val="18"/>
              </w:rPr>
              <w:t>D</w:t>
            </w:r>
            <w:r w:rsidRPr="00165B8A">
              <w:rPr>
                <w:sz w:val="18"/>
              </w:rPr>
              <w:t xml:space="preserve"> </w:t>
            </w:r>
            <w:r w:rsidRPr="00165B8A">
              <w:rPr>
                <w:i/>
                <w:sz w:val="18"/>
              </w:rPr>
              <w:t>et al</w:t>
            </w:r>
            <w:r w:rsidRPr="00165B8A">
              <w:rPr>
                <w:sz w:val="18"/>
              </w:rPr>
              <w:t>. 1997</w:t>
            </w:r>
            <w:r w:rsidRPr="00E735F3">
              <w:rPr>
                <w:sz w:val="18"/>
              </w:rPr>
              <w:t>), NSW, Tas. (CSIRO 2016).</w:t>
            </w:r>
          </w:p>
        </w:tc>
        <w:tc>
          <w:tcPr>
            <w:tcW w:w="2410" w:type="dxa"/>
            <w:tcBorders>
              <w:top w:val="nil"/>
              <w:left w:val="nil"/>
              <w:bottom w:val="nil"/>
              <w:right w:val="nil"/>
            </w:tcBorders>
          </w:tcPr>
          <w:p w14:paraId="257498C8" w14:textId="46F22D06"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0515E6E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448193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CFD1386" w14:textId="77777777" w:rsidR="00E735F3" w:rsidRPr="00E735F3" w:rsidRDefault="00F67F65" w:rsidP="00E735F3">
            <w:pPr>
              <w:spacing w:before="60" w:after="60" w:line="240" w:lineRule="auto"/>
              <w:rPr>
                <w:sz w:val="18"/>
              </w:rPr>
            </w:pPr>
            <w:r>
              <w:rPr>
                <w:sz w:val="18"/>
              </w:rPr>
              <w:t>No</w:t>
            </w:r>
          </w:p>
        </w:tc>
      </w:tr>
      <w:tr w:rsidR="00E735F3" w:rsidRPr="00E735F3" w14:paraId="57568B92" w14:textId="77777777" w:rsidTr="00063347">
        <w:trPr>
          <w:cantSplit/>
        </w:trPr>
        <w:tc>
          <w:tcPr>
            <w:tcW w:w="3403" w:type="dxa"/>
            <w:tcBorders>
              <w:top w:val="nil"/>
              <w:left w:val="nil"/>
              <w:bottom w:val="nil"/>
              <w:right w:val="nil"/>
            </w:tcBorders>
          </w:tcPr>
          <w:p w14:paraId="507C5D1C" w14:textId="77777777" w:rsidR="00E735F3" w:rsidRPr="00E735F3" w:rsidRDefault="00E735F3" w:rsidP="00E735F3">
            <w:pPr>
              <w:spacing w:before="60" w:after="60" w:line="240" w:lineRule="auto"/>
              <w:rPr>
                <w:sz w:val="18"/>
              </w:rPr>
            </w:pPr>
            <w:r w:rsidRPr="00E735F3">
              <w:rPr>
                <w:b/>
                <w:i/>
                <w:sz w:val="18"/>
              </w:rPr>
              <w:t>Coccus longulus</w:t>
            </w:r>
            <w:r w:rsidRPr="00E735F3">
              <w:rPr>
                <w:i/>
                <w:sz w:val="18"/>
              </w:rPr>
              <w:t xml:space="preserve"> </w:t>
            </w:r>
            <w:r w:rsidRPr="00E735F3">
              <w:rPr>
                <w:sz w:val="18"/>
              </w:rPr>
              <w:t xml:space="preserve">(Douglas, 1887) </w:t>
            </w:r>
          </w:p>
          <w:p w14:paraId="4E0CCC05" w14:textId="77777777" w:rsidR="00E735F3" w:rsidRPr="00E735F3" w:rsidRDefault="00E735F3" w:rsidP="00E735F3">
            <w:pPr>
              <w:spacing w:before="60" w:after="60" w:line="240" w:lineRule="auto"/>
              <w:rPr>
                <w:sz w:val="18"/>
              </w:rPr>
            </w:pPr>
            <w:r w:rsidRPr="00E735F3">
              <w:rPr>
                <w:sz w:val="18"/>
              </w:rPr>
              <w:t>[Coccidae]</w:t>
            </w:r>
          </w:p>
          <w:p w14:paraId="5BFBB548" w14:textId="77777777" w:rsidR="00E735F3" w:rsidRPr="00E735F3" w:rsidRDefault="00E735F3" w:rsidP="00E735F3">
            <w:pPr>
              <w:spacing w:before="60" w:after="60" w:line="240" w:lineRule="auto"/>
              <w:rPr>
                <w:i/>
                <w:sz w:val="18"/>
              </w:rPr>
            </w:pPr>
            <w:r w:rsidRPr="00E735F3">
              <w:rPr>
                <w:sz w:val="18"/>
              </w:rPr>
              <w:t>Long brown scale</w:t>
            </w:r>
          </w:p>
        </w:tc>
        <w:tc>
          <w:tcPr>
            <w:tcW w:w="1974" w:type="dxa"/>
            <w:tcBorders>
              <w:top w:val="nil"/>
              <w:left w:val="nil"/>
              <w:bottom w:val="nil"/>
              <w:right w:val="nil"/>
            </w:tcBorders>
          </w:tcPr>
          <w:p w14:paraId="62666059" w14:textId="77777777" w:rsidR="00E735F3" w:rsidRPr="00E735F3" w:rsidRDefault="00E735F3" w:rsidP="00E735F3">
            <w:pPr>
              <w:spacing w:before="60" w:after="60" w:line="240" w:lineRule="auto"/>
              <w:rPr>
                <w:sz w:val="18"/>
              </w:rPr>
            </w:pPr>
            <w:r w:rsidRPr="00E735F3">
              <w:rPr>
                <w:sz w:val="18"/>
              </w:rPr>
              <w:t xml:space="preserve">Cook Islands, Niue, Samoa, Vanuatu (Williams and Watson 1990; Garcia Morales </w:t>
            </w:r>
            <w:r w:rsidRPr="00E735F3">
              <w:rPr>
                <w:i/>
                <w:sz w:val="18"/>
              </w:rPr>
              <w:t>et al.</w:t>
            </w:r>
            <w:r w:rsidRPr="00E735F3">
              <w:rPr>
                <w:sz w:val="18"/>
              </w:rPr>
              <w:t xml:space="preserve"> 2016).</w:t>
            </w:r>
          </w:p>
        </w:tc>
        <w:tc>
          <w:tcPr>
            <w:tcW w:w="1701" w:type="dxa"/>
            <w:tcBorders>
              <w:top w:val="nil"/>
              <w:left w:val="nil"/>
              <w:bottom w:val="nil"/>
              <w:right w:val="nil"/>
            </w:tcBorders>
            <w:shd w:val="clear" w:color="auto" w:fill="auto"/>
          </w:tcPr>
          <w:p w14:paraId="0C8B2455" w14:textId="77777777" w:rsidR="00E735F3" w:rsidRPr="00E735F3" w:rsidRDefault="00E735F3" w:rsidP="00E735F3">
            <w:pPr>
              <w:spacing w:before="60" w:after="60" w:line="240" w:lineRule="auto"/>
              <w:rPr>
                <w:sz w:val="18"/>
              </w:rPr>
            </w:pPr>
            <w:r w:rsidRPr="00E735F3">
              <w:rPr>
                <w:sz w:val="18"/>
              </w:rPr>
              <w:t xml:space="preserve">Yes. NSW, NT, Qld, SA and WA (Garcia Morales </w:t>
            </w:r>
            <w:r w:rsidRPr="00E735F3">
              <w:rPr>
                <w:i/>
                <w:sz w:val="18"/>
              </w:rPr>
              <w:t>et al.</w:t>
            </w:r>
            <w:r w:rsidRPr="00E735F3">
              <w:rPr>
                <w:sz w:val="18"/>
              </w:rPr>
              <w:t xml:space="preserve"> 2016). </w:t>
            </w:r>
          </w:p>
        </w:tc>
        <w:tc>
          <w:tcPr>
            <w:tcW w:w="2410" w:type="dxa"/>
            <w:tcBorders>
              <w:top w:val="nil"/>
              <w:left w:val="nil"/>
              <w:bottom w:val="nil"/>
              <w:right w:val="nil"/>
            </w:tcBorders>
          </w:tcPr>
          <w:p w14:paraId="50FD76DE" w14:textId="6143EE66"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26C6000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4FB330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3E084E2" w14:textId="77777777" w:rsidR="00E735F3" w:rsidRPr="00E735F3" w:rsidRDefault="00E735F3" w:rsidP="00E735F3">
            <w:pPr>
              <w:spacing w:before="60" w:after="60" w:line="240" w:lineRule="auto"/>
              <w:rPr>
                <w:sz w:val="18"/>
              </w:rPr>
            </w:pPr>
            <w:r w:rsidRPr="00E735F3">
              <w:rPr>
                <w:sz w:val="18"/>
              </w:rPr>
              <w:t>No</w:t>
            </w:r>
          </w:p>
        </w:tc>
      </w:tr>
      <w:tr w:rsidR="00E735F3" w:rsidRPr="00E735F3" w14:paraId="2BD76108" w14:textId="77777777" w:rsidTr="00063347">
        <w:trPr>
          <w:cantSplit/>
          <w:trHeight w:val="694"/>
        </w:trPr>
        <w:tc>
          <w:tcPr>
            <w:tcW w:w="3403" w:type="dxa"/>
            <w:tcBorders>
              <w:top w:val="nil"/>
              <w:left w:val="nil"/>
              <w:bottom w:val="nil"/>
              <w:right w:val="nil"/>
            </w:tcBorders>
          </w:tcPr>
          <w:p w14:paraId="2E354618" w14:textId="77777777" w:rsidR="00E735F3" w:rsidRPr="00E735F3" w:rsidRDefault="00E735F3" w:rsidP="00E735F3">
            <w:pPr>
              <w:spacing w:before="60" w:after="60" w:line="240" w:lineRule="auto"/>
              <w:rPr>
                <w:sz w:val="18"/>
              </w:rPr>
            </w:pPr>
            <w:r w:rsidRPr="00E735F3">
              <w:rPr>
                <w:b/>
                <w:i/>
                <w:sz w:val="18"/>
              </w:rPr>
              <w:t>Coccus viridis</w:t>
            </w:r>
            <w:r w:rsidRPr="00E735F3">
              <w:rPr>
                <w:i/>
                <w:sz w:val="18"/>
              </w:rPr>
              <w:t xml:space="preserve"> </w:t>
            </w:r>
            <w:r w:rsidRPr="00E735F3">
              <w:rPr>
                <w:sz w:val="18"/>
              </w:rPr>
              <w:t>(Green, 1889)</w:t>
            </w:r>
          </w:p>
          <w:p w14:paraId="4CCEC954" w14:textId="77777777" w:rsidR="00E735F3" w:rsidRPr="00E735F3" w:rsidRDefault="00E735F3" w:rsidP="00E735F3">
            <w:pPr>
              <w:spacing w:before="60" w:after="60" w:line="240" w:lineRule="auto"/>
              <w:rPr>
                <w:sz w:val="18"/>
              </w:rPr>
            </w:pPr>
            <w:r w:rsidRPr="00E735F3">
              <w:rPr>
                <w:sz w:val="18"/>
              </w:rPr>
              <w:t>[Coccidae]</w:t>
            </w:r>
          </w:p>
          <w:p w14:paraId="340E87B7" w14:textId="77777777" w:rsidR="00E735F3" w:rsidRPr="00E735F3" w:rsidRDefault="00E735F3" w:rsidP="00E735F3">
            <w:pPr>
              <w:spacing w:before="60" w:after="60" w:line="240" w:lineRule="auto"/>
              <w:rPr>
                <w:i/>
                <w:sz w:val="18"/>
              </w:rPr>
            </w:pPr>
            <w:r w:rsidRPr="00E735F3">
              <w:rPr>
                <w:sz w:val="18"/>
              </w:rPr>
              <w:t>Soft green scale</w:t>
            </w:r>
          </w:p>
        </w:tc>
        <w:tc>
          <w:tcPr>
            <w:tcW w:w="1974" w:type="dxa"/>
            <w:tcBorders>
              <w:top w:val="nil"/>
              <w:left w:val="nil"/>
              <w:bottom w:val="nil"/>
              <w:right w:val="nil"/>
            </w:tcBorders>
          </w:tcPr>
          <w:p w14:paraId="2C79360C" w14:textId="77777777" w:rsidR="00E735F3" w:rsidRPr="00E735F3" w:rsidRDefault="00E735F3" w:rsidP="00E735F3">
            <w:pPr>
              <w:spacing w:before="60" w:after="60" w:line="240" w:lineRule="auto"/>
              <w:rPr>
                <w:sz w:val="18"/>
              </w:rPr>
            </w:pPr>
            <w:r w:rsidRPr="00E735F3">
              <w:rPr>
                <w:sz w:val="18"/>
              </w:rPr>
              <w:t xml:space="preserve">Cook Islands, Niue, Samoa, Tonga, Vanuatu (Williams and Watson 1990; Garcia Morales </w:t>
            </w:r>
            <w:r w:rsidRPr="00E735F3">
              <w:rPr>
                <w:i/>
                <w:sz w:val="18"/>
              </w:rPr>
              <w:t>et al.</w:t>
            </w:r>
            <w:r w:rsidRPr="00E735F3">
              <w:rPr>
                <w:sz w:val="18"/>
              </w:rPr>
              <w:t xml:space="preserve"> 2016).</w:t>
            </w:r>
          </w:p>
        </w:tc>
        <w:tc>
          <w:tcPr>
            <w:tcW w:w="1701" w:type="dxa"/>
            <w:tcBorders>
              <w:top w:val="nil"/>
              <w:left w:val="nil"/>
              <w:bottom w:val="nil"/>
              <w:right w:val="nil"/>
            </w:tcBorders>
            <w:shd w:val="clear" w:color="auto" w:fill="auto"/>
          </w:tcPr>
          <w:p w14:paraId="411B3789" w14:textId="77777777" w:rsidR="00E735F3" w:rsidRPr="00E735F3" w:rsidRDefault="00E735F3" w:rsidP="00E735F3">
            <w:pPr>
              <w:spacing w:before="60" w:after="60" w:line="240" w:lineRule="auto"/>
              <w:rPr>
                <w:sz w:val="18"/>
              </w:rPr>
            </w:pPr>
            <w:r w:rsidRPr="00E735F3">
              <w:rPr>
                <w:sz w:val="18"/>
              </w:rPr>
              <w:t>Yes. NSW, NT, Qld and WA (Poole 2005; Poole 2010).</w:t>
            </w:r>
          </w:p>
        </w:tc>
        <w:tc>
          <w:tcPr>
            <w:tcW w:w="2410" w:type="dxa"/>
            <w:tcBorders>
              <w:top w:val="nil"/>
              <w:left w:val="nil"/>
              <w:bottom w:val="nil"/>
              <w:right w:val="nil"/>
            </w:tcBorders>
          </w:tcPr>
          <w:p w14:paraId="4C2E600E" w14:textId="396DF021"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2A27D86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5A5765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7B953F9" w14:textId="77777777" w:rsidR="00E735F3" w:rsidRPr="00E735F3" w:rsidRDefault="00E735F3" w:rsidP="00E735F3">
            <w:pPr>
              <w:spacing w:before="60" w:after="60" w:line="240" w:lineRule="auto"/>
              <w:rPr>
                <w:sz w:val="18"/>
              </w:rPr>
            </w:pPr>
            <w:r w:rsidRPr="00E735F3">
              <w:rPr>
                <w:sz w:val="18"/>
              </w:rPr>
              <w:t>No</w:t>
            </w:r>
          </w:p>
        </w:tc>
      </w:tr>
      <w:tr w:rsidR="00E735F3" w:rsidRPr="00E735F3" w14:paraId="1165794D" w14:textId="77777777" w:rsidTr="00063347">
        <w:trPr>
          <w:cantSplit/>
        </w:trPr>
        <w:tc>
          <w:tcPr>
            <w:tcW w:w="3403" w:type="dxa"/>
            <w:tcBorders>
              <w:top w:val="nil"/>
              <w:left w:val="nil"/>
              <w:bottom w:val="nil"/>
              <w:right w:val="nil"/>
            </w:tcBorders>
          </w:tcPr>
          <w:p w14:paraId="00B24721" w14:textId="77777777" w:rsidR="00E735F3" w:rsidRPr="00E735F3" w:rsidRDefault="00E735F3" w:rsidP="00E735F3">
            <w:pPr>
              <w:spacing w:before="60" w:after="60" w:line="240" w:lineRule="auto"/>
              <w:rPr>
                <w:sz w:val="18"/>
              </w:rPr>
            </w:pPr>
            <w:r w:rsidRPr="00E735F3">
              <w:rPr>
                <w:b/>
                <w:i/>
                <w:sz w:val="18"/>
              </w:rPr>
              <w:t>Dysmicoccus brevipes</w:t>
            </w:r>
            <w:r w:rsidRPr="00E735F3">
              <w:rPr>
                <w:sz w:val="18"/>
              </w:rPr>
              <w:t xml:space="preserve"> (Cockerell, 1893)</w:t>
            </w:r>
          </w:p>
          <w:p w14:paraId="525F5A96" w14:textId="77777777" w:rsidR="00E735F3" w:rsidRPr="00E735F3" w:rsidRDefault="00E735F3" w:rsidP="00E735F3">
            <w:pPr>
              <w:spacing w:before="60" w:after="60" w:line="240" w:lineRule="auto"/>
              <w:rPr>
                <w:sz w:val="18"/>
              </w:rPr>
            </w:pPr>
            <w:r w:rsidRPr="00E735F3">
              <w:rPr>
                <w:sz w:val="18"/>
              </w:rPr>
              <w:t>[Pseudococcidae]</w:t>
            </w:r>
          </w:p>
          <w:p w14:paraId="2F22FCAB" w14:textId="77777777" w:rsidR="00E735F3" w:rsidRPr="00E735F3" w:rsidRDefault="00E735F3" w:rsidP="00E735F3">
            <w:pPr>
              <w:spacing w:before="60" w:after="60" w:line="240" w:lineRule="auto"/>
              <w:rPr>
                <w:sz w:val="18"/>
              </w:rPr>
            </w:pPr>
            <w:r w:rsidRPr="00E735F3">
              <w:rPr>
                <w:sz w:val="18"/>
              </w:rPr>
              <w:t>Pineapple mealybug</w:t>
            </w:r>
          </w:p>
        </w:tc>
        <w:tc>
          <w:tcPr>
            <w:tcW w:w="1974" w:type="dxa"/>
            <w:tcBorders>
              <w:top w:val="nil"/>
              <w:left w:val="nil"/>
              <w:bottom w:val="nil"/>
              <w:right w:val="nil"/>
            </w:tcBorders>
          </w:tcPr>
          <w:p w14:paraId="6C43F8B2" w14:textId="77777777" w:rsidR="00E735F3" w:rsidRPr="00E735F3" w:rsidRDefault="00E735F3" w:rsidP="00E735F3">
            <w:pPr>
              <w:spacing w:before="60" w:after="60" w:line="240" w:lineRule="auto"/>
              <w:rPr>
                <w:sz w:val="18"/>
              </w:rPr>
            </w:pPr>
            <w:r w:rsidRPr="00E735F3">
              <w:rPr>
                <w:sz w:val="18"/>
              </w:rPr>
              <w:t>Cook Islands, Niue, Samoa, Tonga, Vanuatu (Williams and Watson 1988b).</w:t>
            </w:r>
          </w:p>
        </w:tc>
        <w:tc>
          <w:tcPr>
            <w:tcW w:w="1701" w:type="dxa"/>
            <w:tcBorders>
              <w:top w:val="nil"/>
              <w:left w:val="nil"/>
              <w:bottom w:val="nil"/>
              <w:right w:val="nil"/>
            </w:tcBorders>
            <w:shd w:val="clear" w:color="auto" w:fill="auto"/>
          </w:tcPr>
          <w:p w14:paraId="06A8B6EF" w14:textId="77777777" w:rsidR="00E735F3" w:rsidRPr="00E735F3" w:rsidRDefault="00E735F3" w:rsidP="00E735F3">
            <w:pPr>
              <w:spacing w:before="60" w:after="60" w:line="240" w:lineRule="auto"/>
              <w:rPr>
                <w:sz w:val="18"/>
              </w:rPr>
            </w:pPr>
            <w:r w:rsidRPr="00E735F3">
              <w:rPr>
                <w:sz w:val="18"/>
              </w:rPr>
              <w:t>Yes. NSW, NT, Qld, Tas. and WA (</w:t>
            </w:r>
            <w:r w:rsidR="00774D7F" w:rsidRPr="00774D7F">
              <w:rPr>
                <w:sz w:val="18"/>
              </w:rPr>
              <w:t xml:space="preserve">Garcia Morales </w:t>
            </w:r>
            <w:r w:rsidR="00774D7F" w:rsidRPr="00774D7F">
              <w:rPr>
                <w:i/>
                <w:sz w:val="18"/>
              </w:rPr>
              <w:t>et al.</w:t>
            </w:r>
            <w:r w:rsidR="00774D7F" w:rsidRPr="00774D7F">
              <w:rPr>
                <w:sz w:val="18"/>
              </w:rPr>
              <w:t xml:space="preserve"> 2016</w:t>
            </w:r>
            <w:r w:rsidRPr="00E735F3">
              <w:rPr>
                <w:sz w:val="18"/>
              </w:rPr>
              <w:t>).</w:t>
            </w:r>
          </w:p>
        </w:tc>
        <w:tc>
          <w:tcPr>
            <w:tcW w:w="2410" w:type="dxa"/>
            <w:tcBorders>
              <w:top w:val="nil"/>
              <w:left w:val="nil"/>
              <w:bottom w:val="nil"/>
              <w:right w:val="nil"/>
            </w:tcBorders>
          </w:tcPr>
          <w:p w14:paraId="117EA274" w14:textId="34481848"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422AF56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0514A81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4822F83" w14:textId="77777777" w:rsidR="00E735F3" w:rsidRPr="00E735F3" w:rsidRDefault="00E735F3" w:rsidP="00E735F3">
            <w:pPr>
              <w:spacing w:before="60" w:after="60" w:line="240" w:lineRule="auto"/>
              <w:rPr>
                <w:sz w:val="18"/>
              </w:rPr>
            </w:pPr>
            <w:r w:rsidRPr="00E735F3">
              <w:rPr>
                <w:sz w:val="18"/>
              </w:rPr>
              <w:t>No</w:t>
            </w:r>
          </w:p>
        </w:tc>
      </w:tr>
      <w:tr w:rsidR="00E735F3" w:rsidRPr="00E735F3" w14:paraId="3AF85141" w14:textId="77777777" w:rsidTr="00063347">
        <w:trPr>
          <w:cantSplit/>
        </w:trPr>
        <w:tc>
          <w:tcPr>
            <w:tcW w:w="3403" w:type="dxa"/>
            <w:tcBorders>
              <w:top w:val="nil"/>
              <w:left w:val="nil"/>
              <w:bottom w:val="nil"/>
              <w:right w:val="nil"/>
            </w:tcBorders>
            <w:shd w:val="clear" w:color="auto" w:fill="FFFFFF"/>
          </w:tcPr>
          <w:p w14:paraId="7CEB4819" w14:textId="77777777" w:rsidR="00E735F3" w:rsidRPr="00E735F3" w:rsidRDefault="00E735F3" w:rsidP="00E735F3">
            <w:pPr>
              <w:spacing w:before="60" w:after="60" w:line="240" w:lineRule="auto"/>
              <w:rPr>
                <w:sz w:val="18"/>
              </w:rPr>
            </w:pPr>
            <w:r w:rsidRPr="00E735F3">
              <w:rPr>
                <w:b/>
                <w:bCs/>
                <w:i/>
                <w:iCs/>
                <w:sz w:val="18"/>
              </w:rPr>
              <w:t>Dysmicoccus neobrevipes</w:t>
            </w:r>
            <w:r w:rsidRPr="00E735F3">
              <w:rPr>
                <w:i/>
                <w:sz w:val="18"/>
              </w:rPr>
              <w:t xml:space="preserve"> </w:t>
            </w:r>
            <w:r w:rsidRPr="00E735F3">
              <w:rPr>
                <w:sz w:val="18"/>
              </w:rPr>
              <w:t>Beardsley, 1959</w:t>
            </w:r>
          </w:p>
          <w:p w14:paraId="6939F212" w14:textId="77777777" w:rsidR="00E735F3" w:rsidRPr="00E735F3" w:rsidRDefault="00E735F3" w:rsidP="00E735F3">
            <w:pPr>
              <w:spacing w:before="60" w:after="60" w:line="240" w:lineRule="auto"/>
              <w:rPr>
                <w:sz w:val="18"/>
              </w:rPr>
            </w:pPr>
            <w:r w:rsidRPr="00E735F3">
              <w:rPr>
                <w:sz w:val="18"/>
              </w:rPr>
              <w:t>[Pseudococcidae]</w:t>
            </w:r>
          </w:p>
          <w:p w14:paraId="6F089AA4" w14:textId="77777777" w:rsidR="00E735F3" w:rsidRPr="00E735F3" w:rsidRDefault="00E735F3" w:rsidP="00E735F3">
            <w:pPr>
              <w:spacing w:before="60" w:after="60" w:line="240" w:lineRule="auto"/>
              <w:rPr>
                <w:i/>
                <w:sz w:val="18"/>
              </w:rPr>
            </w:pPr>
            <w:r w:rsidRPr="00E735F3">
              <w:rPr>
                <w:sz w:val="18"/>
              </w:rPr>
              <w:t>Grey pineapple mealybug</w:t>
            </w:r>
          </w:p>
        </w:tc>
        <w:tc>
          <w:tcPr>
            <w:tcW w:w="1974" w:type="dxa"/>
            <w:tcBorders>
              <w:top w:val="nil"/>
              <w:left w:val="nil"/>
              <w:bottom w:val="nil"/>
              <w:right w:val="nil"/>
            </w:tcBorders>
            <w:shd w:val="clear" w:color="auto" w:fill="FFFFFF"/>
          </w:tcPr>
          <w:p w14:paraId="38217A51" w14:textId="77777777" w:rsidR="00E735F3" w:rsidRPr="00E735F3" w:rsidRDefault="00E735F3" w:rsidP="00E735F3">
            <w:pPr>
              <w:spacing w:before="60" w:after="60" w:line="240" w:lineRule="auto"/>
              <w:rPr>
                <w:sz w:val="18"/>
              </w:rPr>
            </w:pPr>
            <w:r w:rsidRPr="00E735F3">
              <w:rPr>
                <w:sz w:val="18"/>
              </w:rPr>
              <w:t>Cook Islands, Samoa (Williams and Watson 1988b).</w:t>
            </w:r>
          </w:p>
        </w:tc>
        <w:tc>
          <w:tcPr>
            <w:tcW w:w="1701" w:type="dxa"/>
            <w:tcBorders>
              <w:top w:val="nil"/>
              <w:left w:val="nil"/>
              <w:bottom w:val="nil"/>
              <w:right w:val="nil"/>
            </w:tcBorders>
            <w:shd w:val="clear" w:color="auto" w:fill="FFFFFF"/>
          </w:tcPr>
          <w:p w14:paraId="775E4F43"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shd w:val="clear" w:color="auto" w:fill="FFFFFF"/>
          </w:tcPr>
          <w:p w14:paraId="7813B55F" w14:textId="77777777" w:rsidR="00E735F3" w:rsidRPr="00E735F3" w:rsidRDefault="00E735F3" w:rsidP="00E735F3">
            <w:pPr>
              <w:spacing w:before="60" w:after="60" w:line="240" w:lineRule="auto"/>
              <w:rPr>
                <w:sz w:val="18"/>
              </w:rPr>
            </w:pPr>
            <w:r w:rsidRPr="00E735F3">
              <w:rPr>
                <w:sz w:val="18"/>
              </w:rPr>
              <w:t xml:space="preserve">Yes. Lime is a host (Williams and Watson 1988b). This mealybug is normally found on the aerial parts of host plants including the fruit (Martin Kessing </w:t>
            </w:r>
            <w:r w:rsidRPr="00E735F3">
              <w:rPr>
                <w:i/>
                <w:sz w:val="18"/>
              </w:rPr>
              <w:t>et al</w:t>
            </w:r>
            <w:r w:rsidRPr="00E735F3">
              <w:rPr>
                <w:sz w:val="18"/>
              </w:rPr>
              <w:t>. 2007c).</w:t>
            </w:r>
          </w:p>
        </w:tc>
        <w:tc>
          <w:tcPr>
            <w:tcW w:w="2410" w:type="dxa"/>
            <w:tcBorders>
              <w:top w:val="nil"/>
              <w:left w:val="nil"/>
              <w:bottom w:val="nil"/>
              <w:right w:val="nil"/>
            </w:tcBorders>
            <w:shd w:val="clear" w:color="auto" w:fill="FFFFFF"/>
          </w:tcPr>
          <w:p w14:paraId="2721FD6B" w14:textId="77777777" w:rsidR="00E735F3" w:rsidRPr="00E735F3" w:rsidRDefault="00E735F3" w:rsidP="00E735F3">
            <w:pPr>
              <w:spacing w:before="60" w:after="60" w:line="240" w:lineRule="auto"/>
              <w:rPr>
                <w:sz w:val="18"/>
              </w:rPr>
            </w:pPr>
            <w:r w:rsidRPr="00E735F3">
              <w:rPr>
                <w:sz w:val="18"/>
              </w:rPr>
              <w:t xml:space="preserve">Yes. This species could potentially establish in tropical regions of Australia, and possibly subtropical areas as well, especially where pineapples are grown (Martin Kessing </w:t>
            </w:r>
            <w:r w:rsidRPr="00E735F3">
              <w:rPr>
                <w:i/>
                <w:sz w:val="18"/>
              </w:rPr>
              <w:t>et al</w:t>
            </w:r>
            <w:r w:rsidRPr="00E735F3">
              <w:rPr>
                <w:sz w:val="18"/>
              </w:rPr>
              <w:t xml:space="preserve">. 2007c). Other hosts include bananas, taro and coffee (Garcia Morales </w:t>
            </w:r>
            <w:r w:rsidRPr="00E735F3">
              <w:rPr>
                <w:i/>
                <w:sz w:val="18"/>
              </w:rPr>
              <w:t>et al.</w:t>
            </w:r>
            <w:r w:rsidRPr="00E735F3">
              <w:rPr>
                <w:sz w:val="18"/>
              </w:rPr>
              <w:t xml:space="preserve"> 2016).</w:t>
            </w:r>
          </w:p>
        </w:tc>
        <w:tc>
          <w:tcPr>
            <w:tcW w:w="2268" w:type="dxa"/>
            <w:tcBorders>
              <w:top w:val="nil"/>
              <w:left w:val="nil"/>
              <w:bottom w:val="nil"/>
              <w:right w:val="nil"/>
            </w:tcBorders>
            <w:shd w:val="clear" w:color="auto" w:fill="FFFFFF"/>
          </w:tcPr>
          <w:p w14:paraId="5E03A7BE" w14:textId="77777777" w:rsidR="00E735F3" w:rsidRPr="00E735F3" w:rsidRDefault="00E735F3" w:rsidP="00E735F3">
            <w:pPr>
              <w:spacing w:before="60" w:after="60" w:line="240" w:lineRule="auto"/>
              <w:rPr>
                <w:sz w:val="18"/>
              </w:rPr>
            </w:pPr>
            <w:r w:rsidRPr="00E735F3">
              <w:rPr>
                <w:sz w:val="18"/>
              </w:rPr>
              <w:t xml:space="preserve">Yes. This species is one of the most serious mealybug pests in Hawaii. It is implicated in vectoring mealybug wilt and green spot disease in pineapples (Martin Kessing </w:t>
            </w:r>
            <w:r w:rsidRPr="00E735F3">
              <w:rPr>
                <w:i/>
                <w:sz w:val="18"/>
              </w:rPr>
              <w:t>et al</w:t>
            </w:r>
            <w:r w:rsidRPr="00E735F3">
              <w:rPr>
                <w:sz w:val="18"/>
              </w:rPr>
              <w:t xml:space="preserve">. 2007c). </w:t>
            </w:r>
          </w:p>
        </w:tc>
        <w:tc>
          <w:tcPr>
            <w:tcW w:w="1285" w:type="dxa"/>
            <w:tcBorders>
              <w:top w:val="nil"/>
              <w:left w:val="nil"/>
              <w:bottom w:val="nil"/>
              <w:right w:val="nil"/>
            </w:tcBorders>
            <w:shd w:val="clear" w:color="auto" w:fill="auto"/>
          </w:tcPr>
          <w:p w14:paraId="4D4714DD" w14:textId="77777777" w:rsidR="00E735F3" w:rsidRPr="001D6FE6" w:rsidRDefault="00E735F3" w:rsidP="00E735F3">
            <w:pPr>
              <w:spacing w:before="60" w:after="60" w:line="240" w:lineRule="auto"/>
              <w:rPr>
                <w:bCs/>
                <w:sz w:val="18"/>
              </w:rPr>
            </w:pPr>
            <w:r w:rsidRPr="00E735F3">
              <w:rPr>
                <w:b/>
                <w:bCs/>
                <w:sz w:val="18"/>
              </w:rPr>
              <w:t>Yes</w:t>
            </w:r>
          </w:p>
        </w:tc>
      </w:tr>
      <w:tr w:rsidR="00E735F3" w:rsidRPr="00E735F3" w14:paraId="524F1F04" w14:textId="77777777" w:rsidTr="00063347">
        <w:trPr>
          <w:cantSplit/>
        </w:trPr>
        <w:tc>
          <w:tcPr>
            <w:tcW w:w="3403" w:type="dxa"/>
            <w:tcBorders>
              <w:top w:val="nil"/>
              <w:left w:val="nil"/>
              <w:bottom w:val="nil"/>
              <w:right w:val="nil"/>
            </w:tcBorders>
          </w:tcPr>
          <w:p w14:paraId="635204D3" w14:textId="77777777" w:rsidR="00E735F3" w:rsidRPr="00E735F3" w:rsidRDefault="00E735F3" w:rsidP="00E735F3">
            <w:pPr>
              <w:spacing w:before="60" w:after="60" w:line="240" w:lineRule="auto"/>
              <w:rPr>
                <w:sz w:val="18"/>
              </w:rPr>
            </w:pPr>
            <w:r w:rsidRPr="00E735F3">
              <w:rPr>
                <w:b/>
                <w:i/>
                <w:sz w:val="18"/>
              </w:rPr>
              <w:t>Ferrisia virgata</w:t>
            </w:r>
            <w:r w:rsidRPr="00E735F3">
              <w:rPr>
                <w:i/>
                <w:sz w:val="18"/>
              </w:rPr>
              <w:t xml:space="preserve"> </w:t>
            </w:r>
            <w:r w:rsidRPr="00E735F3">
              <w:rPr>
                <w:sz w:val="18"/>
              </w:rPr>
              <w:t>(Cockerell, 1893)</w:t>
            </w:r>
          </w:p>
          <w:p w14:paraId="5C90072A" w14:textId="77777777" w:rsidR="00E735F3" w:rsidRPr="00E735F3" w:rsidRDefault="00E735F3" w:rsidP="00E735F3">
            <w:pPr>
              <w:spacing w:before="60" w:after="60" w:line="240" w:lineRule="auto"/>
              <w:rPr>
                <w:sz w:val="18"/>
              </w:rPr>
            </w:pPr>
            <w:r w:rsidRPr="00E735F3">
              <w:rPr>
                <w:sz w:val="18"/>
              </w:rPr>
              <w:t>[Pseudococcidae]</w:t>
            </w:r>
          </w:p>
          <w:p w14:paraId="1C6FC168" w14:textId="77777777" w:rsidR="00E735F3" w:rsidRPr="00E735F3" w:rsidRDefault="00E735F3" w:rsidP="00E735F3">
            <w:pPr>
              <w:spacing w:before="60" w:after="60" w:line="240" w:lineRule="auto"/>
              <w:rPr>
                <w:i/>
                <w:sz w:val="18"/>
              </w:rPr>
            </w:pPr>
            <w:r w:rsidRPr="00E735F3">
              <w:rPr>
                <w:sz w:val="18"/>
              </w:rPr>
              <w:t>Striped mealybug</w:t>
            </w:r>
          </w:p>
        </w:tc>
        <w:tc>
          <w:tcPr>
            <w:tcW w:w="1974" w:type="dxa"/>
            <w:tcBorders>
              <w:top w:val="nil"/>
              <w:left w:val="nil"/>
              <w:bottom w:val="nil"/>
              <w:right w:val="nil"/>
            </w:tcBorders>
          </w:tcPr>
          <w:p w14:paraId="065B82E2" w14:textId="77777777" w:rsidR="00E735F3" w:rsidRPr="00E735F3" w:rsidRDefault="00E735F3" w:rsidP="00E735F3">
            <w:pPr>
              <w:spacing w:before="60" w:after="60" w:line="240" w:lineRule="auto"/>
              <w:rPr>
                <w:sz w:val="18"/>
              </w:rPr>
            </w:pPr>
            <w:r w:rsidRPr="00E735F3">
              <w:rPr>
                <w:sz w:val="18"/>
              </w:rPr>
              <w:t>Cook Islands, Samoa, Tonga, Vanuatu (Williams and Watson 1988b).</w:t>
            </w:r>
          </w:p>
        </w:tc>
        <w:tc>
          <w:tcPr>
            <w:tcW w:w="1701" w:type="dxa"/>
            <w:tcBorders>
              <w:top w:val="nil"/>
              <w:left w:val="nil"/>
              <w:bottom w:val="nil"/>
              <w:right w:val="nil"/>
            </w:tcBorders>
            <w:shd w:val="clear" w:color="auto" w:fill="auto"/>
          </w:tcPr>
          <w:p w14:paraId="706692ED" w14:textId="4CD85E3E" w:rsidR="00E735F3" w:rsidRPr="00E735F3" w:rsidRDefault="00E735F3" w:rsidP="00E735F3">
            <w:pPr>
              <w:spacing w:before="60" w:after="60" w:line="240" w:lineRule="auto"/>
              <w:rPr>
                <w:rFonts w:ascii="Calibri" w:hAnsi="Calibri" w:cs="Arial"/>
                <w:sz w:val="16"/>
                <w:szCs w:val="16"/>
              </w:rPr>
            </w:pPr>
            <w:r w:rsidRPr="00E735F3">
              <w:rPr>
                <w:sz w:val="18"/>
              </w:rPr>
              <w:t>Yes. NSW, NT, Qld and WA (Poole 2010).</w:t>
            </w:r>
          </w:p>
        </w:tc>
        <w:tc>
          <w:tcPr>
            <w:tcW w:w="2410" w:type="dxa"/>
            <w:tcBorders>
              <w:top w:val="nil"/>
              <w:left w:val="nil"/>
              <w:bottom w:val="nil"/>
              <w:right w:val="nil"/>
            </w:tcBorders>
          </w:tcPr>
          <w:p w14:paraId="2A1F786C" w14:textId="722173CE" w:rsidR="00E735F3" w:rsidRPr="00E735F3" w:rsidRDefault="000E37D4" w:rsidP="00E735F3">
            <w:pPr>
              <w:spacing w:before="60" w:after="60" w:line="240" w:lineRule="auto"/>
              <w:rPr>
                <w:sz w:val="18"/>
              </w:rPr>
            </w:pPr>
            <w:r w:rsidRPr="000E37D4">
              <w:rPr>
                <w:sz w:val="18"/>
              </w:rPr>
              <w:t>Assessment not required.</w:t>
            </w:r>
          </w:p>
        </w:tc>
        <w:tc>
          <w:tcPr>
            <w:tcW w:w="2410" w:type="dxa"/>
            <w:tcBorders>
              <w:top w:val="nil"/>
              <w:left w:val="nil"/>
              <w:bottom w:val="nil"/>
              <w:right w:val="nil"/>
            </w:tcBorders>
            <w:shd w:val="clear" w:color="auto" w:fill="auto"/>
          </w:tcPr>
          <w:p w14:paraId="145B977C"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8CF3821"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0A919C9" w14:textId="77777777" w:rsidR="00E735F3" w:rsidRPr="00E735F3" w:rsidRDefault="00E735F3" w:rsidP="00E735F3">
            <w:pPr>
              <w:spacing w:before="60" w:after="60" w:line="240" w:lineRule="auto"/>
              <w:rPr>
                <w:sz w:val="18"/>
              </w:rPr>
            </w:pPr>
            <w:r w:rsidRPr="00E735F3">
              <w:rPr>
                <w:sz w:val="18"/>
              </w:rPr>
              <w:t>No</w:t>
            </w:r>
          </w:p>
        </w:tc>
      </w:tr>
      <w:tr w:rsidR="00E735F3" w:rsidRPr="00E735F3" w14:paraId="38C66C7A" w14:textId="77777777" w:rsidTr="00063347">
        <w:trPr>
          <w:cantSplit/>
        </w:trPr>
        <w:tc>
          <w:tcPr>
            <w:tcW w:w="3403" w:type="dxa"/>
            <w:tcBorders>
              <w:top w:val="nil"/>
              <w:left w:val="nil"/>
              <w:bottom w:val="nil"/>
              <w:right w:val="nil"/>
            </w:tcBorders>
          </w:tcPr>
          <w:p w14:paraId="4065C4FA" w14:textId="77777777" w:rsidR="00E735F3" w:rsidRPr="00E735F3" w:rsidRDefault="00E735F3" w:rsidP="00E735F3">
            <w:pPr>
              <w:spacing w:before="60" w:after="60" w:line="240" w:lineRule="auto"/>
              <w:rPr>
                <w:sz w:val="18"/>
              </w:rPr>
            </w:pPr>
            <w:r w:rsidRPr="00E735F3">
              <w:rPr>
                <w:b/>
                <w:i/>
                <w:sz w:val="18"/>
              </w:rPr>
              <w:t>Fiorinia proboscidaria</w:t>
            </w:r>
            <w:r w:rsidRPr="00E735F3">
              <w:rPr>
                <w:i/>
                <w:sz w:val="18"/>
              </w:rPr>
              <w:t xml:space="preserve"> </w:t>
            </w:r>
            <w:r w:rsidRPr="00E735F3">
              <w:rPr>
                <w:sz w:val="18"/>
              </w:rPr>
              <w:t>Green, 1900</w:t>
            </w:r>
          </w:p>
          <w:p w14:paraId="1B429393" w14:textId="77777777" w:rsidR="00E735F3" w:rsidRPr="00E735F3" w:rsidRDefault="00E735F3" w:rsidP="00E735F3">
            <w:pPr>
              <w:spacing w:before="60" w:after="60" w:line="240" w:lineRule="auto"/>
              <w:rPr>
                <w:sz w:val="18"/>
              </w:rPr>
            </w:pPr>
            <w:r w:rsidRPr="00E735F3">
              <w:rPr>
                <w:sz w:val="18"/>
              </w:rPr>
              <w:t>[Diaspididae]</w:t>
            </w:r>
          </w:p>
          <w:p w14:paraId="64241F54" w14:textId="77777777" w:rsidR="00E735F3" w:rsidRPr="00E735F3" w:rsidRDefault="00E735F3" w:rsidP="00E735F3">
            <w:pPr>
              <w:spacing w:before="60" w:after="60" w:line="240" w:lineRule="auto"/>
              <w:rPr>
                <w:sz w:val="18"/>
              </w:rPr>
            </w:pPr>
            <w:r w:rsidRPr="00E735F3">
              <w:rPr>
                <w:sz w:val="18"/>
              </w:rPr>
              <w:t>Armoured scale</w:t>
            </w:r>
          </w:p>
        </w:tc>
        <w:tc>
          <w:tcPr>
            <w:tcW w:w="1974" w:type="dxa"/>
            <w:tcBorders>
              <w:top w:val="nil"/>
              <w:left w:val="nil"/>
              <w:bottom w:val="nil"/>
              <w:right w:val="nil"/>
            </w:tcBorders>
          </w:tcPr>
          <w:p w14:paraId="58D2CACE" w14:textId="77777777" w:rsidR="00E735F3" w:rsidRPr="00E735F3" w:rsidRDefault="00E735F3" w:rsidP="00E735F3">
            <w:pPr>
              <w:spacing w:before="60" w:after="60" w:line="240" w:lineRule="auto"/>
              <w:rPr>
                <w:sz w:val="18"/>
              </w:rPr>
            </w:pPr>
            <w:r w:rsidRPr="00E735F3">
              <w:rPr>
                <w:sz w:val="18"/>
              </w:rPr>
              <w:t>Tonga (Beardsley 2001).</w:t>
            </w:r>
          </w:p>
        </w:tc>
        <w:tc>
          <w:tcPr>
            <w:tcW w:w="1701" w:type="dxa"/>
            <w:tcBorders>
              <w:top w:val="nil"/>
              <w:left w:val="nil"/>
              <w:bottom w:val="nil"/>
              <w:right w:val="nil"/>
            </w:tcBorders>
            <w:shd w:val="clear" w:color="auto" w:fill="auto"/>
          </w:tcPr>
          <w:p w14:paraId="29BB3341"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shd w:val="clear" w:color="auto" w:fill="auto"/>
          </w:tcPr>
          <w:p w14:paraId="0DAA061B" w14:textId="77777777" w:rsidR="00E735F3" w:rsidRPr="00706CB9" w:rsidRDefault="00A055F2" w:rsidP="00125ED1">
            <w:pPr>
              <w:spacing w:before="60" w:after="60" w:line="240" w:lineRule="auto"/>
              <w:rPr>
                <w:sz w:val="18"/>
                <w:highlight w:val="yellow"/>
              </w:rPr>
            </w:pPr>
            <w:r>
              <w:rPr>
                <w:sz w:val="18"/>
              </w:rPr>
              <w:t>Yes</w:t>
            </w:r>
            <w:r w:rsidR="00E735F3" w:rsidRPr="0019462A">
              <w:rPr>
                <w:sz w:val="18"/>
              </w:rPr>
              <w:t>. This scale feeds on a number of citrus species (Williams and Watson 1988a)</w:t>
            </w:r>
            <w:r w:rsidR="00D17834" w:rsidRPr="0019462A">
              <w:rPr>
                <w:sz w:val="18"/>
              </w:rPr>
              <w:t xml:space="preserve">. Mainly </w:t>
            </w:r>
            <w:r w:rsidR="00DC0BCF" w:rsidRPr="0019462A">
              <w:rPr>
                <w:sz w:val="18"/>
              </w:rPr>
              <w:t>found on the underside of the leaves (Beardsley 2001), but has been reported on citrus fruit</w:t>
            </w:r>
            <w:r w:rsidR="00583DDB" w:rsidRPr="0019462A">
              <w:rPr>
                <w:sz w:val="18"/>
              </w:rPr>
              <w:t xml:space="preserve"> in Florida</w:t>
            </w:r>
            <w:r w:rsidR="00DC0BCF" w:rsidRPr="0019462A">
              <w:rPr>
                <w:sz w:val="18"/>
              </w:rPr>
              <w:t xml:space="preserve"> (Stocks 2015)</w:t>
            </w:r>
            <w:r w:rsidR="00125ED1" w:rsidRPr="0019462A">
              <w:rPr>
                <w:sz w:val="18"/>
              </w:rPr>
              <w:t xml:space="preserve"> and the Caribbean (Malumphy 2014)</w:t>
            </w:r>
            <w:r w:rsidR="00E735F3" w:rsidRPr="0019462A">
              <w:rPr>
                <w:sz w:val="18"/>
              </w:rPr>
              <w:t>.</w:t>
            </w:r>
            <w:r w:rsidR="00C656E3" w:rsidRPr="0019462A">
              <w:rPr>
                <w:sz w:val="18"/>
              </w:rPr>
              <w:t xml:space="preserve"> </w:t>
            </w:r>
            <w:r w:rsidR="00125ED1" w:rsidRPr="0019462A">
              <w:rPr>
                <w:sz w:val="18"/>
              </w:rPr>
              <w:t>Scales are often clustered together on the host, and f</w:t>
            </w:r>
            <w:r w:rsidR="00C656E3" w:rsidRPr="0019462A">
              <w:rPr>
                <w:sz w:val="18"/>
              </w:rPr>
              <w:t xml:space="preserve">eeding </w:t>
            </w:r>
            <w:r w:rsidR="00125ED1" w:rsidRPr="0019462A">
              <w:rPr>
                <w:sz w:val="18"/>
              </w:rPr>
              <w:t>results in</w:t>
            </w:r>
            <w:r w:rsidR="00C656E3" w:rsidRPr="0019462A">
              <w:rPr>
                <w:sz w:val="18"/>
              </w:rPr>
              <w:t xml:space="preserve"> chlorosis of </w:t>
            </w:r>
            <w:r w:rsidR="00125ED1" w:rsidRPr="0019462A">
              <w:rPr>
                <w:sz w:val="18"/>
              </w:rPr>
              <w:t xml:space="preserve">the </w:t>
            </w:r>
            <w:r w:rsidR="00C656E3" w:rsidRPr="0019462A">
              <w:rPr>
                <w:sz w:val="18"/>
              </w:rPr>
              <w:t>fruit (Malumphy 2014)</w:t>
            </w:r>
            <w:r w:rsidR="00125ED1" w:rsidRPr="0019462A">
              <w:rPr>
                <w:sz w:val="18"/>
              </w:rPr>
              <w:t xml:space="preserve">, so infestations are readily detectable and affected fruit </w:t>
            </w:r>
            <w:r w:rsidR="007A5329">
              <w:rPr>
                <w:sz w:val="18"/>
              </w:rPr>
              <w:t xml:space="preserve">would be </w:t>
            </w:r>
            <w:r w:rsidR="00125ED1" w:rsidRPr="0019462A">
              <w:rPr>
                <w:sz w:val="18"/>
              </w:rPr>
              <w:t>removed from the pathway.</w:t>
            </w:r>
          </w:p>
        </w:tc>
        <w:tc>
          <w:tcPr>
            <w:tcW w:w="2410" w:type="dxa"/>
            <w:tcBorders>
              <w:top w:val="nil"/>
              <w:left w:val="nil"/>
              <w:bottom w:val="nil"/>
              <w:right w:val="nil"/>
            </w:tcBorders>
            <w:shd w:val="clear" w:color="auto" w:fill="auto"/>
          </w:tcPr>
          <w:p w14:paraId="4EB8E3D8" w14:textId="77777777" w:rsidR="00E735F3" w:rsidRPr="00706CB9" w:rsidRDefault="00A055F2" w:rsidP="0018043B">
            <w:pPr>
              <w:spacing w:before="60" w:after="60" w:line="240" w:lineRule="auto"/>
              <w:rPr>
                <w:sz w:val="18"/>
                <w:highlight w:val="yellow"/>
              </w:rPr>
            </w:pPr>
            <w:r>
              <w:rPr>
                <w:sz w:val="18"/>
              </w:rPr>
              <w:t>Yes</w:t>
            </w:r>
            <w:r w:rsidR="006F69F5" w:rsidRPr="0019462A">
              <w:rPr>
                <w:sz w:val="18"/>
              </w:rPr>
              <w:t xml:space="preserve">. </w:t>
            </w:r>
            <w:r>
              <w:rPr>
                <w:sz w:val="18"/>
              </w:rPr>
              <w:t xml:space="preserve">This scale has a broad geographic range, and feeds on plants that are common in Australia including rose, citrus and mango (Garcia Morales </w:t>
            </w:r>
            <w:r w:rsidRPr="00A055F2">
              <w:rPr>
                <w:i/>
                <w:sz w:val="18"/>
              </w:rPr>
              <w:t>et al</w:t>
            </w:r>
            <w:r>
              <w:rPr>
                <w:sz w:val="18"/>
              </w:rPr>
              <w:t xml:space="preserve">. 2016). </w:t>
            </w:r>
            <w:r w:rsidR="0018043B">
              <w:rPr>
                <w:sz w:val="18"/>
              </w:rPr>
              <w:t>However, due to the immobility of most life stages of the scale, fresh lime fruit are unlikely to provide a suitable pathway to enable establishment to occur.</w:t>
            </w:r>
            <w:r w:rsidR="00125ED1" w:rsidRPr="0019462A">
              <w:rPr>
                <w:sz w:val="18"/>
              </w:rPr>
              <w:t xml:space="preserve"> </w:t>
            </w:r>
          </w:p>
        </w:tc>
        <w:tc>
          <w:tcPr>
            <w:tcW w:w="2268" w:type="dxa"/>
            <w:tcBorders>
              <w:top w:val="nil"/>
              <w:left w:val="nil"/>
              <w:bottom w:val="nil"/>
              <w:right w:val="nil"/>
            </w:tcBorders>
            <w:shd w:val="clear" w:color="auto" w:fill="auto"/>
          </w:tcPr>
          <w:p w14:paraId="2609AB7D" w14:textId="77777777" w:rsidR="00E735F3" w:rsidRPr="00706CB9" w:rsidRDefault="0019462A" w:rsidP="007A5329">
            <w:pPr>
              <w:spacing w:before="60" w:after="60" w:line="240" w:lineRule="auto"/>
              <w:rPr>
                <w:sz w:val="18"/>
                <w:highlight w:val="yellow"/>
              </w:rPr>
            </w:pPr>
            <w:r w:rsidRPr="0019462A">
              <w:rPr>
                <w:sz w:val="18"/>
              </w:rPr>
              <w:t xml:space="preserve">No. </w:t>
            </w:r>
            <w:r w:rsidR="007A5329">
              <w:rPr>
                <w:sz w:val="18"/>
              </w:rPr>
              <w:t xml:space="preserve">This scale is not reported as a pest (Evans and Dooley 2013). </w:t>
            </w:r>
            <w:r w:rsidR="00871107">
              <w:rPr>
                <w:sz w:val="18"/>
              </w:rPr>
              <w:t>There are no reports t</w:t>
            </w:r>
            <w:r w:rsidR="00477EE0">
              <w:rPr>
                <w:sz w:val="18"/>
              </w:rPr>
              <w:t>hat</w:t>
            </w:r>
            <w:r w:rsidR="00871107">
              <w:rPr>
                <w:sz w:val="18"/>
              </w:rPr>
              <w:t xml:space="preserve"> indicate </w:t>
            </w:r>
            <w:r w:rsidR="00063347">
              <w:rPr>
                <w:sz w:val="18"/>
              </w:rPr>
              <w:t xml:space="preserve">impacts of any economic significance, but potentially a nuisance pest. </w:t>
            </w:r>
          </w:p>
        </w:tc>
        <w:tc>
          <w:tcPr>
            <w:tcW w:w="1285" w:type="dxa"/>
            <w:tcBorders>
              <w:top w:val="nil"/>
              <w:left w:val="nil"/>
              <w:bottom w:val="nil"/>
              <w:right w:val="nil"/>
            </w:tcBorders>
          </w:tcPr>
          <w:p w14:paraId="5C04A1F7" w14:textId="77777777" w:rsidR="00E735F3" w:rsidRPr="00706CB9" w:rsidRDefault="00231B42" w:rsidP="006D373C">
            <w:pPr>
              <w:spacing w:before="60" w:after="60" w:line="240" w:lineRule="auto"/>
              <w:rPr>
                <w:sz w:val="18"/>
                <w:highlight w:val="yellow"/>
              </w:rPr>
            </w:pPr>
            <w:r w:rsidRPr="00231B42">
              <w:rPr>
                <w:sz w:val="18"/>
              </w:rPr>
              <w:t>No</w:t>
            </w:r>
          </w:p>
        </w:tc>
      </w:tr>
      <w:tr w:rsidR="00E735F3" w:rsidRPr="00E735F3" w14:paraId="220EFDCB" w14:textId="77777777" w:rsidTr="00063347">
        <w:trPr>
          <w:cantSplit/>
        </w:trPr>
        <w:tc>
          <w:tcPr>
            <w:tcW w:w="3403" w:type="dxa"/>
            <w:tcBorders>
              <w:top w:val="nil"/>
              <w:left w:val="nil"/>
              <w:bottom w:val="nil"/>
              <w:right w:val="nil"/>
            </w:tcBorders>
            <w:shd w:val="clear" w:color="auto" w:fill="FFFFFF"/>
          </w:tcPr>
          <w:p w14:paraId="2F3C65CE" w14:textId="77777777" w:rsidR="00E735F3" w:rsidRPr="00E735F3" w:rsidRDefault="00E735F3" w:rsidP="00E735F3">
            <w:pPr>
              <w:spacing w:before="60" w:after="60" w:line="240" w:lineRule="auto"/>
              <w:rPr>
                <w:sz w:val="18"/>
              </w:rPr>
            </w:pPr>
            <w:r w:rsidRPr="00E735F3">
              <w:rPr>
                <w:b/>
                <w:i/>
                <w:sz w:val="18"/>
              </w:rPr>
              <w:t xml:space="preserve">Hemiberlesia cyanophylli </w:t>
            </w:r>
            <w:r w:rsidRPr="00E735F3">
              <w:rPr>
                <w:sz w:val="18"/>
              </w:rPr>
              <w:t>(Signoret, 1869)</w:t>
            </w:r>
          </w:p>
          <w:p w14:paraId="3B1A4F60" w14:textId="77777777" w:rsidR="00E735F3" w:rsidRPr="00E735F3" w:rsidRDefault="00E735F3" w:rsidP="00E735F3">
            <w:pPr>
              <w:spacing w:before="60" w:after="60" w:line="240" w:lineRule="auto"/>
              <w:rPr>
                <w:sz w:val="18"/>
              </w:rPr>
            </w:pPr>
            <w:r w:rsidRPr="00E735F3">
              <w:rPr>
                <w:sz w:val="18"/>
              </w:rPr>
              <w:t xml:space="preserve">[syn.: </w:t>
            </w:r>
            <w:r w:rsidRPr="00E735F3">
              <w:rPr>
                <w:i/>
                <w:sz w:val="18"/>
              </w:rPr>
              <w:t>Abgrallaspis cyanophylli</w:t>
            </w:r>
            <w:r w:rsidRPr="00E735F3">
              <w:rPr>
                <w:sz w:val="18"/>
              </w:rPr>
              <w:t xml:space="preserve"> (Signoret, 1869)]</w:t>
            </w:r>
          </w:p>
          <w:p w14:paraId="7B63F0E9" w14:textId="77777777" w:rsidR="00E735F3" w:rsidRPr="00E735F3" w:rsidRDefault="00E735F3" w:rsidP="00E735F3">
            <w:pPr>
              <w:spacing w:before="60" w:after="60" w:line="240" w:lineRule="auto"/>
              <w:rPr>
                <w:sz w:val="18"/>
              </w:rPr>
            </w:pPr>
            <w:r w:rsidRPr="00E735F3">
              <w:rPr>
                <w:sz w:val="18"/>
              </w:rPr>
              <w:t>[Diaspididae]</w:t>
            </w:r>
          </w:p>
          <w:p w14:paraId="441E0F15" w14:textId="77777777" w:rsidR="00E735F3" w:rsidRPr="00E735F3" w:rsidRDefault="00E735F3" w:rsidP="00E735F3">
            <w:pPr>
              <w:spacing w:before="60" w:after="60" w:line="240" w:lineRule="auto"/>
              <w:rPr>
                <w:b/>
                <w:i/>
                <w:sz w:val="18"/>
              </w:rPr>
            </w:pPr>
            <w:r w:rsidRPr="00E735F3">
              <w:rPr>
                <w:sz w:val="18"/>
              </w:rPr>
              <w:t>Cyanophyllum scale</w:t>
            </w:r>
          </w:p>
        </w:tc>
        <w:tc>
          <w:tcPr>
            <w:tcW w:w="1974" w:type="dxa"/>
            <w:tcBorders>
              <w:top w:val="nil"/>
              <w:left w:val="nil"/>
              <w:bottom w:val="nil"/>
              <w:right w:val="nil"/>
            </w:tcBorders>
            <w:shd w:val="clear" w:color="auto" w:fill="FFFFFF"/>
          </w:tcPr>
          <w:p w14:paraId="50357CF5" w14:textId="77777777" w:rsidR="00E735F3" w:rsidRPr="00E735F3" w:rsidRDefault="00E735F3" w:rsidP="00E735F3">
            <w:pPr>
              <w:spacing w:before="60" w:after="60" w:line="240" w:lineRule="auto"/>
              <w:rPr>
                <w:sz w:val="18"/>
              </w:rPr>
            </w:pPr>
            <w:r w:rsidRPr="00E735F3">
              <w:rPr>
                <w:sz w:val="18"/>
              </w:rPr>
              <w:t>Cook Islands, Niue, Samoa, Tonga, Vanuatu (Watson 2016; SPC 2016).</w:t>
            </w:r>
          </w:p>
        </w:tc>
        <w:tc>
          <w:tcPr>
            <w:tcW w:w="1701" w:type="dxa"/>
            <w:tcBorders>
              <w:top w:val="nil"/>
              <w:left w:val="nil"/>
              <w:bottom w:val="nil"/>
              <w:right w:val="nil"/>
            </w:tcBorders>
            <w:shd w:val="clear" w:color="auto" w:fill="auto"/>
          </w:tcPr>
          <w:p w14:paraId="2F07A529" w14:textId="77777777" w:rsidR="00E735F3" w:rsidRDefault="00E735F3" w:rsidP="00E735F3">
            <w:pPr>
              <w:spacing w:before="60" w:after="60" w:line="240" w:lineRule="auto"/>
              <w:rPr>
                <w:sz w:val="18"/>
              </w:rPr>
            </w:pPr>
            <w:r w:rsidRPr="00E735F3">
              <w:rPr>
                <w:sz w:val="18"/>
              </w:rPr>
              <w:t>Yes. NSW and Qld (Donaldson and Tsang 2002).</w:t>
            </w:r>
          </w:p>
          <w:p w14:paraId="5357EDC9" w14:textId="0864A5AB"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6F4A1454" w14:textId="30A2C44E" w:rsidR="00E735F3" w:rsidRPr="00E735F3" w:rsidRDefault="00E735F3" w:rsidP="009438BE">
            <w:pPr>
              <w:spacing w:before="60" w:after="60" w:line="240" w:lineRule="auto"/>
              <w:rPr>
                <w:sz w:val="18"/>
              </w:rPr>
            </w:pPr>
            <w:r w:rsidRPr="00E735F3">
              <w:rPr>
                <w:sz w:val="18"/>
              </w:rPr>
              <w:t>Yes. Not commonly associated with citrus, but this species has been recorded on limes in Samoa (Stout 1982). It may be present on fruit, leaves and bark of host plants, but prefers the undersides of the leaves (Miller and Davidson 2005).</w:t>
            </w:r>
          </w:p>
        </w:tc>
        <w:tc>
          <w:tcPr>
            <w:tcW w:w="2410" w:type="dxa"/>
            <w:tcBorders>
              <w:top w:val="nil"/>
              <w:left w:val="nil"/>
              <w:bottom w:val="nil"/>
              <w:right w:val="nil"/>
            </w:tcBorders>
            <w:shd w:val="clear" w:color="auto" w:fill="auto"/>
          </w:tcPr>
          <w:p w14:paraId="07FAD254" w14:textId="7F73E5A5" w:rsidR="00E735F3" w:rsidRPr="00E735F3" w:rsidRDefault="00CF6334" w:rsidP="001138C2">
            <w:pPr>
              <w:spacing w:before="60" w:after="60" w:line="240" w:lineRule="auto"/>
              <w:rPr>
                <w:sz w:val="18"/>
              </w:rPr>
            </w:pPr>
            <w:r>
              <w:rPr>
                <w:sz w:val="18"/>
              </w:rPr>
              <w:t xml:space="preserve">Yes. </w:t>
            </w:r>
            <w:r w:rsidRPr="00CF6334">
              <w:rPr>
                <w:sz w:val="18"/>
              </w:rPr>
              <w:t xml:space="preserve">Widespread in tropical and subtropical regions, and already present in eastern Australia. It is a polyphagous species with a wide host range (Garcia Morales </w:t>
            </w:r>
            <w:r w:rsidRPr="00CF6334">
              <w:rPr>
                <w:i/>
                <w:sz w:val="18"/>
              </w:rPr>
              <w:t>et al</w:t>
            </w:r>
            <w:r w:rsidRPr="00CF6334">
              <w:rPr>
                <w:sz w:val="18"/>
              </w:rPr>
              <w:t>. 2016</w:t>
            </w:r>
            <w:r>
              <w:rPr>
                <w:sz w:val="18"/>
              </w:rPr>
              <w:t>; Watson 2016</w:t>
            </w:r>
            <w:r w:rsidRPr="00CF6334">
              <w:rPr>
                <w:sz w:val="18"/>
              </w:rPr>
              <w:t>).</w:t>
            </w:r>
          </w:p>
        </w:tc>
        <w:tc>
          <w:tcPr>
            <w:tcW w:w="2268" w:type="dxa"/>
            <w:tcBorders>
              <w:top w:val="nil"/>
              <w:left w:val="nil"/>
              <w:bottom w:val="nil"/>
              <w:right w:val="nil"/>
            </w:tcBorders>
            <w:shd w:val="clear" w:color="auto" w:fill="auto"/>
          </w:tcPr>
          <w:p w14:paraId="3C63A513" w14:textId="77777777" w:rsidR="00E735F3" w:rsidRPr="00E735F3" w:rsidRDefault="00CF6334" w:rsidP="00CF6334">
            <w:pPr>
              <w:spacing w:before="60" w:after="60" w:line="240" w:lineRule="auto"/>
              <w:rPr>
                <w:sz w:val="18"/>
              </w:rPr>
            </w:pPr>
            <w:r w:rsidRPr="00CF6334">
              <w:rPr>
                <w:sz w:val="18"/>
              </w:rPr>
              <w:t>Yes</w:t>
            </w:r>
            <w:r>
              <w:rPr>
                <w:sz w:val="18"/>
              </w:rPr>
              <w:t>.</w:t>
            </w:r>
            <w:r w:rsidRPr="00CF6334">
              <w:rPr>
                <w:sz w:val="18"/>
              </w:rPr>
              <w:t xml:space="preserve"> This species is highly polyphagous, causing damage to various ornamentals, palms, banana, avocado, cocoa, mango, guava and tea (Miller and Davidson 2005; Garcia Morales </w:t>
            </w:r>
            <w:r w:rsidRPr="00CF6334">
              <w:rPr>
                <w:i/>
                <w:sz w:val="18"/>
              </w:rPr>
              <w:t>et al</w:t>
            </w:r>
            <w:r w:rsidRPr="00CF6334">
              <w:rPr>
                <w:sz w:val="18"/>
              </w:rPr>
              <w:t>. 2016; Watson 201</w:t>
            </w:r>
            <w:r>
              <w:rPr>
                <w:sz w:val="18"/>
              </w:rPr>
              <w:t>6</w:t>
            </w:r>
            <w:r w:rsidRPr="00CF6334">
              <w:rPr>
                <w:sz w:val="18"/>
              </w:rPr>
              <w:t>).</w:t>
            </w:r>
          </w:p>
        </w:tc>
        <w:tc>
          <w:tcPr>
            <w:tcW w:w="1285" w:type="dxa"/>
            <w:tcBorders>
              <w:top w:val="nil"/>
              <w:left w:val="nil"/>
              <w:bottom w:val="nil"/>
              <w:right w:val="nil"/>
            </w:tcBorders>
            <w:shd w:val="clear" w:color="auto" w:fill="auto"/>
          </w:tcPr>
          <w:p w14:paraId="5B7E9460" w14:textId="278BFB04" w:rsidR="00E735F3" w:rsidRPr="00E735F3" w:rsidRDefault="00DD114D" w:rsidP="00B2341E">
            <w:pPr>
              <w:spacing w:before="60" w:after="60" w:line="240" w:lineRule="auto"/>
              <w:rPr>
                <w:sz w:val="18"/>
              </w:rPr>
            </w:pPr>
            <w:r w:rsidRPr="00DD114D">
              <w:rPr>
                <w:b/>
                <w:bCs/>
                <w:sz w:val="18"/>
              </w:rPr>
              <w:t>Yes</w:t>
            </w:r>
            <w:r w:rsidR="00360033">
              <w:rPr>
                <w:bCs/>
                <w:sz w:val="18"/>
              </w:rPr>
              <w:t xml:space="preserve"> </w:t>
            </w:r>
            <w:r w:rsidRPr="00DD114D">
              <w:rPr>
                <w:bCs/>
                <w:sz w:val="18"/>
              </w:rPr>
              <w:t>(WA)</w:t>
            </w:r>
          </w:p>
        </w:tc>
      </w:tr>
      <w:tr w:rsidR="00E735F3" w:rsidRPr="00E735F3" w14:paraId="52627BCF" w14:textId="77777777" w:rsidTr="00063347">
        <w:trPr>
          <w:cantSplit/>
        </w:trPr>
        <w:tc>
          <w:tcPr>
            <w:tcW w:w="3403" w:type="dxa"/>
            <w:tcBorders>
              <w:top w:val="nil"/>
              <w:left w:val="nil"/>
              <w:bottom w:val="nil"/>
              <w:right w:val="nil"/>
            </w:tcBorders>
          </w:tcPr>
          <w:p w14:paraId="342B2332" w14:textId="77777777" w:rsidR="00E735F3" w:rsidRPr="00E735F3" w:rsidRDefault="00E735F3" w:rsidP="00E735F3">
            <w:pPr>
              <w:spacing w:before="60" w:after="60" w:line="240" w:lineRule="auto"/>
              <w:rPr>
                <w:sz w:val="18"/>
              </w:rPr>
            </w:pPr>
            <w:r w:rsidRPr="00E735F3">
              <w:rPr>
                <w:b/>
                <w:i/>
                <w:sz w:val="18"/>
              </w:rPr>
              <w:t>Hemiberlesia lataniae</w:t>
            </w:r>
            <w:r w:rsidRPr="00E735F3">
              <w:rPr>
                <w:sz w:val="18"/>
              </w:rPr>
              <w:t xml:space="preserve"> (Signoret, 1869)</w:t>
            </w:r>
          </w:p>
          <w:p w14:paraId="75F215D2" w14:textId="77777777" w:rsidR="00E735F3" w:rsidRPr="00E735F3" w:rsidRDefault="00E735F3" w:rsidP="00E735F3">
            <w:pPr>
              <w:spacing w:before="60" w:after="60" w:line="240" w:lineRule="auto"/>
              <w:rPr>
                <w:sz w:val="18"/>
              </w:rPr>
            </w:pPr>
            <w:r w:rsidRPr="00E735F3">
              <w:rPr>
                <w:sz w:val="18"/>
              </w:rPr>
              <w:t>[Diaspididae]</w:t>
            </w:r>
          </w:p>
          <w:p w14:paraId="633BFF44" w14:textId="77777777" w:rsidR="00E735F3" w:rsidRPr="00E735F3" w:rsidRDefault="00E735F3" w:rsidP="00E735F3">
            <w:pPr>
              <w:spacing w:before="60" w:after="60" w:line="240" w:lineRule="auto"/>
              <w:rPr>
                <w:sz w:val="18"/>
              </w:rPr>
            </w:pPr>
            <w:r w:rsidRPr="00E735F3">
              <w:rPr>
                <w:sz w:val="18"/>
              </w:rPr>
              <w:t>Latania scale</w:t>
            </w:r>
          </w:p>
        </w:tc>
        <w:tc>
          <w:tcPr>
            <w:tcW w:w="1974" w:type="dxa"/>
            <w:tcBorders>
              <w:top w:val="nil"/>
              <w:left w:val="nil"/>
              <w:bottom w:val="nil"/>
              <w:right w:val="nil"/>
            </w:tcBorders>
          </w:tcPr>
          <w:p w14:paraId="0FBCB5CA" w14:textId="77777777" w:rsidR="00E735F3" w:rsidRPr="00E735F3" w:rsidRDefault="00E735F3" w:rsidP="00E735F3">
            <w:pPr>
              <w:spacing w:before="60" w:after="60" w:line="240" w:lineRule="auto"/>
              <w:rPr>
                <w:sz w:val="18"/>
              </w:rPr>
            </w:pPr>
            <w:r w:rsidRPr="00E735F3">
              <w:rPr>
                <w:sz w:val="18"/>
              </w:rPr>
              <w:t>Cook Islands, Niue, Samoa, Tonga, Vanuatu (Williams and Watson 1988a).</w:t>
            </w:r>
          </w:p>
        </w:tc>
        <w:tc>
          <w:tcPr>
            <w:tcW w:w="1701" w:type="dxa"/>
            <w:tcBorders>
              <w:top w:val="nil"/>
              <w:left w:val="nil"/>
              <w:bottom w:val="nil"/>
              <w:right w:val="nil"/>
            </w:tcBorders>
            <w:shd w:val="clear" w:color="auto" w:fill="auto"/>
          </w:tcPr>
          <w:p w14:paraId="5596B0F1" w14:textId="77777777" w:rsidR="00E735F3" w:rsidRPr="00E735F3" w:rsidRDefault="00E735F3" w:rsidP="00E735F3">
            <w:pPr>
              <w:spacing w:before="60" w:after="60" w:line="240" w:lineRule="auto"/>
              <w:rPr>
                <w:sz w:val="18"/>
              </w:rPr>
            </w:pPr>
            <w:r w:rsidRPr="00E735F3">
              <w:rPr>
                <w:sz w:val="18"/>
              </w:rPr>
              <w:t>Yes. NSW, Qld and WA (Donaldson and Tsang 2002; Poole 2010).</w:t>
            </w:r>
          </w:p>
        </w:tc>
        <w:tc>
          <w:tcPr>
            <w:tcW w:w="2410" w:type="dxa"/>
            <w:tcBorders>
              <w:top w:val="nil"/>
              <w:left w:val="nil"/>
              <w:bottom w:val="nil"/>
              <w:right w:val="nil"/>
            </w:tcBorders>
          </w:tcPr>
          <w:p w14:paraId="110EEDFD" w14:textId="14876479"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4CCADA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B2D74C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9E57265" w14:textId="77777777" w:rsidR="00E735F3" w:rsidRPr="00E735F3" w:rsidRDefault="00E735F3" w:rsidP="00E735F3">
            <w:pPr>
              <w:spacing w:before="60" w:after="60" w:line="240" w:lineRule="auto"/>
              <w:rPr>
                <w:sz w:val="18"/>
              </w:rPr>
            </w:pPr>
            <w:r w:rsidRPr="00E735F3">
              <w:rPr>
                <w:sz w:val="18"/>
              </w:rPr>
              <w:t>No</w:t>
            </w:r>
          </w:p>
        </w:tc>
      </w:tr>
      <w:tr w:rsidR="00E735F3" w:rsidRPr="00E735F3" w14:paraId="27557E91" w14:textId="77777777" w:rsidTr="00063347">
        <w:trPr>
          <w:cantSplit/>
        </w:trPr>
        <w:tc>
          <w:tcPr>
            <w:tcW w:w="3403" w:type="dxa"/>
            <w:tcBorders>
              <w:top w:val="nil"/>
              <w:left w:val="nil"/>
              <w:bottom w:val="nil"/>
              <w:right w:val="nil"/>
            </w:tcBorders>
          </w:tcPr>
          <w:p w14:paraId="27349C5A" w14:textId="77777777" w:rsidR="00E735F3" w:rsidRPr="00E735F3" w:rsidRDefault="00E735F3" w:rsidP="00E735F3">
            <w:pPr>
              <w:spacing w:before="60" w:after="60" w:line="240" w:lineRule="auto"/>
              <w:rPr>
                <w:sz w:val="18"/>
              </w:rPr>
            </w:pPr>
            <w:r w:rsidRPr="00E735F3">
              <w:rPr>
                <w:b/>
                <w:i/>
                <w:sz w:val="18"/>
              </w:rPr>
              <w:t>Homalodisca vitripennis</w:t>
            </w:r>
            <w:r w:rsidRPr="00E735F3">
              <w:rPr>
                <w:b/>
                <w:sz w:val="18"/>
              </w:rPr>
              <w:t xml:space="preserve"> </w:t>
            </w:r>
            <w:r w:rsidRPr="00E735F3">
              <w:rPr>
                <w:sz w:val="18"/>
              </w:rPr>
              <w:t>(Germar, 1821)</w:t>
            </w:r>
          </w:p>
          <w:p w14:paraId="285EEE9B" w14:textId="77777777" w:rsidR="00E735F3" w:rsidRPr="00E735F3" w:rsidRDefault="00E735F3" w:rsidP="00E735F3">
            <w:pPr>
              <w:spacing w:before="60" w:after="60" w:line="240" w:lineRule="auto"/>
              <w:rPr>
                <w:iCs/>
                <w:sz w:val="18"/>
              </w:rPr>
            </w:pPr>
            <w:r w:rsidRPr="00E735F3">
              <w:rPr>
                <w:iCs/>
                <w:sz w:val="18"/>
              </w:rPr>
              <w:t>[Cicadellidae]</w:t>
            </w:r>
          </w:p>
          <w:p w14:paraId="5CF475D7" w14:textId="532D87D9" w:rsidR="00E735F3" w:rsidRPr="00E735F3" w:rsidRDefault="00E735F3" w:rsidP="00E735F3">
            <w:pPr>
              <w:spacing w:before="60" w:after="60" w:line="240" w:lineRule="auto"/>
              <w:rPr>
                <w:b/>
                <w:sz w:val="18"/>
              </w:rPr>
            </w:pPr>
            <w:r w:rsidRPr="00E735F3">
              <w:rPr>
                <w:iCs/>
                <w:sz w:val="18"/>
              </w:rPr>
              <w:t>Glassy winged sharpshooter</w:t>
            </w:r>
          </w:p>
        </w:tc>
        <w:tc>
          <w:tcPr>
            <w:tcW w:w="1974" w:type="dxa"/>
            <w:tcBorders>
              <w:top w:val="nil"/>
              <w:left w:val="nil"/>
              <w:bottom w:val="nil"/>
              <w:right w:val="nil"/>
            </w:tcBorders>
          </w:tcPr>
          <w:p w14:paraId="2959A887" w14:textId="77777777" w:rsidR="00E735F3" w:rsidRPr="00E735F3" w:rsidRDefault="00E735F3" w:rsidP="00E735F3">
            <w:pPr>
              <w:spacing w:before="60" w:after="60" w:line="240" w:lineRule="auto"/>
              <w:rPr>
                <w:sz w:val="18"/>
              </w:rPr>
            </w:pPr>
            <w:r w:rsidRPr="00E735F3">
              <w:rPr>
                <w:sz w:val="18"/>
              </w:rPr>
              <w:t>Cook Islands (CABI 2016)</w:t>
            </w:r>
          </w:p>
        </w:tc>
        <w:tc>
          <w:tcPr>
            <w:tcW w:w="1701" w:type="dxa"/>
            <w:tcBorders>
              <w:top w:val="nil"/>
              <w:left w:val="nil"/>
              <w:bottom w:val="nil"/>
              <w:right w:val="nil"/>
            </w:tcBorders>
            <w:shd w:val="clear" w:color="auto" w:fill="auto"/>
          </w:tcPr>
          <w:p w14:paraId="6FA2FA56"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5A6AB764" w14:textId="048E7799" w:rsidR="00E735F3" w:rsidRPr="00E735F3" w:rsidRDefault="00E735F3" w:rsidP="00AB460D">
            <w:pPr>
              <w:spacing w:before="60" w:after="60" w:line="240" w:lineRule="auto"/>
              <w:rPr>
                <w:sz w:val="18"/>
              </w:rPr>
            </w:pPr>
            <w:r w:rsidRPr="00E735F3">
              <w:rPr>
                <w:sz w:val="18"/>
              </w:rPr>
              <w:t>No. Feeds on the xylem of host plants, so typically found on stems and leaves. Oviposition</w:t>
            </w:r>
            <w:r w:rsidR="001138C2">
              <w:rPr>
                <w:sz w:val="18"/>
              </w:rPr>
              <w:t xml:space="preserve"> is</w:t>
            </w:r>
            <w:r w:rsidRPr="00E735F3">
              <w:rPr>
                <w:sz w:val="18"/>
              </w:rPr>
              <w:t xml:space="preserve"> </w:t>
            </w:r>
            <w:r w:rsidR="001138C2">
              <w:rPr>
                <w:sz w:val="18"/>
              </w:rPr>
              <w:t>generally into the leaves of plants, forming blister-like patches.</w:t>
            </w:r>
            <w:r w:rsidR="00AB460D">
              <w:t xml:space="preserve"> </w:t>
            </w:r>
            <w:r w:rsidR="00AB460D" w:rsidRPr="00AB460D">
              <w:rPr>
                <w:sz w:val="18"/>
              </w:rPr>
              <w:t xml:space="preserve">In heavy infestations, egg masses can be laid into the rind of immature fruit. The eggs hatch in one to two weeks (Blua </w:t>
            </w:r>
            <w:r w:rsidR="00AB460D" w:rsidRPr="00AB460D">
              <w:rPr>
                <w:i/>
                <w:sz w:val="18"/>
              </w:rPr>
              <w:t>et al</w:t>
            </w:r>
            <w:r w:rsidR="00AB460D" w:rsidRPr="00AB460D">
              <w:rPr>
                <w:sz w:val="18"/>
              </w:rPr>
              <w:t>. 1999), so viable eggs are unlikely to be present on mature fruit at harvest</w:t>
            </w:r>
            <w:r w:rsidR="00AB460D">
              <w:rPr>
                <w:sz w:val="18"/>
              </w:rPr>
              <w:t xml:space="preserve"> (Phillips 2000)</w:t>
            </w:r>
            <w:r w:rsidR="00AB460D" w:rsidRPr="00AB460D">
              <w:rPr>
                <w:sz w:val="18"/>
              </w:rPr>
              <w:t xml:space="preserve">. Old hatched egg masses appear as grey or tan scars on surface of the rind (Blua </w:t>
            </w:r>
            <w:r w:rsidR="00AB460D" w:rsidRPr="00AB460D">
              <w:rPr>
                <w:i/>
                <w:sz w:val="18"/>
              </w:rPr>
              <w:t>et al.</w:t>
            </w:r>
            <w:r w:rsidR="00AB460D" w:rsidRPr="00AB460D">
              <w:rPr>
                <w:sz w:val="18"/>
              </w:rPr>
              <w:t xml:space="preserve"> 1999). Scarred fruit are typically unmarketable, so would be discarded at harvest or in pre-export sorting and handling.</w:t>
            </w:r>
          </w:p>
        </w:tc>
        <w:tc>
          <w:tcPr>
            <w:tcW w:w="2410" w:type="dxa"/>
            <w:tcBorders>
              <w:top w:val="nil"/>
              <w:left w:val="nil"/>
              <w:bottom w:val="nil"/>
              <w:right w:val="nil"/>
            </w:tcBorders>
            <w:shd w:val="clear" w:color="auto" w:fill="auto"/>
          </w:tcPr>
          <w:p w14:paraId="4B0A64CC"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8C9CE6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10065FE" w14:textId="77777777" w:rsidR="00E735F3" w:rsidRPr="00E735F3" w:rsidRDefault="00231B42" w:rsidP="006D373C">
            <w:pPr>
              <w:spacing w:before="60" w:after="60" w:line="240" w:lineRule="auto"/>
              <w:rPr>
                <w:sz w:val="18"/>
              </w:rPr>
            </w:pPr>
            <w:r w:rsidRPr="00231B42">
              <w:rPr>
                <w:sz w:val="18"/>
              </w:rPr>
              <w:t>No</w:t>
            </w:r>
          </w:p>
        </w:tc>
      </w:tr>
      <w:tr w:rsidR="00E735F3" w:rsidRPr="00E735F3" w14:paraId="18C11377" w14:textId="77777777" w:rsidTr="00063347">
        <w:trPr>
          <w:cantSplit/>
        </w:trPr>
        <w:tc>
          <w:tcPr>
            <w:tcW w:w="3403" w:type="dxa"/>
            <w:tcBorders>
              <w:top w:val="nil"/>
              <w:left w:val="nil"/>
              <w:bottom w:val="nil"/>
              <w:right w:val="nil"/>
            </w:tcBorders>
          </w:tcPr>
          <w:p w14:paraId="15E54A7C" w14:textId="77777777" w:rsidR="00E735F3" w:rsidRPr="00E735F3" w:rsidRDefault="00E735F3" w:rsidP="00E735F3">
            <w:pPr>
              <w:spacing w:before="60" w:after="60" w:line="240" w:lineRule="auto"/>
              <w:rPr>
                <w:sz w:val="18"/>
              </w:rPr>
            </w:pPr>
            <w:r w:rsidRPr="00E735F3">
              <w:rPr>
                <w:b/>
                <w:i/>
                <w:sz w:val="18"/>
              </w:rPr>
              <w:t>Howardia biclavis</w:t>
            </w:r>
            <w:r w:rsidRPr="00E735F3">
              <w:rPr>
                <w:i/>
                <w:sz w:val="18"/>
              </w:rPr>
              <w:t xml:space="preserve"> </w:t>
            </w:r>
            <w:r w:rsidRPr="00E735F3">
              <w:rPr>
                <w:sz w:val="18"/>
              </w:rPr>
              <w:t>(Comstock, 1883)</w:t>
            </w:r>
          </w:p>
          <w:p w14:paraId="1867274E" w14:textId="77777777" w:rsidR="00E735F3" w:rsidRPr="00E735F3" w:rsidRDefault="00E735F3" w:rsidP="00E735F3">
            <w:pPr>
              <w:spacing w:before="60" w:after="60" w:line="240" w:lineRule="auto"/>
              <w:rPr>
                <w:sz w:val="18"/>
              </w:rPr>
            </w:pPr>
            <w:r w:rsidRPr="00E735F3">
              <w:rPr>
                <w:sz w:val="18"/>
              </w:rPr>
              <w:t>[Diaspididae]</w:t>
            </w:r>
          </w:p>
          <w:p w14:paraId="485B8DEA" w14:textId="77777777" w:rsidR="00E735F3" w:rsidRPr="00E735F3" w:rsidRDefault="00E735F3" w:rsidP="00E735F3">
            <w:pPr>
              <w:spacing w:before="60" w:after="60" w:line="240" w:lineRule="auto"/>
              <w:rPr>
                <w:sz w:val="18"/>
              </w:rPr>
            </w:pPr>
            <w:r w:rsidRPr="00E735F3">
              <w:rPr>
                <w:sz w:val="18"/>
              </w:rPr>
              <w:t>Mining scale</w:t>
            </w:r>
          </w:p>
        </w:tc>
        <w:tc>
          <w:tcPr>
            <w:tcW w:w="1974" w:type="dxa"/>
            <w:tcBorders>
              <w:top w:val="nil"/>
              <w:left w:val="nil"/>
              <w:bottom w:val="nil"/>
              <w:right w:val="nil"/>
            </w:tcBorders>
          </w:tcPr>
          <w:p w14:paraId="7B6014C8" w14:textId="77777777" w:rsidR="00E735F3" w:rsidRPr="00E735F3" w:rsidRDefault="00E735F3" w:rsidP="00E735F3">
            <w:pPr>
              <w:spacing w:before="60" w:after="60" w:line="240" w:lineRule="auto"/>
              <w:rPr>
                <w:sz w:val="18"/>
              </w:rPr>
            </w:pPr>
            <w:r w:rsidRPr="00E735F3">
              <w:rPr>
                <w:sz w:val="18"/>
              </w:rPr>
              <w:t>Cook Islands, Niue, Samoa, Tonga, Vanuatu (Williams and Watson 1988a).</w:t>
            </w:r>
          </w:p>
        </w:tc>
        <w:tc>
          <w:tcPr>
            <w:tcW w:w="1701" w:type="dxa"/>
            <w:tcBorders>
              <w:top w:val="nil"/>
              <w:left w:val="nil"/>
              <w:bottom w:val="nil"/>
              <w:right w:val="nil"/>
            </w:tcBorders>
            <w:shd w:val="clear" w:color="auto" w:fill="auto"/>
          </w:tcPr>
          <w:p w14:paraId="300A4780" w14:textId="77777777" w:rsidR="00E735F3" w:rsidRDefault="00E735F3" w:rsidP="00E735F3">
            <w:pPr>
              <w:spacing w:before="60" w:after="60" w:line="240" w:lineRule="auto"/>
              <w:rPr>
                <w:sz w:val="18"/>
              </w:rPr>
            </w:pPr>
            <w:r w:rsidRPr="00E735F3">
              <w:rPr>
                <w:sz w:val="18"/>
              </w:rPr>
              <w:t>Yes. Qld (Donaldson and Tsang 2002).</w:t>
            </w:r>
          </w:p>
          <w:p w14:paraId="1565C34F" w14:textId="29262444"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7C025DF3" w14:textId="6721B013" w:rsidR="00E735F3" w:rsidRPr="00E735F3" w:rsidRDefault="00E735F3" w:rsidP="00E735F3">
            <w:pPr>
              <w:spacing w:before="60" w:after="60" w:line="240" w:lineRule="auto"/>
              <w:rPr>
                <w:sz w:val="18"/>
              </w:rPr>
            </w:pPr>
            <w:r w:rsidRPr="00E735F3">
              <w:rPr>
                <w:sz w:val="18"/>
              </w:rPr>
              <w:t xml:space="preserve">No. Lime trees are a host, but this scale is usually found on twigs and branches, where it settles in the bark tissue (Garcia Morales </w:t>
            </w:r>
            <w:r w:rsidRPr="00E735F3">
              <w:rPr>
                <w:i/>
                <w:sz w:val="18"/>
              </w:rPr>
              <w:t>et al.</w:t>
            </w:r>
            <w:r w:rsidRPr="00E735F3">
              <w:rPr>
                <w:sz w:val="18"/>
              </w:rPr>
              <w:t xml:space="preserve"> 2016). Rarely </w:t>
            </w:r>
            <w:r w:rsidR="005879F9">
              <w:rPr>
                <w:sz w:val="18"/>
              </w:rPr>
              <w:t xml:space="preserve">found </w:t>
            </w:r>
            <w:r w:rsidRPr="00E735F3">
              <w:rPr>
                <w:sz w:val="18"/>
              </w:rPr>
              <w:t>on leaves and fruit of hosts (Miller and Davidson 2005).</w:t>
            </w:r>
          </w:p>
        </w:tc>
        <w:tc>
          <w:tcPr>
            <w:tcW w:w="2410" w:type="dxa"/>
            <w:tcBorders>
              <w:top w:val="nil"/>
              <w:left w:val="nil"/>
              <w:bottom w:val="nil"/>
              <w:right w:val="nil"/>
            </w:tcBorders>
            <w:shd w:val="clear" w:color="auto" w:fill="auto"/>
          </w:tcPr>
          <w:p w14:paraId="01DB329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13048F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46CB0A2" w14:textId="77777777" w:rsidR="00E735F3" w:rsidRPr="00E735F3" w:rsidRDefault="00A843FD" w:rsidP="002C2F14">
            <w:pPr>
              <w:spacing w:before="60" w:after="60" w:line="240" w:lineRule="auto"/>
              <w:rPr>
                <w:sz w:val="18"/>
              </w:rPr>
            </w:pPr>
            <w:r w:rsidRPr="00A843FD">
              <w:rPr>
                <w:bCs/>
                <w:sz w:val="18"/>
              </w:rPr>
              <w:t>No</w:t>
            </w:r>
          </w:p>
        </w:tc>
      </w:tr>
      <w:tr w:rsidR="00E735F3" w:rsidRPr="00E735F3" w14:paraId="445CBA50" w14:textId="77777777" w:rsidTr="00063347">
        <w:trPr>
          <w:cantSplit/>
        </w:trPr>
        <w:tc>
          <w:tcPr>
            <w:tcW w:w="3403" w:type="dxa"/>
            <w:tcBorders>
              <w:top w:val="nil"/>
              <w:left w:val="nil"/>
              <w:bottom w:val="nil"/>
              <w:right w:val="nil"/>
            </w:tcBorders>
          </w:tcPr>
          <w:p w14:paraId="42148330" w14:textId="77777777" w:rsidR="00E735F3" w:rsidRPr="00E735F3" w:rsidRDefault="00E735F3" w:rsidP="00E735F3">
            <w:pPr>
              <w:spacing w:before="60" w:after="60" w:line="240" w:lineRule="auto"/>
              <w:rPr>
                <w:sz w:val="18"/>
              </w:rPr>
            </w:pPr>
            <w:r w:rsidRPr="00E735F3">
              <w:rPr>
                <w:b/>
                <w:i/>
                <w:sz w:val="18"/>
              </w:rPr>
              <w:t>Icerya purchasi</w:t>
            </w:r>
            <w:r w:rsidRPr="00E735F3">
              <w:rPr>
                <w:i/>
                <w:sz w:val="18"/>
              </w:rPr>
              <w:t xml:space="preserve"> </w:t>
            </w:r>
            <w:r w:rsidRPr="00E735F3">
              <w:rPr>
                <w:sz w:val="18"/>
              </w:rPr>
              <w:t>Maskell, 1879</w:t>
            </w:r>
          </w:p>
          <w:p w14:paraId="27F9A2CE" w14:textId="77777777" w:rsidR="00E735F3" w:rsidRPr="00E735F3" w:rsidRDefault="00E735F3" w:rsidP="00E735F3">
            <w:pPr>
              <w:spacing w:before="60" w:after="60" w:line="240" w:lineRule="auto"/>
              <w:rPr>
                <w:sz w:val="18"/>
              </w:rPr>
            </w:pPr>
            <w:r w:rsidRPr="00E735F3">
              <w:rPr>
                <w:sz w:val="18"/>
              </w:rPr>
              <w:t>[Monophlebidae]</w:t>
            </w:r>
          </w:p>
          <w:p w14:paraId="2EE76E90" w14:textId="77777777" w:rsidR="00E735F3" w:rsidRPr="00E735F3" w:rsidRDefault="00E735F3" w:rsidP="00E735F3">
            <w:pPr>
              <w:spacing w:before="60" w:after="60" w:line="240" w:lineRule="auto"/>
              <w:rPr>
                <w:i/>
                <w:sz w:val="18"/>
              </w:rPr>
            </w:pPr>
            <w:r w:rsidRPr="00E735F3">
              <w:rPr>
                <w:sz w:val="18"/>
              </w:rPr>
              <w:t>Cottony cushion scale</w:t>
            </w:r>
          </w:p>
        </w:tc>
        <w:tc>
          <w:tcPr>
            <w:tcW w:w="1974" w:type="dxa"/>
            <w:tcBorders>
              <w:top w:val="nil"/>
              <w:left w:val="nil"/>
              <w:bottom w:val="nil"/>
              <w:right w:val="nil"/>
            </w:tcBorders>
          </w:tcPr>
          <w:p w14:paraId="7F8946DA" w14:textId="77777777" w:rsidR="00E735F3" w:rsidRPr="00E735F3" w:rsidRDefault="00E735F3" w:rsidP="00E735F3">
            <w:pPr>
              <w:spacing w:before="60" w:after="60" w:line="240" w:lineRule="auto"/>
              <w:rPr>
                <w:sz w:val="18"/>
              </w:rPr>
            </w:pPr>
            <w:r w:rsidRPr="00E735F3">
              <w:rPr>
                <w:sz w:val="18"/>
              </w:rPr>
              <w:t>Tonga (Williams and Watson 1990).</w:t>
            </w:r>
          </w:p>
        </w:tc>
        <w:tc>
          <w:tcPr>
            <w:tcW w:w="1701" w:type="dxa"/>
            <w:tcBorders>
              <w:top w:val="nil"/>
              <w:left w:val="nil"/>
              <w:bottom w:val="nil"/>
              <w:right w:val="nil"/>
            </w:tcBorders>
            <w:shd w:val="clear" w:color="auto" w:fill="auto"/>
          </w:tcPr>
          <w:p w14:paraId="50701068" w14:textId="77777777" w:rsidR="00E735F3" w:rsidRPr="00E735F3" w:rsidRDefault="00E735F3" w:rsidP="00E735F3">
            <w:pPr>
              <w:spacing w:before="60" w:after="60" w:line="240" w:lineRule="auto"/>
              <w:rPr>
                <w:sz w:val="18"/>
              </w:rPr>
            </w:pPr>
            <w:r w:rsidRPr="00E735F3">
              <w:rPr>
                <w:sz w:val="18"/>
              </w:rPr>
              <w:t>Yes. NSW, Qld, SA, Tas., WA (Houston 2002).</w:t>
            </w:r>
          </w:p>
        </w:tc>
        <w:tc>
          <w:tcPr>
            <w:tcW w:w="2410" w:type="dxa"/>
            <w:tcBorders>
              <w:top w:val="nil"/>
              <w:left w:val="nil"/>
              <w:bottom w:val="nil"/>
              <w:right w:val="nil"/>
            </w:tcBorders>
          </w:tcPr>
          <w:p w14:paraId="76323F51" w14:textId="2D387D92"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0B408F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5C83C4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DBE30A3" w14:textId="77777777" w:rsidR="00E735F3" w:rsidRPr="00E735F3" w:rsidRDefault="00E735F3" w:rsidP="00E735F3">
            <w:pPr>
              <w:spacing w:before="60" w:after="60" w:line="240" w:lineRule="auto"/>
              <w:rPr>
                <w:sz w:val="18"/>
              </w:rPr>
            </w:pPr>
            <w:r w:rsidRPr="00E735F3">
              <w:rPr>
                <w:sz w:val="18"/>
              </w:rPr>
              <w:t>No</w:t>
            </w:r>
          </w:p>
        </w:tc>
      </w:tr>
      <w:tr w:rsidR="00E735F3" w:rsidRPr="00E735F3" w14:paraId="7271035D" w14:textId="77777777" w:rsidTr="00063347">
        <w:trPr>
          <w:cantSplit/>
          <w:trHeight w:val="718"/>
        </w:trPr>
        <w:tc>
          <w:tcPr>
            <w:tcW w:w="3403" w:type="dxa"/>
            <w:tcBorders>
              <w:top w:val="nil"/>
              <w:left w:val="nil"/>
              <w:bottom w:val="nil"/>
              <w:right w:val="nil"/>
            </w:tcBorders>
          </w:tcPr>
          <w:p w14:paraId="3464702C" w14:textId="77777777" w:rsidR="00E735F3" w:rsidRPr="00E735F3" w:rsidRDefault="00E735F3" w:rsidP="00E735F3">
            <w:pPr>
              <w:spacing w:before="60" w:after="60" w:line="240" w:lineRule="auto"/>
              <w:rPr>
                <w:sz w:val="18"/>
              </w:rPr>
            </w:pPr>
            <w:r w:rsidRPr="00E735F3">
              <w:rPr>
                <w:b/>
                <w:i/>
                <w:sz w:val="18"/>
              </w:rPr>
              <w:t>Icerya seychellarum</w:t>
            </w:r>
            <w:r w:rsidRPr="00E735F3">
              <w:rPr>
                <w:i/>
                <w:sz w:val="18"/>
              </w:rPr>
              <w:t xml:space="preserve"> </w:t>
            </w:r>
            <w:r w:rsidRPr="00E735F3">
              <w:rPr>
                <w:sz w:val="18"/>
              </w:rPr>
              <w:t>(Westwood, 1855)</w:t>
            </w:r>
          </w:p>
          <w:p w14:paraId="0C300B0C" w14:textId="77777777" w:rsidR="00E735F3" w:rsidRPr="00E735F3" w:rsidRDefault="00E735F3" w:rsidP="00E735F3">
            <w:pPr>
              <w:spacing w:before="60" w:after="60" w:line="240" w:lineRule="auto"/>
              <w:rPr>
                <w:sz w:val="18"/>
              </w:rPr>
            </w:pPr>
            <w:r w:rsidRPr="00E735F3">
              <w:rPr>
                <w:sz w:val="18"/>
              </w:rPr>
              <w:t>[Monophlebidae]</w:t>
            </w:r>
          </w:p>
          <w:p w14:paraId="2A2494A4" w14:textId="77777777" w:rsidR="00E735F3" w:rsidRPr="00E735F3" w:rsidRDefault="00E735F3" w:rsidP="00E735F3">
            <w:pPr>
              <w:spacing w:before="60" w:after="60" w:line="240" w:lineRule="auto"/>
              <w:rPr>
                <w:i/>
                <w:sz w:val="18"/>
              </w:rPr>
            </w:pPr>
            <w:r w:rsidRPr="00E735F3">
              <w:rPr>
                <w:sz w:val="18"/>
              </w:rPr>
              <w:t>Seychelles fluted scale</w:t>
            </w:r>
          </w:p>
        </w:tc>
        <w:tc>
          <w:tcPr>
            <w:tcW w:w="1974" w:type="dxa"/>
            <w:tcBorders>
              <w:top w:val="nil"/>
              <w:left w:val="nil"/>
              <w:bottom w:val="nil"/>
              <w:right w:val="nil"/>
            </w:tcBorders>
          </w:tcPr>
          <w:p w14:paraId="586723C7" w14:textId="77777777" w:rsidR="00E735F3" w:rsidRPr="00E735F3" w:rsidRDefault="00E735F3" w:rsidP="00E735F3">
            <w:pPr>
              <w:spacing w:before="60" w:after="60" w:line="240" w:lineRule="auto"/>
              <w:rPr>
                <w:sz w:val="18"/>
              </w:rPr>
            </w:pPr>
            <w:r w:rsidRPr="00E735F3">
              <w:rPr>
                <w:sz w:val="18"/>
              </w:rPr>
              <w:t>Cook Islands, Niue, Samoa, Tonga, Vanuatu (Williams and Watson 1990).</w:t>
            </w:r>
          </w:p>
        </w:tc>
        <w:tc>
          <w:tcPr>
            <w:tcW w:w="1701" w:type="dxa"/>
            <w:tcBorders>
              <w:top w:val="nil"/>
              <w:left w:val="nil"/>
              <w:bottom w:val="nil"/>
              <w:right w:val="nil"/>
            </w:tcBorders>
            <w:shd w:val="clear" w:color="auto" w:fill="auto"/>
          </w:tcPr>
          <w:p w14:paraId="07D47F16" w14:textId="77777777" w:rsidR="00E735F3" w:rsidRPr="00E735F3" w:rsidRDefault="00E735F3" w:rsidP="00E735F3">
            <w:pPr>
              <w:spacing w:before="60" w:after="60" w:line="240" w:lineRule="auto"/>
              <w:rPr>
                <w:sz w:val="18"/>
              </w:rPr>
            </w:pPr>
            <w:r w:rsidRPr="00E735F3">
              <w:rPr>
                <w:sz w:val="18"/>
              </w:rPr>
              <w:t>Yes. NT, Qld (AFD 2016), WA (Poole 2010).</w:t>
            </w:r>
          </w:p>
        </w:tc>
        <w:tc>
          <w:tcPr>
            <w:tcW w:w="2410" w:type="dxa"/>
            <w:tcBorders>
              <w:top w:val="nil"/>
              <w:left w:val="nil"/>
              <w:bottom w:val="nil"/>
              <w:right w:val="nil"/>
            </w:tcBorders>
          </w:tcPr>
          <w:p w14:paraId="7E1C10C8" w14:textId="6B3624C6"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15BCC5C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05FC970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63B77D5" w14:textId="77777777" w:rsidR="00E735F3" w:rsidRPr="00E735F3" w:rsidRDefault="00E735F3" w:rsidP="00E735F3">
            <w:pPr>
              <w:spacing w:before="60" w:after="60" w:line="240" w:lineRule="auto"/>
              <w:rPr>
                <w:sz w:val="18"/>
              </w:rPr>
            </w:pPr>
            <w:r w:rsidRPr="00E735F3">
              <w:rPr>
                <w:sz w:val="18"/>
              </w:rPr>
              <w:t>No</w:t>
            </w:r>
          </w:p>
        </w:tc>
      </w:tr>
      <w:tr w:rsidR="00706CB9" w:rsidRPr="00E735F3" w14:paraId="7E909014" w14:textId="77777777" w:rsidTr="00063347">
        <w:trPr>
          <w:cantSplit/>
          <w:trHeight w:val="718"/>
        </w:trPr>
        <w:tc>
          <w:tcPr>
            <w:tcW w:w="3403" w:type="dxa"/>
            <w:tcBorders>
              <w:top w:val="nil"/>
              <w:left w:val="nil"/>
              <w:bottom w:val="nil"/>
              <w:right w:val="nil"/>
            </w:tcBorders>
          </w:tcPr>
          <w:p w14:paraId="749AF095" w14:textId="77777777" w:rsidR="00706CB9" w:rsidRDefault="00706CB9" w:rsidP="00E735F3">
            <w:pPr>
              <w:spacing w:before="60" w:after="60" w:line="240" w:lineRule="auto"/>
              <w:rPr>
                <w:sz w:val="18"/>
              </w:rPr>
            </w:pPr>
            <w:r>
              <w:rPr>
                <w:b/>
                <w:i/>
                <w:sz w:val="18"/>
              </w:rPr>
              <w:t>Isc</w:t>
            </w:r>
            <w:r w:rsidR="003461AD">
              <w:rPr>
                <w:b/>
                <w:i/>
                <w:sz w:val="18"/>
              </w:rPr>
              <w:t xml:space="preserve">hnapsis longirostris </w:t>
            </w:r>
            <w:r w:rsidR="003461AD" w:rsidRPr="003461AD">
              <w:rPr>
                <w:sz w:val="18"/>
              </w:rPr>
              <w:t>(Signoret, 1882)</w:t>
            </w:r>
          </w:p>
          <w:p w14:paraId="770C703F" w14:textId="77777777" w:rsidR="003461AD" w:rsidRDefault="003461AD" w:rsidP="00E735F3">
            <w:pPr>
              <w:spacing w:before="60" w:after="60" w:line="240" w:lineRule="auto"/>
              <w:rPr>
                <w:sz w:val="18"/>
              </w:rPr>
            </w:pPr>
            <w:r>
              <w:rPr>
                <w:sz w:val="18"/>
              </w:rPr>
              <w:t>[Diapididae]</w:t>
            </w:r>
          </w:p>
          <w:p w14:paraId="333B2549" w14:textId="77777777" w:rsidR="003461AD" w:rsidRPr="003461AD" w:rsidRDefault="003461AD" w:rsidP="00E735F3">
            <w:pPr>
              <w:spacing w:before="60" w:after="60" w:line="240" w:lineRule="auto"/>
              <w:rPr>
                <w:b/>
                <w:sz w:val="18"/>
              </w:rPr>
            </w:pPr>
            <w:r>
              <w:rPr>
                <w:sz w:val="18"/>
              </w:rPr>
              <w:t>Black thread scale</w:t>
            </w:r>
          </w:p>
        </w:tc>
        <w:tc>
          <w:tcPr>
            <w:tcW w:w="1974" w:type="dxa"/>
            <w:tcBorders>
              <w:top w:val="nil"/>
              <w:left w:val="nil"/>
              <w:bottom w:val="nil"/>
              <w:right w:val="nil"/>
            </w:tcBorders>
          </w:tcPr>
          <w:p w14:paraId="7F1239DB" w14:textId="77777777" w:rsidR="00706CB9" w:rsidRPr="00E735F3" w:rsidRDefault="003461AD" w:rsidP="00E735F3">
            <w:pPr>
              <w:spacing w:before="60" w:after="60" w:line="240" w:lineRule="auto"/>
              <w:rPr>
                <w:sz w:val="18"/>
              </w:rPr>
            </w:pPr>
            <w:r>
              <w:rPr>
                <w:sz w:val="18"/>
              </w:rPr>
              <w:t>Cook Islands, Samoa, Tonga, Vanuatu (Williams and Watson 1988a).</w:t>
            </w:r>
          </w:p>
        </w:tc>
        <w:tc>
          <w:tcPr>
            <w:tcW w:w="1701" w:type="dxa"/>
            <w:tcBorders>
              <w:top w:val="nil"/>
              <w:left w:val="nil"/>
              <w:bottom w:val="nil"/>
              <w:right w:val="nil"/>
            </w:tcBorders>
            <w:shd w:val="clear" w:color="auto" w:fill="auto"/>
          </w:tcPr>
          <w:p w14:paraId="79428CAD" w14:textId="77777777" w:rsidR="00706CB9" w:rsidRPr="00E735F3" w:rsidRDefault="003461AD" w:rsidP="00E735F3">
            <w:pPr>
              <w:spacing w:before="60" w:after="60" w:line="240" w:lineRule="auto"/>
              <w:rPr>
                <w:sz w:val="18"/>
              </w:rPr>
            </w:pPr>
            <w:r>
              <w:rPr>
                <w:sz w:val="18"/>
              </w:rPr>
              <w:t>Yes. NT, Qld, SA (Watson 2016).</w:t>
            </w:r>
          </w:p>
        </w:tc>
        <w:tc>
          <w:tcPr>
            <w:tcW w:w="2410" w:type="dxa"/>
            <w:tcBorders>
              <w:top w:val="nil"/>
              <w:left w:val="nil"/>
              <w:bottom w:val="nil"/>
              <w:right w:val="nil"/>
            </w:tcBorders>
          </w:tcPr>
          <w:p w14:paraId="091BCE73" w14:textId="20439545" w:rsidR="00706CB9" w:rsidRPr="00E735F3" w:rsidRDefault="00BE641D" w:rsidP="00950136">
            <w:pPr>
              <w:spacing w:before="60" w:after="60" w:line="240" w:lineRule="auto"/>
              <w:rPr>
                <w:sz w:val="18"/>
              </w:rPr>
            </w:pPr>
            <w:r>
              <w:rPr>
                <w:sz w:val="18"/>
              </w:rPr>
              <w:t>Assessment not required.</w:t>
            </w:r>
          </w:p>
        </w:tc>
        <w:tc>
          <w:tcPr>
            <w:tcW w:w="2410" w:type="dxa"/>
            <w:tcBorders>
              <w:top w:val="nil"/>
              <w:left w:val="nil"/>
              <w:bottom w:val="nil"/>
              <w:right w:val="nil"/>
            </w:tcBorders>
            <w:shd w:val="clear" w:color="auto" w:fill="auto"/>
          </w:tcPr>
          <w:p w14:paraId="0ACBC029" w14:textId="77777777" w:rsidR="00706CB9" w:rsidRPr="00E735F3" w:rsidRDefault="00950136" w:rsidP="006876FA">
            <w:pPr>
              <w:spacing w:before="60" w:after="60" w:line="240" w:lineRule="auto"/>
              <w:rPr>
                <w:sz w:val="18"/>
              </w:rPr>
            </w:pPr>
            <w:r w:rsidRPr="00950136">
              <w:rPr>
                <w:sz w:val="18"/>
              </w:rPr>
              <w:t xml:space="preserve">Assessment not required. </w:t>
            </w:r>
          </w:p>
        </w:tc>
        <w:tc>
          <w:tcPr>
            <w:tcW w:w="2268" w:type="dxa"/>
            <w:tcBorders>
              <w:top w:val="nil"/>
              <w:left w:val="nil"/>
              <w:bottom w:val="nil"/>
              <w:right w:val="nil"/>
            </w:tcBorders>
            <w:shd w:val="clear" w:color="auto" w:fill="auto"/>
          </w:tcPr>
          <w:p w14:paraId="4597A914" w14:textId="77777777" w:rsidR="00706CB9" w:rsidRPr="00E735F3" w:rsidRDefault="00950136" w:rsidP="006876FA">
            <w:pPr>
              <w:spacing w:before="60" w:after="60" w:line="240" w:lineRule="auto"/>
              <w:rPr>
                <w:sz w:val="18"/>
              </w:rPr>
            </w:pPr>
            <w:r w:rsidRPr="00950136">
              <w:rPr>
                <w:sz w:val="18"/>
              </w:rPr>
              <w:t xml:space="preserve">Assessment not required. </w:t>
            </w:r>
          </w:p>
        </w:tc>
        <w:tc>
          <w:tcPr>
            <w:tcW w:w="1285" w:type="dxa"/>
            <w:tcBorders>
              <w:top w:val="nil"/>
              <w:left w:val="nil"/>
              <w:bottom w:val="nil"/>
              <w:right w:val="nil"/>
            </w:tcBorders>
          </w:tcPr>
          <w:p w14:paraId="663E4958" w14:textId="77777777" w:rsidR="00706CB9" w:rsidRPr="00E735F3" w:rsidRDefault="00950136" w:rsidP="00E735F3">
            <w:pPr>
              <w:spacing w:before="60" w:after="60" w:line="240" w:lineRule="auto"/>
              <w:rPr>
                <w:sz w:val="18"/>
              </w:rPr>
            </w:pPr>
            <w:r>
              <w:rPr>
                <w:sz w:val="18"/>
              </w:rPr>
              <w:t>No</w:t>
            </w:r>
          </w:p>
        </w:tc>
      </w:tr>
      <w:tr w:rsidR="00E735F3" w:rsidRPr="00E735F3" w14:paraId="742A29A3" w14:textId="77777777" w:rsidTr="00063347">
        <w:trPr>
          <w:cantSplit/>
        </w:trPr>
        <w:tc>
          <w:tcPr>
            <w:tcW w:w="3403" w:type="dxa"/>
            <w:tcBorders>
              <w:top w:val="nil"/>
              <w:left w:val="nil"/>
              <w:bottom w:val="nil"/>
              <w:right w:val="nil"/>
            </w:tcBorders>
          </w:tcPr>
          <w:p w14:paraId="0AF44AAD" w14:textId="77777777" w:rsidR="00E735F3" w:rsidRPr="00E735F3" w:rsidRDefault="00E735F3" w:rsidP="00E735F3">
            <w:pPr>
              <w:spacing w:before="60" w:after="60" w:line="240" w:lineRule="auto"/>
              <w:rPr>
                <w:sz w:val="18"/>
              </w:rPr>
            </w:pPr>
            <w:r w:rsidRPr="00E735F3">
              <w:rPr>
                <w:b/>
                <w:i/>
                <w:sz w:val="18"/>
              </w:rPr>
              <w:t>Lepidosaphes beckii</w:t>
            </w:r>
            <w:r w:rsidRPr="00E735F3">
              <w:rPr>
                <w:i/>
                <w:sz w:val="18"/>
              </w:rPr>
              <w:t xml:space="preserve"> </w:t>
            </w:r>
            <w:r w:rsidRPr="00E735F3">
              <w:rPr>
                <w:sz w:val="18"/>
              </w:rPr>
              <w:t>(Newman, 1869)</w:t>
            </w:r>
          </w:p>
          <w:p w14:paraId="58E1889E" w14:textId="77777777" w:rsidR="00E735F3" w:rsidRPr="00E735F3" w:rsidRDefault="00E735F3" w:rsidP="00E735F3">
            <w:pPr>
              <w:spacing w:before="60" w:after="60" w:line="240" w:lineRule="auto"/>
              <w:rPr>
                <w:sz w:val="18"/>
              </w:rPr>
            </w:pPr>
            <w:r w:rsidRPr="00E735F3">
              <w:rPr>
                <w:sz w:val="18"/>
              </w:rPr>
              <w:t>[Diaspididae]</w:t>
            </w:r>
          </w:p>
          <w:p w14:paraId="5F42F0F6" w14:textId="77777777" w:rsidR="00E735F3" w:rsidRPr="00E735F3" w:rsidRDefault="00E735F3" w:rsidP="00E735F3">
            <w:pPr>
              <w:spacing w:before="60" w:after="60" w:line="240" w:lineRule="auto"/>
              <w:rPr>
                <w:i/>
                <w:sz w:val="18"/>
              </w:rPr>
            </w:pPr>
            <w:r w:rsidRPr="00E735F3">
              <w:rPr>
                <w:sz w:val="18"/>
              </w:rPr>
              <w:t>Mussel scale</w:t>
            </w:r>
          </w:p>
        </w:tc>
        <w:tc>
          <w:tcPr>
            <w:tcW w:w="1974" w:type="dxa"/>
            <w:tcBorders>
              <w:top w:val="nil"/>
              <w:left w:val="nil"/>
              <w:bottom w:val="nil"/>
              <w:right w:val="nil"/>
            </w:tcBorders>
          </w:tcPr>
          <w:p w14:paraId="2622E5DC" w14:textId="77777777" w:rsidR="00E735F3" w:rsidRPr="00E735F3" w:rsidRDefault="00E735F3" w:rsidP="00E735F3">
            <w:pPr>
              <w:spacing w:before="60" w:after="60" w:line="240" w:lineRule="auto"/>
              <w:rPr>
                <w:sz w:val="18"/>
              </w:rPr>
            </w:pPr>
            <w:r w:rsidRPr="00E735F3">
              <w:rPr>
                <w:sz w:val="18"/>
              </w:rPr>
              <w:t xml:space="preserve">Cook Islands, Niue, Samoa, Tonga, Vanuatu (Garcia Morales </w:t>
            </w:r>
            <w:r w:rsidRPr="00E735F3">
              <w:rPr>
                <w:i/>
                <w:sz w:val="18"/>
              </w:rPr>
              <w:t>et al.</w:t>
            </w:r>
            <w:r w:rsidRPr="00E735F3">
              <w:rPr>
                <w:sz w:val="18"/>
              </w:rPr>
              <w:t xml:space="preserve"> 2016).</w:t>
            </w:r>
          </w:p>
        </w:tc>
        <w:tc>
          <w:tcPr>
            <w:tcW w:w="1701" w:type="dxa"/>
            <w:tcBorders>
              <w:top w:val="nil"/>
              <w:left w:val="nil"/>
              <w:bottom w:val="nil"/>
              <w:right w:val="nil"/>
            </w:tcBorders>
            <w:shd w:val="clear" w:color="auto" w:fill="auto"/>
          </w:tcPr>
          <w:p w14:paraId="23D8F041" w14:textId="77777777" w:rsidR="00E735F3" w:rsidRPr="00E735F3" w:rsidRDefault="00E735F3" w:rsidP="00E735F3">
            <w:pPr>
              <w:spacing w:before="60" w:after="60" w:line="240" w:lineRule="auto"/>
              <w:rPr>
                <w:sz w:val="18"/>
              </w:rPr>
            </w:pPr>
            <w:r w:rsidRPr="00E735F3">
              <w:rPr>
                <w:sz w:val="18"/>
              </w:rPr>
              <w:t xml:space="preserve">Yes. NSW, Qld, SA, Tas., Vic. (Garcia Morales </w:t>
            </w:r>
            <w:r w:rsidRPr="00E735F3">
              <w:rPr>
                <w:i/>
                <w:sz w:val="18"/>
              </w:rPr>
              <w:t>et al.</w:t>
            </w:r>
            <w:r w:rsidRPr="00E735F3">
              <w:rPr>
                <w:sz w:val="18"/>
              </w:rPr>
              <w:t xml:space="preserve"> 2016) and WA (Poole 2010).</w:t>
            </w:r>
          </w:p>
        </w:tc>
        <w:tc>
          <w:tcPr>
            <w:tcW w:w="2410" w:type="dxa"/>
            <w:tcBorders>
              <w:top w:val="nil"/>
              <w:left w:val="nil"/>
              <w:bottom w:val="nil"/>
              <w:right w:val="nil"/>
            </w:tcBorders>
          </w:tcPr>
          <w:p w14:paraId="5485C474" w14:textId="7C8877BD"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2ACE83F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FAA3F5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14C38C1" w14:textId="77777777" w:rsidR="00E735F3" w:rsidRPr="00E735F3" w:rsidRDefault="00E735F3" w:rsidP="00E735F3">
            <w:pPr>
              <w:spacing w:before="60" w:after="60" w:line="240" w:lineRule="auto"/>
              <w:rPr>
                <w:sz w:val="18"/>
              </w:rPr>
            </w:pPr>
            <w:r w:rsidRPr="00E735F3">
              <w:rPr>
                <w:sz w:val="18"/>
              </w:rPr>
              <w:t>No</w:t>
            </w:r>
          </w:p>
        </w:tc>
      </w:tr>
      <w:tr w:rsidR="00E735F3" w:rsidRPr="00E735F3" w14:paraId="3B65B8C7" w14:textId="77777777" w:rsidTr="00063347">
        <w:trPr>
          <w:cantSplit/>
        </w:trPr>
        <w:tc>
          <w:tcPr>
            <w:tcW w:w="3403" w:type="dxa"/>
            <w:tcBorders>
              <w:top w:val="nil"/>
              <w:left w:val="nil"/>
              <w:bottom w:val="nil"/>
              <w:right w:val="nil"/>
            </w:tcBorders>
          </w:tcPr>
          <w:p w14:paraId="108C5724" w14:textId="77777777" w:rsidR="00E735F3" w:rsidRPr="00E735F3" w:rsidRDefault="00E735F3" w:rsidP="00E735F3">
            <w:pPr>
              <w:spacing w:before="60" w:after="60" w:line="240" w:lineRule="auto"/>
              <w:rPr>
                <w:sz w:val="18"/>
              </w:rPr>
            </w:pPr>
            <w:r w:rsidRPr="00E735F3">
              <w:rPr>
                <w:b/>
                <w:i/>
                <w:sz w:val="18"/>
              </w:rPr>
              <w:t>Lepidosaphes gloverii</w:t>
            </w:r>
            <w:r w:rsidRPr="00E735F3">
              <w:rPr>
                <w:i/>
                <w:sz w:val="18"/>
              </w:rPr>
              <w:t xml:space="preserve"> </w:t>
            </w:r>
            <w:r w:rsidRPr="00E735F3">
              <w:rPr>
                <w:sz w:val="18"/>
              </w:rPr>
              <w:t>(Packard, 1869)</w:t>
            </w:r>
          </w:p>
          <w:p w14:paraId="72F7BC8B" w14:textId="77777777" w:rsidR="00E735F3" w:rsidRPr="00E735F3" w:rsidRDefault="00E735F3" w:rsidP="00E735F3">
            <w:pPr>
              <w:spacing w:before="60" w:after="60" w:line="240" w:lineRule="auto"/>
              <w:rPr>
                <w:sz w:val="18"/>
              </w:rPr>
            </w:pPr>
            <w:r w:rsidRPr="00E735F3">
              <w:rPr>
                <w:sz w:val="18"/>
              </w:rPr>
              <w:t>[Diaspididae]</w:t>
            </w:r>
          </w:p>
          <w:p w14:paraId="250910BE" w14:textId="77777777" w:rsidR="00E735F3" w:rsidRPr="00E735F3" w:rsidRDefault="00E735F3" w:rsidP="00E735F3">
            <w:pPr>
              <w:spacing w:before="60" w:after="60" w:line="240" w:lineRule="auto"/>
              <w:rPr>
                <w:i/>
                <w:sz w:val="18"/>
                <w:highlight w:val="yellow"/>
              </w:rPr>
            </w:pPr>
            <w:r w:rsidRPr="00E735F3">
              <w:rPr>
                <w:sz w:val="18"/>
              </w:rPr>
              <w:t>Glover scale</w:t>
            </w:r>
          </w:p>
        </w:tc>
        <w:tc>
          <w:tcPr>
            <w:tcW w:w="1974" w:type="dxa"/>
            <w:tcBorders>
              <w:top w:val="nil"/>
              <w:left w:val="nil"/>
              <w:bottom w:val="nil"/>
              <w:right w:val="nil"/>
            </w:tcBorders>
          </w:tcPr>
          <w:p w14:paraId="67D40065" w14:textId="77777777" w:rsidR="00E735F3" w:rsidRPr="00E735F3" w:rsidRDefault="00E735F3" w:rsidP="00E735F3">
            <w:pPr>
              <w:spacing w:before="60" w:after="60" w:line="240" w:lineRule="auto"/>
              <w:rPr>
                <w:sz w:val="18"/>
              </w:rPr>
            </w:pPr>
            <w:r w:rsidRPr="00E735F3">
              <w:rPr>
                <w:sz w:val="18"/>
              </w:rPr>
              <w:t>Cook Islands, Niue, Samoa, Tonga (Williams and Watson 1988a).</w:t>
            </w:r>
          </w:p>
        </w:tc>
        <w:tc>
          <w:tcPr>
            <w:tcW w:w="1701" w:type="dxa"/>
            <w:tcBorders>
              <w:top w:val="nil"/>
              <w:left w:val="nil"/>
              <w:bottom w:val="nil"/>
              <w:right w:val="nil"/>
            </w:tcBorders>
            <w:shd w:val="clear" w:color="auto" w:fill="auto"/>
          </w:tcPr>
          <w:p w14:paraId="4B200572" w14:textId="77777777" w:rsidR="00E735F3" w:rsidRPr="00E735F3" w:rsidRDefault="00E735F3" w:rsidP="00E735F3">
            <w:pPr>
              <w:spacing w:before="60" w:after="60" w:line="240" w:lineRule="auto"/>
              <w:rPr>
                <w:sz w:val="18"/>
              </w:rPr>
            </w:pPr>
            <w:r w:rsidRPr="00E735F3">
              <w:rPr>
                <w:sz w:val="18"/>
              </w:rPr>
              <w:t>Yes. NSW, Qld, Vic and WA (Poole 2010).</w:t>
            </w:r>
          </w:p>
        </w:tc>
        <w:tc>
          <w:tcPr>
            <w:tcW w:w="2410" w:type="dxa"/>
            <w:tcBorders>
              <w:top w:val="nil"/>
              <w:left w:val="nil"/>
              <w:bottom w:val="nil"/>
              <w:right w:val="nil"/>
            </w:tcBorders>
          </w:tcPr>
          <w:p w14:paraId="267DCFB1" w14:textId="6B126C64"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439574A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7A8B26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DD04EA3" w14:textId="77777777" w:rsidR="00E735F3" w:rsidRPr="00E735F3" w:rsidRDefault="00E735F3" w:rsidP="00E735F3">
            <w:pPr>
              <w:spacing w:before="60" w:after="60" w:line="240" w:lineRule="auto"/>
              <w:rPr>
                <w:sz w:val="18"/>
              </w:rPr>
            </w:pPr>
            <w:r w:rsidRPr="00E735F3">
              <w:rPr>
                <w:sz w:val="18"/>
              </w:rPr>
              <w:t>No</w:t>
            </w:r>
          </w:p>
        </w:tc>
      </w:tr>
      <w:tr w:rsidR="005F0EA9" w:rsidRPr="00E735F3" w14:paraId="2A0DDA38" w14:textId="77777777" w:rsidTr="00063347">
        <w:trPr>
          <w:cantSplit/>
          <w:trHeight w:val="694"/>
        </w:trPr>
        <w:tc>
          <w:tcPr>
            <w:tcW w:w="3403" w:type="dxa"/>
            <w:tcBorders>
              <w:top w:val="nil"/>
              <w:left w:val="nil"/>
              <w:bottom w:val="nil"/>
              <w:right w:val="nil"/>
            </w:tcBorders>
          </w:tcPr>
          <w:p w14:paraId="486E83FB" w14:textId="77777777" w:rsidR="005F0EA9" w:rsidRPr="00E735F3" w:rsidRDefault="005F0EA9" w:rsidP="007E7893">
            <w:pPr>
              <w:spacing w:before="60" w:after="60" w:line="240" w:lineRule="auto"/>
              <w:rPr>
                <w:sz w:val="18"/>
              </w:rPr>
            </w:pPr>
            <w:r w:rsidRPr="00E735F3">
              <w:rPr>
                <w:b/>
                <w:i/>
                <w:sz w:val="18"/>
              </w:rPr>
              <w:t>Leptoglossus gonagra</w:t>
            </w:r>
            <w:r w:rsidRPr="00E735F3">
              <w:rPr>
                <w:sz w:val="18"/>
              </w:rPr>
              <w:t xml:space="preserve"> (Fabricius, 1775)</w:t>
            </w:r>
          </w:p>
          <w:p w14:paraId="52CA1E48" w14:textId="77777777" w:rsidR="005F0EA9" w:rsidRPr="00E735F3" w:rsidRDefault="005F0EA9" w:rsidP="007E7893">
            <w:pPr>
              <w:spacing w:before="60" w:after="60" w:line="240" w:lineRule="auto"/>
              <w:rPr>
                <w:sz w:val="18"/>
              </w:rPr>
            </w:pPr>
            <w:r w:rsidRPr="00E735F3">
              <w:rPr>
                <w:sz w:val="18"/>
              </w:rPr>
              <w:t>[Coreidae]</w:t>
            </w:r>
          </w:p>
          <w:p w14:paraId="2EF891CA" w14:textId="77777777" w:rsidR="005F0EA9" w:rsidRPr="00E735F3" w:rsidRDefault="005F0EA9" w:rsidP="007E7893">
            <w:pPr>
              <w:spacing w:before="60" w:after="60" w:line="240" w:lineRule="auto"/>
              <w:rPr>
                <w:sz w:val="18"/>
              </w:rPr>
            </w:pPr>
            <w:r w:rsidRPr="00E735F3">
              <w:rPr>
                <w:sz w:val="18"/>
              </w:rPr>
              <w:t>Passionvine bug</w:t>
            </w:r>
          </w:p>
        </w:tc>
        <w:tc>
          <w:tcPr>
            <w:tcW w:w="1974" w:type="dxa"/>
            <w:tcBorders>
              <w:top w:val="nil"/>
              <w:left w:val="nil"/>
              <w:bottom w:val="nil"/>
              <w:right w:val="nil"/>
            </w:tcBorders>
          </w:tcPr>
          <w:p w14:paraId="10FDBFDD" w14:textId="77777777" w:rsidR="005F0EA9" w:rsidRPr="00E735F3" w:rsidRDefault="005F0EA9" w:rsidP="007E7893">
            <w:pPr>
              <w:spacing w:before="60" w:after="60" w:line="240" w:lineRule="auto"/>
              <w:rPr>
                <w:sz w:val="18"/>
              </w:rPr>
            </w:pPr>
            <w:r w:rsidRPr="00E735F3">
              <w:rPr>
                <w:sz w:val="18"/>
              </w:rPr>
              <w:t xml:space="preserve">Cook Islands, Samoa, Tonga, Vanuatu (SPC 2016, as </w:t>
            </w:r>
            <w:r w:rsidRPr="00E735F3">
              <w:rPr>
                <w:i/>
                <w:sz w:val="18"/>
              </w:rPr>
              <w:t>Leptoglossus australis</w:t>
            </w:r>
            <w:r w:rsidRPr="00E735F3">
              <w:rPr>
                <w:sz w:val="18"/>
              </w:rPr>
              <w:t>).</w:t>
            </w:r>
          </w:p>
        </w:tc>
        <w:tc>
          <w:tcPr>
            <w:tcW w:w="1701" w:type="dxa"/>
            <w:tcBorders>
              <w:top w:val="nil"/>
              <w:left w:val="nil"/>
              <w:bottom w:val="nil"/>
              <w:right w:val="nil"/>
            </w:tcBorders>
            <w:shd w:val="clear" w:color="auto" w:fill="auto"/>
          </w:tcPr>
          <w:p w14:paraId="71B62DB7" w14:textId="77777777" w:rsidR="005F0EA9" w:rsidRPr="00E735F3" w:rsidRDefault="005F0EA9" w:rsidP="00D8044C">
            <w:pPr>
              <w:spacing w:before="60" w:after="60" w:line="240" w:lineRule="auto"/>
              <w:rPr>
                <w:sz w:val="18"/>
              </w:rPr>
            </w:pPr>
            <w:r w:rsidRPr="00E735F3">
              <w:rPr>
                <w:sz w:val="18"/>
              </w:rPr>
              <w:t xml:space="preserve">Yes. NSW, NT, Qld (Cassis </w:t>
            </w:r>
            <w:r w:rsidRPr="00E735F3">
              <w:rPr>
                <w:i/>
                <w:sz w:val="18"/>
              </w:rPr>
              <w:t>et al</w:t>
            </w:r>
            <w:r w:rsidRPr="00E735F3">
              <w:rPr>
                <w:sz w:val="18"/>
              </w:rPr>
              <w:t>. 2012)</w:t>
            </w:r>
            <w:r>
              <w:rPr>
                <w:sz w:val="18"/>
              </w:rPr>
              <w:t xml:space="preserve"> and WA (</w:t>
            </w:r>
            <w:r w:rsidR="00D8044C">
              <w:rPr>
                <w:sz w:val="18"/>
              </w:rPr>
              <w:t>APPD 2016</w:t>
            </w:r>
            <w:r>
              <w:rPr>
                <w:sz w:val="18"/>
              </w:rPr>
              <w:t>)</w:t>
            </w:r>
            <w:r w:rsidRPr="00E735F3">
              <w:rPr>
                <w:sz w:val="18"/>
              </w:rPr>
              <w:t>.</w:t>
            </w:r>
          </w:p>
        </w:tc>
        <w:tc>
          <w:tcPr>
            <w:tcW w:w="2410" w:type="dxa"/>
            <w:tcBorders>
              <w:top w:val="nil"/>
              <w:left w:val="nil"/>
              <w:bottom w:val="nil"/>
              <w:right w:val="nil"/>
            </w:tcBorders>
          </w:tcPr>
          <w:p w14:paraId="7504BAAA" w14:textId="3CD5371B" w:rsidR="005F0EA9" w:rsidRPr="00E735F3" w:rsidRDefault="00C736E9" w:rsidP="007E789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517A0F42" w14:textId="77777777" w:rsidR="005F0EA9" w:rsidRPr="00E735F3" w:rsidRDefault="005F0EA9"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2A8286C" w14:textId="77777777" w:rsidR="005F0EA9" w:rsidRPr="00E735F3" w:rsidRDefault="005F0EA9"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823A216" w14:textId="77777777" w:rsidR="005F0EA9" w:rsidRPr="00E735F3" w:rsidRDefault="005F0EA9" w:rsidP="007E7893">
            <w:pPr>
              <w:spacing w:before="60" w:after="60" w:line="240" w:lineRule="auto"/>
              <w:rPr>
                <w:sz w:val="18"/>
              </w:rPr>
            </w:pPr>
            <w:r w:rsidRPr="00E735F3">
              <w:rPr>
                <w:sz w:val="18"/>
              </w:rPr>
              <w:t>No</w:t>
            </w:r>
          </w:p>
        </w:tc>
      </w:tr>
      <w:tr w:rsidR="00E735F3" w:rsidRPr="00E735F3" w14:paraId="049C62E8" w14:textId="77777777" w:rsidTr="00063347">
        <w:trPr>
          <w:cantSplit/>
        </w:trPr>
        <w:tc>
          <w:tcPr>
            <w:tcW w:w="3403" w:type="dxa"/>
            <w:tcBorders>
              <w:top w:val="nil"/>
              <w:left w:val="nil"/>
              <w:bottom w:val="nil"/>
              <w:right w:val="nil"/>
            </w:tcBorders>
          </w:tcPr>
          <w:p w14:paraId="707960F8" w14:textId="77777777" w:rsidR="00E735F3" w:rsidRPr="00E735F3" w:rsidRDefault="00E735F3" w:rsidP="00E735F3">
            <w:pPr>
              <w:spacing w:before="60" w:after="60" w:line="240" w:lineRule="auto"/>
              <w:rPr>
                <w:sz w:val="18"/>
              </w:rPr>
            </w:pPr>
            <w:r w:rsidRPr="00E735F3">
              <w:rPr>
                <w:b/>
                <w:i/>
                <w:sz w:val="18"/>
              </w:rPr>
              <w:t>Lopholeucaspis cockerelli</w:t>
            </w:r>
            <w:r w:rsidRPr="00E735F3">
              <w:rPr>
                <w:i/>
                <w:sz w:val="18"/>
              </w:rPr>
              <w:t xml:space="preserve"> </w:t>
            </w:r>
            <w:r w:rsidRPr="00E735F3">
              <w:rPr>
                <w:sz w:val="18"/>
              </w:rPr>
              <w:t>(Grandpré and Charmoy, 1899)</w:t>
            </w:r>
          </w:p>
          <w:p w14:paraId="7B8A06FF" w14:textId="77777777" w:rsidR="00E735F3" w:rsidRPr="00E735F3" w:rsidRDefault="00E735F3" w:rsidP="00E735F3">
            <w:pPr>
              <w:spacing w:before="60" w:after="60" w:line="240" w:lineRule="auto"/>
              <w:rPr>
                <w:sz w:val="18"/>
              </w:rPr>
            </w:pPr>
            <w:r w:rsidRPr="00E735F3">
              <w:rPr>
                <w:sz w:val="18"/>
              </w:rPr>
              <w:t>[Diaspididae]</w:t>
            </w:r>
          </w:p>
          <w:p w14:paraId="793B5D0B" w14:textId="77777777" w:rsidR="00E735F3" w:rsidRPr="00E735F3" w:rsidRDefault="00E735F3" w:rsidP="00E735F3">
            <w:pPr>
              <w:spacing w:before="60" w:after="60" w:line="240" w:lineRule="auto"/>
              <w:rPr>
                <w:sz w:val="18"/>
              </w:rPr>
            </w:pPr>
            <w:r w:rsidRPr="00E735F3">
              <w:rPr>
                <w:sz w:val="18"/>
              </w:rPr>
              <w:t>Diaspine scale</w:t>
            </w:r>
          </w:p>
        </w:tc>
        <w:tc>
          <w:tcPr>
            <w:tcW w:w="1974" w:type="dxa"/>
            <w:tcBorders>
              <w:top w:val="nil"/>
              <w:left w:val="nil"/>
              <w:bottom w:val="nil"/>
              <w:right w:val="nil"/>
            </w:tcBorders>
          </w:tcPr>
          <w:p w14:paraId="756D6B4D" w14:textId="77777777" w:rsidR="00E735F3" w:rsidRPr="00E735F3" w:rsidRDefault="00E735F3" w:rsidP="00E735F3">
            <w:pPr>
              <w:spacing w:before="60" w:after="60" w:line="240" w:lineRule="auto"/>
              <w:rPr>
                <w:sz w:val="18"/>
              </w:rPr>
            </w:pPr>
            <w:r w:rsidRPr="00E735F3">
              <w:rPr>
                <w:sz w:val="18"/>
              </w:rPr>
              <w:t>Cook Islands, Samoa, Tonga, Vanuatu (Williams and Watson 1988a; Watson 2016).</w:t>
            </w:r>
          </w:p>
        </w:tc>
        <w:tc>
          <w:tcPr>
            <w:tcW w:w="1701" w:type="dxa"/>
            <w:tcBorders>
              <w:top w:val="nil"/>
              <w:left w:val="nil"/>
              <w:bottom w:val="nil"/>
              <w:right w:val="nil"/>
            </w:tcBorders>
            <w:shd w:val="clear" w:color="auto" w:fill="auto"/>
          </w:tcPr>
          <w:p w14:paraId="01BA5001"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639BE08C" w14:textId="77777777" w:rsidR="00E735F3" w:rsidRPr="00E735F3" w:rsidRDefault="00E735F3" w:rsidP="001163A0">
            <w:pPr>
              <w:spacing w:before="60" w:after="60" w:line="240" w:lineRule="auto"/>
              <w:rPr>
                <w:sz w:val="18"/>
              </w:rPr>
            </w:pPr>
            <w:r w:rsidRPr="00E735F3">
              <w:rPr>
                <w:sz w:val="18"/>
              </w:rPr>
              <w:t>No. Reported from a number of citrus species including limes, but is associated with the leaves (Stout 1982; Watson 201</w:t>
            </w:r>
            <w:r w:rsidR="001163A0">
              <w:rPr>
                <w:sz w:val="18"/>
              </w:rPr>
              <w:t>6</w:t>
            </w:r>
            <w:r w:rsidRPr="00E735F3">
              <w:rPr>
                <w:sz w:val="18"/>
              </w:rPr>
              <w:t>).</w:t>
            </w:r>
          </w:p>
        </w:tc>
        <w:tc>
          <w:tcPr>
            <w:tcW w:w="2410" w:type="dxa"/>
            <w:tcBorders>
              <w:top w:val="nil"/>
              <w:left w:val="nil"/>
              <w:bottom w:val="nil"/>
              <w:right w:val="nil"/>
            </w:tcBorders>
            <w:shd w:val="clear" w:color="auto" w:fill="auto"/>
          </w:tcPr>
          <w:p w14:paraId="6E023ED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730AE3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19963F4" w14:textId="77777777" w:rsidR="00E735F3" w:rsidRPr="00E735F3" w:rsidRDefault="00231B42" w:rsidP="006D373C">
            <w:pPr>
              <w:spacing w:before="60" w:after="60" w:line="240" w:lineRule="auto"/>
              <w:rPr>
                <w:sz w:val="18"/>
              </w:rPr>
            </w:pPr>
            <w:r w:rsidRPr="00231B42">
              <w:rPr>
                <w:sz w:val="18"/>
              </w:rPr>
              <w:t>No</w:t>
            </w:r>
          </w:p>
        </w:tc>
      </w:tr>
      <w:tr w:rsidR="00E735F3" w:rsidRPr="00E735F3" w14:paraId="6739921B" w14:textId="77777777" w:rsidTr="00063347">
        <w:trPr>
          <w:cantSplit/>
          <w:trHeight w:val="694"/>
        </w:trPr>
        <w:tc>
          <w:tcPr>
            <w:tcW w:w="3403" w:type="dxa"/>
            <w:tcBorders>
              <w:top w:val="nil"/>
              <w:left w:val="nil"/>
              <w:bottom w:val="nil"/>
              <w:right w:val="nil"/>
            </w:tcBorders>
          </w:tcPr>
          <w:p w14:paraId="7E8B1AE5" w14:textId="77777777" w:rsidR="00E735F3" w:rsidRPr="00E735F3" w:rsidRDefault="00E735F3" w:rsidP="00E735F3">
            <w:pPr>
              <w:spacing w:before="60" w:after="60" w:line="240" w:lineRule="auto"/>
              <w:rPr>
                <w:sz w:val="18"/>
              </w:rPr>
            </w:pPr>
            <w:r w:rsidRPr="00E735F3">
              <w:rPr>
                <w:b/>
                <w:i/>
                <w:sz w:val="18"/>
              </w:rPr>
              <w:t>Mictis profana</w:t>
            </w:r>
            <w:r w:rsidRPr="00E735F3">
              <w:rPr>
                <w:i/>
                <w:sz w:val="18"/>
              </w:rPr>
              <w:t xml:space="preserve"> </w:t>
            </w:r>
            <w:r w:rsidRPr="00E735F3">
              <w:rPr>
                <w:sz w:val="18"/>
              </w:rPr>
              <w:t>(Fabricius, 1803)</w:t>
            </w:r>
          </w:p>
          <w:p w14:paraId="3993C15F" w14:textId="77777777" w:rsidR="00E735F3" w:rsidRPr="00E735F3" w:rsidRDefault="00E735F3" w:rsidP="00E735F3">
            <w:pPr>
              <w:spacing w:before="60" w:after="60" w:line="240" w:lineRule="auto"/>
              <w:rPr>
                <w:sz w:val="18"/>
              </w:rPr>
            </w:pPr>
            <w:r w:rsidRPr="00E735F3">
              <w:rPr>
                <w:sz w:val="18"/>
              </w:rPr>
              <w:t>[Coreidae]</w:t>
            </w:r>
          </w:p>
          <w:p w14:paraId="746E2EDA" w14:textId="77777777" w:rsidR="00E735F3" w:rsidRPr="00E735F3" w:rsidRDefault="00E735F3" w:rsidP="00E735F3">
            <w:pPr>
              <w:spacing w:before="60" w:after="60" w:line="240" w:lineRule="auto"/>
              <w:rPr>
                <w:i/>
                <w:sz w:val="18"/>
              </w:rPr>
            </w:pPr>
            <w:r w:rsidRPr="00E735F3">
              <w:rPr>
                <w:sz w:val="18"/>
              </w:rPr>
              <w:t>Crusader bug</w:t>
            </w:r>
          </w:p>
        </w:tc>
        <w:tc>
          <w:tcPr>
            <w:tcW w:w="1974" w:type="dxa"/>
            <w:tcBorders>
              <w:top w:val="nil"/>
              <w:left w:val="nil"/>
              <w:bottom w:val="nil"/>
              <w:right w:val="nil"/>
            </w:tcBorders>
          </w:tcPr>
          <w:p w14:paraId="42085D20" w14:textId="77777777" w:rsidR="00E735F3" w:rsidRPr="00E735F3" w:rsidRDefault="00E735F3" w:rsidP="00E735F3">
            <w:pPr>
              <w:spacing w:before="60" w:after="60" w:line="240" w:lineRule="auto"/>
              <w:rPr>
                <w:sz w:val="18"/>
              </w:rPr>
            </w:pPr>
            <w:r w:rsidRPr="00E735F3">
              <w:rPr>
                <w:sz w:val="18"/>
              </w:rPr>
              <w:t>Samoa, Tonga (Stout 1982).</w:t>
            </w:r>
          </w:p>
        </w:tc>
        <w:tc>
          <w:tcPr>
            <w:tcW w:w="1701" w:type="dxa"/>
            <w:tcBorders>
              <w:top w:val="nil"/>
              <w:left w:val="nil"/>
              <w:bottom w:val="nil"/>
              <w:right w:val="nil"/>
            </w:tcBorders>
            <w:shd w:val="clear" w:color="auto" w:fill="auto"/>
          </w:tcPr>
          <w:p w14:paraId="55E97F3F" w14:textId="77777777" w:rsidR="00E735F3" w:rsidRPr="00E735F3" w:rsidRDefault="00E735F3" w:rsidP="00E735F3">
            <w:pPr>
              <w:spacing w:before="60" w:after="60" w:line="240" w:lineRule="auto"/>
              <w:rPr>
                <w:sz w:val="18"/>
              </w:rPr>
            </w:pPr>
            <w:r w:rsidRPr="00E735F3">
              <w:rPr>
                <w:sz w:val="18"/>
              </w:rPr>
              <w:t xml:space="preserve">Yes. ACT, NSW, NT, Qld, SA, Vic. and WA (Cassis </w:t>
            </w:r>
            <w:r w:rsidRPr="00E735F3">
              <w:rPr>
                <w:i/>
                <w:sz w:val="18"/>
              </w:rPr>
              <w:t>et al</w:t>
            </w:r>
            <w:r w:rsidRPr="00E735F3">
              <w:rPr>
                <w:sz w:val="18"/>
              </w:rPr>
              <w:t>. 2012).</w:t>
            </w:r>
          </w:p>
        </w:tc>
        <w:tc>
          <w:tcPr>
            <w:tcW w:w="2410" w:type="dxa"/>
            <w:tcBorders>
              <w:top w:val="nil"/>
              <w:left w:val="nil"/>
              <w:bottom w:val="nil"/>
              <w:right w:val="nil"/>
            </w:tcBorders>
          </w:tcPr>
          <w:p w14:paraId="79C37FEE" w14:textId="5AAFED89"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5C0FCAD1"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4E4896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E78B161" w14:textId="77777777" w:rsidR="00E735F3" w:rsidRPr="00E735F3" w:rsidRDefault="00E735F3" w:rsidP="00E735F3">
            <w:pPr>
              <w:spacing w:before="60" w:after="60" w:line="240" w:lineRule="auto"/>
              <w:rPr>
                <w:sz w:val="18"/>
              </w:rPr>
            </w:pPr>
            <w:r w:rsidRPr="00E735F3">
              <w:rPr>
                <w:sz w:val="18"/>
              </w:rPr>
              <w:t>No</w:t>
            </w:r>
          </w:p>
        </w:tc>
      </w:tr>
      <w:tr w:rsidR="00E735F3" w:rsidRPr="00E735F3" w14:paraId="6A374AB3" w14:textId="77777777" w:rsidTr="00063347">
        <w:trPr>
          <w:cantSplit/>
        </w:trPr>
        <w:tc>
          <w:tcPr>
            <w:tcW w:w="3403" w:type="dxa"/>
            <w:tcBorders>
              <w:top w:val="nil"/>
              <w:left w:val="nil"/>
              <w:bottom w:val="nil"/>
              <w:right w:val="nil"/>
            </w:tcBorders>
          </w:tcPr>
          <w:p w14:paraId="26A6F4AB" w14:textId="77777777" w:rsidR="00E735F3" w:rsidRPr="00E735F3" w:rsidRDefault="00E735F3" w:rsidP="00E735F3">
            <w:pPr>
              <w:spacing w:before="60" w:after="60" w:line="240" w:lineRule="auto"/>
              <w:rPr>
                <w:sz w:val="18"/>
              </w:rPr>
            </w:pPr>
            <w:r w:rsidRPr="00E735F3">
              <w:rPr>
                <w:b/>
                <w:i/>
                <w:sz w:val="18"/>
              </w:rPr>
              <w:t>Milviscutulus mangiferae</w:t>
            </w:r>
            <w:r w:rsidRPr="00E735F3">
              <w:rPr>
                <w:i/>
                <w:sz w:val="18"/>
              </w:rPr>
              <w:t xml:space="preserve"> </w:t>
            </w:r>
            <w:r w:rsidRPr="00E735F3">
              <w:rPr>
                <w:sz w:val="18"/>
              </w:rPr>
              <w:t>(Green, 1889)</w:t>
            </w:r>
          </w:p>
          <w:p w14:paraId="6E051C4F" w14:textId="77777777" w:rsidR="00E735F3" w:rsidRPr="00E735F3" w:rsidRDefault="00E735F3" w:rsidP="00E735F3">
            <w:pPr>
              <w:spacing w:before="60" w:after="60" w:line="240" w:lineRule="auto"/>
              <w:rPr>
                <w:sz w:val="18"/>
              </w:rPr>
            </w:pPr>
            <w:r w:rsidRPr="00E735F3">
              <w:rPr>
                <w:sz w:val="18"/>
              </w:rPr>
              <w:t>[Coccidae]</w:t>
            </w:r>
          </w:p>
          <w:p w14:paraId="551BFAE2" w14:textId="77777777" w:rsidR="00E735F3" w:rsidRPr="00E735F3" w:rsidRDefault="00E735F3" w:rsidP="00E735F3">
            <w:pPr>
              <w:spacing w:before="60" w:after="60" w:line="240" w:lineRule="auto"/>
              <w:rPr>
                <w:i/>
                <w:sz w:val="18"/>
              </w:rPr>
            </w:pPr>
            <w:r w:rsidRPr="00E735F3">
              <w:rPr>
                <w:sz w:val="18"/>
              </w:rPr>
              <w:t>Mango shield scale</w:t>
            </w:r>
          </w:p>
        </w:tc>
        <w:tc>
          <w:tcPr>
            <w:tcW w:w="1974" w:type="dxa"/>
            <w:tcBorders>
              <w:top w:val="nil"/>
              <w:left w:val="nil"/>
              <w:bottom w:val="nil"/>
              <w:right w:val="nil"/>
            </w:tcBorders>
          </w:tcPr>
          <w:p w14:paraId="2D74976E" w14:textId="77777777" w:rsidR="00E735F3" w:rsidRPr="00E735F3" w:rsidRDefault="00E735F3" w:rsidP="00E735F3">
            <w:pPr>
              <w:spacing w:before="60" w:after="60" w:line="240" w:lineRule="auto"/>
              <w:rPr>
                <w:sz w:val="18"/>
              </w:rPr>
            </w:pPr>
            <w:r w:rsidRPr="00E735F3">
              <w:rPr>
                <w:sz w:val="18"/>
              </w:rPr>
              <w:t>Samoa, Tonga (Williams and Watson 1990).</w:t>
            </w:r>
          </w:p>
        </w:tc>
        <w:tc>
          <w:tcPr>
            <w:tcW w:w="1701" w:type="dxa"/>
            <w:tcBorders>
              <w:top w:val="nil"/>
              <w:left w:val="nil"/>
              <w:bottom w:val="nil"/>
              <w:right w:val="nil"/>
            </w:tcBorders>
            <w:shd w:val="clear" w:color="auto" w:fill="auto"/>
          </w:tcPr>
          <w:p w14:paraId="6CE21CF1" w14:textId="77777777" w:rsidR="00E735F3" w:rsidRDefault="00E735F3" w:rsidP="00E735F3">
            <w:pPr>
              <w:spacing w:before="60" w:after="60" w:line="240" w:lineRule="auto"/>
              <w:rPr>
                <w:sz w:val="18"/>
              </w:rPr>
            </w:pPr>
            <w:r w:rsidRPr="00E735F3">
              <w:rPr>
                <w:sz w:val="18"/>
              </w:rPr>
              <w:t>Yes. Qld (Grimshaw and Donaldson 2007).</w:t>
            </w:r>
          </w:p>
          <w:p w14:paraId="397D3C6B" w14:textId="2A387BBC"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148399E2" w14:textId="77777777" w:rsidR="00E735F3" w:rsidRPr="00E735F3" w:rsidRDefault="00E735F3" w:rsidP="00E735F3">
            <w:pPr>
              <w:spacing w:before="60" w:after="60" w:line="240" w:lineRule="auto"/>
              <w:rPr>
                <w:sz w:val="18"/>
              </w:rPr>
            </w:pPr>
            <w:r w:rsidRPr="00E735F3">
              <w:rPr>
                <w:sz w:val="18"/>
              </w:rPr>
              <w:t>No. This species is found on the leaves and stems of host plants, and is not usually associated with the fruit (Anderson and MacLeod 2008).</w:t>
            </w:r>
          </w:p>
        </w:tc>
        <w:tc>
          <w:tcPr>
            <w:tcW w:w="2410" w:type="dxa"/>
            <w:tcBorders>
              <w:top w:val="nil"/>
              <w:left w:val="nil"/>
              <w:bottom w:val="nil"/>
              <w:right w:val="nil"/>
            </w:tcBorders>
            <w:shd w:val="clear" w:color="auto" w:fill="auto"/>
          </w:tcPr>
          <w:p w14:paraId="17B331B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0881A2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060BCCA" w14:textId="77777777" w:rsidR="00E735F3" w:rsidRPr="00E735F3" w:rsidRDefault="00A843FD" w:rsidP="002C2F14">
            <w:pPr>
              <w:spacing w:before="60" w:after="60" w:line="240" w:lineRule="auto"/>
              <w:rPr>
                <w:sz w:val="18"/>
              </w:rPr>
            </w:pPr>
            <w:r w:rsidRPr="00A843FD">
              <w:rPr>
                <w:bCs/>
                <w:sz w:val="18"/>
              </w:rPr>
              <w:t>No</w:t>
            </w:r>
          </w:p>
        </w:tc>
      </w:tr>
      <w:tr w:rsidR="00E735F3" w:rsidRPr="00E735F3" w14:paraId="4B642805" w14:textId="77777777" w:rsidTr="00063347">
        <w:trPr>
          <w:cantSplit/>
        </w:trPr>
        <w:tc>
          <w:tcPr>
            <w:tcW w:w="3403" w:type="dxa"/>
            <w:tcBorders>
              <w:top w:val="nil"/>
              <w:left w:val="nil"/>
              <w:bottom w:val="nil"/>
              <w:right w:val="nil"/>
            </w:tcBorders>
            <w:shd w:val="clear" w:color="auto" w:fill="FFFFFF"/>
          </w:tcPr>
          <w:p w14:paraId="6639B381" w14:textId="77777777" w:rsidR="00E735F3" w:rsidRPr="00E735F3" w:rsidRDefault="00E735F3" w:rsidP="00E735F3">
            <w:pPr>
              <w:spacing w:before="60" w:after="60" w:line="240" w:lineRule="auto"/>
              <w:rPr>
                <w:sz w:val="18"/>
              </w:rPr>
            </w:pPr>
            <w:r w:rsidRPr="00E735F3">
              <w:rPr>
                <w:b/>
                <w:i/>
                <w:sz w:val="18"/>
              </w:rPr>
              <w:t>Morganella longispina</w:t>
            </w:r>
            <w:r w:rsidRPr="00E735F3">
              <w:rPr>
                <w:i/>
                <w:sz w:val="18"/>
              </w:rPr>
              <w:t xml:space="preserve"> </w:t>
            </w:r>
            <w:r w:rsidRPr="00E735F3">
              <w:rPr>
                <w:sz w:val="18"/>
              </w:rPr>
              <w:t>(Morgan, 1889)</w:t>
            </w:r>
          </w:p>
          <w:p w14:paraId="4EA84D14" w14:textId="77777777" w:rsidR="00E735F3" w:rsidRPr="00E735F3" w:rsidRDefault="00E735F3" w:rsidP="00E735F3">
            <w:pPr>
              <w:spacing w:before="60" w:after="60" w:line="240" w:lineRule="auto"/>
              <w:rPr>
                <w:sz w:val="18"/>
              </w:rPr>
            </w:pPr>
            <w:r w:rsidRPr="00E735F3">
              <w:rPr>
                <w:sz w:val="18"/>
              </w:rPr>
              <w:t>[Diaspididae]</w:t>
            </w:r>
          </w:p>
          <w:p w14:paraId="29A1E3B7" w14:textId="77777777" w:rsidR="00E735F3" w:rsidRPr="00E735F3" w:rsidRDefault="00E735F3" w:rsidP="00E735F3">
            <w:pPr>
              <w:spacing w:before="60" w:after="60" w:line="240" w:lineRule="auto"/>
              <w:rPr>
                <w:i/>
                <w:sz w:val="18"/>
              </w:rPr>
            </w:pPr>
            <w:r w:rsidRPr="00E735F3">
              <w:rPr>
                <w:sz w:val="18"/>
              </w:rPr>
              <w:t>Plumose scale</w:t>
            </w:r>
          </w:p>
        </w:tc>
        <w:tc>
          <w:tcPr>
            <w:tcW w:w="1974" w:type="dxa"/>
            <w:tcBorders>
              <w:top w:val="nil"/>
              <w:left w:val="nil"/>
              <w:bottom w:val="nil"/>
              <w:right w:val="nil"/>
            </w:tcBorders>
            <w:shd w:val="clear" w:color="auto" w:fill="FFFFFF"/>
          </w:tcPr>
          <w:p w14:paraId="42A9A917" w14:textId="77777777" w:rsidR="00E735F3" w:rsidRPr="00E735F3" w:rsidRDefault="00E735F3" w:rsidP="00E735F3">
            <w:pPr>
              <w:spacing w:before="60" w:after="60" w:line="240" w:lineRule="auto"/>
              <w:rPr>
                <w:sz w:val="18"/>
              </w:rPr>
            </w:pPr>
            <w:r w:rsidRPr="00E735F3">
              <w:rPr>
                <w:sz w:val="18"/>
              </w:rPr>
              <w:t>Cook Islands, Samoa, Tonga (Williams and Watson 1988a).</w:t>
            </w:r>
          </w:p>
        </w:tc>
        <w:tc>
          <w:tcPr>
            <w:tcW w:w="1701" w:type="dxa"/>
            <w:tcBorders>
              <w:top w:val="nil"/>
              <w:left w:val="nil"/>
              <w:bottom w:val="nil"/>
              <w:right w:val="nil"/>
            </w:tcBorders>
            <w:shd w:val="clear" w:color="auto" w:fill="auto"/>
          </w:tcPr>
          <w:p w14:paraId="01C8A762" w14:textId="77777777" w:rsidR="00E735F3" w:rsidRDefault="00E735F3" w:rsidP="00E735F3">
            <w:pPr>
              <w:spacing w:before="60" w:after="60" w:line="240" w:lineRule="auto"/>
              <w:rPr>
                <w:sz w:val="18"/>
              </w:rPr>
            </w:pPr>
            <w:r w:rsidRPr="00E735F3">
              <w:rPr>
                <w:sz w:val="18"/>
              </w:rPr>
              <w:t>Yes. Qld (Donaldson and Tsang 2002).</w:t>
            </w:r>
          </w:p>
          <w:p w14:paraId="09CA0DC8" w14:textId="53EFA267"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277F6775" w14:textId="77777777" w:rsidR="00E735F3" w:rsidRPr="00E735F3" w:rsidRDefault="00E735F3" w:rsidP="00E735F3">
            <w:pPr>
              <w:spacing w:before="60" w:after="60" w:line="240" w:lineRule="auto"/>
              <w:rPr>
                <w:sz w:val="18"/>
              </w:rPr>
            </w:pPr>
            <w:r w:rsidRPr="00E735F3">
              <w:rPr>
                <w:sz w:val="18"/>
              </w:rPr>
              <w:t>Yes. This polyphagous species attacks citrus, and is normally present on the fruit and branches of hosts (Miller and Davidson 2005).</w:t>
            </w:r>
          </w:p>
        </w:tc>
        <w:tc>
          <w:tcPr>
            <w:tcW w:w="2410" w:type="dxa"/>
            <w:tcBorders>
              <w:top w:val="nil"/>
              <w:left w:val="nil"/>
              <w:bottom w:val="nil"/>
              <w:right w:val="nil"/>
            </w:tcBorders>
            <w:shd w:val="clear" w:color="auto" w:fill="auto"/>
          </w:tcPr>
          <w:p w14:paraId="5DB0CE02" w14:textId="77777777" w:rsidR="00E735F3" w:rsidRPr="00E735F3" w:rsidRDefault="00CF6334" w:rsidP="006876FA">
            <w:pPr>
              <w:spacing w:before="60" w:after="60" w:line="240" w:lineRule="auto"/>
              <w:rPr>
                <w:sz w:val="18"/>
              </w:rPr>
            </w:pPr>
            <w:r>
              <w:rPr>
                <w:sz w:val="18"/>
              </w:rPr>
              <w:t xml:space="preserve">Yes. </w:t>
            </w:r>
            <w:r w:rsidRPr="00CF6334">
              <w:rPr>
                <w:sz w:val="18"/>
              </w:rPr>
              <w:t xml:space="preserve">This is </w:t>
            </w:r>
            <w:r w:rsidR="002C2F14">
              <w:rPr>
                <w:sz w:val="18"/>
              </w:rPr>
              <w:t xml:space="preserve">a </w:t>
            </w:r>
            <w:r w:rsidRPr="00CF6334">
              <w:rPr>
                <w:sz w:val="18"/>
              </w:rPr>
              <w:t>cosmopolitan species that has already established in eastern Australia</w:t>
            </w:r>
            <w:r w:rsidR="002C2F14">
              <w:rPr>
                <w:sz w:val="18"/>
              </w:rPr>
              <w:t xml:space="preserve"> </w:t>
            </w:r>
            <w:r w:rsidR="002C2F14" w:rsidRPr="002C2F14">
              <w:rPr>
                <w:sz w:val="18"/>
              </w:rPr>
              <w:t>(Donaldson and Tsang 2002)</w:t>
            </w:r>
            <w:r w:rsidRPr="00CF6334">
              <w:rPr>
                <w:sz w:val="18"/>
              </w:rPr>
              <w:t>. It could possibly establish in northern parts of Western Australia.</w:t>
            </w:r>
            <w:r w:rsidR="00E735F3" w:rsidRPr="00E735F3">
              <w:rPr>
                <w:sz w:val="18"/>
              </w:rPr>
              <w:t xml:space="preserve"> </w:t>
            </w:r>
          </w:p>
        </w:tc>
        <w:tc>
          <w:tcPr>
            <w:tcW w:w="2268" w:type="dxa"/>
            <w:tcBorders>
              <w:top w:val="nil"/>
              <w:left w:val="nil"/>
              <w:bottom w:val="nil"/>
              <w:right w:val="nil"/>
            </w:tcBorders>
            <w:shd w:val="clear" w:color="auto" w:fill="auto"/>
          </w:tcPr>
          <w:p w14:paraId="62DBFD80" w14:textId="10F16031" w:rsidR="00E735F3" w:rsidRPr="00E735F3" w:rsidRDefault="00CF6334" w:rsidP="006876FA">
            <w:pPr>
              <w:spacing w:before="60" w:after="60" w:line="240" w:lineRule="auto"/>
              <w:rPr>
                <w:sz w:val="18"/>
              </w:rPr>
            </w:pPr>
            <w:r>
              <w:rPr>
                <w:sz w:val="18"/>
              </w:rPr>
              <w:t xml:space="preserve">Yes. </w:t>
            </w:r>
            <w:r w:rsidRPr="00CF6334">
              <w:rPr>
                <w:sz w:val="18"/>
              </w:rPr>
              <w:t xml:space="preserve">This species causes damage to citrus, tea, avocado, fig, mango and papaya, but </w:t>
            </w:r>
            <w:r w:rsidR="0038161D">
              <w:rPr>
                <w:sz w:val="18"/>
              </w:rPr>
              <w:t xml:space="preserve">is </w:t>
            </w:r>
            <w:r w:rsidRPr="00CF6334">
              <w:rPr>
                <w:sz w:val="18"/>
              </w:rPr>
              <w:t>usually only a minor or occasional pest (Miller and Davidson 2005).</w:t>
            </w:r>
            <w:r w:rsidR="00E735F3" w:rsidRPr="00E735F3">
              <w:rPr>
                <w:sz w:val="18"/>
              </w:rPr>
              <w:t xml:space="preserve"> </w:t>
            </w:r>
          </w:p>
        </w:tc>
        <w:tc>
          <w:tcPr>
            <w:tcW w:w="1285" w:type="dxa"/>
            <w:tcBorders>
              <w:top w:val="nil"/>
              <w:left w:val="nil"/>
              <w:bottom w:val="nil"/>
              <w:right w:val="nil"/>
            </w:tcBorders>
            <w:shd w:val="clear" w:color="auto" w:fill="auto"/>
          </w:tcPr>
          <w:p w14:paraId="05A2A36C" w14:textId="76B1CA97" w:rsidR="00E735F3" w:rsidRPr="00E735F3" w:rsidRDefault="00DD114D" w:rsidP="00B2341E">
            <w:pPr>
              <w:spacing w:before="60" w:after="60" w:line="240" w:lineRule="auto"/>
              <w:rPr>
                <w:sz w:val="18"/>
              </w:rPr>
            </w:pPr>
            <w:r w:rsidRPr="00DD114D">
              <w:rPr>
                <w:b/>
                <w:bCs/>
                <w:sz w:val="18"/>
              </w:rPr>
              <w:t>Yes</w:t>
            </w:r>
            <w:r w:rsidR="00360033">
              <w:rPr>
                <w:bCs/>
                <w:sz w:val="18"/>
              </w:rPr>
              <w:t xml:space="preserve"> </w:t>
            </w:r>
            <w:r w:rsidRPr="00DD114D">
              <w:rPr>
                <w:bCs/>
                <w:sz w:val="18"/>
              </w:rPr>
              <w:t>(WA)</w:t>
            </w:r>
          </w:p>
        </w:tc>
      </w:tr>
      <w:tr w:rsidR="00E735F3" w:rsidRPr="00E735F3" w14:paraId="6590A0C2" w14:textId="77777777" w:rsidTr="00063347">
        <w:trPr>
          <w:cantSplit/>
        </w:trPr>
        <w:tc>
          <w:tcPr>
            <w:tcW w:w="3403" w:type="dxa"/>
            <w:tcBorders>
              <w:top w:val="nil"/>
              <w:left w:val="nil"/>
              <w:bottom w:val="nil"/>
              <w:right w:val="nil"/>
            </w:tcBorders>
          </w:tcPr>
          <w:p w14:paraId="5C603416" w14:textId="77777777" w:rsidR="00E735F3" w:rsidRPr="00E735F3" w:rsidRDefault="00E735F3" w:rsidP="00E735F3">
            <w:pPr>
              <w:spacing w:before="60" w:after="60" w:line="240" w:lineRule="auto"/>
              <w:rPr>
                <w:sz w:val="18"/>
              </w:rPr>
            </w:pPr>
            <w:r w:rsidRPr="00E735F3">
              <w:rPr>
                <w:b/>
                <w:i/>
                <w:sz w:val="18"/>
              </w:rPr>
              <w:t>Myzus persicae</w:t>
            </w:r>
            <w:r w:rsidRPr="00E735F3">
              <w:rPr>
                <w:i/>
                <w:sz w:val="18"/>
              </w:rPr>
              <w:t xml:space="preserve"> </w:t>
            </w:r>
            <w:r w:rsidRPr="00E735F3">
              <w:rPr>
                <w:sz w:val="18"/>
              </w:rPr>
              <w:t>(Sulzer, 1776)</w:t>
            </w:r>
          </w:p>
          <w:p w14:paraId="71BB1BE3" w14:textId="77777777" w:rsidR="00E735F3" w:rsidRPr="00E735F3" w:rsidRDefault="00E735F3" w:rsidP="00E735F3">
            <w:pPr>
              <w:spacing w:before="60" w:after="60" w:line="240" w:lineRule="auto"/>
              <w:rPr>
                <w:sz w:val="18"/>
              </w:rPr>
            </w:pPr>
            <w:r w:rsidRPr="00E735F3">
              <w:rPr>
                <w:sz w:val="18"/>
              </w:rPr>
              <w:t>[Aphididae]</w:t>
            </w:r>
          </w:p>
          <w:p w14:paraId="3229C2E2" w14:textId="77777777" w:rsidR="00E735F3" w:rsidRPr="00E735F3" w:rsidRDefault="00E735F3" w:rsidP="00E735F3">
            <w:pPr>
              <w:spacing w:before="60" w:after="60" w:line="240" w:lineRule="auto"/>
              <w:rPr>
                <w:sz w:val="18"/>
              </w:rPr>
            </w:pPr>
            <w:r w:rsidRPr="00E735F3">
              <w:rPr>
                <w:sz w:val="18"/>
              </w:rPr>
              <w:t>Green peach aphid</w:t>
            </w:r>
          </w:p>
        </w:tc>
        <w:tc>
          <w:tcPr>
            <w:tcW w:w="1974" w:type="dxa"/>
            <w:tcBorders>
              <w:top w:val="nil"/>
              <w:left w:val="nil"/>
              <w:bottom w:val="nil"/>
              <w:right w:val="nil"/>
            </w:tcBorders>
          </w:tcPr>
          <w:p w14:paraId="072635D7" w14:textId="77777777" w:rsidR="00E735F3" w:rsidRPr="00E735F3" w:rsidRDefault="00E735F3" w:rsidP="001163A0">
            <w:pPr>
              <w:spacing w:before="60" w:after="60" w:line="240" w:lineRule="auto"/>
              <w:rPr>
                <w:sz w:val="18"/>
              </w:rPr>
            </w:pPr>
            <w:r w:rsidRPr="00E735F3">
              <w:rPr>
                <w:sz w:val="18"/>
              </w:rPr>
              <w:t xml:space="preserve">Cook Islands, Samoa (SPC 2016), Tonga (Carver </w:t>
            </w:r>
            <w:r w:rsidRPr="00E735F3">
              <w:rPr>
                <w:i/>
                <w:sz w:val="18"/>
              </w:rPr>
              <w:t>et al</w:t>
            </w:r>
            <w:r w:rsidRPr="00E735F3">
              <w:rPr>
                <w:sz w:val="18"/>
              </w:rPr>
              <w:t>. 199</w:t>
            </w:r>
            <w:r w:rsidR="001163A0">
              <w:rPr>
                <w:sz w:val="18"/>
              </w:rPr>
              <w:t>3</w:t>
            </w:r>
            <w:r w:rsidRPr="00E735F3">
              <w:rPr>
                <w:sz w:val="18"/>
              </w:rPr>
              <w:t>)</w:t>
            </w:r>
            <w:r w:rsidR="001163A0">
              <w:rPr>
                <w:sz w:val="18"/>
              </w:rPr>
              <w:t>.</w:t>
            </w:r>
          </w:p>
        </w:tc>
        <w:tc>
          <w:tcPr>
            <w:tcW w:w="1701" w:type="dxa"/>
            <w:tcBorders>
              <w:top w:val="nil"/>
              <w:left w:val="nil"/>
              <w:bottom w:val="nil"/>
              <w:right w:val="nil"/>
            </w:tcBorders>
            <w:shd w:val="clear" w:color="auto" w:fill="auto"/>
          </w:tcPr>
          <w:p w14:paraId="5FEC357F" w14:textId="77777777" w:rsidR="00E735F3" w:rsidRPr="00E735F3" w:rsidRDefault="00E735F3" w:rsidP="00E735F3">
            <w:pPr>
              <w:spacing w:before="60" w:after="60" w:line="240" w:lineRule="auto"/>
              <w:rPr>
                <w:sz w:val="18"/>
              </w:rPr>
            </w:pPr>
            <w:r w:rsidRPr="00E735F3">
              <w:rPr>
                <w:sz w:val="18"/>
              </w:rPr>
              <w:t>Yes. NSW, NT, Qld, SA, Tas., Vic. and WA (Hollis and Eastop 2005).</w:t>
            </w:r>
          </w:p>
        </w:tc>
        <w:tc>
          <w:tcPr>
            <w:tcW w:w="2410" w:type="dxa"/>
            <w:tcBorders>
              <w:top w:val="nil"/>
              <w:left w:val="nil"/>
              <w:bottom w:val="nil"/>
              <w:right w:val="nil"/>
            </w:tcBorders>
          </w:tcPr>
          <w:p w14:paraId="03CD326A" w14:textId="1DB5F307"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7213C7D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BE6CAA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FF8C453" w14:textId="77777777" w:rsidR="00E735F3" w:rsidRPr="00E735F3" w:rsidRDefault="00E735F3" w:rsidP="00E735F3">
            <w:pPr>
              <w:spacing w:before="60" w:after="60" w:line="240" w:lineRule="auto"/>
              <w:rPr>
                <w:sz w:val="18"/>
              </w:rPr>
            </w:pPr>
            <w:r w:rsidRPr="00E735F3">
              <w:rPr>
                <w:sz w:val="18"/>
              </w:rPr>
              <w:t>No</w:t>
            </w:r>
          </w:p>
        </w:tc>
      </w:tr>
      <w:tr w:rsidR="00E735F3" w:rsidRPr="00E735F3" w14:paraId="53B67BAE" w14:textId="77777777" w:rsidTr="00063347">
        <w:trPr>
          <w:cantSplit/>
        </w:trPr>
        <w:tc>
          <w:tcPr>
            <w:tcW w:w="3403" w:type="dxa"/>
            <w:tcBorders>
              <w:top w:val="nil"/>
              <w:left w:val="nil"/>
              <w:bottom w:val="nil"/>
              <w:right w:val="nil"/>
            </w:tcBorders>
          </w:tcPr>
          <w:p w14:paraId="78740EEF" w14:textId="1DA5B5B8" w:rsidR="00E735F3" w:rsidRPr="00E735F3" w:rsidRDefault="00E735F3" w:rsidP="00E735F3">
            <w:pPr>
              <w:spacing w:before="60" w:after="60" w:line="240" w:lineRule="auto"/>
              <w:rPr>
                <w:sz w:val="18"/>
              </w:rPr>
            </w:pPr>
            <w:r w:rsidRPr="00E735F3">
              <w:rPr>
                <w:b/>
                <w:i/>
                <w:sz w:val="18"/>
              </w:rPr>
              <w:t>Nezara viridula</w:t>
            </w:r>
            <w:r w:rsidRPr="00E735F3">
              <w:rPr>
                <w:i/>
                <w:sz w:val="18"/>
              </w:rPr>
              <w:t xml:space="preserve"> </w:t>
            </w:r>
            <w:r w:rsidRPr="00E735F3">
              <w:rPr>
                <w:sz w:val="18"/>
              </w:rPr>
              <w:t>(</w:t>
            </w:r>
            <w:r w:rsidR="0062504A">
              <w:rPr>
                <w:sz w:val="18"/>
              </w:rPr>
              <w:t>L.</w:t>
            </w:r>
            <w:r w:rsidRPr="00E735F3">
              <w:rPr>
                <w:sz w:val="18"/>
              </w:rPr>
              <w:t>, 1758)</w:t>
            </w:r>
          </w:p>
          <w:p w14:paraId="176DEC93" w14:textId="77777777" w:rsidR="00E735F3" w:rsidRPr="00E735F3" w:rsidRDefault="00E735F3" w:rsidP="00E735F3">
            <w:pPr>
              <w:spacing w:before="60" w:after="60" w:line="240" w:lineRule="auto"/>
              <w:rPr>
                <w:sz w:val="18"/>
              </w:rPr>
            </w:pPr>
            <w:r w:rsidRPr="00E735F3">
              <w:rPr>
                <w:sz w:val="18"/>
              </w:rPr>
              <w:t>[Pentatomidae]</w:t>
            </w:r>
          </w:p>
          <w:p w14:paraId="6F197FB8" w14:textId="77777777" w:rsidR="00E735F3" w:rsidRPr="00E735F3" w:rsidRDefault="00E735F3" w:rsidP="00E735F3">
            <w:pPr>
              <w:spacing w:before="60" w:after="60" w:line="240" w:lineRule="auto"/>
              <w:rPr>
                <w:i/>
                <w:sz w:val="18"/>
              </w:rPr>
            </w:pPr>
            <w:r w:rsidRPr="00E735F3">
              <w:rPr>
                <w:sz w:val="18"/>
              </w:rPr>
              <w:t>Green vegetable bug</w:t>
            </w:r>
          </w:p>
        </w:tc>
        <w:tc>
          <w:tcPr>
            <w:tcW w:w="1974" w:type="dxa"/>
            <w:tcBorders>
              <w:top w:val="nil"/>
              <w:left w:val="nil"/>
              <w:bottom w:val="nil"/>
              <w:right w:val="nil"/>
            </w:tcBorders>
          </w:tcPr>
          <w:p w14:paraId="40459826" w14:textId="77777777" w:rsidR="00E735F3" w:rsidRPr="00E735F3" w:rsidRDefault="00E735F3" w:rsidP="00E735F3">
            <w:pPr>
              <w:spacing w:before="60" w:after="60" w:line="240" w:lineRule="auto"/>
              <w:rPr>
                <w:sz w:val="18"/>
              </w:rPr>
            </w:pPr>
            <w:r w:rsidRPr="00E735F3">
              <w:rPr>
                <w:sz w:val="18"/>
              </w:rPr>
              <w:t>Cook Islands, Niue, Samoa, Tonga, Vanuatu (Waterhouse and Norris 1987).</w:t>
            </w:r>
          </w:p>
        </w:tc>
        <w:tc>
          <w:tcPr>
            <w:tcW w:w="1701" w:type="dxa"/>
            <w:tcBorders>
              <w:top w:val="nil"/>
              <w:left w:val="nil"/>
              <w:bottom w:val="nil"/>
              <w:right w:val="nil"/>
            </w:tcBorders>
            <w:shd w:val="clear" w:color="auto" w:fill="auto"/>
          </w:tcPr>
          <w:p w14:paraId="48EACFA2" w14:textId="77777777" w:rsidR="00E735F3" w:rsidRPr="00E735F3" w:rsidRDefault="00E735F3" w:rsidP="00E735F3">
            <w:pPr>
              <w:spacing w:before="60" w:after="60" w:line="240" w:lineRule="auto"/>
              <w:rPr>
                <w:sz w:val="18"/>
              </w:rPr>
            </w:pPr>
            <w:r w:rsidRPr="00E735F3">
              <w:rPr>
                <w:sz w:val="18"/>
              </w:rPr>
              <w:t>Yes. NSW, NT, Qld, SA, Tas., Vic. and WA (Poole 2010).</w:t>
            </w:r>
          </w:p>
        </w:tc>
        <w:tc>
          <w:tcPr>
            <w:tcW w:w="2410" w:type="dxa"/>
            <w:tcBorders>
              <w:top w:val="nil"/>
              <w:left w:val="nil"/>
              <w:bottom w:val="nil"/>
              <w:right w:val="nil"/>
            </w:tcBorders>
          </w:tcPr>
          <w:p w14:paraId="732C4DEB" w14:textId="683903DF" w:rsidR="00E735F3" w:rsidRPr="00E735F3" w:rsidRDefault="00C736E9" w:rsidP="00E735F3">
            <w:pPr>
              <w:spacing w:before="60" w:after="60" w:line="240" w:lineRule="auto"/>
              <w:rPr>
                <w:sz w:val="18"/>
              </w:rPr>
            </w:pPr>
            <w:r w:rsidRPr="00C736E9">
              <w:rPr>
                <w:sz w:val="18"/>
              </w:rPr>
              <w:t>Assessment not required.</w:t>
            </w:r>
            <w:r w:rsidR="00E735F3" w:rsidRPr="00E735F3">
              <w:rPr>
                <w:sz w:val="18"/>
              </w:rPr>
              <w:t xml:space="preserve"> </w:t>
            </w:r>
          </w:p>
        </w:tc>
        <w:tc>
          <w:tcPr>
            <w:tcW w:w="2410" w:type="dxa"/>
            <w:tcBorders>
              <w:top w:val="nil"/>
              <w:left w:val="nil"/>
              <w:bottom w:val="nil"/>
              <w:right w:val="nil"/>
            </w:tcBorders>
            <w:shd w:val="clear" w:color="auto" w:fill="auto"/>
          </w:tcPr>
          <w:p w14:paraId="05B628E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84D165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05EE652" w14:textId="77777777" w:rsidR="00E735F3" w:rsidRPr="00E735F3" w:rsidRDefault="00E735F3" w:rsidP="00E735F3">
            <w:pPr>
              <w:spacing w:before="60" w:after="60" w:line="240" w:lineRule="auto"/>
              <w:rPr>
                <w:sz w:val="18"/>
              </w:rPr>
            </w:pPr>
            <w:r w:rsidRPr="00E735F3">
              <w:rPr>
                <w:sz w:val="18"/>
              </w:rPr>
              <w:t>No</w:t>
            </w:r>
          </w:p>
        </w:tc>
      </w:tr>
      <w:tr w:rsidR="004B4DEC" w:rsidRPr="00E735F3" w14:paraId="34544DD6" w14:textId="77777777" w:rsidTr="00063347">
        <w:trPr>
          <w:cantSplit/>
        </w:trPr>
        <w:tc>
          <w:tcPr>
            <w:tcW w:w="3403" w:type="dxa"/>
            <w:tcBorders>
              <w:top w:val="nil"/>
              <w:left w:val="nil"/>
              <w:bottom w:val="nil"/>
              <w:right w:val="nil"/>
            </w:tcBorders>
          </w:tcPr>
          <w:p w14:paraId="1AB39C47" w14:textId="0BAAFCE0" w:rsidR="004B4DEC" w:rsidRDefault="004B4DEC" w:rsidP="00E735F3">
            <w:pPr>
              <w:spacing w:before="60" w:after="60" w:line="240" w:lineRule="auto"/>
              <w:rPr>
                <w:sz w:val="18"/>
              </w:rPr>
            </w:pPr>
            <w:r>
              <w:rPr>
                <w:b/>
                <w:i/>
                <w:sz w:val="18"/>
              </w:rPr>
              <w:t>Parab</w:t>
            </w:r>
            <w:r w:rsidR="0038161D">
              <w:rPr>
                <w:b/>
                <w:i/>
                <w:sz w:val="18"/>
              </w:rPr>
              <w:t>e</w:t>
            </w:r>
            <w:r>
              <w:rPr>
                <w:b/>
                <w:i/>
                <w:sz w:val="18"/>
              </w:rPr>
              <w:t>misia myricae</w:t>
            </w:r>
            <w:r>
              <w:rPr>
                <w:b/>
                <w:sz w:val="18"/>
              </w:rPr>
              <w:t xml:space="preserve"> </w:t>
            </w:r>
            <w:r w:rsidRPr="004B4DEC">
              <w:rPr>
                <w:sz w:val="18"/>
              </w:rPr>
              <w:t>(Kuwana, 1927)</w:t>
            </w:r>
          </w:p>
          <w:p w14:paraId="777F1E64" w14:textId="77777777" w:rsidR="004B4DEC" w:rsidRDefault="004B4DEC" w:rsidP="00E735F3">
            <w:pPr>
              <w:spacing w:before="60" w:after="60" w:line="240" w:lineRule="auto"/>
              <w:rPr>
                <w:sz w:val="18"/>
              </w:rPr>
            </w:pPr>
            <w:r>
              <w:rPr>
                <w:sz w:val="18"/>
              </w:rPr>
              <w:t>[Aleyrodidae]</w:t>
            </w:r>
          </w:p>
          <w:p w14:paraId="62BDD0EC" w14:textId="77777777" w:rsidR="004B4DEC" w:rsidRPr="004B4DEC" w:rsidRDefault="004B4DEC" w:rsidP="00E735F3">
            <w:pPr>
              <w:spacing w:before="60" w:after="60" w:line="240" w:lineRule="auto"/>
              <w:rPr>
                <w:b/>
                <w:sz w:val="18"/>
              </w:rPr>
            </w:pPr>
            <w:r>
              <w:rPr>
                <w:sz w:val="18"/>
              </w:rPr>
              <w:t>Japanese bayberry whitefly</w:t>
            </w:r>
          </w:p>
        </w:tc>
        <w:tc>
          <w:tcPr>
            <w:tcW w:w="1974" w:type="dxa"/>
            <w:tcBorders>
              <w:top w:val="nil"/>
              <w:left w:val="nil"/>
              <w:bottom w:val="nil"/>
              <w:right w:val="nil"/>
            </w:tcBorders>
          </w:tcPr>
          <w:p w14:paraId="2704CB79" w14:textId="77777777" w:rsidR="004B4DEC" w:rsidRPr="00E735F3" w:rsidRDefault="004B4DEC" w:rsidP="00E735F3">
            <w:pPr>
              <w:spacing w:before="60" w:after="60" w:line="240" w:lineRule="auto"/>
              <w:rPr>
                <w:sz w:val="18"/>
              </w:rPr>
            </w:pPr>
            <w:r>
              <w:rPr>
                <w:sz w:val="18"/>
              </w:rPr>
              <w:t xml:space="preserve">Samoa (De Barro </w:t>
            </w:r>
            <w:r w:rsidRPr="004B4DEC">
              <w:rPr>
                <w:i/>
                <w:sz w:val="18"/>
              </w:rPr>
              <w:t>et al</w:t>
            </w:r>
            <w:r>
              <w:rPr>
                <w:sz w:val="18"/>
              </w:rPr>
              <w:t>. 1998)</w:t>
            </w:r>
          </w:p>
        </w:tc>
        <w:tc>
          <w:tcPr>
            <w:tcW w:w="1701" w:type="dxa"/>
            <w:tcBorders>
              <w:top w:val="nil"/>
              <w:left w:val="nil"/>
              <w:bottom w:val="nil"/>
              <w:right w:val="nil"/>
            </w:tcBorders>
            <w:shd w:val="clear" w:color="auto" w:fill="auto"/>
          </w:tcPr>
          <w:p w14:paraId="058D0AE9" w14:textId="77777777" w:rsidR="00BE641D" w:rsidRDefault="004B4DEC" w:rsidP="00E735F3">
            <w:pPr>
              <w:spacing w:before="60" w:after="60" w:line="240" w:lineRule="auto"/>
              <w:rPr>
                <w:sz w:val="18"/>
              </w:rPr>
            </w:pPr>
            <w:r>
              <w:rPr>
                <w:sz w:val="18"/>
              </w:rPr>
              <w:t>Yes</w:t>
            </w:r>
            <w:r w:rsidR="001C07D3">
              <w:rPr>
                <w:sz w:val="18"/>
              </w:rPr>
              <w:t xml:space="preserve">. Qld </w:t>
            </w:r>
            <w:r w:rsidR="00D00199">
              <w:rPr>
                <w:sz w:val="18"/>
              </w:rPr>
              <w:t>(CSIRO 2016).</w:t>
            </w:r>
            <w:r w:rsidR="00BE641D" w:rsidRPr="00BE641D">
              <w:rPr>
                <w:sz w:val="18"/>
              </w:rPr>
              <w:t xml:space="preserve"> </w:t>
            </w:r>
          </w:p>
          <w:p w14:paraId="7DFE9D59" w14:textId="0EE85122" w:rsidR="004B4DEC" w:rsidRPr="00E735F3" w:rsidRDefault="00BE641D" w:rsidP="00E735F3">
            <w:pPr>
              <w:spacing w:before="60" w:after="60" w:line="240" w:lineRule="auto"/>
              <w:rPr>
                <w:sz w:val="18"/>
              </w:rPr>
            </w:pPr>
            <w:r w:rsidRPr="00BE641D">
              <w:rPr>
                <w:sz w:val="18"/>
              </w:rPr>
              <w:t>Declared Organism (Prohibited - section 12) for WA (Government of Western Australia 2017).</w:t>
            </w:r>
          </w:p>
        </w:tc>
        <w:tc>
          <w:tcPr>
            <w:tcW w:w="2410" w:type="dxa"/>
            <w:tcBorders>
              <w:top w:val="nil"/>
              <w:left w:val="nil"/>
              <w:bottom w:val="nil"/>
              <w:right w:val="nil"/>
            </w:tcBorders>
          </w:tcPr>
          <w:p w14:paraId="2BE7489C" w14:textId="62480E85" w:rsidR="004B4DEC" w:rsidRPr="00E735F3" w:rsidRDefault="001A6452" w:rsidP="00FD4C86">
            <w:pPr>
              <w:spacing w:before="60" w:after="60" w:line="240" w:lineRule="auto"/>
              <w:rPr>
                <w:sz w:val="18"/>
              </w:rPr>
            </w:pPr>
            <w:r w:rsidRPr="001A6452">
              <w:rPr>
                <w:sz w:val="18"/>
              </w:rPr>
              <w:t xml:space="preserve">No. This is a pest of citrus in California, but primarily associated with young foliage (Hamon </w:t>
            </w:r>
            <w:r w:rsidRPr="001A6452">
              <w:rPr>
                <w:i/>
                <w:sz w:val="18"/>
              </w:rPr>
              <w:t>et al.</w:t>
            </w:r>
            <w:r w:rsidRPr="001A6452">
              <w:rPr>
                <w:sz w:val="18"/>
              </w:rPr>
              <w:t xml:space="preserve"> 1990). Adults may feed and lay eggs on fruit of some hosts (EPPO 1988), but honeydew, sooty mould and feeding damage are likely to be evident, and the pests and affected fruit removed from the pathway during pre-export handling. Reported on </w:t>
            </w:r>
            <w:r w:rsidRPr="001A6452">
              <w:rPr>
                <w:i/>
                <w:sz w:val="18"/>
              </w:rPr>
              <w:t>Gardenia</w:t>
            </w:r>
            <w:r w:rsidRPr="001A6452">
              <w:rPr>
                <w:sz w:val="18"/>
              </w:rPr>
              <w:t xml:space="preserve"> sp. and </w:t>
            </w:r>
            <w:r w:rsidRPr="001A6452">
              <w:rPr>
                <w:i/>
                <w:sz w:val="18"/>
              </w:rPr>
              <w:t>Rollinia</w:t>
            </w:r>
            <w:r w:rsidRPr="001A6452">
              <w:rPr>
                <w:sz w:val="18"/>
              </w:rPr>
              <w:t xml:space="preserve"> sp. in Samoa (De Barro </w:t>
            </w:r>
            <w:r w:rsidRPr="001A6452">
              <w:rPr>
                <w:i/>
                <w:sz w:val="18"/>
              </w:rPr>
              <w:t>et al</w:t>
            </w:r>
            <w:r w:rsidRPr="001A6452">
              <w:rPr>
                <w:sz w:val="18"/>
              </w:rPr>
              <w:t>. 1998).</w:t>
            </w:r>
          </w:p>
        </w:tc>
        <w:tc>
          <w:tcPr>
            <w:tcW w:w="2410" w:type="dxa"/>
            <w:tcBorders>
              <w:top w:val="nil"/>
              <w:left w:val="nil"/>
              <w:bottom w:val="nil"/>
              <w:right w:val="nil"/>
            </w:tcBorders>
            <w:shd w:val="clear" w:color="auto" w:fill="auto"/>
          </w:tcPr>
          <w:p w14:paraId="62D94417" w14:textId="77777777" w:rsidR="004B4DEC" w:rsidRPr="00E735F3" w:rsidRDefault="00D00199" w:rsidP="006876FA">
            <w:pPr>
              <w:spacing w:before="60" w:after="60" w:line="240" w:lineRule="auto"/>
              <w:rPr>
                <w:sz w:val="18"/>
              </w:rPr>
            </w:pPr>
            <w:r w:rsidRPr="00D00199">
              <w:rPr>
                <w:sz w:val="18"/>
              </w:rPr>
              <w:t xml:space="preserve">Assessment not required. </w:t>
            </w:r>
          </w:p>
        </w:tc>
        <w:tc>
          <w:tcPr>
            <w:tcW w:w="2268" w:type="dxa"/>
            <w:tcBorders>
              <w:top w:val="nil"/>
              <w:left w:val="nil"/>
              <w:bottom w:val="nil"/>
              <w:right w:val="nil"/>
            </w:tcBorders>
            <w:shd w:val="clear" w:color="auto" w:fill="auto"/>
          </w:tcPr>
          <w:p w14:paraId="441601C5" w14:textId="77777777" w:rsidR="004B4DEC" w:rsidRPr="00E735F3" w:rsidRDefault="00D00199" w:rsidP="006876FA">
            <w:pPr>
              <w:spacing w:before="60" w:after="60" w:line="240" w:lineRule="auto"/>
              <w:rPr>
                <w:sz w:val="18"/>
              </w:rPr>
            </w:pPr>
            <w:r w:rsidRPr="00D00199">
              <w:rPr>
                <w:sz w:val="18"/>
              </w:rPr>
              <w:t xml:space="preserve">Assessment not required. </w:t>
            </w:r>
          </w:p>
        </w:tc>
        <w:tc>
          <w:tcPr>
            <w:tcW w:w="1285" w:type="dxa"/>
            <w:tcBorders>
              <w:top w:val="nil"/>
              <w:left w:val="nil"/>
              <w:bottom w:val="nil"/>
              <w:right w:val="nil"/>
            </w:tcBorders>
          </w:tcPr>
          <w:p w14:paraId="1B4EAD1F" w14:textId="77777777" w:rsidR="004B4DEC" w:rsidRPr="00E735F3" w:rsidRDefault="00D00199" w:rsidP="00E735F3">
            <w:pPr>
              <w:spacing w:before="60" w:after="60" w:line="240" w:lineRule="auto"/>
              <w:rPr>
                <w:sz w:val="18"/>
              </w:rPr>
            </w:pPr>
            <w:r>
              <w:rPr>
                <w:sz w:val="18"/>
              </w:rPr>
              <w:t>No</w:t>
            </w:r>
          </w:p>
        </w:tc>
      </w:tr>
      <w:tr w:rsidR="00E735F3" w:rsidRPr="00E735F3" w14:paraId="4C328A04" w14:textId="77777777" w:rsidTr="00063347">
        <w:trPr>
          <w:cantSplit/>
        </w:trPr>
        <w:tc>
          <w:tcPr>
            <w:tcW w:w="3403" w:type="dxa"/>
            <w:tcBorders>
              <w:top w:val="nil"/>
              <w:left w:val="nil"/>
              <w:bottom w:val="nil"/>
              <w:right w:val="nil"/>
            </w:tcBorders>
          </w:tcPr>
          <w:p w14:paraId="213AE0D6" w14:textId="77777777" w:rsidR="00E735F3" w:rsidRPr="00E735F3" w:rsidRDefault="00E735F3" w:rsidP="00E735F3">
            <w:pPr>
              <w:spacing w:before="60" w:after="60" w:line="240" w:lineRule="auto"/>
              <w:rPr>
                <w:sz w:val="18"/>
              </w:rPr>
            </w:pPr>
            <w:r w:rsidRPr="00E735F3">
              <w:rPr>
                <w:b/>
                <w:i/>
                <w:sz w:val="18"/>
              </w:rPr>
              <w:t>Parasaissetia nigra</w:t>
            </w:r>
            <w:r w:rsidRPr="00E735F3">
              <w:rPr>
                <w:i/>
                <w:sz w:val="18"/>
              </w:rPr>
              <w:t xml:space="preserve"> </w:t>
            </w:r>
            <w:r w:rsidRPr="00E735F3">
              <w:rPr>
                <w:sz w:val="18"/>
              </w:rPr>
              <w:t>(Nietner, 1861)</w:t>
            </w:r>
          </w:p>
          <w:p w14:paraId="6AD04044" w14:textId="77777777" w:rsidR="00E735F3" w:rsidRPr="00E735F3" w:rsidRDefault="00E735F3" w:rsidP="00E735F3">
            <w:pPr>
              <w:spacing w:before="60" w:after="60" w:line="240" w:lineRule="auto"/>
              <w:rPr>
                <w:sz w:val="18"/>
              </w:rPr>
            </w:pPr>
            <w:r w:rsidRPr="00E735F3">
              <w:rPr>
                <w:sz w:val="18"/>
              </w:rPr>
              <w:t>[Coccidae]</w:t>
            </w:r>
          </w:p>
          <w:p w14:paraId="523E5854" w14:textId="77777777" w:rsidR="00E735F3" w:rsidRPr="00E735F3" w:rsidRDefault="00E735F3" w:rsidP="00E735F3">
            <w:pPr>
              <w:spacing w:before="60" w:after="60" w:line="240" w:lineRule="auto"/>
              <w:rPr>
                <w:sz w:val="18"/>
              </w:rPr>
            </w:pPr>
            <w:r w:rsidRPr="00E735F3">
              <w:rPr>
                <w:sz w:val="18"/>
              </w:rPr>
              <w:t>Nigra scale</w:t>
            </w:r>
          </w:p>
        </w:tc>
        <w:tc>
          <w:tcPr>
            <w:tcW w:w="1974" w:type="dxa"/>
            <w:tcBorders>
              <w:top w:val="nil"/>
              <w:left w:val="nil"/>
              <w:bottom w:val="nil"/>
              <w:right w:val="nil"/>
            </w:tcBorders>
          </w:tcPr>
          <w:p w14:paraId="3CCF7073" w14:textId="77777777" w:rsidR="00E735F3" w:rsidRPr="00E735F3" w:rsidRDefault="00E735F3" w:rsidP="00E735F3">
            <w:pPr>
              <w:spacing w:before="60" w:after="60" w:line="240" w:lineRule="auto"/>
              <w:rPr>
                <w:sz w:val="18"/>
              </w:rPr>
            </w:pPr>
            <w:r w:rsidRPr="00E735F3">
              <w:rPr>
                <w:sz w:val="18"/>
              </w:rPr>
              <w:t>Cook Islands, Niue, Samoa, Tonga, Vanuatu (SPC 2016).</w:t>
            </w:r>
          </w:p>
        </w:tc>
        <w:tc>
          <w:tcPr>
            <w:tcW w:w="1701" w:type="dxa"/>
            <w:tcBorders>
              <w:top w:val="nil"/>
              <w:left w:val="nil"/>
              <w:bottom w:val="nil"/>
              <w:right w:val="nil"/>
            </w:tcBorders>
            <w:shd w:val="clear" w:color="auto" w:fill="auto"/>
          </w:tcPr>
          <w:p w14:paraId="7D19AEC3" w14:textId="77777777" w:rsidR="00E735F3" w:rsidRPr="00E735F3" w:rsidRDefault="00E735F3" w:rsidP="00E735F3">
            <w:pPr>
              <w:spacing w:before="60" w:after="60" w:line="240" w:lineRule="auto"/>
              <w:rPr>
                <w:sz w:val="18"/>
              </w:rPr>
            </w:pPr>
            <w:r w:rsidRPr="00E735F3">
              <w:rPr>
                <w:sz w:val="18"/>
              </w:rPr>
              <w:t xml:space="preserve">Yes. NSW, NT, Qld, Vic. and WA (Garcia Morales </w:t>
            </w:r>
            <w:r w:rsidRPr="00E735F3">
              <w:rPr>
                <w:i/>
                <w:sz w:val="18"/>
              </w:rPr>
              <w:t>et al.</w:t>
            </w:r>
            <w:r w:rsidRPr="00E735F3">
              <w:rPr>
                <w:sz w:val="18"/>
              </w:rPr>
              <w:t xml:space="preserve"> 2016).</w:t>
            </w:r>
          </w:p>
        </w:tc>
        <w:tc>
          <w:tcPr>
            <w:tcW w:w="2410" w:type="dxa"/>
            <w:tcBorders>
              <w:top w:val="nil"/>
              <w:left w:val="nil"/>
              <w:bottom w:val="nil"/>
              <w:right w:val="nil"/>
            </w:tcBorders>
          </w:tcPr>
          <w:p w14:paraId="5D525783" w14:textId="02161F10"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3AF4335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562D9B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C470909" w14:textId="77777777" w:rsidR="00E735F3" w:rsidRPr="00E735F3" w:rsidRDefault="00E735F3" w:rsidP="00E735F3">
            <w:pPr>
              <w:spacing w:before="60" w:after="60" w:line="240" w:lineRule="auto"/>
              <w:rPr>
                <w:sz w:val="18"/>
              </w:rPr>
            </w:pPr>
            <w:r w:rsidRPr="00E735F3">
              <w:rPr>
                <w:sz w:val="18"/>
              </w:rPr>
              <w:t>No</w:t>
            </w:r>
          </w:p>
        </w:tc>
      </w:tr>
      <w:tr w:rsidR="00E735F3" w:rsidRPr="00E735F3" w14:paraId="726BCEC7" w14:textId="77777777" w:rsidTr="00063347">
        <w:trPr>
          <w:cantSplit/>
        </w:trPr>
        <w:tc>
          <w:tcPr>
            <w:tcW w:w="3403" w:type="dxa"/>
            <w:tcBorders>
              <w:top w:val="nil"/>
              <w:left w:val="nil"/>
              <w:bottom w:val="nil"/>
              <w:right w:val="nil"/>
            </w:tcBorders>
            <w:shd w:val="clear" w:color="auto" w:fill="FFFFFF"/>
          </w:tcPr>
          <w:p w14:paraId="49E59D16" w14:textId="77777777" w:rsidR="00E735F3" w:rsidRPr="00E735F3" w:rsidRDefault="00E735F3" w:rsidP="00E735F3">
            <w:pPr>
              <w:spacing w:before="60" w:after="60" w:line="240" w:lineRule="auto"/>
              <w:rPr>
                <w:sz w:val="18"/>
              </w:rPr>
            </w:pPr>
            <w:r w:rsidRPr="00E735F3">
              <w:rPr>
                <w:b/>
                <w:i/>
                <w:sz w:val="18"/>
              </w:rPr>
              <w:t>Parlatoria cinerea</w:t>
            </w:r>
            <w:r w:rsidRPr="00E735F3">
              <w:rPr>
                <w:i/>
                <w:sz w:val="18"/>
              </w:rPr>
              <w:t xml:space="preserve"> </w:t>
            </w:r>
            <w:r w:rsidRPr="00E735F3">
              <w:rPr>
                <w:sz w:val="18"/>
              </w:rPr>
              <w:t>Hadden, 1909</w:t>
            </w:r>
          </w:p>
          <w:p w14:paraId="08C82279" w14:textId="77777777" w:rsidR="00E735F3" w:rsidRPr="00E735F3" w:rsidRDefault="00E735F3" w:rsidP="00E735F3">
            <w:pPr>
              <w:spacing w:before="60" w:after="60" w:line="240" w:lineRule="auto"/>
              <w:rPr>
                <w:sz w:val="18"/>
              </w:rPr>
            </w:pPr>
            <w:r w:rsidRPr="00E735F3">
              <w:rPr>
                <w:sz w:val="18"/>
              </w:rPr>
              <w:t>[Diaspididae]</w:t>
            </w:r>
          </w:p>
          <w:p w14:paraId="00DF2865" w14:textId="77777777" w:rsidR="00E735F3" w:rsidRPr="00E735F3" w:rsidRDefault="00E735F3" w:rsidP="00E735F3">
            <w:pPr>
              <w:spacing w:before="60" w:after="60" w:line="240" w:lineRule="auto"/>
              <w:rPr>
                <w:sz w:val="18"/>
              </w:rPr>
            </w:pPr>
            <w:r w:rsidRPr="00E735F3">
              <w:rPr>
                <w:sz w:val="18"/>
              </w:rPr>
              <w:t>Tropical grey chaff scale</w:t>
            </w:r>
          </w:p>
        </w:tc>
        <w:tc>
          <w:tcPr>
            <w:tcW w:w="1974" w:type="dxa"/>
            <w:tcBorders>
              <w:top w:val="nil"/>
              <w:left w:val="nil"/>
              <w:bottom w:val="nil"/>
              <w:right w:val="nil"/>
            </w:tcBorders>
            <w:shd w:val="clear" w:color="auto" w:fill="FFFFFF"/>
          </w:tcPr>
          <w:p w14:paraId="0C1D5328" w14:textId="77777777" w:rsidR="00E735F3" w:rsidRPr="00E735F3" w:rsidRDefault="00E735F3" w:rsidP="00E735F3">
            <w:pPr>
              <w:spacing w:before="60" w:after="60" w:line="240" w:lineRule="auto"/>
              <w:rPr>
                <w:sz w:val="18"/>
              </w:rPr>
            </w:pPr>
            <w:r w:rsidRPr="00E735F3">
              <w:rPr>
                <w:sz w:val="18"/>
              </w:rPr>
              <w:t>Cook Islands, Niue, Samoa, Vanuatu (Williams and Watson 1988a).</w:t>
            </w:r>
          </w:p>
        </w:tc>
        <w:tc>
          <w:tcPr>
            <w:tcW w:w="1701" w:type="dxa"/>
            <w:tcBorders>
              <w:top w:val="nil"/>
              <w:left w:val="nil"/>
              <w:bottom w:val="nil"/>
              <w:right w:val="nil"/>
            </w:tcBorders>
            <w:shd w:val="clear" w:color="auto" w:fill="auto"/>
          </w:tcPr>
          <w:p w14:paraId="5C0BDC4E"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4E0F7936" w14:textId="77777777" w:rsidR="00E735F3" w:rsidRPr="00E735F3" w:rsidRDefault="00E735F3" w:rsidP="00E735F3">
            <w:pPr>
              <w:spacing w:before="60" w:after="60" w:line="240" w:lineRule="auto"/>
              <w:rPr>
                <w:sz w:val="18"/>
              </w:rPr>
            </w:pPr>
            <w:r w:rsidRPr="00E735F3">
              <w:rPr>
                <w:sz w:val="18"/>
              </w:rPr>
              <w:t>Yes. Recorded on lime in Niue, and a common pest on citrus in the Pacific (Williams and Watson 1988a). Mainly found on stems and branches, but sometimes on leaves and fruit (Watson 2016).</w:t>
            </w:r>
          </w:p>
        </w:tc>
        <w:tc>
          <w:tcPr>
            <w:tcW w:w="2410" w:type="dxa"/>
            <w:tcBorders>
              <w:top w:val="nil"/>
              <w:left w:val="nil"/>
              <w:bottom w:val="nil"/>
              <w:right w:val="nil"/>
            </w:tcBorders>
            <w:shd w:val="clear" w:color="auto" w:fill="auto"/>
          </w:tcPr>
          <w:p w14:paraId="42A9D8BF" w14:textId="77777777" w:rsidR="00E735F3" w:rsidRPr="00E735F3" w:rsidRDefault="00E735F3" w:rsidP="00E735F3">
            <w:pPr>
              <w:spacing w:before="60" w:after="60" w:line="240" w:lineRule="auto"/>
              <w:rPr>
                <w:sz w:val="18"/>
              </w:rPr>
            </w:pPr>
            <w:r w:rsidRPr="00E735F3">
              <w:rPr>
                <w:sz w:val="18"/>
              </w:rPr>
              <w:t xml:space="preserve">Yes. This is a polyphagous species, and hosts such as citrus, mango, grape, gardenia, bougainvillea and jasmine (Watson 2016) are common in parts of Australia. It has a wide distribution in the warmer parts of the world, so it could potentially establish in Australia. </w:t>
            </w:r>
          </w:p>
        </w:tc>
        <w:tc>
          <w:tcPr>
            <w:tcW w:w="2268" w:type="dxa"/>
            <w:tcBorders>
              <w:top w:val="nil"/>
              <w:left w:val="nil"/>
              <w:bottom w:val="nil"/>
              <w:right w:val="nil"/>
            </w:tcBorders>
            <w:shd w:val="clear" w:color="auto" w:fill="auto"/>
          </w:tcPr>
          <w:p w14:paraId="08ECDFD9" w14:textId="77777777" w:rsidR="00E735F3" w:rsidRPr="00E735F3" w:rsidRDefault="00E735F3" w:rsidP="00E735F3">
            <w:pPr>
              <w:spacing w:before="60" w:after="60" w:line="240" w:lineRule="auto"/>
              <w:rPr>
                <w:sz w:val="18"/>
              </w:rPr>
            </w:pPr>
            <w:r w:rsidRPr="00E735F3">
              <w:rPr>
                <w:sz w:val="18"/>
              </w:rPr>
              <w:t xml:space="preserve">Yes. </w:t>
            </w:r>
            <w:r w:rsidRPr="00E735F3">
              <w:rPr>
                <w:i/>
                <w:sz w:val="18"/>
              </w:rPr>
              <w:t>Parlatoria cinerea</w:t>
            </w:r>
            <w:r w:rsidRPr="00E735F3">
              <w:rPr>
                <w:sz w:val="18"/>
              </w:rPr>
              <w:t xml:space="preserve"> has been recorded as a pest of citrus in several countries in the South Pacific region (Williams and Watson 1988a). Heavy infestations can cause significant damage to citrus plantations (Watson 2016).</w:t>
            </w:r>
          </w:p>
        </w:tc>
        <w:tc>
          <w:tcPr>
            <w:tcW w:w="1285" w:type="dxa"/>
            <w:tcBorders>
              <w:top w:val="nil"/>
              <w:left w:val="nil"/>
              <w:bottom w:val="nil"/>
              <w:right w:val="nil"/>
            </w:tcBorders>
            <w:shd w:val="clear" w:color="auto" w:fill="auto"/>
          </w:tcPr>
          <w:p w14:paraId="02542DC0" w14:textId="77777777" w:rsidR="001D6FE6" w:rsidRPr="001D6FE6" w:rsidRDefault="00E735F3" w:rsidP="00E735F3">
            <w:pPr>
              <w:spacing w:before="60" w:after="60" w:line="240" w:lineRule="auto"/>
              <w:rPr>
                <w:bCs/>
                <w:sz w:val="18"/>
              </w:rPr>
            </w:pPr>
            <w:r w:rsidRPr="00E735F3">
              <w:rPr>
                <w:b/>
                <w:bCs/>
                <w:sz w:val="18"/>
              </w:rPr>
              <w:t>Yes</w:t>
            </w:r>
          </w:p>
        </w:tc>
      </w:tr>
      <w:tr w:rsidR="00E735F3" w:rsidRPr="00E735F3" w14:paraId="44075CDE" w14:textId="77777777" w:rsidTr="00063347">
        <w:trPr>
          <w:cantSplit/>
        </w:trPr>
        <w:tc>
          <w:tcPr>
            <w:tcW w:w="3403" w:type="dxa"/>
            <w:tcBorders>
              <w:top w:val="nil"/>
              <w:left w:val="nil"/>
              <w:bottom w:val="nil"/>
              <w:right w:val="nil"/>
            </w:tcBorders>
            <w:shd w:val="clear" w:color="auto" w:fill="FFFFFF"/>
          </w:tcPr>
          <w:p w14:paraId="2CE892B2" w14:textId="77777777" w:rsidR="00E735F3" w:rsidRPr="00E735F3" w:rsidRDefault="00E735F3" w:rsidP="00E735F3">
            <w:pPr>
              <w:spacing w:before="60" w:after="60" w:line="240" w:lineRule="auto"/>
              <w:rPr>
                <w:sz w:val="18"/>
              </w:rPr>
            </w:pPr>
            <w:r w:rsidRPr="00E735F3">
              <w:rPr>
                <w:b/>
                <w:i/>
                <w:sz w:val="18"/>
              </w:rPr>
              <w:t>Parlatoria pergandii</w:t>
            </w:r>
            <w:r w:rsidRPr="00E735F3">
              <w:rPr>
                <w:i/>
                <w:sz w:val="18"/>
              </w:rPr>
              <w:t xml:space="preserve"> </w:t>
            </w:r>
            <w:r w:rsidRPr="00E735F3">
              <w:rPr>
                <w:sz w:val="18"/>
              </w:rPr>
              <w:t>Comstock, 1881</w:t>
            </w:r>
          </w:p>
          <w:p w14:paraId="71507E85" w14:textId="77777777" w:rsidR="00E735F3" w:rsidRPr="00E735F3" w:rsidRDefault="00E735F3" w:rsidP="00E735F3">
            <w:pPr>
              <w:spacing w:before="60" w:after="60" w:line="240" w:lineRule="auto"/>
              <w:rPr>
                <w:sz w:val="18"/>
              </w:rPr>
            </w:pPr>
            <w:r w:rsidRPr="00E735F3">
              <w:rPr>
                <w:sz w:val="18"/>
              </w:rPr>
              <w:t>[Diaspididae]</w:t>
            </w:r>
          </w:p>
          <w:p w14:paraId="38129593" w14:textId="77777777" w:rsidR="00E735F3" w:rsidRPr="00E735F3" w:rsidRDefault="00E735F3" w:rsidP="00E735F3">
            <w:pPr>
              <w:spacing w:before="60" w:after="60" w:line="240" w:lineRule="auto"/>
              <w:rPr>
                <w:i/>
                <w:sz w:val="18"/>
              </w:rPr>
            </w:pPr>
            <w:r w:rsidRPr="00E735F3">
              <w:rPr>
                <w:sz w:val="18"/>
              </w:rPr>
              <w:t>Chaff scale</w:t>
            </w:r>
          </w:p>
        </w:tc>
        <w:tc>
          <w:tcPr>
            <w:tcW w:w="1974" w:type="dxa"/>
            <w:tcBorders>
              <w:top w:val="nil"/>
              <w:left w:val="nil"/>
              <w:bottom w:val="nil"/>
              <w:right w:val="nil"/>
            </w:tcBorders>
            <w:shd w:val="clear" w:color="auto" w:fill="FFFFFF"/>
          </w:tcPr>
          <w:p w14:paraId="3C00F98D" w14:textId="77777777" w:rsidR="00E735F3" w:rsidRPr="00E735F3" w:rsidRDefault="00E735F3" w:rsidP="00E735F3">
            <w:pPr>
              <w:spacing w:before="60" w:after="60" w:line="240" w:lineRule="auto"/>
              <w:rPr>
                <w:sz w:val="18"/>
              </w:rPr>
            </w:pPr>
            <w:r w:rsidRPr="00E735F3">
              <w:rPr>
                <w:sz w:val="18"/>
              </w:rPr>
              <w:t>Cook Islands, Niue, Samoa (Williams and Watson 1988a).</w:t>
            </w:r>
          </w:p>
        </w:tc>
        <w:tc>
          <w:tcPr>
            <w:tcW w:w="1701" w:type="dxa"/>
            <w:tcBorders>
              <w:top w:val="nil"/>
              <w:left w:val="nil"/>
              <w:bottom w:val="nil"/>
              <w:right w:val="nil"/>
            </w:tcBorders>
            <w:shd w:val="clear" w:color="auto" w:fill="auto"/>
          </w:tcPr>
          <w:p w14:paraId="0C726533" w14:textId="77777777" w:rsidR="00E735F3" w:rsidRDefault="00E735F3" w:rsidP="00E735F3">
            <w:pPr>
              <w:spacing w:before="60" w:after="60" w:line="240" w:lineRule="auto"/>
              <w:rPr>
                <w:sz w:val="18"/>
              </w:rPr>
            </w:pPr>
            <w:r w:rsidRPr="00E735F3">
              <w:rPr>
                <w:sz w:val="18"/>
              </w:rPr>
              <w:t>Yes. NSW (Watson 2016) and Qld (Donaldson and Tsang 2002).</w:t>
            </w:r>
          </w:p>
          <w:p w14:paraId="1BA11A3D" w14:textId="25B24BBB"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0E785F4B" w14:textId="77777777" w:rsidR="00E735F3" w:rsidRPr="00E735F3" w:rsidRDefault="00E735F3" w:rsidP="00E735F3">
            <w:pPr>
              <w:spacing w:before="60" w:after="60" w:line="240" w:lineRule="auto"/>
              <w:rPr>
                <w:sz w:val="18"/>
              </w:rPr>
            </w:pPr>
            <w:r w:rsidRPr="00E735F3">
              <w:rPr>
                <w:sz w:val="18"/>
              </w:rPr>
              <w:t>Yes. This species may be present on lime fruit (Stout 1982; Watson 2016).</w:t>
            </w:r>
          </w:p>
        </w:tc>
        <w:tc>
          <w:tcPr>
            <w:tcW w:w="2410" w:type="dxa"/>
            <w:tcBorders>
              <w:top w:val="nil"/>
              <w:left w:val="nil"/>
              <w:bottom w:val="nil"/>
              <w:right w:val="nil"/>
            </w:tcBorders>
            <w:shd w:val="clear" w:color="auto" w:fill="auto"/>
          </w:tcPr>
          <w:p w14:paraId="3AEC7E83"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species has already established in eastern Australia. It is highly polyphagous, and crawlers can be dispersed by wind or animals. Sessile adults and eggs can be distributed via human assisted movement of infested plant materials (Watson 201</w:t>
            </w:r>
            <w:r>
              <w:rPr>
                <w:sz w:val="18"/>
              </w:rPr>
              <w:t>6</w:t>
            </w:r>
            <w:r w:rsidRPr="00CF6334">
              <w:rPr>
                <w:sz w:val="18"/>
              </w:rPr>
              <w:t>).</w:t>
            </w:r>
          </w:p>
        </w:tc>
        <w:tc>
          <w:tcPr>
            <w:tcW w:w="2268" w:type="dxa"/>
            <w:tcBorders>
              <w:top w:val="nil"/>
              <w:left w:val="nil"/>
              <w:bottom w:val="nil"/>
              <w:right w:val="nil"/>
            </w:tcBorders>
            <w:shd w:val="clear" w:color="auto" w:fill="auto"/>
          </w:tcPr>
          <w:p w14:paraId="1DBE3F42" w14:textId="39B3CFBA"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species is widely known as a pest of citrus, with heavy infestation</w:t>
            </w:r>
            <w:r w:rsidR="0038161D">
              <w:rPr>
                <w:sz w:val="18"/>
              </w:rPr>
              <w:t>s</w:t>
            </w:r>
            <w:r w:rsidRPr="00CF6334">
              <w:rPr>
                <w:sz w:val="18"/>
              </w:rPr>
              <w:t xml:space="preserve"> resulting in dieback of whole branches and sometimes killing the tree (Watson 201</w:t>
            </w:r>
            <w:r>
              <w:rPr>
                <w:sz w:val="18"/>
              </w:rPr>
              <w:t>6</w:t>
            </w:r>
            <w:r w:rsidRPr="00CF6334">
              <w:rPr>
                <w:sz w:val="18"/>
              </w:rPr>
              <w:t>). Also damaging to ornamentals and mango (Watson 201</w:t>
            </w:r>
            <w:r>
              <w:rPr>
                <w:sz w:val="18"/>
              </w:rPr>
              <w:t>6</w:t>
            </w:r>
            <w:r w:rsidRPr="00CF6334">
              <w:rPr>
                <w:sz w:val="18"/>
              </w:rPr>
              <w:t>).</w:t>
            </w:r>
          </w:p>
        </w:tc>
        <w:tc>
          <w:tcPr>
            <w:tcW w:w="1285" w:type="dxa"/>
            <w:tcBorders>
              <w:top w:val="nil"/>
              <w:left w:val="nil"/>
              <w:bottom w:val="nil"/>
              <w:right w:val="nil"/>
            </w:tcBorders>
            <w:shd w:val="clear" w:color="auto" w:fill="auto"/>
          </w:tcPr>
          <w:p w14:paraId="1F9C236A" w14:textId="376E5225" w:rsidR="00E735F3" w:rsidRPr="00E735F3" w:rsidRDefault="00DD114D" w:rsidP="00B2341E">
            <w:pPr>
              <w:spacing w:before="60" w:after="60" w:line="240" w:lineRule="auto"/>
              <w:rPr>
                <w:sz w:val="18"/>
              </w:rPr>
            </w:pPr>
            <w:r w:rsidRPr="00DD114D">
              <w:rPr>
                <w:b/>
                <w:bCs/>
                <w:sz w:val="18"/>
              </w:rPr>
              <w:t>Yes</w:t>
            </w:r>
            <w:r w:rsidR="00360033">
              <w:rPr>
                <w:bCs/>
                <w:sz w:val="18"/>
              </w:rPr>
              <w:t xml:space="preserve"> </w:t>
            </w:r>
            <w:r w:rsidRPr="00DD114D">
              <w:rPr>
                <w:bCs/>
                <w:sz w:val="18"/>
              </w:rPr>
              <w:t>(WA)</w:t>
            </w:r>
          </w:p>
        </w:tc>
      </w:tr>
      <w:tr w:rsidR="00E735F3" w:rsidRPr="00E735F3" w14:paraId="759A1FBF" w14:textId="77777777" w:rsidTr="00063347">
        <w:trPr>
          <w:cantSplit/>
        </w:trPr>
        <w:tc>
          <w:tcPr>
            <w:tcW w:w="3403" w:type="dxa"/>
            <w:tcBorders>
              <w:top w:val="nil"/>
              <w:left w:val="nil"/>
              <w:bottom w:val="nil"/>
              <w:right w:val="nil"/>
            </w:tcBorders>
            <w:shd w:val="clear" w:color="auto" w:fill="FFFFFF"/>
          </w:tcPr>
          <w:p w14:paraId="698295CD" w14:textId="5BC23967" w:rsidR="00E735F3" w:rsidRPr="00E735F3" w:rsidRDefault="00E735F3" w:rsidP="00E735F3">
            <w:pPr>
              <w:spacing w:before="60" w:after="60" w:line="240" w:lineRule="auto"/>
              <w:rPr>
                <w:sz w:val="18"/>
              </w:rPr>
            </w:pPr>
            <w:r w:rsidRPr="00E735F3">
              <w:rPr>
                <w:b/>
                <w:i/>
                <w:sz w:val="18"/>
              </w:rPr>
              <w:t>Pinnaspis aspidistrae</w:t>
            </w:r>
            <w:r w:rsidRPr="00E735F3">
              <w:rPr>
                <w:i/>
                <w:sz w:val="18"/>
              </w:rPr>
              <w:t xml:space="preserve"> </w:t>
            </w:r>
            <w:r w:rsidRPr="00E735F3">
              <w:rPr>
                <w:sz w:val="18"/>
              </w:rPr>
              <w:t>(Signoret, 1869)</w:t>
            </w:r>
          </w:p>
          <w:p w14:paraId="51B9BB8E" w14:textId="77777777" w:rsidR="00E735F3" w:rsidRPr="00E735F3" w:rsidRDefault="00E735F3" w:rsidP="00E735F3">
            <w:pPr>
              <w:spacing w:before="60" w:after="60" w:line="240" w:lineRule="auto"/>
              <w:rPr>
                <w:sz w:val="18"/>
              </w:rPr>
            </w:pPr>
            <w:r w:rsidRPr="00E735F3">
              <w:rPr>
                <w:sz w:val="18"/>
              </w:rPr>
              <w:t>[Diaspididae]</w:t>
            </w:r>
          </w:p>
          <w:p w14:paraId="5D5D0782" w14:textId="77777777" w:rsidR="00E735F3" w:rsidRPr="00E735F3" w:rsidRDefault="00E735F3" w:rsidP="00E735F3">
            <w:pPr>
              <w:spacing w:before="60" w:after="60" w:line="240" w:lineRule="auto"/>
              <w:rPr>
                <w:i/>
                <w:sz w:val="18"/>
              </w:rPr>
            </w:pPr>
            <w:r w:rsidRPr="00E735F3">
              <w:rPr>
                <w:sz w:val="18"/>
              </w:rPr>
              <w:t>Fern scale</w:t>
            </w:r>
          </w:p>
        </w:tc>
        <w:tc>
          <w:tcPr>
            <w:tcW w:w="1974" w:type="dxa"/>
            <w:tcBorders>
              <w:top w:val="nil"/>
              <w:left w:val="nil"/>
              <w:bottom w:val="nil"/>
              <w:right w:val="nil"/>
            </w:tcBorders>
            <w:shd w:val="clear" w:color="auto" w:fill="FFFFFF"/>
          </w:tcPr>
          <w:p w14:paraId="54F5E6A9" w14:textId="77777777" w:rsidR="00E735F3" w:rsidRPr="00E735F3" w:rsidRDefault="00E735F3" w:rsidP="00E735F3">
            <w:pPr>
              <w:spacing w:before="60" w:after="60" w:line="240" w:lineRule="auto"/>
              <w:rPr>
                <w:sz w:val="18"/>
              </w:rPr>
            </w:pPr>
            <w:r w:rsidRPr="00E735F3">
              <w:rPr>
                <w:sz w:val="18"/>
              </w:rPr>
              <w:t>Cook Islands, Niue, Samoa (Williams and Watson 1988a), Tonga, Vanuatu (Watson 2016).</w:t>
            </w:r>
          </w:p>
        </w:tc>
        <w:tc>
          <w:tcPr>
            <w:tcW w:w="1701" w:type="dxa"/>
            <w:tcBorders>
              <w:top w:val="nil"/>
              <w:left w:val="nil"/>
              <w:bottom w:val="nil"/>
              <w:right w:val="nil"/>
            </w:tcBorders>
            <w:shd w:val="clear" w:color="auto" w:fill="auto"/>
          </w:tcPr>
          <w:p w14:paraId="789EB277" w14:textId="77777777" w:rsidR="00E735F3" w:rsidRDefault="00E735F3" w:rsidP="00E735F3">
            <w:pPr>
              <w:spacing w:before="60" w:after="60" w:line="240" w:lineRule="auto"/>
              <w:rPr>
                <w:sz w:val="18"/>
              </w:rPr>
            </w:pPr>
            <w:r w:rsidRPr="00E735F3">
              <w:rPr>
                <w:sz w:val="18"/>
              </w:rPr>
              <w:t xml:space="preserve">Yes. NSW, Qld (Donaldson and Tsang 2002), SA (Brookes 1964) and Tas. (Garcia Morales </w:t>
            </w:r>
            <w:r w:rsidRPr="00E735F3">
              <w:rPr>
                <w:i/>
                <w:sz w:val="18"/>
              </w:rPr>
              <w:t>et al.</w:t>
            </w:r>
            <w:r w:rsidRPr="00E735F3">
              <w:rPr>
                <w:sz w:val="18"/>
              </w:rPr>
              <w:t xml:space="preserve"> 2016).</w:t>
            </w:r>
          </w:p>
          <w:p w14:paraId="7B316D99" w14:textId="1E521489"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324675DA" w14:textId="77777777" w:rsidR="00E735F3" w:rsidRPr="00E735F3" w:rsidRDefault="00E735F3" w:rsidP="00E735F3">
            <w:pPr>
              <w:spacing w:before="60" w:after="60" w:line="240" w:lineRule="auto"/>
              <w:rPr>
                <w:sz w:val="18"/>
              </w:rPr>
            </w:pPr>
            <w:r w:rsidRPr="00E735F3">
              <w:rPr>
                <w:sz w:val="18"/>
              </w:rPr>
              <w:t>Yes. Commonly infests citrus. Mainly found on leaves, but occasionally present on the fruit (Miller and Davidson 2005).</w:t>
            </w:r>
          </w:p>
        </w:tc>
        <w:tc>
          <w:tcPr>
            <w:tcW w:w="2410" w:type="dxa"/>
            <w:tcBorders>
              <w:top w:val="nil"/>
              <w:left w:val="nil"/>
              <w:bottom w:val="nil"/>
              <w:right w:val="nil"/>
            </w:tcBorders>
            <w:shd w:val="clear" w:color="auto" w:fill="auto"/>
          </w:tcPr>
          <w:p w14:paraId="5423FBFE"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This is a polyphagous species recorded from at least 60 genera (Miller and Davidson 2005). Probably native to the Oriental region (Miller and Davidson 2005) but has spread widely.</w:t>
            </w:r>
          </w:p>
        </w:tc>
        <w:tc>
          <w:tcPr>
            <w:tcW w:w="2268" w:type="dxa"/>
            <w:tcBorders>
              <w:top w:val="nil"/>
              <w:left w:val="nil"/>
              <w:bottom w:val="nil"/>
              <w:right w:val="nil"/>
            </w:tcBorders>
            <w:shd w:val="clear" w:color="auto" w:fill="auto"/>
          </w:tcPr>
          <w:p w14:paraId="03872A46" w14:textId="77777777" w:rsidR="00E735F3" w:rsidRPr="00E735F3" w:rsidRDefault="00CF6334" w:rsidP="002C2F14">
            <w:pPr>
              <w:spacing w:before="60" w:after="60" w:line="240" w:lineRule="auto"/>
              <w:rPr>
                <w:sz w:val="18"/>
              </w:rPr>
            </w:pPr>
            <w:r w:rsidRPr="00CF6334">
              <w:rPr>
                <w:sz w:val="18"/>
              </w:rPr>
              <w:t>Yes</w:t>
            </w:r>
            <w:r w:rsidR="002C2F14">
              <w:rPr>
                <w:sz w:val="18"/>
              </w:rPr>
              <w:t>.</w:t>
            </w:r>
            <w:r w:rsidRPr="00CF6334">
              <w:rPr>
                <w:sz w:val="18"/>
              </w:rPr>
              <w:t xml:space="preserve"> Considered to be a serious pest of ferns and other foliage plants, as well as citrus, palms and bananas (Miller and Davidson 2005).</w:t>
            </w:r>
          </w:p>
        </w:tc>
        <w:tc>
          <w:tcPr>
            <w:tcW w:w="1285" w:type="dxa"/>
            <w:tcBorders>
              <w:top w:val="nil"/>
              <w:left w:val="nil"/>
              <w:bottom w:val="nil"/>
              <w:right w:val="nil"/>
            </w:tcBorders>
            <w:shd w:val="clear" w:color="auto" w:fill="auto"/>
          </w:tcPr>
          <w:p w14:paraId="4B11669B" w14:textId="37CA2970" w:rsidR="00E735F3" w:rsidRPr="00E735F3" w:rsidRDefault="00DD114D" w:rsidP="00211BE4">
            <w:pPr>
              <w:spacing w:before="60" w:after="60" w:line="240" w:lineRule="auto"/>
              <w:rPr>
                <w:sz w:val="18"/>
              </w:rPr>
            </w:pPr>
            <w:r w:rsidRPr="0073774E">
              <w:rPr>
                <w:b/>
                <w:bCs/>
                <w:sz w:val="18"/>
              </w:rPr>
              <w:t>Yes</w:t>
            </w:r>
            <w:r w:rsidR="00360033">
              <w:rPr>
                <w:bCs/>
                <w:sz w:val="18"/>
              </w:rPr>
              <w:t xml:space="preserve"> </w:t>
            </w:r>
            <w:r w:rsidRPr="00DD114D">
              <w:rPr>
                <w:bCs/>
                <w:sz w:val="18"/>
              </w:rPr>
              <w:t>(WA)</w:t>
            </w:r>
          </w:p>
        </w:tc>
      </w:tr>
      <w:tr w:rsidR="00E735F3" w:rsidRPr="00E735F3" w14:paraId="222409D3" w14:textId="77777777" w:rsidTr="00063347">
        <w:trPr>
          <w:cantSplit/>
        </w:trPr>
        <w:tc>
          <w:tcPr>
            <w:tcW w:w="3403" w:type="dxa"/>
            <w:tcBorders>
              <w:top w:val="nil"/>
              <w:left w:val="nil"/>
              <w:bottom w:val="nil"/>
              <w:right w:val="nil"/>
            </w:tcBorders>
          </w:tcPr>
          <w:p w14:paraId="34C0E19E" w14:textId="77777777" w:rsidR="00E735F3" w:rsidRPr="00E735F3" w:rsidRDefault="00E735F3" w:rsidP="00E735F3">
            <w:pPr>
              <w:spacing w:before="60" w:after="60" w:line="240" w:lineRule="auto"/>
              <w:rPr>
                <w:sz w:val="18"/>
              </w:rPr>
            </w:pPr>
            <w:r w:rsidRPr="00E735F3">
              <w:rPr>
                <w:b/>
                <w:i/>
                <w:sz w:val="18"/>
              </w:rPr>
              <w:t>Pinnaspis strachani</w:t>
            </w:r>
            <w:r w:rsidRPr="00E735F3">
              <w:rPr>
                <w:sz w:val="18"/>
              </w:rPr>
              <w:t xml:space="preserve"> (Cooley, 1899)</w:t>
            </w:r>
          </w:p>
          <w:p w14:paraId="669C2E5B" w14:textId="77777777" w:rsidR="00E735F3" w:rsidRPr="00E735F3" w:rsidRDefault="00E735F3" w:rsidP="00E735F3">
            <w:pPr>
              <w:spacing w:before="60" w:after="60" w:line="240" w:lineRule="auto"/>
              <w:rPr>
                <w:sz w:val="18"/>
              </w:rPr>
            </w:pPr>
            <w:r w:rsidRPr="00E735F3">
              <w:rPr>
                <w:sz w:val="18"/>
              </w:rPr>
              <w:t>[Diaspididae]</w:t>
            </w:r>
          </w:p>
          <w:p w14:paraId="10AB4F99" w14:textId="77777777" w:rsidR="00E735F3" w:rsidRPr="00E735F3" w:rsidRDefault="00E735F3" w:rsidP="00E735F3">
            <w:pPr>
              <w:spacing w:before="60" w:after="60" w:line="240" w:lineRule="auto"/>
              <w:rPr>
                <w:sz w:val="18"/>
              </w:rPr>
            </w:pPr>
            <w:r w:rsidRPr="00E735F3">
              <w:rPr>
                <w:sz w:val="18"/>
              </w:rPr>
              <w:t>Hibiscus snow scale</w:t>
            </w:r>
          </w:p>
        </w:tc>
        <w:tc>
          <w:tcPr>
            <w:tcW w:w="1974" w:type="dxa"/>
            <w:tcBorders>
              <w:top w:val="nil"/>
              <w:left w:val="nil"/>
              <w:bottom w:val="nil"/>
              <w:right w:val="nil"/>
            </w:tcBorders>
          </w:tcPr>
          <w:p w14:paraId="171961B3" w14:textId="77777777" w:rsidR="00E735F3" w:rsidRPr="00E735F3" w:rsidRDefault="00E735F3" w:rsidP="00E735F3">
            <w:pPr>
              <w:spacing w:before="60" w:after="60" w:line="240" w:lineRule="auto"/>
              <w:rPr>
                <w:sz w:val="18"/>
              </w:rPr>
            </w:pPr>
            <w:r w:rsidRPr="00E735F3">
              <w:rPr>
                <w:sz w:val="18"/>
              </w:rPr>
              <w:t>Cook Islands, Niue, Samoa, Tonga (Williams and Watson 1988a).</w:t>
            </w:r>
          </w:p>
        </w:tc>
        <w:tc>
          <w:tcPr>
            <w:tcW w:w="1701" w:type="dxa"/>
            <w:tcBorders>
              <w:top w:val="nil"/>
              <w:left w:val="nil"/>
              <w:bottom w:val="nil"/>
              <w:right w:val="nil"/>
            </w:tcBorders>
            <w:shd w:val="clear" w:color="auto" w:fill="auto"/>
          </w:tcPr>
          <w:p w14:paraId="43C5BD95" w14:textId="77777777" w:rsidR="00E735F3" w:rsidRPr="00E735F3" w:rsidRDefault="00E735F3" w:rsidP="00E735F3">
            <w:pPr>
              <w:spacing w:before="60" w:after="60" w:line="240" w:lineRule="auto"/>
              <w:rPr>
                <w:sz w:val="18"/>
              </w:rPr>
            </w:pPr>
            <w:r w:rsidRPr="00E735F3">
              <w:rPr>
                <w:sz w:val="18"/>
              </w:rPr>
              <w:t>Yes. SA (Brookes 1964) and WA (Poole 2010).</w:t>
            </w:r>
          </w:p>
        </w:tc>
        <w:tc>
          <w:tcPr>
            <w:tcW w:w="2410" w:type="dxa"/>
            <w:tcBorders>
              <w:top w:val="nil"/>
              <w:left w:val="nil"/>
              <w:bottom w:val="nil"/>
              <w:right w:val="nil"/>
            </w:tcBorders>
          </w:tcPr>
          <w:p w14:paraId="1406E7C1" w14:textId="61A48F9E"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67F59CC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548D151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36F5BDD" w14:textId="77777777" w:rsidR="00E735F3" w:rsidRPr="00E735F3" w:rsidRDefault="00E735F3" w:rsidP="00E735F3">
            <w:pPr>
              <w:spacing w:before="60" w:after="60" w:line="240" w:lineRule="auto"/>
              <w:rPr>
                <w:sz w:val="18"/>
              </w:rPr>
            </w:pPr>
            <w:r w:rsidRPr="00E735F3">
              <w:rPr>
                <w:sz w:val="18"/>
              </w:rPr>
              <w:t>No</w:t>
            </w:r>
          </w:p>
        </w:tc>
      </w:tr>
      <w:tr w:rsidR="00E735F3" w:rsidRPr="00E735F3" w14:paraId="76CC5E16" w14:textId="77777777" w:rsidTr="00063347">
        <w:trPr>
          <w:cantSplit/>
        </w:trPr>
        <w:tc>
          <w:tcPr>
            <w:tcW w:w="3403" w:type="dxa"/>
            <w:tcBorders>
              <w:top w:val="nil"/>
              <w:left w:val="nil"/>
              <w:bottom w:val="nil"/>
              <w:right w:val="nil"/>
            </w:tcBorders>
          </w:tcPr>
          <w:p w14:paraId="5B99A3A4" w14:textId="77777777" w:rsidR="00E735F3" w:rsidRPr="00E735F3" w:rsidRDefault="00E735F3" w:rsidP="00E735F3">
            <w:pPr>
              <w:spacing w:before="60" w:after="60" w:line="240" w:lineRule="auto"/>
              <w:rPr>
                <w:sz w:val="18"/>
              </w:rPr>
            </w:pPr>
            <w:r w:rsidRPr="00E735F3">
              <w:rPr>
                <w:b/>
                <w:i/>
                <w:sz w:val="18"/>
              </w:rPr>
              <w:t>Planococcus citri</w:t>
            </w:r>
            <w:r w:rsidRPr="00E735F3">
              <w:rPr>
                <w:i/>
                <w:sz w:val="18"/>
              </w:rPr>
              <w:t xml:space="preserve"> </w:t>
            </w:r>
            <w:r w:rsidRPr="00E735F3">
              <w:rPr>
                <w:sz w:val="18"/>
              </w:rPr>
              <w:t>(Risso, 1813)</w:t>
            </w:r>
          </w:p>
          <w:p w14:paraId="3027A910" w14:textId="77777777" w:rsidR="00E735F3" w:rsidRPr="00E735F3" w:rsidRDefault="00E735F3" w:rsidP="00E735F3">
            <w:pPr>
              <w:spacing w:before="60" w:after="60" w:line="240" w:lineRule="auto"/>
              <w:rPr>
                <w:sz w:val="18"/>
              </w:rPr>
            </w:pPr>
            <w:r w:rsidRPr="00E735F3">
              <w:rPr>
                <w:sz w:val="18"/>
              </w:rPr>
              <w:t>[Pseudococcidae]</w:t>
            </w:r>
          </w:p>
          <w:p w14:paraId="7C8DA685" w14:textId="77777777" w:rsidR="00E735F3" w:rsidRPr="00E735F3" w:rsidRDefault="00E735F3" w:rsidP="00E735F3">
            <w:pPr>
              <w:spacing w:before="60" w:after="60" w:line="240" w:lineRule="auto"/>
              <w:rPr>
                <w:i/>
                <w:sz w:val="18"/>
              </w:rPr>
            </w:pPr>
            <w:r w:rsidRPr="00E735F3">
              <w:rPr>
                <w:sz w:val="18"/>
              </w:rPr>
              <w:t>Citrus mealybug</w:t>
            </w:r>
          </w:p>
        </w:tc>
        <w:tc>
          <w:tcPr>
            <w:tcW w:w="1974" w:type="dxa"/>
            <w:tcBorders>
              <w:top w:val="nil"/>
              <w:left w:val="nil"/>
              <w:bottom w:val="nil"/>
              <w:right w:val="nil"/>
            </w:tcBorders>
          </w:tcPr>
          <w:p w14:paraId="613A491B" w14:textId="77777777" w:rsidR="00E735F3" w:rsidRPr="00E735F3" w:rsidRDefault="00E735F3" w:rsidP="00E735F3">
            <w:pPr>
              <w:spacing w:before="60" w:after="60" w:line="240" w:lineRule="auto"/>
              <w:rPr>
                <w:sz w:val="18"/>
              </w:rPr>
            </w:pPr>
            <w:r w:rsidRPr="00E735F3">
              <w:rPr>
                <w:sz w:val="18"/>
              </w:rPr>
              <w:t>Cook Islands, Niue, Samoa, Tonga (Williams and Watson 1988b).</w:t>
            </w:r>
          </w:p>
        </w:tc>
        <w:tc>
          <w:tcPr>
            <w:tcW w:w="1701" w:type="dxa"/>
            <w:tcBorders>
              <w:top w:val="nil"/>
              <w:left w:val="nil"/>
              <w:bottom w:val="nil"/>
              <w:right w:val="nil"/>
            </w:tcBorders>
            <w:shd w:val="clear" w:color="auto" w:fill="auto"/>
          </w:tcPr>
          <w:p w14:paraId="14137657" w14:textId="2CE4EC2B" w:rsidR="00E735F3" w:rsidRPr="00E735F3" w:rsidRDefault="00E735F3" w:rsidP="00165B8A">
            <w:pPr>
              <w:spacing w:before="60" w:after="60" w:line="240" w:lineRule="auto"/>
              <w:rPr>
                <w:sz w:val="18"/>
              </w:rPr>
            </w:pPr>
            <w:r w:rsidRPr="00E735F3">
              <w:rPr>
                <w:sz w:val="18"/>
              </w:rPr>
              <w:t>Yes. NSW, NT, Qld, SA, Tas. and WA (</w:t>
            </w:r>
            <w:r w:rsidRPr="00165B8A">
              <w:rPr>
                <w:sz w:val="18"/>
              </w:rPr>
              <w:t xml:space="preserve">Smith </w:t>
            </w:r>
            <w:r w:rsidR="00165B8A">
              <w:rPr>
                <w:sz w:val="18"/>
              </w:rPr>
              <w:t xml:space="preserve">D </w:t>
            </w:r>
            <w:r w:rsidRPr="00165B8A">
              <w:rPr>
                <w:i/>
                <w:sz w:val="18"/>
              </w:rPr>
              <w:t>et al</w:t>
            </w:r>
            <w:r w:rsidRPr="00165B8A">
              <w:rPr>
                <w:sz w:val="18"/>
              </w:rPr>
              <w:t>. 1997;</w:t>
            </w:r>
            <w:r w:rsidRPr="00E735F3">
              <w:rPr>
                <w:sz w:val="18"/>
              </w:rPr>
              <w:t xml:space="preserve"> Poole 2010).</w:t>
            </w:r>
          </w:p>
        </w:tc>
        <w:tc>
          <w:tcPr>
            <w:tcW w:w="2410" w:type="dxa"/>
            <w:tcBorders>
              <w:top w:val="nil"/>
              <w:left w:val="nil"/>
              <w:bottom w:val="nil"/>
              <w:right w:val="nil"/>
            </w:tcBorders>
          </w:tcPr>
          <w:p w14:paraId="49AF9FCD" w14:textId="3E7F4D10"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71925E2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732E07A"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5DA67CA" w14:textId="77777777" w:rsidR="00E735F3" w:rsidRPr="00E735F3" w:rsidRDefault="00E735F3" w:rsidP="00E735F3">
            <w:pPr>
              <w:spacing w:before="60" w:after="60" w:line="240" w:lineRule="auto"/>
              <w:rPr>
                <w:sz w:val="18"/>
              </w:rPr>
            </w:pPr>
            <w:r w:rsidRPr="00E735F3">
              <w:rPr>
                <w:sz w:val="18"/>
              </w:rPr>
              <w:t>No</w:t>
            </w:r>
          </w:p>
        </w:tc>
      </w:tr>
      <w:tr w:rsidR="00E735F3" w:rsidRPr="00E735F3" w14:paraId="38310CFA" w14:textId="77777777" w:rsidTr="00063347">
        <w:trPr>
          <w:cantSplit/>
        </w:trPr>
        <w:tc>
          <w:tcPr>
            <w:tcW w:w="3403" w:type="dxa"/>
            <w:tcBorders>
              <w:top w:val="nil"/>
              <w:left w:val="nil"/>
              <w:bottom w:val="nil"/>
              <w:right w:val="nil"/>
            </w:tcBorders>
            <w:shd w:val="clear" w:color="auto" w:fill="FFFFFF"/>
          </w:tcPr>
          <w:p w14:paraId="19426A8E" w14:textId="77777777" w:rsidR="00E735F3" w:rsidRPr="00E735F3" w:rsidRDefault="00E735F3" w:rsidP="00E735F3">
            <w:pPr>
              <w:spacing w:before="60" w:after="60" w:line="240" w:lineRule="auto"/>
              <w:rPr>
                <w:sz w:val="18"/>
              </w:rPr>
            </w:pPr>
            <w:r w:rsidRPr="00E735F3">
              <w:rPr>
                <w:b/>
                <w:i/>
                <w:sz w:val="18"/>
              </w:rPr>
              <w:t>Planococcus minor</w:t>
            </w:r>
            <w:r w:rsidRPr="00E735F3">
              <w:rPr>
                <w:i/>
                <w:sz w:val="18"/>
              </w:rPr>
              <w:t xml:space="preserve"> </w:t>
            </w:r>
            <w:r w:rsidRPr="00E735F3">
              <w:rPr>
                <w:sz w:val="18"/>
              </w:rPr>
              <w:t>(Maskell, 1897)</w:t>
            </w:r>
          </w:p>
          <w:p w14:paraId="23FE871B" w14:textId="77777777" w:rsidR="00E735F3" w:rsidRPr="00E735F3" w:rsidRDefault="00E735F3" w:rsidP="00E735F3">
            <w:pPr>
              <w:spacing w:before="60" w:after="60" w:line="240" w:lineRule="auto"/>
              <w:rPr>
                <w:sz w:val="18"/>
              </w:rPr>
            </w:pPr>
            <w:r w:rsidRPr="00E735F3">
              <w:rPr>
                <w:sz w:val="18"/>
              </w:rPr>
              <w:t xml:space="preserve">[syn.: </w:t>
            </w:r>
            <w:r w:rsidRPr="00E735F3">
              <w:rPr>
                <w:i/>
                <w:sz w:val="18"/>
              </w:rPr>
              <w:t>Planococcus pacificus</w:t>
            </w:r>
            <w:r w:rsidRPr="00E735F3">
              <w:rPr>
                <w:sz w:val="18"/>
              </w:rPr>
              <w:t xml:space="preserve"> Cox, 1981]</w:t>
            </w:r>
          </w:p>
          <w:p w14:paraId="7691CF27" w14:textId="77777777" w:rsidR="00E735F3" w:rsidRPr="00E735F3" w:rsidRDefault="00E735F3" w:rsidP="00E735F3">
            <w:pPr>
              <w:spacing w:before="60" w:after="60" w:line="240" w:lineRule="auto"/>
              <w:rPr>
                <w:sz w:val="18"/>
              </w:rPr>
            </w:pPr>
            <w:r w:rsidRPr="00E735F3">
              <w:rPr>
                <w:sz w:val="18"/>
              </w:rPr>
              <w:t>[Pseudococcidae]</w:t>
            </w:r>
          </w:p>
          <w:p w14:paraId="52C4FBC9" w14:textId="77777777" w:rsidR="00E735F3" w:rsidRPr="00E735F3" w:rsidRDefault="00E735F3" w:rsidP="00E735F3">
            <w:pPr>
              <w:spacing w:before="60" w:after="60" w:line="240" w:lineRule="auto"/>
              <w:rPr>
                <w:i/>
                <w:sz w:val="18"/>
              </w:rPr>
            </w:pPr>
            <w:r w:rsidRPr="00E735F3">
              <w:rPr>
                <w:sz w:val="18"/>
              </w:rPr>
              <w:t>Pacific mealybug</w:t>
            </w:r>
          </w:p>
        </w:tc>
        <w:tc>
          <w:tcPr>
            <w:tcW w:w="1974" w:type="dxa"/>
            <w:tcBorders>
              <w:top w:val="nil"/>
              <w:left w:val="nil"/>
              <w:bottom w:val="nil"/>
              <w:right w:val="nil"/>
            </w:tcBorders>
            <w:shd w:val="clear" w:color="auto" w:fill="FFFFFF"/>
          </w:tcPr>
          <w:p w14:paraId="69FC2828" w14:textId="77777777" w:rsidR="00E735F3" w:rsidRPr="00E735F3" w:rsidRDefault="00E735F3" w:rsidP="00E735F3">
            <w:pPr>
              <w:spacing w:before="60" w:after="60" w:line="240" w:lineRule="auto"/>
              <w:rPr>
                <w:sz w:val="18"/>
              </w:rPr>
            </w:pPr>
            <w:r w:rsidRPr="00E735F3">
              <w:rPr>
                <w:sz w:val="18"/>
              </w:rPr>
              <w:t>Cook Islands, Niue, Samoa, Tonga, Vanuatu (Williams and Watson 1988b).</w:t>
            </w:r>
          </w:p>
        </w:tc>
        <w:tc>
          <w:tcPr>
            <w:tcW w:w="1701" w:type="dxa"/>
            <w:tcBorders>
              <w:top w:val="nil"/>
              <w:left w:val="nil"/>
              <w:bottom w:val="nil"/>
              <w:right w:val="nil"/>
            </w:tcBorders>
            <w:shd w:val="clear" w:color="auto" w:fill="auto"/>
          </w:tcPr>
          <w:p w14:paraId="099D7414" w14:textId="77777777" w:rsidR="00E735F3" w:rsidRDefault="00E735F3" w:rsidP="00E735F3">
            <w:pPr>
              <w:spacing w:before="60" w:after="60" w:line="240" w:lineRule="auto"/>
              <w:rPr>
                <w:sz w:val="18"/>
              </w:rPr>
            </w:pPr>
            <w:r w:rsidRPr="00E735F3">
              <w:rPr>
                <w:sz w:val="18"/>
              </w:rPr>
              <w:t>Yes. NSW, NT, Qld and SA (Cox 1989).</w:t>
            </w:r>
          </w:p>
          <w:p w14:paraId="787AEC2B" w14:textId="34BC2F23" w:rsidR="007F72E8"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1EC323B6" w14:textId="77777777" w:rsidR="00E735F3" w:rsidRPr="00E735F3" w:rsidRDefault="00E735F3" w:rsidP="00E735F3">
            <w:pPr>
              <w:spacing w:before="60" w:after="60" w:line="240" w:lineRule="auto"/>
              <w:rPr>
                <w:sz w:val="18"/>
              </w:rPr>
            </w:pPr>
            <w:r w:rsidRPr="00E735F3">
              <w:rPr>
                <w:sz w:val="18"/>
              </w:rPr>
              <w:t xml:space="preserve">Yes. Recorded on limes in Vanuatu (Williams and Butcher 1987). This species can be spread via trade in fruit (Venette and Davis 2004; Francis </w:t>
            </w:r>
            <w:r w:rsidRPr="00E735F3">
              <w:rPr>
                <w:i/>
                <w:sz w:val="18"/>
              </w:rPr>
              <w:t>et al</w:t>
            </w:r>
            <w:r w:rsidRPr="00E735F3">
              <w:rPr>
                <w:sz w:val="18"/>
              </w:rPr>
              <w:t>. 2012).</w:t>
            </w:r>
          </w:p>
        </w:tc>
        <w:tc>
          <w:tcPr>
            <w:tcW w:w="2410" w:type="dxa"/>
            <w:tcBorders>
              <w:top w:val="nil"/>
              <w:left w:val="nil"/>
              <w:bottom w:val="nil"/>
              <w:right w:val="nil"/>
            </w:tcBorders>
            <w:shd w:val="clear" w:color="auto" w:fill="auto"/>
          </w:tcPr>
          <w:p w14:paraId="3F3DBAC9" w14:textId="77777777" w:rsidR="00E735F3" w:rsidRPr="00E735F3" w:rsidRDefault="00D21E32" w:rsidP="00D21E32">
            <w:pPr>
              <w:spacing w:before="60" w:after="60" w:line="240" w:lineRule="auto"/>
              <w:rPr>
                <w:sz w:val="18"/>
              </w:rPr>
            </w:pPr>
            <w:r w:rsidRPr="00D21E32">
              <w:rPr>
                <w:sz w:val="18"/>
              </w:rPr>
              <w:t>Yes</w:t>
            </w:r>
            <w:r>
              <w:rPr>
                <w:sz w:val="18"/>
              </w:rPr>
              <w:t>.</w:t>
            </w:r>
            <w:r w:rsidRPr="00D21E32">
              <w:rPr>
                <w:sz w:val="18"/>
              </w:rPr>
              <w:t xml:space="preserve"> This species is polyphagous and has a high reproductive rate, and has successfully established in a number of countries following its introduction (Francis </w:t>
            </w:r>
            <w:r w:rsidRPr="00D21E32">
              <w:rPr>
                <w:i/>
                <w:sz w:val="18"/>
              </w:rPr>
              <w:t>et al</w:t>
            </w:r>
            <w:r w:rsidRPr="00D21E32">
              <w:rPr>
                <w:sz w:val="18"/>
              </w:rPr>
              <w:t>. 2012).</w:t>
            </w:r>
          </w:p>
        </w:tc>
        <w:tc>
          <w:tcPr>
            <w:tcW w:w="2268" w:type="dxa"/>
            <w:tcBorders>
              <w:top w:val="nil"/>
              <w:left w:val="nil"/>
              <w:bottom w:val="nil"/>
              <w:right w:val="nil"/>
            </w:tcBorders>
            <w:shd w:val="clear" w:color="auto" w:fill="auto"/>
          </w:tcPr>
          <w:p w14:paraId="3E33774D" w14:textId="77777777" w:rsidR="00E735F3" w:rsidRPr="00E735F3" w:rsidRDefault="00D21E32" w:rsidP="006876FA">
            <w:pPr>
              <w:spacing w:before="60" w:after="60" w:line="240" w:lineRule="auto"/>
              <w:rPr>
                <w:sz w:val="18"/>
              </w:rPr>
            </w:pPr>
            <w:r>
              <w:rPr>
                <w:sz w:val="18"/>
              </w:rPr>
              <w:t xml:space="preserve">Yes. </w:t>
            </w:r>
            <w:r w:rsidRPr="00D21E32">
              <w:rPr>
                <w:sz w:val="18"/>
              </w:rPr>
              <w:t>This species is a serious pest in some countries. It can affect crops such as banana, citrus, cocoa, coffee, corn, grape, mango, potato and soybean (Venette and Davis 2004).</w:t>
            </w:r>
          </w:p>
        </w:tc>
        <w:tc>
          <w:tcPr>
            <w:tcW w:w="1285" w:type="dxa"/>
            <w:tcBorders>
              <w:top w:val="nil"/>
              <w:left w:val="nil"/>
              <w:bottom w:val="nil"/>
              <w:right w:val="nil"/>
            </w:tcBorders>
            <w:shd w:val="clear" w:color="auto" w:fill="auto"/>
          </w:tcPr>
          <w:p w14:paraId="322B0A25" w14:textId="34FB4E62" w:rsidR="00E735F3" w:rsidRPr="00E735F3" w:rsidRDefault="00DD114D" w:rsidP="00E735F3">
            <w:pPr>
              <w:spacing w:before="60" w:after="60" w:line="240" w:lineRule="auto"/>
              <w:rPr>
                <w:sz w:val="18"/>
              </w:rPr>
            </w:pPr>
            <w:r w:rsidRPr="0046427E">
              <w:rPr>
                <w:b/>
                <w:bCs/>
                <w:sz w:val="18"/>
              </w:rPr>
              <w:t>Yes</w:t>
            </w:r>
            <w:r w:rsidR="00360033">
              <w:rPr>
                <w:bCs/>
                <w:sz w:val="18"/>
              </w:rPr>
              <w:t xml:space="preserve"> </w:t>
            </w:r>
            <w:r w:rsidRPr="00DD114D">
              <w:rPr>
                <w:bCs/>
                <w:sz w:val="18"/>
              </w:rPr>
              <w:t>(WA)</w:t>
            </w:r>
          </w:p>
        </w:tc>
      </w:tr>
      <w:tr w:rsidR="00E735F3" w:rsidRPr="00E735F3" w14:paraId="144A62AF" w14:textId="77777777" w:rsidTr="00063347">
        <w:trPr>
          <w:cantSplit/>
        </w:trPr>
        <w:tc>
          <w:tcPr>
            <w:tcW w:w="3403" w:type="dxa"/>
            <w:tcBorders>
              <w:top w:val="nil"/>
              <w:left w:val="nil"/>
              <w:bottom w:val="nil"/>
              <w:right w:val="nil"/>
            </w:tcBorders>
          </w:tcPr>
          <w:p w14:paraId="4CCB9D00" w14:textId="77777777" w:rsidR="00E735F3" w:rsidRPr="00E735F3" w:rsidRDefault="00E735F3" w:rsidP="00E735F3">
            <w:pPr>
              <w:spacing w:before="60" w:after="60" w:line="240" w:lineRule="auto"/>
              <w:rPr>
                <w:sz w:val="18"/>
              </w:rPr>
            </w:pPr>
            <w:r w:rsidRPr="00E735F3">
              <w:rPr>
                <w:b/>
                <w:i/>
                <w:sz w:val="18"/>
              </w:rPr>
              <w:t>Pseudaonidia trilobitiformis</w:t>
            </w:r>
            <w:r w:rsidRPr="00E735F3">
              <w:rPr>
                <w:i/>
                <w:sz w:val="18"/>
              </w:rPr>
              <w:t xml:space="preserve"> </w:t>
            </w:r>
            <w:r w:rsidRPr="00E735F3">
              <w:rPr>
                <w:sz w:val="18"/>
              </w:rPr>
              <w:t>(Green, 1896)</w:t>
            </w:r>
          </w:p>
          <w:p w14:paraId="3A52DC19" w14:textId="77777777" w:rsidR="00E735F3" w:rsidRPr="00E735F3" w:rsidRDefault="00E735F3" w:rsidP="00E735F3">
            <w:pPr>
              <w:spacing w:before="60" w:after="60" w:line="240" w:lineRule="auto"/>
              <w:rPr>
                <w:sz w:val="18"/>
              </w:rPr>
            </w:pPr>
            <w:r w:rsidRPr="00E735F3">
              <w:rPr>
                <w:sz w:val="18"/>
              </w:rPr>
              <w:t>[Diaspididae]</w:t>
            </w:r>
          </w:p>
          <w:p w14:paraId="17D26F6B" w14:textId="77777777" w:rsidR="00E735F3" w:rsidRPr="00E735F3" w:rsidRDefault="00E735F3" w:rsidP="00E735F3">
            <w:pPr>
              <w:spacing w:before="60" w:after="60" w:line="240" w:lineRule="auto"/>
              <w:rPr>
                <w:i/>
                <w:sz w:val="18"/>
              </w:rPr>
            </w:pPr>
            <w:r w:rsidRPr="00E735F3">
              <w:rPr>
                <w:sz w:val="18"/>
              </w:rPr>
              <w:t>Trilobite scale</w:t>
            </w:r>
          </w:p>
        </w:tc>
        <w:tc>
          <w:tcPr>
            <w:tcW w:w="1974" w:type="dxa"/>
            <w:tcBorders>
              <w:top w:val="nil"/>
              <w:left w:val="nil"/>
              <w:bottom w:val="nil"/>
              <w:right w:val="nil"/>
            </w:tcBorders>
          </w:tcPr>
          <w:p w14:paraId="7F092885" w14:textId="77777777" w:rsidR="00E735F3" w:rsidRPr="00E735F3" w:rsidRDefault="00E735F3" w:rsidP="00E735F3">
            <w:pPr>
              <w:spacing w:before="60" w:after="60" w:line="240" w:lineRule="auto"/>
              <w:rPr>
                <w:sz w:val="18"/>
              </w:rPr>
            </w:pPr>
            <w:r w:rsidRPr="00E735F3">
              <w:rPr>
                <w:sz w:val="18"/>
              </w:rPr>
              <w:t>Samoa (SPC 2016), Vanuatu (Williams and Butcher 1987).</w:t>
            </w:r>
          </w:p>
        </w:tc>
        <w:tc>
          <w:tcPr>
            <w:tcW w:w="1701" w:type="dxa"/>
            <w:tcBorders>
              <w:top w:val="nil"/>
              <w:left w:val="nil"/>
              <w:bottom w:val="nil"/>
              <w:right w:val="nil"/>
            </w:tcBorders>
            <w:shd w:val="clear" w:color="auto" w:fill="auto"/>
          </w:tcPr>
          <w:p w14:paraId="1D646F8E" w14:textId="77777777" w:rsidR="00E735F3" w:rsidRDefault="00E735F3" w:rsidP="00E735F3">
            <w:pPr>
              <w:spacing w:before="60" w:after="60" w:line="240" w:lineRule="auto"/>
              <w:rPr>
                <w:sz w:val="18"/>
              </w:rPr>
            </w:pPr>
            <w:r w:rsidRPr="00E735F3">
              <w:rPr>
                <w:sz w:val="18"/>
              </w:rPr>
              <w:t xml:space="preserve">Yes. NT, </w:t>
            </w:r>
            <w:r>
              <w:rPr>
                <w:sz w:val="18"/>
              </w:rPr>
              <w:t xml:space="preserve">Qld (Donaldson and Tsang 2002; </w:t>
            </w:r>
            <w:r w:rsidRPr="00E735F3">
              <w:rPr>
                <w:sz w:val="18"/>
              </w:rPr>
              <w:t xml:space="preserve">(Garcia Morales </w:t>
            </w:r>
            <w:r w:rsidRPr="00E735F3">
              <w:rPr>
                <w:i/>
                <w:sz w:val="18"/>
              </w:rPr>
              <w:t>et al.</w:t>
            </w:r>
            <w:r w:rsidRPr="00E735F3">
              <w:rPr>
                <w:sz w:val="18"/>
              </w:rPr>
              <w:t xml:space="preserve"> 2016).</w:t>
            </w:r>
          </w:p>
          <w:p w14:paraId="31184A2B" w14:textId="27FAD733"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0BE21436" w14:textId="77777777" w:rsidR="00E735F3" w:rsidRPr="00E735F3" w:rsidRDefault="00E735F3" w:rsidP="001C7980">
            <w:pPr>
              <w:spacing w:before="60" w:after="60" w:line="240" w:lineRule="auto"/>
              <w:rPr>
                <w:sz w:val="18"/>
              </w:rPr>
            </w:pPr>
            <w:r w:rsidRPr="00E735F3">
              <w:rPr>
                <w:sz w:val="18"/>
              </w:rPr>
              <w:t>No. Recorded on citrus, but found on the leaves (Watson 2016</w:t>
            </w:r>
            <w:r w:rsidR="004744F9">
              <w:rPr>
                <w:sz w:val="18"/>
              </w:rPr>
              <w:t>; Hill 2008</w:t>
            </w:r>
            <w:r w:rsidRPr="00E735F3">
              <w:rPr>
                <w:sz w:val="18"/>
              </w:rPr>
              <w:t xml:space="preserve">). On other hosts </w:t>
            </w:r>
            <w:r w:rsidR="00654ABC">
              <w:rPr>
                <w:sz w:val="18"/>
              </w:rPr>
              <w:t xml:space="preserve">it may be found on bark, leaves </w:t>
            </w:r>
            <w:r w:rsidR="001C7980">
              <w:rPr>
                <w:sz w:val="18"/>
              </w:rPr>
              <w:t>or</w:t>
            </w:r>
            <w:r w:rsidR="00654ABC">
              <w:rPr>
                <w:sz w:val="18"/>
              </w:rPr>
              <w:t xml:space="preserve"> fruit</w:t>
            </w:r>
            <w:r w:rsidRPr="00E735F3">
              <w:rPr>
                <w:sz w:val="18"/>
              </w:rPr>
              <w:t xml:space="preserve"> (Miller and Davidson 2005).</w:t>
            </w:r>
          </w:p>
        </w:tc>
        <w:tc>
          <w:tcPr>
            <w:tcW w:w="2410" w:type="dxa"/>
            <w:tcBorders>
              <w:top w:val="nil"/>
              <w:left w:val="nil"/>
              <w:bottom w:val="nil"/>
              <w:right w:val="nil"/>
            </w:tcBorders>
            <w:shd w:val="clear" w:color="auto" w:fill="auto"/>
          </w:tcPr>
          <w:p w14:paraId="7B2E251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452F75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shd w:val="clear" w:color="auto" w:fill="auto"/>
          </w:tcPr>
          <w:p w14:paraId="6DE8BA92" w14:textId="77777777" w:rsidR="00E735F3" w:rsidRPr="00E735F3" w:rsidRDefault="00A843FD" w:rsidP="00D21E32">
            <w:pPr>
              <w:spacing w:before="60" w:after="60" w:line="240" w:lineRule="auto"/>
              <w:rPr>
                <w:sz w:val="18"/>
              </w:rPr>
            </w:pPr>
            <w:r w:rsidRPr="00A843FD">
              <w:rPr>
                <w:bCs/>
                <w:sz w:val="18"/>
              </w:rPr>
              <w:t>No</w:t>
            </w:r>
          </w:p>
        </w:tc>
      </w:tr>
      <w:tr w:rsidR="00E735F3" w:rsidRPr="00E735F3" w14:paraId="6CEA7A60" w14:textId="77777777" w:rsidTr="00063347">
        <w:trPr>
          <w:cantSplit/>
        </w:trPr>
        <w:tc>
          <w:tcPr>
            <w:tcW w:w="3403" w:type="dxa"/>
            <w:tcBorders>
              <w:top w:val="nil"/>
              <w:left w:val="nil"/>
              <w:bottom w:val="nil"/>
              <w:right w:val="nil"/>
            </w:tcBorders>
            <w:shd w:val="clear" w:color="auto" w:fill="FFFFFF"/>
          </w:tcPr>
          <w:p w14:paraId="04B89FEE" w14:textId="77777777" w:rsidR="00E735F3" w:rsidRPr="00E735F3" w:rsidRDefault="00E735F3" w:rsidP="00E735F3">
            <w:pPr>
              <w:spacing w:before="60" w:after="60" w:line="240" w:lineRule="auto"/>
              <w:rPr>
                <w:sz w:val="18"/>
              </w:rPr>
            </w:pPr>
            <w:r w:rsidRPr="00E735F3">
              <w:rPr>
                <w:b/>
                <w:i/>
                <w:sz w:val="18"/>
              </w:rPr>
              <w:t>Pseudococcus cryptus</w:t>
            </w:r>
            <w:r w:rsidRPr="00E735F3">
              <w:rPr>
                <w:sz w:val="18"/>
              </w:rPr>
              <w:t xml:space="preserve"> Hempel, 1918</w:t>
            </w:r>
          </w:p>
          <w:p w14:paraId="39DC2476" w14:textId="77777777" w:rsidR="00E735F3" w:rsidRPr="00E735F3" w:rsidRDefault="00E735F3" w:rsidP="00E735F3">
            <w:pPr>
              <w:spacing w:before="60" w:after="60" w:line="240" w:lineRule="auto"/>
              <w:rPr>
                <w:sz w:val="18"/>
              </w:rPr>
            </w:pPr>
            <w:r w:rsidRPr="00E735F3">
              <w:rPr>
                <w:sz w:val="18"/>
              </w:rPr>
              <w:t>[Pseudococcidae]</w:t>
            </w:r>
          </w:p>
          <w:p w14:paraId="4D6F82C8" w14:textId="77777777" w:rsidR="00E735F3" w:rsidRPr="00E735F3" w:rsidRDefault="00E735F3" w:rsidP="00E735F3">
            <w:pPr>
              <w:spacing w:before="60" w:after="60" w:line="240" w:lineRule="auto"/>
              <w:rPr>
                <w:sz w:val="18"/>
              </w:rPr>
            </w:pPr>
            <w:r w:rsidRPr="00E735F3">
              <w:rPr>
                <w:sz w:val="18"/>
              </w:rPr>
              <w:t>Cryptic mealybug</w:t>
            </w:r>
          </w:p>
        </w:tc>
        <w:tc>
          <w:tcPr>
            <w:tcW w:w="1974" w:type="dxa"/>
            <w:tcBorders>
              <w:top w:val="nil"/>
              <w:left w:val="nil"/>
              <w:bottom w:val="nil"/>
              <w:right w:val="nil"/>
            </w:tcBorders>
            <w:shd w:val="clear" w:color="auto" w:fill="FFFFFF"/>
          </w:tcPr>
          <w:p w14:paraId="49F90A2C" w14:textId="77777777" w:rsidR="00E735F3" w:rsidRPr="00E735F3" w:rsidRDefault="00E735F3" w:rsidP="00E735F3">
            <w:pPr>
              <w:spacing w:before="60" w:after="60" w:line="240" w:lineRule="auto"/>
              <w:rPr>
                <w:sz w:val="18"/>
              </w:rPr>
            </w:pPr>
            <w:r w:rsidRPr="00E735F3">
              <w:rPr>
                <w:sz w:val="18"/>
              </w:rPr>
              <w:t>Samoa (Williams and Watson 1988b).</w:t>
            </w:r>
          </w:p>
        </w:tc>
        <w:tc>
          <w:tcPr>
            <w:tcW w:w="1701" w:type="dxa"/>
            <w:tcBorders>
              <w:top w:val="nil"/>
              <w:left w:val="nil"/>
              <w:bottom w:val="nil"/>
              <w:right w:val="nil"/>
            </w:tcBorders>
            <w:shd w:val="clear" w:color="auto" w:fill="auto"/>
          </w:tcPr>
          <w:p w14:paraId="720819D1" w14:textId="77777777" w:rsidR="00E735F3" w:rsidRDefault="00D23043" w:rsidP="004C2BAE">
            <w:pPr>
              <w:spacing w:before="60" w:after="60" w:line="240" w:lineRule="auto"/>
              <w:rPr>
                <w:sz w:val="18"/>
              </w:rPr>
            </w:pPr>
            <w:r>
              <w:rPr>
                <w:sz w:val="18"/>
              </w:rPr>
              <w:t xml:space="preserve">Yes. Present in </w:t>
            </w:r>
            <w:r w:rsidR="004C2BAE">
              <w:rPr>
                <w:sz w:val="18"/>
              </w:rPr>
              <w:t>northern</w:t>
            </w:r>
            <w:r>
              <w:rPr>
                <w:sz w:val="18"/>
              </w:rPr>
              <w:t xml:space="preserve"> Queensland (QDAF 2016)</w:t>
            </w:r>
            <w:r w:rsidR="00E735F3" w:rsidRPr="00E735F3">
              <w:rPr>
                <w:sz w:val="18"/>
              </w:rPr>
              <w:t>.</w:t>
            </w:r>
          </w:p>
          <w:p w14:paraId="3BD34CFB" w14:textId="5D1E91F2" w:rsidR="003B6945" w:rsidRPr="00E735F3" w:rsidRDefault="00360033" w:rsidP="004C2BAE">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343CFBF2" w14:textId="77777777" w:rsidR="00E735F3" w:rsidRPr="00E735F3" w:rsidRDefault="00E735F3" w:rsidP="00E735F3">
            <w:pPr>
              <w:spacing w:before="60" w:after="60" w:line="240" w:lineRule="auto"/>
              <w:rPr>
                <w:sz w:val="18"/>
              </w:rPr>
            </w:pPr>
            <w:r w:rsidRPr="00E735F3">
              <w:rPr>
                <w:sz w:val="18"/>
              </w:rPr>
              <w:t>Yes. Commonly found on citrus, including limes. Concealed fruit is heavily attacked (Williams and Watson 1988b).</w:t>
            </w:r>
          </w:p>
        </w:tc>
        <w:tc>
          <w:tcPr>
            <w:tcW w:w="2410" w:type="dxa"/>
            <w:tcBorders>
              <w:top w:val="nil"/>
              <w:left w:val="nil"/>
              <w:bottom w:val="nil"/>
              <w:right w:val="nil"/>
            </w:tcBorders>
            <w:shd w:val="clear" w:color="auto" w:fill="auto"/>
          </w:tcPr>
          <w:p w14:paraId="229A46B0" w14:textId="77777777" w:rsidR="00E735F3" w:rsidRPr="00E735F3" w:rsidRDefault="00D21E32" w:rsidP="006876FA">
            <w:pPr>
              <w:spacing w:before="60" w:after="60" w:line="240" w:lineRule="auto"/>
              <w:rPr>
                <w:sz w:val="18"/>
              </w:rPr>
            </w:pPr>
            <w:r>
              <w:rPr>
                <w:sz w:val="18"/>
              </w:rPr>
              <w:t xml:space="preserve">Yes. </w:t>
            </w:r>
            <w:r w:rsidRPr="00D21E32">
              <w:rPr>
                <w:sz w:val="18"/>
              </w:rPr>
              <w:t>This species is polyphagous and has a wide distribution globally, indicating a potential to establish and spread</w:t>
            </w:r>
            <w:r>
              <w:rPr>
                <w:sz w:val="18"/>
              </w:rPr>
              <w:t xml:space="preserve"> </w:t>
            </w:r>
            <w:r w:rsidRPr="00E735F3">
              <w:rPr>
                <w:sz w:val="18"/>
              </w:rPr>
              <w:t xml:space="preserve">(Garcia Morales </w:t>
            </w:r>
            <w:r w:rsidRPr="00E735F3">
              <w:rPr>
                <w:i/>
                <w:sz w:val="18"/>
              </w:rPr>
              <w:t>et al.</w:t>
            </w:r>
            <w:r w:rsidRPr="00E735F3">
              <w:rPr>
                <w:sz w:val="18"/>
              </w:rPr>
              <w:t xml:space="preserve"> 2016)</w:t>
            </w:r>
            <w:r w:rsidRPr="00D21E32">
              <w:rPr>
                <w:sz w:val="18"/>
              </w:rPr>
              <w:t>.</w:t>
            </w:r>
          </w:p>
        </w:tc>
        <w:tc>
          <w:tcPr>
            <w:tcW w:w="2268" w:type="dxa"/>
            <w:tcBorders>
              <w:top w:val="nil"/>
              <w:left w:val="nil"/>
              <w:bottom w:val="nil"/>
              <w:right w:val="nil"/>
            </w:tcBorders>
            <w:shd w:val="clear" w:color="auto" w:fill="auto"/>
          </w:tcPr>
          <w:p w14:paraId="13968443" w14:textId="77777777" w:rsidR="00E735F3" w:rsidRPr="00E735F3" w:rsidRDefault="00D21E32" w:rsidP="00D21E32">
            <w:pPr>
              <w:spacing w:before="60" w:after="60" w:line="240" w:lineRule="auto"/>
              <w:rPr>
                <w:sz w:val="18"/>
              </w:rPr>
            </w:pPr>
            <w:r>
              <w:rPr>
                <w:sz w:val="18"/>
              </w:rPr>
              <w:t xml:space="preserve">Yes. </w:t>
            </w:r>
            <w:r w:rsidRPr="00D21E32">
              <w:rPr>
                <w:sz w:val="18"/>
              </w:rPr>
              <w:t xml:space="preserve">This species is an important citrus pest in Japan (Arai 2002), and was a serious pest in Israel following its introduction there (Garcia Morales </w:t>
            </w:r>
            <w:r w:rsidRPr="00D21E32">
              <w:rPr>
                <w:i/>
                <w:sz w:val="18"/>
              </w:rPr>
              <w:t>et al.</w:t>
            </w:r>
            <w:r w:rsidRPr="00D21E32">
              <w:rPr>
                <w:sz w:val="18"/>
              </w:rPr>
              <w:t xml:space="preserve"> 2016).</w:t>
            </w:r>
          </w:p>
        </w:tc>
        <w:tc>
          <w:tcPr>
            <w:tcW w:w="1285" w:type="dxa"/>
            <w:tcBorders>
              <w:top w:val="nil"/>
              <w:left w:val="nil"/>
              <w:bottom w:val="nil"/>
              <w:right w:val="nil"/>
            </w:tcBorders>
            <w:shd w:val="clear" w:color="auto" w:fill="auto"/>
          </w:tcPr>
          <w:p w14:paraId="531522F2" w14:textId="27FC6A81" w:rsidR="00E735F3" w:rsidRPr="00E735F3" w:rsidRDefault="00DD114D" w:rsidP="00736901">
            <w:pPr>
              <w:spacing w:before="60" w:after="60" w:line="240" w:lineRule="auto"/>
              <w:rPr>
                <w:b/>
                <w:bCs/>
                <w:sz w:val="18"/>
              </w:rPr>
            </w:pPr>
            <w:r w:rsidRPr="0046427E">
              <w:rPr>
                <w:b/>
                <w:bCs/>
                <w:sz w:val="18"/>
              </w:rPr>
              <w:t>Yes</w:t>
            </w:r>
            <w:r w:rsidR="00360033">
              <w:rPr>
                <w:bCs/>
                <w:sz w:val="18"/>
              </w:rPr>
              <w:t xml:space="preserve"> </w:t>
            </w:r>
            <w:r w:rsidRPr="00DD114D">
              <w:rPr>
                <w:bCs/>
                <w:sz w:val="18"/>
              </w:rPr>
              <w:t>(WA)</w:t>
            </w:r>
          </w:p>
        </w:tc>
      </w:tr>
      <w:tr w:rsidR="00E735F3" w:rsidRPr="00E735F3" w14:paraId="157AF5A0" w14:textId="77777777" w:rsidTr="00063347">
        <w:trPr>
          <w:cantSplit/>
        </w:trPr>
        <w:tc>
          <w:tcPr>
            <w:tcW w:w="3403" w:type="dxa"/>
            <w:tcBorders>
              <w:top w:val="nil"/>
              <w:left w:val="nil"/>
              <w:bottom w:val="nil"/>
              <w:right w:val="nil"/>
            </w:tcBorders>
          </w:tcPr>
          <w:p w14:paraId="7A659441" w14:textId="77777777" w:rsidR="00E735F3" w:rsidRPr="00E735F3" w:rsidRDefault="00E735F3" w:rsidP="00E735F3">
            <w:pPr>
              <w:spacing w:before="60" w:after="60" w:line="240" w:lineRule="auto"/>
              <w:rPr>
                <w:sz w:val="18"/>
              </w:rPr>
            </w:pPr>
            <w:r w:rsidRPr="00E735F3">
              <w:rPr>
                <w:b/>
                <w:i/>
                <w:sz w:val="18"/>
              </w:rPr>
              <w:t>Pulvinaria polygonata</w:t>
            </w:r>
            <w:r w:rsidRPr="00E735F3">
              <w:rPr>
                <w:sz w:val="18"/>
              </w:rPr>
              <w:t xml:space="preserve"> Cockerell, 1905</w:t>
            </w:r>
          </w:p>
          <w:p w14:paraId="25F58AA9" w14:textId="77777777" w:rsidR="00E735F3" w:rsidRPr="00E735F3" w:rsidRDefault="00E735F3" w:rsidP="00E735F3">
            <w:pPr>
              <w:spacing w:before="60" w:after="60" w:line="240" w:lineRule="auto"/>
              <w:rPr>
                <w:sz w:val="18"/>
              </w:rPr>
            </w:pPr>
            <w:r w:rsidRPr="00E735F3">
              <w:rPr>
                <w:sz w:val="18"/>
              </w:rPr>
              <w:t>[Coccidae]</w:t>
            </w:r>
          </w:p>
          <w:p w14:paraId="57D53169" w14:textId="77777777" w:rsidR="00E735F3" w:rsidRPr="00E735F3" w:rsidRDefault="00E735F3" w:rsidP="00E735F3">
            <w:pPr>
              <w:spacing w:before="60" w:after="60" w:line="240" w:lineRule="auto"/>
              <w:rPr>
                <w:sz w:val="18"/>
              </w:rPr>
            </w:pPr>
            <w:r w:rsidRPr="00E735F3">
              <w:rPr>
                <w:sz w:val="18"/>
              </w:rPr>
              <w:t>Cottony citrus scale</w:t>
            </w:r>
          </w:p>
        </w:tc>
        <w:tc>
          <w:tcPr>
            <w:tcW w:w="1974" w:type="dxa"/>
            <w:tcBorders>
              <w:top w:val="nil"/>
              <w:left w:val="nil"/>
              <w:bottom w:val="nil"/>
              <w:right w:val="nil"/>
            </w:tcBorders>
          </w:tcPr>
          <w:p w14:paraId="28D575F1" w14:textId="77777777" w:rsidR="00E735F3" w:rsidRPr="00E735F3" w:rsidRDefault="00E735F3" w:rsidP="00E735F3">
            <w:pPr>
              <w:spacing w:before="60" w:after="60" w:line="240" w:lineRule="auto"/>
              <w:rPr>
                <w:sz w:val="18"/>
              </w:rPr>
            </w:pPr>
            <w:r w:rsidRPr="00E735F3">
              <w:rPr>
                <w:sz w:val="18"/>
              </w:rPr>
              <w:t>Cook Islands (Williams and Watson 1990).</w:t>
            </w:r>
          </w:p>
        </w:tc>
        <w:tc>
          <w:tcPr>
            <w:tcW w:w="1701" w:type="dxa"/>
            <w:tcBorders>
              <w:top w:val="nil"/>
              <w:left w:val="nil"/>
              <w:bottom w:val="nil"/>
              <w:right w:val="nil"/>
            </w:tcBorders>
            <w:shd w:val="clear" w:color="auto" w:fill="auto"/>
          </w:tcPr>
          <w:p w14:paraId="201A6E80" w14:textId="77777777" w:rsidR="00E735F3" w:rsidRDefault="00E735F3" w:rsidP="00E735F3">
            <w:pPr>
              <w:spacing w:before="60" w:after="60" w:line="240" w:lineRule="auto"/>
              <w:rPr>
                <w:sz w:val="18"/>
              </w:rPr>
            </w:pPr>
            <w:r w:rsidRPr="00E735F3">
              <w:rPr>
                <w:sz w:val="18"/>
              </w:rPr>
              <w:t xml:space="preserve">Yes. Qld (Garcia Morales </w:t>
            </w:r>
            <w:r w:rsidRPr="00E735F3">
              <w:rPr>
                <w:i/>
                <w:sz w:val="18"/>
              </w:rPr>
              <w:t>et al.</w:t>
            </w:r>
            <w:r w:rsidRPr="00E735F3">
              <w:rPr>
                <w:sz w:val="18"/>
              </w:rPr>
              <w:t xml:space="preserve"> 2016).</w:t>
            </w:r>
          </w:p>
          <w:p w14:paraId="310DF712" w14:textId="198EA684"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7FCC4DD1" w14:textId="30D7C1E8" w:rsidR="00E735F3" w:rsidRPr="00E735F3" w:rsidRDefault="00E735F3" w:rsidP="00E735F3">
            <w:pPr>
              <w:spacing w:before="60" w:after="60" w:line="240" w:lineRule="auto"/>
              <w:rPr>
                <w:sz w:val="18"/>
              </w:rPr>
            </w:pPr>
            <w:r w:rsidRPr="00E735F3">
              <w:rPr>
                <w:sz w:val="18"/>
              </w:rPr>
              <w:t>No. Associated with the leaves and twigs of citrus (</w:t>
            </w:r>
            <w:r w:rsidRPr="00165B8A">
              <w:rPr>
                <w:sz w:val="18"/>
              </w:rPr>
              <w:t xml:space="preserve">Smith </w:t>
            </w:r>
            <w:r w:rsidR="00165B8A">
              <w:rPr>
                <w:sz w:val="18"/>
              </w:rPr>
              <w:t xml:space="preserve">D </w:t>
            </w:r>
            <w:r w:rsidRPr="00165B8A">
              <w:rPr>
                <w:i/>
                <w:sz w:val="18"/>
              </w:rPr>
              <w:t>et al</w:t>
            </w:r>
            <w:r w:rsidRPr="00165B8A">
              <w:rPr>
                <w:sz w:val="18"/>
              </w:rPr>
              <w:t>. 1997).</w:t>
            </w:r>
          </w:p>
        </w:tc>
        <w:tc>
          <w:tcPr>
            <w:tcW w:w="2410" w:type="dxa"/>
            <w:tcBorders>
              <w:top w:val="nil"/>
              <w:left w:val="nil"/>
              <w:bottom w:val="nil"/>
              <w:right w:val="nil"/>
            </w:tcBorders>
            <w:shd w:val="clear" w:color="auto" w:fill="auto"/>
          </w:tcPr>
          <w:p w14:paraId="5BD25AC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2FF1C7A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98459EE" w14:textId="77777777" w:rsidR="00E735F3" w:rsidRPr="00E735F3" w:rsidRDefault="00A843FD" w:rsidP="00D21E32">
            <w:pPr>
              <w:spacing w:before="60" w:after="60" w:line="240" w:lineRule="auto"/>
              <w:rPr>
                <w:sz w:val="18"/>
              </w:rPr>
            </w:pPr>
            <w:r w:rsidRPr="00A843FD">
              <w:rPr>
                <w:bCs/>
                <w:sz w:val="18"/>
              </w:rPr>
              <w:t>No</w:t>
            </w:r>
          </w:p>
        </w:tc>
      </w:tr>
      <w:tr w:rsidR="00E735F3" w:rsidRPr="00E735F3" w14:paraId="3AD3EEBE" w14:textId="77777777" w:rsidTr="00063347">
        <w:trPr>
          <w:cantSplit/>
        </w:trPr>
        <w:tc>
          <w:tcPr>
            <w:tcW w:w="3403" w:type="dxa"/>
            <w:tcBorders>
              <w:top w:val="nil"/>
              <w:left w:val="nil"/>
              <w:bottom w:val="nil"/>
              <w:right w:val="nil"/>
            </w:tcBorders>
          </w:tcPr>
          <w:p w14:paraId="292DBFC3" w14:textId="77777777" w:rsidR="00E735F3" w:rsidRPr="00E735F3" w:rsidRDefault="00E735F3" w:rsidP="00E735F3">
            <w:pPr>
              <w:spacing w:before="60" w:after="60" w:line="240" w:lineRule="auto"/>
              <w:rPr>
                <w:sz w:val="18"/>
              </w:rPr>
            </w:pPr>
            <w:r w:rsidRPr="00E735F3">
              <w:rPr>
                <w:b/>
                <w:i/>
                <w:sz w:val="18"/>
              </w:rPr>
              <w:t>Pulvinaria psidii</w:t>
            </w:r>
            <w:r w:rsidRPr="00E735F3">
              <w:rPr>
                <w:i/>
                <w:sz w:val="18"/>
              </w:rPr>
              <w:t xml:space="preserve"> </w:t>
            </w:r>
            <w:r w:rsidRPr="00E735F3">
              <w:rPr>
                <w:sz w:val="18"/>
              </w:rPr>
              <w:t xml:space="preserve">Maskell, 1893 </w:t>
            </w:r>
          </w:p>
          <w:p w14:paraId="5B225E00" w14:textId="77777777" w:rsidR="00E735F3" w:rsidRPr="00E735F3" w:rsidRDefault="00E735F3" w:rsidP="00E735F3">
            <w:pPr>
              <w:spacing w:before="60" w:after="60" w:line="240" w:lineRule="auto"/>
              <w:rPr>
                <w:sz w:val="18"/>
              </w:rPr>
            </w:pPr>
            <w:r w:rsidRPr="00E735F3">
              <w:rPr>
                <w:sz w:val="18"/>
              </w:rPr>
              <w:t>[Coccidae]</w:t>
            </w:r>
          </w:p>
          <w:p w14:paraId="507D0EC0" w14:textId="77777777" w:rsidR="00E735F3" w:rsidRPr="00E735F3" w:rsidRDefault="00E735F3" w:rsidP="00E735F3">
            <w:pPr>
              <w:spacing w:before="60" w:after="60" w:line="240" w:lineRule="auto"/>
              <w:rPr>
                <w:sz w:val="18"/>
              </w:rPr>
            </w:pPr>
            <w:r w:rsidRPr="00E735F3">
              <w:rPr>
                <w:sz w:val="18"/>
              </w:rPr>
              <w:t>Soft scale</w:t>
            </w:r>
          </w:p>
        </w:tc>
        <w:tc>
          <w:tcPr>
            <w:tcW w:w="1974" w:type="dxa"/>
            <w:tcBorders>
              <w:top w:val="nil"/>
              <w:left w:val="nil"/>
              <w:bottom w:val="nil"/>
              <w:right w:val="nil"/>
            </w:tcBorders>
          </w:tcPr>
          <w:p w14:paraId="68ABB30A" w14:textId="77777777" w:rsidR="00E735F3" w:rsidRPr="00E735F3" w:rsidRDefault="00E735F3" w:rsidP="00E735F3">
            <w:pPr>
              <w:spacing w:before="60" w:after="60" w:line="240" w:lineRule="auto"/>
              <w:rPr>
                <w:sz w:val="18"/>
              </w:rPr>
            </w:pPr>
            <w:r w:rsidRPr="00E735F3">
              <w:rPr>
                <w:sz w:val="18"/>
              </w:rPr>
              <w:t>Cook Islands, Niue, Samoa, Tonga, Vanuatu (Williams and Watson 1990).</w:t>
            </w:r>
          </w:p>
        </w:tc>
        <w:tc>
          <w:tcPr>
            <w:tcW w:w="1701" w:type="dxa"/>
            <w:tcBorders>
              <w:top w:val="nil"/>
              <w:left w:val="nil"/>
              <w:bottom w:val="nil"/>
              <w:right w:val="nil"/>
            </w:tcBorders>
            <w:shd w:val="clear" w:color="auto" w:fill="auto"/>
          </w:tcPr>
          <w:p w14:paraId="1E0077ED" w14:textId="77777777" w:rsidR="00E735F3" w:rsidRPr="00E735F3" w:rsidRDefault="001C7980" w:rsidP="00D8044C">
            <w:pPr>
              <w:spacing w:before="60" w:after="60" w:line="240" w:lineRule="auto"/>
              <w:rPr>
                <w:sz w:val="18"/>
              </w:rPr>
            </w:pPr>
            <w:r>
              <w:rPr>
                <w:sz w:val="18"/>
              </w:rPr>
              <w:t xml:space="preserve">Yes. ACT, NSW, NT, </w:t>
            </w:r>
            <w:r w:rsidR="00E735F3" w:rsidRPr="00E735F3">
              <w:rPr>
                <w:sz w:val="18"/>
              </w:rPr>
              <w:t xml:space="preserve">Qld (Garcia Morales </w:t>
            </w:r>
            <w:r w:rsidR="00E735F3" w:rsidRPr="00E735F3">
              <w:rPr>
                <w:i/>
                <w:sz w:val="18"/>
              </w:rPr>
              <w:t>et al.</w:t>
            </w:r>
            <w:r w:rsidR="00E735F3" w:rsidRPr="00E735F3">
              <w:rPr>
                <w:sz w:val="18"/>
              </w:rPr>
              <w:t xml:space="preserve"> 2016)</w:t>
            </w:r>
            <w:r>
              <w:rPr>
                <w:sz w:val="18"/>
              </w:rPr>
              <w:t xml:space="preserve"> and WA (</w:t>
            </w:r>
            <w:r w:rsidR="00D8044C">
              <w:rPr>
                <w:sz w:val="18"/>
              </w:rPr>
              <w:t>APPD 2016</w:t>
            </w:r>
            <w:r>
              <w:rPr>
                <w:sz w:val="18"/>
              </w:rPr>
              <w:t>)</w:t>
            </w:r>
            <w:r w:rsidR="00E735F3" w:rsidRPr="00E735F3">
              <w:rPr>
                <w:sz w:val="18"/>
              </w:rPr>
              <w:t>.</w:t>
            </w:r>
          </w:p>
        </w:tc>
        <w:tc>
          <w:tcPr>
            <w:tcW w:w="2410" w:type="dxa"/>
            <w:tcBorders>
              <w:top w:val="nil"/>
              <w:left w:val="nil"/>
              <w:bottom w:val="nil"/>
              <w:right w:val="nil"/>
            </w:tcBorders>
          </w:tcPr>
          <w:p w14:paraId="13058B27" w14:textId="23D4B38B"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56B818A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F96B56D"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03BB12FC" w14:textId="77777777" w:rsidR="00E735F3" w:rsidRPr="00E735F3" w:rsidRDefault="00E735F3" w:rsidP="00E735F3">
            <w:pPr>
              <w:spacing w:before="60" w:after="60" w:line="240" w:lineRule="auto"/>
              <w:rPr>
                <w:sz w:val="18"/>
              </w:rPr>
            </w:pPr>
            <w:r w:rsidRPr="00E735F3">
              <w:rPr>
                <w:sz w:val="18"/>
              </w:rPr>
              <w:t>No</w:t>
            </w:r>
          </w:p>
        </w:tc>
      </w:tr>
      <w:tr w:rsidR="00E735F3" w:rsidRPr="00E735F3" w14:paraId="0E3F3FCD" w14:textId="77777777" w:rsidTr="00063347">
        <w:trPr>
          <w:cantSplit/>
        </w:trPr>
        <w:tc>
          <w:tcPr>
            <w:tcW w:w="3403" w:type="dxa"/>
            <w:tcBorders>
              <w:top w:val="nil"/>
              <w:left w:val="nil"/>
              <w:bottom w:val="nil"/>
              <w:right w:val="nil"/>
            </w:tcBorders>
          </w:tcPr>
          <w:p w14:paraId="6F7AB468" w14:textId="77777777" w:rsidR="00E735F3" w:rsidRPr="00E735F3" w:rsidRDefault="00E735F3" w:rsidP="00E735F3">
            <w:pPr>
              <w:spacing w:before="60" w:after="60" w:line="240" w:lineRule="auto"/>
              <w:rPr>
                <w:sz w:val="18"/>
              </w:rPr>
            </w:pPr>
            <w:r w:rsidRPr="00E735F3">
              <w:rPr>
                <w:b/>
                <w:i/>
                <w:sz w:val="18"/>
              </w:rPr>
              <w:t>Saissetia coffeae</w:t>
            </w:r>
            <w:r w:rsidRPr="00E735F3">
              <w:rPr>
                <w:sz w:val="18"/>
              </w:rPr>
              <w:t xml:space="preserve"> (Walker, 1852)</w:t>
            </w:r>
          </w:p>
          <w:p w14:paraId="5167DB43" w14:textId="77777777" w:rsidR="00E735F3" w:rsidRPr="00E735F3" w:rsidRDefault="00E735F3" w:rsidP="00E735F3">
            <w:pPr>
              <w:spacing w:before="60" w:after="60" w:line="240" w:lineRule="auto"/>
              <w:rPr>
                <w:sz w:val="18"/>
              </w:rPr>
            </w:pPr>
            <w:r w:rsidRPr="00E735F3">
              <w:rPr>
                <w:sz w:val="18"/>
              </w:rPr>
              <w:t>[Coccidae]</w:t>
            </w:r>
          </w:p>
          <w:p w14:paraId="18537F52" w14:textId="77777777" w:rsidR="00E735F3" w:rsidRPr="00E735F3" w:rsidRDefault="00E735F3" w:rsidP="00E735F3">
            <w:pPr>
              <w:spacing w:before="60" w:after="60" w:line="240" w:lineRule="auto"/>
              <w:rPr>
                <w:sz w:val="18"/>
              </w:rPr>
            </w:pPr>
            <w:r w:rsidRPr="00E735F3">
              <w:rPr>
                <w:sz w:val="18"/>
              </w:rPr>
              <w:t>Brown scale</w:t>
            </w:r>
          </w:p>
        </w:tc>
        <w:tc>
          <w:tcPr>
            <w:tcW w:w="1974" w:type="dxa"/>
            <w:tcBorders>
              <w:top w:val="nil"/>
              <w:left w:val="nil"/>
              <w:bottom w:val="nil"/>
              <w:right w:val="nil"/>
            </w:tcBorders>
          </w:tcPr>
          <w:p w14:paraId="5648286E" w14:textId="77777777" w:rsidR="00E735F3" w:rsidRPr="00E735F3" w:rsidRDefault="00E735F3" w:rsidP="00E735F3">
            <w:pPr>
              <w:spacing w:before="60" w:after="60" w:line="240" w:lineRule="auto"/>
              <w:rPr>
                <w:sz w:val="18"/>
              </w:rPr>
            </w:pPr>
            <w:r w:rsidRPr="00E735F3">
              <w:rPr>
                <w:sz w:val="18"/>
              </w:rPr>
              <w:t>Niue, Samoa, Tonga, Vanuatu (Williams and Watson 1990).</w:t>
            </w:r>
          </w:p>
        </w:tc>
        <w:tc>
          <w:tcPr>
            <w:tcW w:w="1701" w:type="dxa"/>
            <w:tcBorders>
              <w:top w:val="nil"/>
              <w:left w:val="nil"/>
              <w:bottom w:val="nil"/>
              <w:right w:val="nil"/>
            </w:tcBorders>
            <w:shd w:val="clear" w:color="auto" w:fill="auto"/>
          </w:tcPr>
          <w:p w14:paraId="2943F448" w14:textId="77777777" w:rsidR="00E735F3" w:rsidRPr="00E735F3" w:rsidRDefault="00E735F3" w:rsidP="00E735F3">
            <w:pPr>
              <w:spacing w:before="60" w:after="60" w:line="240" w:lineRule="auto"/>
              <w:rPr>
                <w:sz w:val="18"/>
              </w:rPr>
            </w:pPr>
            <w:r w:rsidRPr="00E735F3">
              <w:rPr>
                <w:sz w:val="18"/>
              </w:rPr>
              <w:t xml:space="preserve">Yes. NSW, NT, Qld, SA, Vic. and WA (Garcia Morales </w:t>
            </w:r>
            <w:r w:rsidRPr="00E735F3">
              <w:rPr>
                <w:i/>
                <w:sz w:val="18"/>
              </w:rPr>
              <w:t>et al.</w:t>
            </w:r>
            <w:r w:rsidRPr="00E735F3">
              <w:rPr>
                <w:sz w:val="18"/>
              </w:rPr>
              <w:t xml:space="preserve"> 2016).</w:t>
            </w:r>
          </w:p>
        </w:tc>
        <w:tc>
          <w:tcPr>
            <w:tcW w:w="2410" w:type="dxa"/>
            <w:tcBorders>
              <w:top w:val="nil"/>
              <w:left w:val="nil"/>
              <w:bottom w:val="nil"/>
              <w:right w:val="nil"/>
            </w:tcBorders>
          </w:tcPr>
          <w:p w14:paraId="2EFF2C59" w14:textId="283E305F"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E55230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32DB56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3B9640C3" w14:textId="77777777" w:rsidR="00E735F3" w:rsidRPr="00E735F3" w:rsidRDefault="00E735F3" w:rsidP="00E735F3">
            <w:pPr>
              <w:spacing w:before="60" w:after="60" w:line="240" w:lineRule="auto"/>
              <w:rPr>
                <w:sz w:val="18"/>
              </w:rPr>
            </w:pPr>
            <w:r w:rsidRPr="00E735F3">
              <w:rPr>
                <w:sz w:val="18"/>
              </w:rPr>
              <w:t>No</w:t>
            </w:r>
          </w:p>
        </w:tc>
      </w:tr>
      <w:tr w:rsidR="00E735F3" w:rsidRPr="00E735F3" w14:paraId="07D30EB2" w14:textId="77777777" w:rsidTr="00063347">
        <w:trPr>
          <w:cantSplit/>
        </w:trPr>
        <w:tc>
          <w:tcPr>
            <w:tcW w:w="3403" w:type="dxa"/>
            <w:tcBorders>
              <w:top w:val="nil"/>
              <w:left w:val="nil"/>
              <w:bottom w:val="nil"/>
              <w:right w:val="nil"/>
            </w:tcBorders>
            <w:shd w:val="clear" w:color="auto" w:fill="FFFFFF"/>
          </w:tcPr>
          <w:p w14:paraId="2B7F4F79" w14:textId="77777777" w:rsidR="00E735F3" w:rsidRPr="00E735F3" w:rsidRDefault="00E735F3" w:rsidP="00E735F3">
            <w:pPr>
              <w:spacing w:before="60" w:after="60" w:line="240" w:lineRule="auto"/>
              <w:rPr>
                <w:sz w:val="18"/>
              </w:rPr>
            </w:pPr>
            <w:r w:rsidRPr="00E735F3">
              <w:rPr>
                <w:b/>
                <w:i/>
                <w:sz w:val="18"/>
              </w:rPr>
              <w:t>Saissetia neglecta</w:t>
            </w:r>
            <w:r w:rsidRPr="00E735F3">
              <w:rPr>
                <w:sz w:val="18"/>
              </w:rPr>
              <w:t xml:space="preserve"> De Lotto, 1969</w:t>
            </w:r>
          </w:p>
          <w:p w14:paraId="4E18B10B" w14:textId="77777777" w:rsidR="00E735F3" w:rsidRPr="00E735F3" w:rsidRDefault="00E735F3" w:rsidP="00E735F3">
            <w:pPr>
              <w:spacing w:before="60" w:after="60" w:line="240" w:lineRule="auto"/>
              <w:rPr>
                <w:sz w:val="18"/>
              </w:rPr>
            </w:pPr>
            <w:r w:rsidRPr="00E735F3">
              <w:rPr>
                <w:sz w:val="18"/>
              </w:rPr>
              <w:t>[Coccidae]</w:t>
            </w:r>
          </w:p>
          <w:p w14:paraId="244CD5E7" w14:textId="77777777" w:rsidR="00E735F3" w:rsidRPr="00E735F3" w:rsidRDefault="00E735F3" w:rsidP="00E735F3">
            <w:pPr>
              <w:spacing w:before="60" w:after="60" w:line="240" w:lineRule="auto"/>
              <w:rPr>
                <w:i/>
                <w:sz w:val="18"/>
              </w:rPr>
            </w:pPr>
            <w:r w:rsidRPr="00E735F3">
              <w:rPr>
                <w:sz w:val="18"/>
              </w:rPr>
              <w:t>Caribbean black scale</w:t>
            </w:r>
          </w:p>
        </w:tc>
        <w:tc>
          <w:tcPr>
            <w:tcW w:w="1974" w:type="dxa"/>
            <w:tcBorders>
              <w:top w:val="nil"/>
              <w:left w:val="nil"/>
              <w:bottom w:val="nil"/>
              <w:right w:val="nil"/>
            </w:tcBorders>
            <w:shd w:val="clear" w:color="auto" w:fill="FFFFFF"/>
          </w:tcPr>
          <w:p w14:paraId="32B6CFC4" w14:textId="77777777" w:rsidR="00E735F3" w:rsidRPr="00E735F3" w:rsidRDefault="00E735F3" w:rsidP="00E735F3">
            <w:pPr>
              <w:spacing w:before="60" w:after="60" w:line="240" w:lineRule="auto"/>
              <w:rPr>
                <w:sz w:val="18"/>
              </w:rPr>
            </w:pPr>
            <w:r w:rsidRPr="00E735F3">
              <w:rPr>
                <w:sz w:val="18"/>
              </w:rPr>
              <w:t>Cook Islands, Niue, Samoa, Tonga, Vanuatu (Williams and Watson 1990).</w:t>
            </w:r>
          </w:p>
        </w:tc>
        <w:tc>
          <w:tcPr>
            <w:tcW w:w="1701" w:type="dxa"/>
            <w:tcBorders>
              <w:top w:val="nil"/>
              <w:left w:val="nil"/>
              <w:bottom w:val="nil"/>
              <w:right w:val="nil"/>
            </w:tcBorders>
            <w:shd w:val="clear" w:color="auto" w:fill="auto"/>
          </w:tcPr>
          <w:p w14:paraId="2A4D6BAB" w14:textId="77777777" w:rsidR="00E735F3" w:rsidRDefault="003B6945" w:rsidP="00E735F3">
            <w:pPr>
              <w:spacing w:before="60" w:after="60" w:line="240" w:lineRule="auto"/>
              <w:rPr>
                <w:sz w:val="18"/>
              </w:rPr>
            </w:pPr>
            <w:r>
              <w:rPr>
                <w:sz w:val="18"/>
              </w:rPr>
              <w:t>Yes. R</w:t>
            </w:r>
            <w:r w:rsidR="00E735F3" w:rsidRPr="00E735F3">
              <w:rPr>
                <w:sz w:val="18"/>
              </w:rPr>
              <w:t>ecords from South East Qld (APPD 2016).</w:t>
            </w:r>
          </w:p>
          <w:p w14:paraId="77285450" w14:textId="74D274D1" w:rsidR="003B6945"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nil"/>
              <w:right w:val="nil"/>
            </w:tcBorders>
          </w:tcPr>
          <w:p w14:paraId="61376F0E" w14:textId="77777777" w:rsidR="00E735F3" w:rsidRPr="00E735F3" w:rsidRDefault="00E735F3" w:rsidP="00E735F3">
            <w:pPr>
              <w:spacing w:before="60" w:after="60" w:line="240" w:lineRule="auto"/>
              <w:rPr>
                <w:sz w:val="18"/>
              </w:rPr>
            </w:pPr>
            <w:r w:rsidRPr="00E735F3">
              <w:rPr>
                <w:sz w:val="18"/>
              </w:rPr>
              <w:t>Yes. The scales can be found on small twigs, particularly the fruit stems (Bullock 1976; Fasulo and Brooks 2013).</w:t>
            </w:r>
          </w:p>
        </w:tc>
        <w:tc>
          <w:tcPr>
            <w:tcW w:w="2410" w:type="dxa"/>
            <w:tcBorders>
              <w:top w:val="nil"/>
              <w:left w:val="nil"/>
              <w:bottom w:val="nil"/>
              <w:right w:val="nil"/>
            </w:tcBorders>
            <w:shd w:val="clear" w:color="auto" w:fill="auto"/>
          </w:tcPr>
          <w:p w14:paraId="26AC5ECE" w14:textId="77777777" w:rsidR="00E735F3" w:rsidRPr="00E735F3" w:rsidRDefault="00D21E32" w:rsidP="006876FA">
            <w:pPr>
              <w:spacing w:before="60" w:after="60" w:line="240" w:lineRule="auto"/>
              <w:rPr>
                <w:sz w:val="18"/>
              </w:rPr>
            </w:pPr>
            <w:r>
              <w:rPr>
                <w:sz w:val="18"/>
              </w:rPr>
              <w:t>Yes.</w:t>
            </w:r>
            <w:r w:rsidRPr="00D21E32">
              <w:rPr>
                <w:sz w:val="18"/>
              </w:rPr>
              <w:t xml:space="preserve"> This species has been reported from many plant hosts (Garcia Morales </w:t>
            </w:r>
            <w:r w:rsidRPr="00D21E32">
              <w:rPr>
                <w:i/>
                <w:sz w:val="18"/>
              </w:rPr>
              <w:t>et al.</w:t>
            </w:r>
            <w:r w:rsidRPr="00D21E32">
              <w:rPr>
                <w:sz w:val="18"/>
              </w:rPr>
              <w:t xml:space="preserve"> 2016). The female lays an average of 2,000 eggs and reproduction is usually by parthenogenesis (Fasulo and Brooks 2013).</w:t>
            </w:r>
          </w:p>
        </w:tc>
        <w:tc>
          <w:tcPr>
            <w:tcW w:w="2268" w:type="dxa"/>
            <w:tcBorders>
              <w:top w:val="nil"/>
              <w:left w:val="nil"/>
              <w:bottom w:val="nil"/>
              <w:right w:val="nil"/>
            </w:tcBorders>
            <w:shd w:val="clear" w:color="auto" w:fill="auto"/>
          </w:tcPr>
          <w:p w14:paraId="3DBDBBD5" w14:textId="77777777" w:rsidR="00E735F3" w:rsidRPr="00E735F3" w:rsidRDefault="007C24EA" w:rsidP="006876FA">
            <w:pPr>
              <w:spacing w:before="60" w:after="60" w:line="240" w:lineRule="auto"/>
              <w:rPr>
                <w:sz w:val="18"/>
              </w:rPr>
            </w:pPr>
            <w:r w:rsidRPr="007C24EA">
              <w:rPr>
                <w:sz w:val="18"/>
              </w:rPr>
              <w:t>Yes</w:t>
            </w:r>
            <w:r>
              <w:rPr>
                <w:sz w:val="18"/>
              </w:rPr>
              <w:t>.</w:t>
            </w:r>
            <w:r w:rsidRPr="007C24EA">
              <w:rPr>
                <w:sz w:val="18"/>
              </w:rPr>
              <w:t xml:space="preserve"> This species is the main scale infesting citrus in Florida (Fasulo and Brooks 2013). A number of other plants have been recorded as hosts including mango, coffee, guava, fig and cassava (Garcia Morales </w:t>
            </w:r>
            <w:r w:rsidRPr="007C24EA">
              <w:rPr>
                <w:i/>
                <w:sz w:val="18"/>
              </w:rPr>
              <w:t>et al.</w:t>
            </w:r>
            <w:r w:rsidRPr="007C24EA">
              <w:rPr>
                <w:sz w:val="18"/>
              </w:rPr>
              <w:t xml:space="preserve"> 2016).</w:t>
            </w:r>
          </w:p>
        </w:tc>
        <w:tc>
          <w:tcPr>
            <w:tcW w:w="1285" w:type="dxa"/>
            <w:tcBorders>
              <w:top w:val="nil"/>
              <w:left w:val="nil"/>
              <w:bottom w:val="nil"/>
              <w:right w:val="nil"/>
            </w:tcBorders>
            <w:shd w:val="clear" w:color="auto" w:fill="auto"/>
          </w:tcPr>
          <w:p w14:paraId="337AC48C" w14:textId="2F19B120" w:rsidR="00E735F3" w:rsidRPr="00E735F3" w:rsidRDefault="00DD114D" w:rsidP="00E735F3">
            <w:pPr>
              <w:spacing w:before="60" w:after="60" w:line="240" w:lineRule="auto"/>
              <w:rPr>
                <w:sz w:val="18"/>
              </w:rPr>
            </w:pPr>
            <w:r w:rsidRPr="0034763E">
              <w:rPr>
                <w:b/>
                <w:bCs/>
                <w:sz w:val="18"/>
              </w:rPr>
              <w:t>Yes</w:t>
            </w:r>
            <w:r w:rsidR="00360033">
              <w:rPr>
                <w:bCs/>
                <w:sz w:val="18"/>
              </w:rPr>
              <w:t xml:space="preserve"> </w:t>
            </w:r>
            <w:r w:rsidRPr="00DD114D">
              <w:rPr>
                <w:bCs/>
                <w:sz w:val="18"/>
              </w:rPr>
              <w:t>(WA)</w:t>
            </w:r>
          </w:p>
        </w:tc>
      </w:tr>
      <w:tr w:rsidR="00E735F3" w:rsidRPr="00E735F3" w14:paraId="0B2DD8A8" w14:textId="77777777" w:rsidTr="00063347">
        <w:trPr>
          <w:cantSplit/>
        </w:trPr>
        <w:tc>
          <w:tcPr>
            <w:tcW w:w="3403" w:type="dxa"/>
            <w:tcBorders>
              <w:top w:val="nil"/>
              <w:left w:val="nil"/>
              <w:bottom w:val="nil"/>
              <w:right w:val="nil"/>
            </w:tcBorders>
          </w:tcPr>
          <w:p w14:paraId="46E7825A" w14:textId="77777777" w:rsidR="00E735F3" w:rsidRPr="00E735F3" w:rsidRDefault="00E735F3" w:rsidP="00E735F3">
            <w:pPr>
              <w:spacing w:before="60" w:after="60" w:line="240" w:lineRule="auto"/>
              <w:rPr>
                <w:sz w:val="18"/>
              </w:rPr>
            </w:pPr>
            <w:r w:rsidRPr="00E735F3">
              <w:rPr>
                <w:b/>
                <w:i/>
                <w:sz w:val="18"/>
              </w:rPr>
              <w:t xml:space="preserve">Singhiella citrifolii </w:t>
            </w:r>
            <w:r w:rsidRPr="00E735F3">
              <w:rPr>
                <w:sz w:val="18"/>
              </w:rPr>
              <w:t>(Morgan, 1893)</w:t>
            </w:r>
          </w:p>
          <w:p w14:paraId="3A809FAC" w14:textId="77777777" w:rsidR="00E735F3" w:rsidRPr="00E735F3" w:rsidRDefault="00E735F3" w:rsidP="00E735F3">
            <w:pPr>
              <w:spacing w:before="60" w:after="60" w:line="240" w:lineRule="auto"/>
              <w:rPr>
                <w:sz w:val="18"/>
              </w:rPr>
            </w:pPr>
            <w:r w:rsidRPr="00E735F3">
              <w:rPr>
                <w:sz w:val="18"/>
              </w:rPr>
              <w:t>[Aleyrodidae]</w:t>
            </w:r>
          </w:p>
          <w:p w14:paraId="737A4F51" w14:textId="77777777" w:rsidR="00E735F3" w:rsidRPr="00E735F3" w:rsidRDefault="00E735F3" w:rsidP="00E735F3">
            <w:pPr>
              <w:spacing w:before="60" w:after="60" w:line="240" w:lineRule="auto"/>
              <w:rPr>
                <w:sz w:val="18"/>
              </w:rPr>
            </w:pPr>
            <w:r w:rsidRPr="00E735F3">
              <w:rPr>
                <w:sz w:val="18"/>
              </w:rPr>
              <w:t>Citrus whitefly</w:t>
            </w:r>
          </w:p>
        </w:tc>
        <w:tc>
          <w:tcPr>
            <w:tcW w:w="1974" w:type="dxa"/>
            <w:tcBorders>
              <w:top w:val="nil"/>
              <w:left w:val="nil"/>
              <w:bottom w:val="nil"/>
              <w:right w:val="nil"/>
            </w:tcBorders>
          </w:tcPr>
          <w:p w14:paraId="3641BB5B" w14:textId="77777777" w:rsidR="00E735F3" w:rsidRPr="00E735F3" w:rsidRDefault="00E735F3" w:rsidP="00E735F3">
            <w:pPr>
              <w:spacing w:before="60" w:after="60" w:line="240" w:lineRule="auto"/>
              <w:rPr>
                <w:sz w:val="18"/>
              </w:rPr>
            </w:pPr>
            <w:r w:rsidRPr="00E735F3">
              <w:rPr>
                <w:sz w:val="18"/>
              </w:rPr>
              <w:t xml:space="preserve">Samoa (De Barro 1998, as </w:t>
            </w:r>
            <w:r w:rsidRPr="00E735F3">
              <w:rPr>
                <w:i/>
                <w:sz w:val="18"/>
              </w:rPr>
              <w:t>Dialeurodes citrifolii</w:t>
            </w:r>
            <w:r w:rsidRPr="00E735F3">
              <w:rPr>
                <w:sz w:val="18"/>
              </w:rPr>
              <w:t>).</w:t>
            </w:r>
          </w:p>
        </w:tc>
        <w:tc>
          <w:tcPr>
            <w:tcW w:w="1701" w:type="dxa"/>
            <w:tcBorders>
              <w:top w:val="nil"/>
              <w:left w:val="nil"/>
              <w:bottom w:val="nil"/>
              <w:right w:val="nil"/>
            </w:tcBorders>
            <w:shd w:val="clear" w:color="auto" w:fill="auto"/>
          </w:tcPr>
          <w:p w14:paraId="12BD5F50"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05FE3DF5" w14:textId="77777777" w:rsidR="00E735F3" w:rsidRPr="00E735F3" w:rsidRDefault="00E735F3" w:rsidP="007F72E8">
            <w:pPr>
              <w:spacing w:before="60" w:after="60" w:line="240" w:lineRule="auto"/>
              <w:rPr>
                <w:sz w:val="18"/>
              </w:rPr>
            </w:pPr>
            <w:r w:rsidRPr="00E735F3">
              <w:rPr>
                <w:sz w:val="18"/>
              </w:rPr>
              <w:t xml:space="preserve">No. This whitefly almost exclusively colonises the underside of host-plant leaves. Unlikely to be on </w:t>
            </w:r>
            <w:r w:rsidR="007F72E8">
              <w:rPr>
                <w:sz w:val="18"/>
              </w:rPr>
              <w:t xml:space="preserve">fruit subject to typical production and import procedures </w:t>
            </w:r>
            <w:r w:rsidRPr="00E735F3">
              <w:rPr>
                <w:sz w:val="18"/>
              </w:rPr>
              <w:t>(Naumann 2002).</w:t>
            </w:r>
          </w:p>
        </w:tc>
        <w:tc>
          <w:tcPr>
            <w:tcW w:w="2410" w:type="dxa"/>
            <w:tcBorders>
              <w:top w:val="nil"/>
              <w:left w:val="nil"/>
              <w:bottom w:val="nil"/>
              <w:right w:val="nil"/>
            </w:tcBorders>
            <w:shd w:val="clear" w:color="auto" w:fill="auto"/>
          </w:tcPr>
          <w:p w14:paraId="059B94D5"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CA9650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995997B" w14:textId="77777777" w:rsidR="00E735F3" w:rsidRPr="00E735F3" w:rsidRDefault="00231B42" w:rsidP="006D373C">
            <w:pPr>
              <w:spacing w:before="60" w:after="60" w:line="240" w:lineRule="auto"/>
              <w:rPr>
                <w:sz w:val="18"/>
              </w:rPr>
            </w:pPr>
            <w:r w:rsidRPr="00231B42">
              <w:rPr>
                <w:sz w:val="18"/>
              </w:rPr>
              <w:t>No</w:t>
            </w:r>
          </w:p>
        </w:tc>
      </w:tr>
      <w:tr w:rsidR="00E735F3" w:rsidRPr="00E735F3" w14:paraId="593FBF66" w14:textId="77777777" w:rsidTr="00063347">
        <w:trPr>
          <w:cantSplit/>
        </w:trPr>
        <w:tc>
          <w:tcPr>
            <w:tcW w:w="3403" w:type="dxa"/>
            <w:tcBorders>
              <w:top w:val="nil"/>
              <w:left w:val="nil"/>
              <w:bottom w:val="nil"/>
              <w:right w:val="nil"/>
            </w:tcBorders>
          </w:tcPr>
          <w:p w14:paraId="78DD57C1" w14:textId="77777777" w:rsidR="00E735F3" w:rsidRPr="00E735F3" w:rsidRDefault="00E735F3" w:rsidP="00E735F3">
            <w:pPr>
              <w:spacing w:before="60" w:after="60" w:line="240" w:lineRule="auto"/>
              <w:rPr>
                <w:sz w:val="18"/>
              </w:rPr>
            </w:pPr>
            <w:r w:rsidRPr="00E735F3">
              <w:rPr>
                <w:b/>
                <w:i/>
                <w:sz w:val="18"/>
              </w:rPr>
              <w:t>Toxoptera aurantii</w:t>
            </w:r>
            <w:r w:rsidRPr="00E735F3">
              <w:rPr>
                <w:i/>
                <w:sz w:val="18"/>
              </w:rPr>
              <w:t xml:space="preserve"> </w:t>
            </w:r>
            <w:r w:rsidRPr="00E735F3">
              <w:rPr>
                <w:sz w:val="18"/>
              </w:rPr>
              <w:t>(Boyer de Fonscolombe, 1841)</w:t>
            </w:r>
          </w:p>
          <w:p w14:paraId="5E7C8631" w14:textId="77777777" w:rsidR="00E735F3" w:rsidRPr="00E735F3" w:rsidRDefault="00E735F3" w:rsidP="00E735F3">
            <w:pPr>
              <w:spacing w:before="60" w:after="60" w:line="240" w:lineRule="auto"/>
              <w:rPr>
                <w:sz w:val="18"/>
              </w:rPr>
            </w:pPr>
            <w:r w:rsidRPr="00E735F3">
              <w:rPr>
                <w:sz w:val="18"/>
              </w:rPr>
              <w:t>[Aphididae]</w:t>
            </w:r>
          </w:p>
          <w:p w14:paraId="6A34E209" w14:textId="77777777" w:rsidR="00E735F3" w:rsidRPr="00E735F3" w:rsidRDefault="00E735F3" w:rsidP="00E735F3">
            <w:pPr>
              <w:spacing w:before="60" w:after="60" w:line="240" w:lineRule="auto"/>
              <w:rPr>
                <w:i/>
                <w:sz w:val="18"/>
              </w:rPr>
            </w:pPr>
            <w:r w:rsidRPr="00E735F3">
              <w:rPr>
                <w:sz w:val="18"/>
              </w:rPr>
              <w:t>Black citrus aphid</w:t>
            </w:r>
          </w:p>
        </w:tc>
        <w:tc>
          <w:tcPr>
            <w:tcW w:w="1974" w:type="dxa"/>
            <w:tcBorders>
              <w:top w:val="nil"/>
              <w:left w:val="nil"/>
              <w:bottom w:val="nil"/>
              <w:right w:val="nil"/>
            </w:tcBorders>
          </w:tcPr>
          <w:p w14:paraId="09D0641D" w14:textId="77777777" w:rsidR="00E735F3" w:rsidRPr="00E735F3" w:rsidRDefault="00E735F3" w:rsidP="00E735F3">
            <w:pPr>
              <w:spacing w:before="60" w:after="60" w:line="240" w:lineRule="auto"/>
              <w:rPr>
                <w:sz w:val="18"/>
              </w:rPr>
            </w:pPr>
            <w:r w:rsidRPr="00E735F3">
              <w:rPr>
                <w:sz w:val="18"/>
              </w:rPr>
              <w:t>Cook Islands, Samoa, Tonga, Vanuatu (SPC 2016).</w:t>
            </w:r>
          </w:p>
        </w:tc>
        <w:tc>
          <w:tcPr>
            <w:tcW w:w="1701" w:type="dxa"/>
            <w:tcBorders>
              <w:top w:val="nil"/>
              <w:left w:val="nil"/>
              <w:bottom w:val="nil"/>
              <w:right w:val="nil"/>
            </w:tcBorders>
            <w:shd w:val="clear" w:color="auto" w:fill="auto"/>
          </w:tcPr>
          <w:p w14:paraId="1A9D7525" w14:textId="77777777" w:rsidR="00E735F3" w:rsidRPr="00E735F3" w:rsidRDefault="00E735F3" w:rsidP="00D8044C">
            <w:pPr>
              <w:spacing w:before="60" w:after="60" w:line="240" w:lineRule="auto"/>
              <w:rPr>
                <w:sz w:val="18"/>
              </w:rPr>
            </w:pPr>
            <w:r w:rsidRPr="00E735F3">
              <w:rPr>
                <w:sz w:val="18"/>
              </w:rPr>
              <w:t>Yes. Qld, Tas.</w:t>
            </w:r>
            <w:r w:rsidR="001C7980">
              <w:rPr>
                <w:sz w:val="18"/>
              </w:rPr>
              <w:t>,</w:t>
            </w:r>
            <w:r w:rsidRPr="00E735F3">
              <w:rPr>
                <w:sz w:val="18"/>
              </w:rPr>
              <w:t xml:space="preserve"> Vic. (Hollis and Eastop 2005)</w:t>
            </w:r>
            <w:r w:rsidR="001C7980">
              <w:rPr>
                <w:sz w:val="18"/>
              </w:rPr>
              <w:t xml:space="preserve"> and WA (</w:t>
            </w:r>
            <w:r w:rsidR="00D8044C">
              <w:rPr>
                <w:sz w:val="18"/>
              </w:rPr>
              <w:t>APPD 2016</w:t>
            </w:r>
            <w:r w:rsidR="001C7980">
              <w:rPr>
                <w:sz w:val="18"/>
              </w:rPr>
              <w:t>)</w:t>
            </w:r>
            <w:r w:rsidRPr="00E735F3">
              <w:rPr>
                <w:sz w:val="18"/>
              </w:rPr>
              <w:t>.</w:t>
            </w:r>
          </w:p>
        </w:tc>
        <w:tc>
          <w:tcPr>
            <w:tcW w:w="2410" w:type="dxa"/>
            <w:tcBorders>
              <w:top w:val="nil"/>
              <w:left w:val="nil"/>
              <w:bottom w:val="nil"/>
              <w:right w:val="nil"/>
            </w:tcBorders>
          </w:tcPr>
          <w:p w14:paraId="25A3C04B" w14:textId="0D7D57D5"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1614CB6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6CBCCD7"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37E2434" w14:textId="77777777" w:rsidR="00E735F3" w:rsidRPr="00E735F3" w:rsidRDefault="00E735F3" w:rsidP="00E735F3">
            <w:pPr>
              <w:spacing w:before="60" w:after="60" w:line="240" w:lineRule="auto"/>
              <w:rPr>
                <w:sz w:val="18"/>
              </w:rPr>
            </w:pPr>
            <w:r w:rsidRPr="00E735F3">
              <w:rPr>
                <w:sz w:val="18"/>
              </w:rPr>
              <w:t>No</w:t>
            </w:r>
          </w:p>
        </w:tc>
      </w:tr>
      <w:tr w:rsidR="00E735F3" w:rsidRPr="00E735F3" w14:paraId="0DC1B34D" w14:textId="77777777" w:rsidTr="00063347">
        <w:trPr>
          <w:cantSplit/>
          <w:trHeight w:val="694"/>
        </w:trPr>
        <w:tc>
          <w:tcPr>
            <w:tcW w:w="3403" w:type="dxa"/>
            <w:tcBorders>
              <w:top w:val="nil"/>
              <w:left w:val="nil"/>
              <w:bottom w:val="nil"/>
              <w:right w:val="nil"/>
            </w:tcBorders>
          </w:tcPr>
          <w:p w14:paraId="7D9E8418" w14:textId="77777777" w:rsidR="00E735F3" w:rsidRPr="00E735F3" w:rsidRDefault="00E735F3" w:rsidP="00E735F3">
            <w:pPr>
              <w:spacing w:before="60" w:after="60" w:line="240" w:lineRule="auto"/>
              <w:rPr>
                <w:sz w:val="18"/>
              </w:rPr>
            </w:pPr>
            <w:r w:rsidRPr="00E735F3">
              <w:rPr>
                <w:b/>
                <w:i/>
                <w:sz w:val="18"/>
              </w:rPr>
              <w:t>Toxoptera citricida</w:t>
            </w:r>
            <w:r w:rsidRPr="00E735F3">
              <w:rPr>
                <w:i/>
                <w:sz w:val="18"/>
              </w:rPr>
              <w:t xml:space="preserve"> </w:t>
            </w:r>
            <w:r w:rsidRPr="00E735F3">
              <w:rPr>
                <w:sz w:val="18"/>
              </w:rPr>
              <w:t>(Kirkaldy, 1907)</w:t>
            </w:r>
          </w:p>
          <w:p w14:paraId="453E76F8" w14:textId="77777777" w:rsidR="00E735F3" w:rsidRPr="00E735F3" w:rsidRDefault="00E735F3" w:rsidP="00E735F3">
            <w:pPr>
              <w:spacing w:before="60" w:after="60" w:line="240" w:lineRule="auto"/>
              <w:rPr>
                <w:sz w:val="18"/>
              </w:rPr>
            </w:pPr>
            <w:r w:rsidRPr="00E735F3">
              <w:rPr>
                <w:sz w:val="18"/>
              </w:rPr>
              <w:t>[Aphididae]</w:t>
            </w:r>
          </w:p>
          <w:p w14:paraId="0866D174" w14:textId="77777777" w:rsidR="00E735F3" w:rsidRPr="00E735F3" w:rsidRDefault="00E735F3" w:rsidP="00E735F3">
            <w:pPr>
              <w:spacing w:before="60" w:after="60" w:line="240" w:lineRule="auto"/>
              <w:rPr>
                <w:i/>
                <w:sz w:val="18"/>
              </w:rPr>
            </w:pPr>
            <w:r w:rsidRPr="00E735F3">
              <w:rPr>
                <w:sz w:val="18"/>
              </w:rPr>
              <w:t>Brown citrus aphid</w:t>
            </w:r>
          </w:p>
        </w:tc>
        <w:tc>
          <w:tcPr>
            <w:tcW w:w="1974" w:type="dxa"/>
            <w:tcBorders>
              <w:top w:val="nil"/>
              <w:left w:val="nil"/>
              <w:bottom w:val="nil"/>
              <w:right w:val="nil"/>
            </w:tcBorders>
          </w:tcPr>
          <w:p w14:paraId="6B7DFBF2" w14:textId="77777777" w:rsidR="00E735F3" w:rsidRPr="00E735F3" w:rsidRDefault="00E735F3" w:rsidP="00E735F3">
            <w:pPr>
              <w:spacing w:before="60" w:after="60" w:line="240" w:lineRule="auto"/>
              <w:rPr>
                <w:sz w:val="18"/>
              </w:rPr>
            </w:pPr>
            <w:r w:rsidRPr="00E735F3">
              <w:rPr>
                <w:sz w:val="18"/>
              </w:rPr>
              <w:t xml:space="preserve">Cook Islands, Samoa (SPC 2016), Tonga (Carver </w:t>
            </w:r>
            <w:r w:rsidRPr="00E735F3">
              <w:rPr>
                <w:i/>
                <w:sz w:val="18"/>
              </w:rPr>
              <w:t>et al</w:t>
            </w:r>
            <w:r w:rsidRPr="00E735F3">
              <w:rPr>
                <w:sz w:val="18"/>
              </w:rPr>
              <w:t>. 1993), Vanuatu (CABI 2016).</w:t>
            </w:r>
          </w:p>
        </w:tc>
        <w:tc>
          <w:tcPr>
            <w:tcW w:w="1701" w:type="dxa"/>
            <w:tcBorders>
              <w:top w:val="nil"/>
              <w:left w:val="nil"/>
              <w:bottom w:val="nil"/>
              <w:right w:val="nil"/>
            </w:tcBorders>
            <w:shd w:val="clear" w:color="auto" w:fill="auto"/>
          </w:tcPr>
          <w:p w14:paraId="5B376494" w14:textId="77777777" w:rsidR="00E735F3" w:rsidRPr="00E735F3" w:rsidRDefault="00E735F3" w:rsidP="00E735F3">
            <w:pPr>
              <w:spacing w:before="60" w:after="60" w:line="240" w:lineRule="auto"/>
              <w:rPr>
                <w:sz w:val="18"/>
              </w:rPr>
            </w:pPr>
            <w:r w:rsidRPr="00E735F3">
              <w:rPr>
                <w:sz w:val="18"/>
              </w:rPr>
              <w:t>Yes. NSW, Qld, SA, Vic. and WA (Hollis and Eastop 2005).</w:t>
            </w:r>
          </w:p>
        </w:tc>
        <w:tc>
          <w:tcPr>
            <w:tcW w:w="2410" w:type="dxa"/>
            <w:tcBorders>
              <w:top w:val="nil"/>
              <w:left w:val="nil"/>
              <w:bottom w:val="nil"/>
              <w:right w:val="nil"/>
            </w:tcBorders>
          </w:tcPr>
          <w:p w14:paraId="771A70BB" w14:textId="2555A2E5"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4C63B68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285D8DBE"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281376CF" w14:textId="77777777" w:rsidR="00E735F3" w:rsidRPr="00E735F3" w:rsidRDefault="00E735F3" w:rsidP="00E735F3">
            <w:pPr>
              <w:spacing w:before="60" w:after="60" w:line="240" w:lineRule="auto"/>
              <w:rPr>
                <w:sz w:val="18"/>
              </w:rPr>
            </w:pPr>
            <w:r w:rsidRPr="00E735F3">
              <w:rPr>
                <w:sz w:val="18"/>
              </w:rPr>
              <w:t>No</w:t>
            </w:r>
          </w:p>
        </w:tc>
      </w:tr>
      <w:tr w:rsidR="00E735F3" w:rsidRPr="00E735F3" w14:paraId="73779635" w14:textId="77777777" w:rsidTr="00063347">
        <w:trPr>
          <w:cantSplit/>
          <w:trHeight w:val="694"/>
        </w:trPr>
        <w:tc>
          <w:tcPr>
            <w:tcW w:w="3403" w:type="dxa"/>
            <w:tcBorders>
              <w:top w:val="nil"/>
              <w:left w:val="nil"/>
              <w:bottom w:val="single" w:sz="4" w:space="0" w:color="BFBFBF"/>
              <w:right w:val="nil"/>
            </w:tcBorders>
            <w:shd w:val="clear" w:color="auto" w:fill="FFFFFF"/>
          </w:tcPr>
          <w:p w14:paraId="5B084B1E" w14:textId="77777777" w:rsidR="00E735F3" w:rsidRPr="00E735F3" w:rsidRDefault="00E735F3" w:rsidP="00E735F3">
            <w:pPr>
              <w:spacing w:before="60" w:after="60" w:line="240" w:lineRule="auto"/>
              <w:rPr>
                <w:sz w:val="18"/>
              </w:rPr>
            </w:pPr>
            <w:r w:rsidRPr="00E735F3">
              <w:rPr>
                <w:b/>
                <w:i/>
                <w:sz w:val="18"/>
              </w:rPr>
              <w:t>Unaspis citri</w:t>
            </w:r>
            <w:r w:rsidRPr="00E735F3">
              <w:rPr>
                <w:i/>
                <w:sz w:val="18"/>
              </w:rPr>
              <w:t xml:space="preserve"> </w:t>
            </w:r>
            <w:r w:rsidRPr="00E735F3">
              <w:rPr>
                <w:sz w:val="18"/>
              </w:rPr>
              <w:t>(Comstock, 1883)</w:t>
            </w:r>
          </w:p>
          <w:p w14:paraId="683695F0" w14:textId="77777777" w:rsidR="00E735F3" w:rsidRPr="00E735F3" w:rsidRDefault="00E735F3" w:rsidP="00E735F3">
            <w:pPr>
              <w:spacing w:before="60" w:after="60" w:line="240" w:lineRule="auto"/>
              <w:rPr>
                <w:sz w:val="18"/>
              </w:rPr>
            </w:pPr>
            <w:r w:rsidRPr="00E735F3">
              <w:rPr>
                <w:sz w:val="18"/>
              </w:rPr>
              <w:t>[Diaspididae]</w:t>
            </w:r>
          </w:p>
          <w:p w14:paraId="11230270" w14:textId="77777777" w:rsidR="00E735F3" w:rsidRPr="00E735F3" w:rsidRDefault="00E735F3" w:rsidP="00E735F3">
            <w:pPr>
              <w:spacing w:before="60" w:after="60" w:line="240" w:lineRule="auto"/>
              <w:rPr>
                <w:i/>
                <w:sz w:val="18"/>
              </w:rPr>
            </w:pPr>
            <w:r w:rsidRPr="00E735F3">
              <w:rPr>
                <w:sz w:val="18"/>
              </w:rPr>
              <w:t>Citrus snow scale</w:t>
            </w:r>
          </w:p>
        </w:tc>
        <w:tc>
          <w:tcPr>
            <w:tcW w:w="1974" w:type="dxa"/>
            <w:tcBorders>
              <w:top w:val="nil"/>
              <w:left w:val="nil"/>
              <w:bottom w:val="single" w:sz="4" w:space="0" w:color="BFBFBF"/>
              <w:right w:val="nil"/>
            </w:tcBorders>
            <w:shd w:val="clear" w:color="auto" w:fill="FFFFFF"/>
          </w:tcPr>
          <w:p w14:paraId="07214BE5" w14:textId="77777777" w:rsidR="00E735F3" w:rsidRPr="00E735F3" w:rsidRDefault="00E735F3" w:rsidP="00E735F3">
            <w:pPr>
              <w:spacing w:before="60" w:after="60" w:line="240" w:lineRule="auto"/>
              <w:rPr>
                <w:sz w:val="18"/>
              </w:rPr>
            </w:pPr>
            <w:r w:rsidRPr="00E735F3">
              <w:rPr>
                <w:sz w:val="18"/>
              </w:rPr>
              <w:t>Cook Islands, Niue, Samoa, Tonga, Vanuatu (Waterhouse and Norris 1987).</w:t>
            </w:r>
          </w:p>
        </w:tc>
        <w:tc>
          <w:tcPr>
            <w:tcW w:w="1701" w:type="dxa"/>
            <w:tcBorders>
              <w:top w:val="nil"/>
              <w:left w:val="nil"/>
              <w:bottom w:val="single" w:sz="4" w:space="0" w:color="BFBFBF"/>
              <w:right w:val="nil"/>
            </w:tcBorders>
            <w:shd w:val="clear" w:color="auto" w:fill="FFFFFF"/>
          </w:tcPr>
          <w:p w14:paraId="2369556D" w14:textId="77777777" w:rsidR="00E735F3" w:rsidRDefault="00E735F3" w:rsidP="00E735F3">
            <w:pPr>
              <w:spacing w:before="60" w:after="60" w:line="240" w:lineRule="auto"/>
              <w:rPr>
                <w:sz w:val="18"/>
              </w:rPr>
            </w:pPr>
            <w:r w:rsidRPr="00E735F3">
              <w:rPr>
                <w:sz w:val="18"/>
              </w:rPr>
              <w:t>Yes. NSW and Qld (Donaldson and Tsang 2002).</w:t>
            </w:r>
          </w:p>
          <w:p w14:paraId="1AFF0A25" w14:textId="6156E8C8" w:rsidR="007F72E8"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single" w:sz="4" w:space="0" w:color="BFBFBF"/>
              <w:right w:val="nil"/>
            </w:tcBorders>
            <w:shd w:val="clear" w:color="auto" w:fill="FFFFFF"/>
          </w:tcPr>
          <w:p w14:paraId="4534F539" w14:textId="77777777" w:rsidR="00E735F3" w:rsidRPr="00E735F3" w:rsidRDefault="00E735F3" w:rsidP="00E735F3">
            <w:pPr>
              <w:spacing w:before="60" w:after="60" w:line="240" w:lineRule="auto"/>
              <w:rPr>
                <w:sz w:val="18"/>
              </w:rPr>
            </w:pPr>
            <w:r w:rsidRPr="00E735F3">
              <w:rPr>
                <w:sz w:val="18"/>
              </w:rPr>
              <w:t xml:space="preserve">Yes. Citrus is a host. Usually found on the trunk and branches, but occasionally present on fruit and leaves (Miller and Davidson 2005). </w:t>
            </w:r>
          </w:p>
        </w:tc>
        <w:tc>
          <w:tcPr>
            <w:tcW w:w="2410" w:type="dxa"/>
            <w:tcBorders>
              <w:top w:val="nil"/>
              <w:left w:val="nil"/>
              <w:bottom w:val="single" w:sz="4" w:space="0" w:color="BFBFBF"/>
              <w:right w:val="nil"/>
            </w:tcBorders>
            <w:shd w:val="clear" w:color="auto" w:fill="FFFFFF"/>
          </w:tcPr>
          <w:p w14:paraId="1BB06600" w14:textId="4234EECF" w:rsidR="00E735F3" w:rsidRPr="00E735F3" w:rsidRDefault="00457072" w:rsidP="00457072">
            <w:pPr>
              <w:spacing w:before="60" w:after="60" w:line="240" w:lineRule="auto"/>
              <w:rPr>
                <w:sz w:val="18"/>
              </w:rPr>
            </w:pPr>
            <w:r w:rsidRPr="00457072">
              <w:rPr>
                <w:sz w:val="18"/>
              </w:rPr>
              <w:t xml:space="preserve">Yes. This species has a broad host range including a number of citrus species (Garcia Morales </w:t>
            </w:r>
            <w:r w:rsidRPr="00457072">
              <w:rPr>
                <w:i/>
                <w:sz w:val="18"/>
              </w:rPr>
              <w:t>et al.</w:t>
            </w:r>
            <w:r w:rsidRPr="00457072">
              <w:rPr>
                <w:sz w:val="18"/>
              </w:rPr>
              <w:t xml:space="preserve"> 2016). It is already present in eastern Australia, so </w:t>
            </w:r>
            <w:r>
              <w:rPr>
                <w:sz w:val="18"/>
              </w:rPr>
              <w:t xml:space="preserve">could potentially </w:t>
            </w:r>
            <w:r w:rsidRPr="00457072">
              <w:rPr>
                <w:sz w:val="18"/>
              </w:rPr>
              <w:t>establish if introduced to parts of Western Australia.</w:t>
            </w:r>
          </w:p>
        </w:tc>
        <w:tc>
          <w:tcPr>
            <w:tcW w:w="2268" w:type="dxa"/>
            <w:tcBorders>
              <w:top w:val="nil"/>
              <w:left w:val="nil"/>
              <w:bottom w:val="single" w:sz="4" w:space="0" w:color="BFBFBF"/>
              <w:right w:val="nil"/>
            </w:tcBorders>
            <w:shd w:val="clear" w:color="auto" w:fill="FFFFFF"/>
          </w:tcPr>
          <w:p w14:paraId="5945BCC1" w14:textId="77777777" w:rsidR="00E735F3" w:rsidRPr="00E735F3" w:rsidRDefault="007C24EA" w:rsidP="007C24EA">
            <w:pPr>
              <w:spacing w:before="60" w:after="60" w:line="240" w:lineRule="auto"/>
              <w:rPr>
                <w:sz w:val="18"/>
              </w:rPr>
            </w:pPr>
            <w:r w:rsidRPr="007C24EA">
              <w:rPr>
                <w:sz w:val="18"/>
              </w:rPr>
              <w:t>Yes</w:t>
            </w:r>
            <w:r>
              <w:rPr>
                <w:sz w:val="18"/>
              </w:rPr>
              <w:t>.</w:t>
            </w:r>
            <w:r w:rsidRPr="007C24EA">
              <w:rPr>
                <w:sz w:val="18"/>
              </w:rPr>
              <w:t xml:space="preserve"> This species is a serious pest of major economic importance (Miller and Davidson 2005).</w:t>
            </w:r>
          </w:p>
        </w:tc>
        <w:tc>
          <w:tcPr>
            <w:tcW w:w="1285" w:type="dxa"/>
            <w:tcBorders>
              <w:top w:val="nil"/>
              <w:left w:val="nil"/>
              <w:bottom w:val="single" w:sz="4" w:space="0" w:color="BFBFBF"/>
              <w:right w:val="nil"/>
            </w:tcBorders>
            <w:shd w:val="clear" w:color="auto" w:fill="auto"/>
          </w:tcPr>
          <w:p w14:paraId="0622788E" w14:textId="05247761" w:rsidR="00E735F3" w:rsidRPr="00E735F3" w:rsidRDefault="00DD114D" w:rsidP="00E735F3">
            <w:pPr>
              <w:spacing w:before="60" w:after="60" w:line="240" w:lineRule="auto"/>
              <w:rPr>
                <w:sz w:val="18"/>
              </w:rPr>
            </w:pPr>
            <w:r w:rsidRPr="0046427E">
              <w:rPr>
                <w:b/>
                <w:bCs/>
                <w:sz w:val="18"/>
              </w:rPr>
              <w:t>Yes</w:t>
            </w:r>
            <w:r w:rsidR="00360033">
              <w:rPr>
                <w:bCs/>
                <w:sz w:val="18"/>
              </w:rPr>
              <w:t xml:space="preserve"> </w:t>
            </w:r>
            <w:r w:rsidRPr="00DD114D">
              <w:rPr>
                <w:bCs/>
                <w:sz w:val="18"/>
              </w:rPr>
              <w:t>(WA)</w:t>
            </w:r>
          </w:p>
        </w:tc>
      </w:tr>
      <w:tr w:rsidR="00E735F3" w:rsidRPr="00E735F3" w14:paraId="66C733D8" w14:textId="77777777" w:rsidTr="00063347">
        <w:trPr>
          <w:cantSplit/>
        </w:trPr>
        <w:tc>
          <w:tcPr>
            <w:tcW w:w="15451" w:type="dxa"/>
            <w:gridSpan w:val="7"/>
            <w:tcBorders>
              <w:top w:val="single" w:sz="4" w:space="0" w:color="BFBFBF"/>
              <w:left w:val="nil"/>
              <w:bottom w:val="nil"/>
              <w:right w:val="nil"/>
            </w:tcBorders>
            <w:shd w:val="clear" w:color="auto" w:fill="FFFFFF"/>
          </w:tcPr>
          <w:p w14:paraId="4DCA590D" w14:textId="77777777" w:rsidR="00E735F3" w:rsidRPr="00E735F3" w:rsidRDefault="00E735F3" w:rsidP="00E735F3">
            <w:pPr>
              <w:keepNext/>
              <w:spacing w:before="60" w:after="60" w:line="240" w:lineRule="auto"/>
              <w:rPr>
                <w:b/>
                <w:sz w:val="18"/>
              </w:rPr>
            </w:pPr>
            <w:r w:rsidRPr="00E735F3">
              <w:rPr>
                <w:b/>
                <w:sz w:val="18"/>
              </w:rPr>
              <w:t>Lepidoptera (butterflies, moths)</w:t>
            </w:r>
          </w:p>
        </w:tc>
      </w:tr>
      <w:tr w:rsidR="00E735F3" w:rsidRPr="00E735F3" w14:paraId="4223A8DA" w14:textId="77777777" w:rsidTr="00063347">
        <w:trPr>
          <w:cantSplit/>
        </w:trPr>
        <w:tc>
          <w:tcPr>
            <w:tcW w:w="3403" w:type="dxa"/>
            <w:tcBorders>
              <w:top w:val="nil"/>
              <w:left w:val="nil"/>
              <w:bottom w:val="nil"/>
              <w:right w:val="nil"/>
            </w:tcBorders>
          </w:tcPr>
          <w:p w14:paraId="031CC36F" w14:textId="77777777" w:rsidR="00E735F3" w:rsidRPr="00E735F3" w:rsidRDefault="00E735F3" w:rsidP="00E735F3">
            <w:pPr>
              <w:spacing w:before="60" w:after="60" w:line="240" w:lineRule="auto"/>
              <w:rPr>
                <w:sz w:val="18"/>
              </w:rPr>
            </w:pPr>
            <w:r w:rsidRPr="00E735F3">
              <w:rPr>
                <w:b/>
                <w:i/>
                <w:sz w:val="18"/>
              </w:rPr>
              <w:t>Cleora samoana</w:t>
            </w:r>
            <w:r w:rsidRPr="00E735F3">
              <w:rPr>
                <w:sz w:val="18"/>
              </w:rPr>
              <w:t xml:space="preserve"> Butler, 1886</w:t>
            </w:r>
          </w:p>
          <w:p w14:paraId="01822443" w14:textId="77777777" w:rsidR="00E735F3" w:rsidRPr="00E735F3" w:rsidRDefault="00E735F3" w:rsidP="00E735F3">
            <w:pPr>
              <w:spacing w:before="60" w:after="60" w:line="240" w:lineRule="auto"/>
              <w:rPr>
                <w:sz w:val="18"/>
              </w:rPr>
            </w:pPr>
            <w:r w:rsidRPr="00E735F3">
              <w:rPr>
                <w:sz w:val="18"/>
              </w:rPr>
              <w:t>[Geometridae]</w:t>
            </w:r>
          </w:p>
          <w:p w14:paraId="78B5D4E3" w14:textId="77777777" w:rsidR="00E735F3" w:rsidRPr="00E735F3" w:rsidRDefault="00E735F3" w:rsidP="00E735F3">
            <w:pPr>
              <w:spacing w:before="60" w:after="60" w:line="240" w:lineRule="auto"/>
              <w:rPr>
                <w:sz w:val="18"/>
              </w:rPr>
            </w:pPr>
            <w:r w:rsidRPr="00E735F3">
              <w:rPr>
                <w:sz w:val="18"/>
              </w:rPr>
              <w:t>Forest looper caterpillar</w:t>
            </w:r>
          </w:p>
        </w:tc>
        <w:tc>
          <w:tcPr>
            <w:tcW w:w="1974" w:type="dxa"/>
            <w:tcBorders>
              <w:top w:val="nil"/>
              <w:left w:val="nil"/>
              <w:bottom w:val="nil"/>
              <w:right w:val="nil"/>
            </w:tcBorders>
          </w:tcPr>
          <w:p w14:paraId="72B5024A" w14:textId="77777777" w:rsidR="00E735F3" w:rsidRPr="00E735F3" w:rsidRDefault="00E735F3" w:rsidP="00E735F3">
            <w:pPr>
              <w:spacing w:before="60" w:after="60" w:line="240" w:lineRule="auto"/>
              <w:rPr>
                <w:sz w:val="18"/>
              </w:rPr>
            </w:pPr>
            <w:r w:rsidRPr="00E735F3">
              <w:rPr>
                <w:sz w:val="18"/>
              </w:rPr>
              <w:t>Niue, Samoa, Tonga (Stout 1982).</w:t>
            </w:r>
          </w:p>
        </w:tc>
        <w:tc>
          <w:tcPr>
            <w:tcW w:w="1701" w:type="dxa"/>
            <w:tcBorders>
              <w:top w:val="nil"/>
              <w:left w:val="nil"/>
              <w:bottom w:val="nil"/>
              <w:right w:val="nil"/>
            </w:tcBorders>
            <w:shd w:val="clear" w:color="auto" w:fill="auto"/>
          </w:tcPr>
          <w:p w14:paraId="2525CB64"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35F89492" w14:textId="77777777" w:rsidR="00E735F3" w:rsidRPr="00E735F3" w:rsidRDefault="00E735F3" w:rsidP="00E735F3">
            <w:pPr>
              <w:spacing w:before="60" w:after="60" w:line="240" w:lineRule="auto"/>
              <w:rPr>
                <w:sz w:val="18"/>
              </w:rPr>
            </w:pPr>
            <w:r w:rsidRPr="00E735F3">
              <w:rPr>
                <w:sz w:val="18"/>
              </w:rPr>
              <w:t>No. Lime is a host, but the larvae feed on leaves (Stout 1982). Not likely to be present on fruit.</w:t>
            </w:r>
          </w:p>
        </w:tc>
        <w:tc>
          <w:tcPr>
            <w:tcW w:w="2410" w:type="dxa"/>
            <w:tcBorders>
              <w:top w:val="nil"/>
              <w:left w:val="nil"/>
              <w:bottom w:val="nil"/>
              <w:right w:val="nil"/>
            </w:tcBorders>
            <w:shd w:val="clear" w:color="auto" w:fill="auto"/>
          </w:tcPr>
          <w:p w14:paraId="1C68655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C041B82"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4A03BD1" w14:textId="77777777" w:rsidR="00E735F3" w:rsidRPr="00E735F3" w:rsidRDefault="00231B42" w:rsidP="006D373C">
            <w:pPr>
              <w:spacing w:before="60" w:after="60" w:line="240" w:lineRule="auto"/>
              <w:rPr>
                <w:sz w:val="18"/>
              </w:rPr>
            </w:pPr>
            <w:r w:rsidRPr="00231B42">
              <w:rPr>
                <w:sz w:val="18"/>
              </w:rPr>
              <w:t>No</w:t>
            </w:r>
          </w:p>
        </w:tc>
      </w:tr>
      <w:tr w:rsidR="00E735F3" w:rsidRPr="00E735F3" w14:paraId="53D72C12" w14:textId="77777777" w:rsidTr="00063347">
        <w:trPr>
          <w:cantSplit/>
        </w:trPr>
        <w:tc>
          <w:tcPr>
            <w:tcW w:w="3403" w:type="dxa"/>
            <w:tcBorders>
              <w:top w:val="nil"/>
              <w:left w:val="nil"/>
              <w:bottom w:val="nil"/>
              <w:right w:val="nil"/>
            </w:tcBorders>
          </w:tcPr>
          <w:p w14:paraId="6D118AA2" w14:textId="77777777" w:rsidR="00E735F3" w:rsidRPr="00E735F3" w:rsidRDefault="00E735F3" w:rsidP="00E735F3">
            <w:pPr>
              <w:spacing w:before="60" w:after="60" w:line="240" w:lineRule="auto"/>
              <w:rPr>
                <w:sz w:val="18"/>
              </w:rPr>
            </w:pPr>
            <w:r w:rsidRPr="00E735F3">
              <w:rPr>
                <w:b/>
                <w:i/>
                <w:sz w:val="18"/>
              </w:rPr>
              <w:t>Cryptoblabes gnidiella</w:t>
            </w:r>
            <w:r w:rsidRPr="00E735F3">
              <w:rPr>
                <w:sz w:val="18"/>
              </w:rPr>
              <w:t xml:space="preserve"> (Milliére, 1867) </w:t>
            </w:r>
          </w:p>
          <w:p w14:paraId="55006814" w14:textId="77777777" w:rsidR="00E735F3" w:rsidRPr="00E735F3" w:rsidRDefault="00E735F3" w:rsidP="00E735F3">
            <w:pPr>
              <w:spacing w:before="60" w:after="60" w:line="240" w:lineRule="auto"/>
              <w:rPr>
                <w:sz w:val="18"/>
              </w:rPr>
            </w:pPr>
            <w:r w:rsidRPr="00E735F3">
              <w:rPr>
                <w:sz w:val="18"/>
              </w:rPr>
              <w:t>[Pyralidae]</w:t>
            </w:r>
          </w:p>
          <w:p w14:paraId="0BA5B198" w14:textId="77777777" w:rsidR="00E735F3" w:rsidRPr="00E735F3" w:rsidRDefault="00E735F3" w:rsidP="00E735F3">
            <w:pPr>
              <w:spacing w:before="60" w:after="60" w:line="240" w:lineRule="auto"/>
              <w:rPr>
                <w:sz w:val="18"/>
              </w:rPr>
            </w:pPr>
            <w:r w:rsidRPr="00E735F3">
              <w:rPr>
                <w:sz w:val="18"/>
              </w:rPr>
              <w:t>False blossom moth</w:t>
            </w:r>
          </w:p>
        </w:tc>
        <w:tc>
          <w:tcPr>
            <w:tcW w:w="1974" w:type="dxa"/>
            <w:tcBorders>
              <w:top w:val="nil"/>
              <w:left w:val="nil"/>
              <w:bottom w:val="nil"/>
              <w:right w:val="nil"/>
            </w:tcBorders>
          </w:tcPr>
          <w:p w14:paraId="6E9ABE07" w14:textId="77777777" w:rsidR="00E735F3" w:rsidRPr="00E735F3" w:rsidRDefault="00E735F3" w:rsidP="00E735F3">
            <w:pPr>
              <w:spacing w:before="60" w:after="60" w:line="240" w:lineRule="auto"/>
              <w:rPr>
                <w:sz w:val="18"/>
              </w:rPr>
            </w:pPr>
            <w:r w:rsidRPr="00E735F3">
              <w:rPr>
                <w:sz w:val="18"/>
              </w:rPr>
              <w:t>Cook Islands, Niue, Samoa, Tonga (Stout 1982).</w:t>
            </w:r>
          </w:p>
        </w:tc>
        <w:tc>
          <w:tcPr>
            <w:tcW w:w="1701" w:type="dxa"/>
            <w:tcBorders>
              <w:top w:val="nil"/>
              <w:left w:val="nil"/>
              <w:bottom w:val="nil"/>
              <w:right w:val="nil"/>
            </w:tcBorders>
            <w:shd w:val="clear" w:color="auto" w:fill="auto"/>
          </w:tcPr>
          <w:p w14:paraId="4178FA05"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591C65CF" w14:textId="77777777" w:rsidR="00E735F3" w:rsidRPr="00E735F3" w:rsidRDefault="00E735F3" w:rsidP="00E735F3">
            <w:pPr>
              <w:spacing w:before="60" w:after="60" w:line="240" w:lineRule="auto"/>
              <w:rPr>
                <w:sz w:val="18"/>
              </w:rPr>
            </w:pPr>
            <w:r w:rsidRPr="00E735F3">
              <w:rPr>
                <w:sz w:val="18"/>
              </w:rPr>
              <w:t xml:space="preserve">No. Lime is </w:t>
            </w:r>
            <w:r w:rsidR="00363C67">
              <w:rPr>
                <w:sz w:val="18"/>
              </w:rPr>
              <w:t xml:space="preserve">reported as </w:t>
            </w:r>
            <w:r w:rsidRPr="00E735F3">
              <w:rPr>
                <w:sz w:val="18"/>
              </w:rPr>
              <w:t xml:space="preserve">a host (Stout 1982), but </w:t>
            </w:r>
            <w:r w:rsidR="00363C67">
              <w:rPr>
                <w:sz w:val="18"/>
              </w:rPr>
              <w:t xml:space="preserve">this pest is </w:t>
            </w:r>
            <w:r w:rsidRPr="00E735F3">
              <w:rPr>
                <w:sz w:val="18"/>
              </w:rPr>
              <w:t>unlikely to be present on mature fruit harvested for export. Larvae may feed on rind of immature fruit, causing premature yellowing and fru</w:t>
            </w:r>
            <w:r w:rsidR="00B439D8">
              <w:rPr>
                <w:sz w:val="18"/>
              </w:rPr>
              <w:t>it drop (Silva and Mexia 1999).</w:t>
            </w:r>
          </w:p>
        </w:tc>
        <w:tc>
          <w:tcPr>
            <w:tcW w:w="2410" w:type="dxa"/>
            <w:tcBorders>
              <w:top w:val="nil"/>
              <w:left w:val="nil"/>
              <w:bottom w:val="nil"/>
              <w:right w:val="nil"/>
            </w:tcBorders>
            <w:shd w:val="clear" w:color="auto" w:fill="auto"/>
          </w:tcPr>
          <w:p w14:paraId="317AA7C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4983D84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20E2610" w14:textId="77777777" w:rsidR="00E735F3" w:rsidRPr="00E735F3" w:rsidRDefault="00231B42" w:rsidP="006D373C">
            <w:pPr>
              <w:spacing w:before="60" w:after="60" w:line="240" w:lineRule="auto"/>
              <w:rPr>
                <w:sz w:val="18"/>
              </w:rPr>
            </w:pPr>
            <w:r w:rsidRPr="00231B42">
              <w:rPr>
                <w:sz w:val="18"/>
              </w:rPr>
              <w:t>No</w:t>
            </w:r>
          </w:p>
        </w:tc>
      </w:tr>
      <w:tr w:rsidR="00E735F3" w:rsidRPr="00E735F3" w14:paraId="4E999188" w14:textId="77777777" w:rsidTr="00063347">
        <w:trPr>
          <w:cantSplit/>
        </w:trPr>
        <w:tc>
          <w:tcPr>
            <w:tcW w:w="3403" w:type="dxa"/>
            <w:tcBorders>
              <w:top w:val="nil"/>
              <w:left w:val="nil"/>
              <w:bottom w:val="nil"/>
              <w:right w:val="nil"/>
            </w:tcBorders>
          </w:tcPr>
          <w:p w14:paraId="00C29CD6" w14:textId="609C95C3" w:rsidR="00E735F3" w:rsidRPr="00E735F3" w:rsidRDefault="00E735F3" w:rsidP="00E735F3">
            <w:pPr>
              <w:spacing w:before="60" w:after="60" w:line="240" w:lineRule="auto"/>
              <w:rPr>
                <w:sz w:val="18"/>
              </w:rPr>
            </w:pPr>
            <w:r w:rsidRPr="00E735F3">
              <w:rPr>
                <w:b/>
                <w:i/>
                <w:sz w:val="18"/>
              </w:rPr>
              <w:t>Eudocima phalonia</w:t>
            </w:r>
            <w:r w:rsidRPr="00E735F3">
              <w:rPr>
                <w:i/>
                <w:sz w:val="18"/>
              </w:rPr>
              <w:t xml:space="preserve"> </w:t>
            </w:r>
            <w:r w:rsidR="0062504A">
              <w:rPr>
                <w:sz w:val="18"/>
              </w:rPr>
              <w:t>(L.</w:t>
            </w:r>
            <w:r w:rsidRPr="00E735F3">
              <w:rPr>
                <w:sz w:val="18"/>
              </w:rPr>
              <w:t>, 1763)</w:t>
            </w:r>
          </w:p>
          <w:p w14:paraId="45077F9B" w14:textId="365EF17B" w:rsidR="00E735F3" w:rsidRPr="00E735F3" w:rsidRDefault="00E735F3" w:rsidP="00E735F3">
            <w:pPr>
              <w:spacing w:before="60" w:after="60" w:line="240" w:lineRule="auto"/>
              <w:rPr>
                <w:sz w:val="18"/>
              </w:rPr>
            </w:pPr>
            <w:r w:rsidRPr="00E735F3">
              <w:rPr>
                <w:sz w:val="18"/>
              </w:rPr>
              <w:t>[syn.:</w:t>
            </w:r>
            <w:r w:rsidRPr="00E735F3">
              <w:rPr>
                <w:i/>
                <w:sz w:val="18"/>
              </w:rPr>
              <w:t xml:space="preserve"> Othreis fullonica </w:t>
            </w:r>
            <w:r w:rsidRPr="00E735F3">
              <w:rPr>
                <w:sz w:val="18"/>
              </w:rPr>
              <w:t>(L</w:t>
            </w:r>
            <w:r w:rsidR="0062504A">
              <w:rPr>
                <w:sz w:val="18"/>
              </w:rPr>
              <w:t>.</w:t>
            </w:r>
            <w:r w:rsidRPr="00E735F3">
              <w:rPr>
                <w:sz w:val="18"/>
              </w:rPr>
              <w:t xml:space="preserve">, 1767); </w:t>
            </w:r>
            <w:r w:rsidRPr="00E735F3">
              <w:rPr>
                <w:i/>
                <w:sz w:val="18"/>
              </w:rPr>
              <w:t>Eudocima fullonia</w:t>
            </w:r>
            <w:r w:rsidRPr="00E735F3">
              <w:rPr>
                <w:sz w:val="18"/>
              </w:rPr>
              <w:t xml:space="preserve"> (Clerck, 1764)]</w:t>
            </w:r>
          </w:p>
          <w:p w14:paraId="4BB72A30" w14:textId="77777777" w:rsidR="00E735F3" w:rsidRPr="00E735F3" w:rsidRDefault="00E735F3" w:rsidP="00E735F3">
            <w:pPr>
              <w:spacing w:before="60" w:after="60" w:line="240" w:lineRule="auto"/>
              <w:rPr>
                <w:sz w:val="18"/>
              </w:rPr>
            </w:pPr>
            <w:r w:rsidRPr="00E735F3">
              <w:rPr>
                <w:sz w:val="18"/>
              </w:rPr>
              <w:t xml:space="preserve">[Noctuidae] </w:t>
            </w:r>
          </w:p>
          <w:p w14:paraId="4CDA4050" w14:textId="77777777" w:rsidR="00E735F3" w:rsidRPr="00E735F3" w:rsidRDefault="00E735F3" w:rsidP="00E735F3">
            <w:pPr>
              <w:spacing w:before="60" w:after="60" w:line="240" w:lineRule="auto"/>
              <w:rPr>
                <w:i/>
                <w:sz w:val="18"/>
              </w:rPr>
            </w:pPr>
            <w:r w:rsidRPr="00E735F3">
              <w:rPr>
                <w:sz w:val="18"/>
              </w:rPr>
              <w:t>Fruit piercing moth</w:t>
            </w:r>
          </w:p>
        </w:tc>
        <w:tc>
          <w:tcPr>
            <w:tcW w:w="1974" w:type="dxa"/>
            <w:tcBorders>
              <w:top w:val="nil"/>
              <w:left w:val="nil"/>
              <w:bottom w:val="nil"/>
              <w:right w:val="nil"/>
            </w:tcBorders>
          </w:tcPr>
          <w:p w14:paraId="6BE224D6" w14:textId="77777777" w:rsidR="00E735F3" w:rsidRPr="00E735F3" w:rsidRDefault="00E735F3" w:rsidP="00E735F3">
            <w:pPr>
              <w:spacing w:before="60" w:after="60" w:line="240" w:lineRule="auto"/>
              <w:rPr>
                <w:sz w:val="18"/>
              </w:rPr>
            </w:pPr>
            <w:r w:rsidRPr="00E735F3">
              <w:rPr>
                <w:sz w:val="18"/>
              </w:rPr>
              <w:t>Cook Islands, Niue, Samoa, Tonga, Vanuatu (Stout 1982).</w:t>
            </w:r>
          </w:p>
        </w:tc>
        <w:tc>
          <w:tcPr>
            <w:tcW w:w="1701" w:type="dxa"/>
            <w:tcBorders>
              <w:top w:val="nil"/>
              <w:left w:val="nil"/>
              <w:bottom w:val="nil"/>
              <w:right w:val="nil"/>
            </w:tcBorders>
            <w:shd w:val="clear" w:color="auto" w:fill="auto"/>
          </w:tcPr>
          <w:p w14:paraId="5DAC1589" w14:textId="77777777" w:rsidR="00E735F3" w:rsidRPr="00E735F3" w:rsidRDefault="00E735F3" w:rsidP="00D8044C">
            <w:pPr>
              <w:spacing w:before="60" w:after="60" w:line="240" w:lineRule="auto"/>
              <w:rPr>
                <w:sz w:val="18"/>
              </w:rPr>
            </w:pPr>
            <w:r w:rsidRPr="00E735F3">
              <w:rPr>
                <w:sz w:val="18"/>
              </w:rPr>
              <w:t>Yes. NSW, NT</w:t>
            </w:r>
            <w:r w:rsidR="001C7980">
              <w:rPr>
                <w:sz w:val="18"/>
              </w:rPr>
              <w:t>,</w:t>
            </w:r>
            <w:r w:rsidRPr="00E735F3">
              <w:rPr>
                <w:sz w:val="18"/>
              </w:rPr>
              <w:t xml:space="preserve"> Qld (CSIRO 2016)</w:t>
            </w:r>
            <w:r w:rsidR="001C7980">
              <w:rPr>
                <w:sz w:val="18"/>
              </w:rPr>
              <w:t xml:space="preserve"> and WA (</w:t>
            </w:r>
            <w:r w:rsidR="00D8044C">
              <w:rPr>
                <w:sz w:val="18"/>
              </w:rPr>
              <w:t>APPD 2016</w:t>
            </w:r>
            <w:r w:rsidR="001C7980">
              <w:rPr>
                <w:sz w:val="18"/>
              </w:rPr>
              <w:t>)</w:t>
            </w:r>
            <w:r w:rsidRPr="00E735F3">
              <w:rPr>
                <w:sz w:val="18"/>
              </w:rPr>
              <w:t>.</w:t>
            </w:r>
          </w:p>
        </w:tc>
        <w:tc>
          <w:tcPr>
            <w:tcW w:w="2410" w:type="dxa"/>
            <w:tcBorders>
              <w:top w:val="nil"/>
              <w:left w:val="nil"/>
              <w:bottom w:val="nil"/>
              <w:right w:val="nil"/>
            </w:tcBorders>
          </w:tcPr>
          <w:p w14:paraId="2DC302E9" w14:textId="3D88781E"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2D536BD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45C6CE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8CB6976" w14:textId="77777777" w:rsidR="00E735F3" w:rsidRPr="00E735F3" w:rsidRDefault="00E735F3" w:rsidP="00E735F3">
            <w:pPr>
              <w:spacing w:before="60" w:after="60" w:line="240" w:lineRule="auto"/>
              <w:rPr>
                <w:sz w:val="18"/>
              </w:rPr>
            </w:pPr>
            <w:r w:rsidRPr="00E735F3">
              <w:rPr>
                <w:sz w:val="18"/>
              </w:rPr>
              <w:t>No</w:t>
            </w:r>
          </w:p>
        </w:tc>
      </w:tr>
      <w:tr w:rsidR="00E735F3" w:rsidRPr="00E735F3" w14:paraId="10826755" w14:textId="77777777" w:rsidTr="00063347">
        <w:trPr>
          <w:cantSplit/>
          <w:trHeight w:val="694"/>
        </w:trPr>
        <w:tc>
          <w:tcPr>
            <w:tcW w:w="3403" w:type="dxa"/>
            <w:tcBorders>
              <w:top w:val="nil"/>
              <w:left w:val="nil"/>
              <w:bottom w:val="single" w:sz="4" w:space="0" w:color="BFBFBF"/>
              <w:right w:val="nil"/>
            </w:tcBorders>
          </w:tcPr>
          <w:p w14:paraId="7470FB0D" w14:textId="77777777" w:rsidR="00E735F3" w:rsidRPr="00E735F3" w:rsidRDefault="00E735F3" w:rsidP="00E735F3">
            <w:pPr>
              <w:spacing w:before="60" w:after="60" w:line="240" w:lineRule="auto"/>
              <w:rPr>
                <w:sz w:val="18"/>
              </w:rPr>
            </w:pPr>
            <w:r w:rsidRPr="00E735F3">
              <w:rPr>
                <w:b/>
                <w:i/>
                <w:sz w:val="18"/>
              </w:rPr>
              <w:t>Eudocima salaminia</w:t>
            </w:r>
            <w:r w:rsidRPr="00E735F3">
              <w:rPr>
                <w:i/>
                <w:sz w:val="18"/>
              </w:rPr>
              <w:t xml:space="preserve"> </w:t>
            </w:r>
            <w:r w:rsidRPr="00E735F3">
              <w:rPr>
                <w:sz w:val="18"/>
              </w:rPr>
              <w:t>(Cramer, 1777)</w:t>
            </w:r>
          </w:p>
          <w:p w14:paraId="2D5C0A19" w14:textId="77777777" w:rsidR="00E735F3" w:rsidRPr="00E735F3" w:rsidRDefault="00E735F3" w:rsidP="00E735F3">
            <w:pPr>
              <w:spacing w:before="60" w:after="60" w:line="240" w:lineRule="auto"/>
              <w:rPr>
                <w:sz w:val="18"/>
              </w:rPr>
            </w:pPr>
            <w:r w:rsidRPr="00E735F3">
              <w:rPr>
                <w:sz w:val="18"/>
              </w:rPr>
              <w:t>[Noctuidae]</w:t>
            </w:r>
          </w:p>
          <w:p w14:paraId="3EFC3BF8" w14:textId="77777777" w:rsidR="00E735F3" w:rsidRPr="00E735F3" w:rsidRDefault="00E735F3" w:rsidP="00E735F3">
            <w:pPr>
              <w:spacing w:before="60" w:after="60" w:line="240" w:lineRule="auto"/>
              <w:rPr>
                <w:i/>
                <w:sz w:val="18"/>
              </w:rPr>
            </w:pPr>
            <w:r w:rsidRPr="00E735F3">
              <w:rPr>
                <w:sz w:val="18"/>
              </w:rPr>
              <w:t>Fruit piercing moth</w:t>
            </w:r>
          </w:p>
        </w:tc>
        <w:tc>
          <w:tcPr>
            <w:tcW w:w="1974" w:type="dxa"/>
            <w:tcBorders>
              <w:top w:val="nil"/>
              <w:left w:val="nil"/>
              <w:bottom w:val="single" w:sz="4" w:space="0" w:color="BFBFBF"/>
              <w:right w:val="nil"/>
            </w:tcBorders>
          </w:tcPr>
          <w:p w14:paraId="6D957F98" w14:textId="77777777" w:rsidR="00E735F3" w:rsidRPr="00E735F3" w:rsidRDefault="00E735F3" w:rsidP="00E735F3">
            <w:pPr>
              <w:spacing w:before="60" w:after="60" w:line="240" w:lineRule="auto"/>
              <w:rPr>
                <w:sz w:val="18"/>
              </w:rPr>
            </w:pPr>
            <w:r w:rsidRPr="00E735F3">
              <w:rPr>
                <w:sz w:val="18"/>
              </w:rPr>
              <w:t xml:space="preserve">Samoa, Tonga (Stout 1982), Vanuatu (Muniappan </w:t>
            </w:r>
            <w:r w:rsidRPr="00E735F3">
              <w:rPr>
                <w:i/>
                <w:sz w:val="18"/>
              </w:rPr>
              <w:t>et al</w:t>
            </w:r>
            <w:r w:rsidRPr="00E735F3">
              <w:rPr>
                <w:sz w:val="18"/>
              </w:rPr>
              <w:t>. 2002).</w:t>
            </w:r>
          </w:p>
        </w:tc>
        <w:tc>
          <w:tcPr>
            <w:tcW w:w="1701" w:type="dxa"/>
            <w:tcBorders>
              <w:top w:val="nil"/>
              <w:left w:val="nil"/>
              <w:bottom w:val="single" w:sz="4" w:space="0" w:color="BFBFBF"/>
              <w:right w:val="nil"/>
            </w:tcBorders>
            <w:shd w:val="clear" w:color="auto" w:fill="auto"/>
          </w:tcPr>
          <w:p w14:paraId="1B4CD6A4" w14:textId="77777777" w:rsidR="00E735F3" w:rsidRDefault="00E735F3" w:rsidP="00E735F3">
            <w:pPr>
              <w:spacing w:before="60" w:after="60" w:line="240" w:lineRule="auto"/>
              <w:rPr>
                <w:sz w:val="18"/>
              </w:rPr>
            </w:pPr>
            <w:r w:rsidRPr="00E735F3">
              <w:rPr>
                <w:sz w:val="18"/>
              </w:rPr>
              <w:t>Yes. NSW, NT and Qld (CSIRO 2016).</w:t>
            </w:r>
          </w:p>
          <w:p w14:paraId="6DD3251F" w14:textId="3774F5AF" w:rsidR="00C2751A" w:rsidRPr="00E735F3" w:rsidRDefault="00360033" w:rsidP="00E735F3">
            <w:pPr>
              <w:spacing w:before="60" w:after="60" w:line="240" w:lineRule="auto"/>
              <w:rPr>
                <w:sz w:val="18"/>
              </w:rPr>
            </w:pPr>
            <w:r w:rsidRPr="00360033">
              <w:rPr>
                <w:sz w:val="18"/>
              </w:rPr>
              <w:t>Declared Organism (Prohibited - section 12) for WA (Government of Western Australia 2017).</w:t>
            </w:r>
          </w:p>
        </w:tc>
        <w:tc>
          <w:tcPr>
            <w:tcW w:w="2410" w:type="dxa"/>
            <w:tcBorders>
              <w:top w:val="nil"/>
              <w:left w:val="nil"/>
              <w:bottom w:val="single" w:sz="4" w:space="0" w:color="BFBFBF"/>
              <w:right w:val="nil"/>
            </w:tcBorders>
          </w:tcPr>
          <w:p w14:paraId="58440468" w14:textId="77777777" w:rsidR="00E735F3" w:rsidRPr="00E735F3" w:rsidRDefault="00E735F3" w:rsidP="00E735F3">
            <w:pPr>
              <w:spacing w:before="60" w:after="60" w:line="240" w:lineRule="auto"/>
              <w:rPr>
                <w:sz w:val="18"/>
              </w:rPr>
            </w:pPr>
            <w:r w:rsidRPr="00E735F3">
              <w:rPr>
                <w:sz w:val="18"/>
              </w:rPr>
              <w:t xml:space="preserve">No. Adults feed on citrus, but only at night, so will not be present when fruit is harvested. Eggs are laid on the leaves of </w:t>
            </w:r>
            <w:r w:rsidRPr="00E735F3">
              <w:rPr>
                <w:i/>
                <w:sz w:val="18"/>
              </w:rPr>
              <w:t>Stephania japonica</w:t>
            </w:r>
            <w:r w:rsidRPr="00E735F3">
              <w:rPr>
                <w:sz w:val="18"/>
              </w:rPr>
              <w:t xml:space="preserve"> and other Menispermaceae plants on which the larvae feed (Muniappan </w:t>
            </w:r>
            <w:r w:rsidRPr="00E735F3">
              <w:rPr>
                <w:i/>
                <w:sz w:val="18"/>
              </w:rPr>
              <w:t>et al</w:t>
            </w:r>
            <w:r w:rsidRPr="00E735F3">
              <w:rPr>
                <w:sz w:val="18"/>
              </w:rPr>
              <w:t>. 2002).</w:t>
            </w:r>
          </w:p>
        </w:tc>
        <w:tc>
          <w:tcPr>
            <w:tcW w:w="2410" w:type="dxa"/>
            <w:tcBorders>
              <w:top w:val="nil"/>
              <w:left w:val="nil"/>
              <w:bottom w:val="single" w:sz="4" w:space="0" w:color="BFBFBF"/>
              <w:right w:val="nil"/>
            </w:tcBorders>
            <w:shd w:val="clear" w:color="auto" w:fill="auto"/>
          </w:tcPr>
          <w:p w14:paraId="4469E438" w14:textId="77777777" w:rsidR="00E735F3" w:rsidRPr="00E735F3" w:rsidRDefault="00E735F3" w:rsidP="006876FA">
            <w:pPr>
              <w:spacing w:before="60" w:after="60" w:line="240" w:lineRule="auto"/>
              <w:rPr>
                <w:sz w:val="18"/>
              </w:rPr>
            </w:pPr>
            <w:r w:rsidRPr="00E735F3">
              <w:rPr>
                <w:sz w:val="18"/>
              </w:rPr>
              <w:t>Assessment not r</w:t>
            </w:r>
            <w:r w:rsidR="00C2751A">
              <w:rPr>
                <w:sz w:val="18"/>
              </w:rPr>
              <w:t xml:space="preserve">equired. </w:t>
            </w:r>
          </w:p>
        </w:tc>
        <w:tc>
          <w:tcPr>
            <w:tcW w:w="2268" w:type="dxa"/>
            <w:tcBorders>
              <w:top w:val="nil"/>
              <w:left w:val="nil"/>
              <w:bottom w:val="single" w:sz="4" w:space="0" w:color="BFBFBF"/>
              <w:right w:val="nil"/>
            </w:tcBorders>
            <w:shd w:val="clear" w:color="auto" w:fill="auto"/>
          </w:tcPr>
          <w:p w14:paraId="2D651B67" w14:textId="77777777" w:rsidR="00E735F3" w:rsidRPr="00E735F3" w:rsidRDefault="00E735F3" w:rsidP="006876FA">
            <w:pPr>
              <w:spacing w:before="60" w:after="60" w:line="240" w:lineRule="auto"/>
              <w:rPr>
                <w:sz w:val="18"/>
              </w:rPr>
            </w:pPr>
            <w:r w:rsidRPr="00E735F3">
              <w:rPr>
                <w:sz w:val="18"/>
              </w:rPr>
              <w:t>Assessment not r</w:t>
            </w:r>
            <w:r w:rsidR="00C2751A">
              <w:rPr>
                <w:sz w:val="18"/>
              </w:rPr>
              <w:t xml:space="preserve">equired. </w:t>
            </w:r>
          </w:p>
        </w:tc>
        <w:tc>
          <w:tcPr>
            <w:tcW w:w="1285" w:type="dxa"/>
            <w:tcBorders>
              <w:top w:val="nil"/>
              <w:left w:val="nil"/>
              <w:bottom w:val="single" w:sz="4" w:space="0" w:color="BFBFBF"/>
              <w:right w:val="nil"/>
            </w:tcBorders>
          </w:tcPr>
          <w:p w14:paraId="1AD8F6D7" w14:textId="77777777" w:rsidR="00E735F3" w:rsidRPr="00E735F3" w:rsidRDefault="00A843FD" w:rsidP="00AE26BD">
            <w:pPr>
              <w:spacing w:before="60" w:after="60" w:line="240" w:lineRule="auto"/>
              <w:rPr>
                <w:sz w:val="18"/>
              </w:rPr>
            </w:pPr>
            <w:r>
              <w:rPr>
                <w:bCs/>
                <w:sz w:val="18"/>
              </w:rPr>
              <w:t>No</w:t>
            </w:r>
          </w:p>
        </w:tc>
      </w:tr>
      <w:tr w:rsidR="00E735F3" w:rsidRPr="00E735F3" w14:paraId="4ED08A74" w14:textId="77777777" w:rsidTr="00063347">
        <w:trPr>
          <w:cantSplit/>
        </w:trPr>
        <w:tc>
          <w:tcPr>
            <w:tcW w:w="15451" w:type="dxa"/>
            <w:gridSpan w:val="7"/>
            <w:tcBorders>
              <w:top w:val="single" w:sz="4" w:space="0" w:color="BFBFBF"/>
              <w:left w:val="nil"/>
              <w:bottom w:val="nil"/>
              <w:right w:val="nil"/>
            </w:tcBorders>
            <w:shd w:val="clear" w:color="auto" w:fill="FFFFFF"/>
          </w:tcPr>
          <w:p w14:paraId="75C2D775" w14:textId="77777777" w:rsidR="00E735F3" w:rsidRPr="00E735F3" w:rsidRDefault="00E735F3" w:rsidP="00E735F3">
            <w:pPr>
              <w:keepNext/>
              <w:spacing w:before="60" w:after="60" w:line="240" w:lineRule="auto"/>
              <w:rPr>
                <w:b/>
                <w:sz w:val="18"/>
              </w:rPr>
            </w:pPr>
            <w:r w:rsidRPr="00E735F3">
              <w:rPr>
                <w:b/>
                <w:sz w:val="18"/>
              </w:rPr>
              <w:t>CHLOROPHYTA: Ulvophyceae</w:t>
            </w:r>
          </w:p>
        </w:tc>
      </w:tr>
      <w:tr w:rsidR="00E735F3" w:rsidRPr="00E735F3" w14:paraId="42E11193" w14:textId="77777777" w:rsidTr="00063347">
        <w:trPr>
          <w:cantSplit/>
        </w:trPr>
        <w:tc>
          <w:tcPr>
            <w:tcW w:w="15451" w:type="dxa"/>
            <w:gridSpan w:val="7"/>
            <w:tcBorders>
              <w:top w:val="single" w:sz="4" w:space="0" w:color="BFBFBF"/>
              <w:left w:val="nil"/>
              <w:bottom w:val="nil"/>
              <w:right w:val="nil"/>
            </w:tcBorders>
            <w:shd w:val="clear" w:color="auto" w:fill="FFFFFF"/>
          </w:tcPr>
          <w:p w14:paraId="315C7429" w14:textId="77777777" w:rsidR="00E735F3" w:rsidRPr="00E735F3" w:rsidRDefault="00E735F3" w:rsidP="00E735F3">
            <w:pPr>
              <w:keepNext/>
              <w:spacing w:before="60" w:after="60" w:line="240" w:lineRule="auto"/>
              <w:rPr>
                <w:b/>
                <w:sz w:val="18"/>
              </w:rPr>
            </w:pPr>
            <w:r w:rsidRPr="00E735F3">
              <w:rPr>
                <w:b/>
                <w:sz w:val="18"/>
              </w:rPr>
              <w:t>Trentepohliales (green algae)</w:t>
            </w:r>
          </w:p>
        </w:tc>
      </w:tr>
      <w:tr w:rsidR="00E735F3" w:rsidRPr="00E735F3" w14:paraId="78815CDF" w14:textId="77777777" w:rsidTr="00063347">
        <w:trPr>
          <w:cantSplit/>
          <w:trHeight w:val="694"/>
        </w:trPr>
        <w:tc>
          <w:tcPr>
            <w:tcW w:w="3403" w:type="dxa"/>
            <w:tcBorders>
              <w:top w:val="nil"/>
              <w:left w:val="nil"/>
              <w:bottom w:val="single" w:sz="4" w:space="0" w:color="BFBFBF"/>
              <w:right w:val="nil"/>
            </w:tcBorders>
          </w:tcPr>
          <w:p w14:paraId="4F6C1595" w14:textId="03BA45AF" w:rsidR="00E735F3" w:rsidRPr="00E735F3" w:rsidRDefault="00E735F3" w:rsidP="00E735F3">
            <w:pPr>
              <w:spacing w:before="60" w:after="60" w:line="240" w:lineRule="auto"/>
              <w:rPr>
                <w:sz w:val="18"/>
              </w:rPr>
            </w:pPr>
            <w:r w:rsidRPr="00E735F3">
              <w:rPr>
                <w:b/>
                <w:i/>
                <w:sz w:val="18"/>
              </w:rPr>
              <w:t>Cephaleuros virescens</w:t>
            </w:r>
            <w:r w:rsidRPr="00E735F3">
              <w:rPr>
                <w:sz w:val="18"/>
              </w:rPr>
              <w:t xml:space="preserve"> Künze ex E.M.Fries</w:t>
            </w:r>
            <w:r w:rsidR="0038161D">
              <w:rPr>
                <w:sz w:val="18"/>
              </w:rPr>
              <w:t xml:space="preserve"> 1832</w:t>
            </w:r>
          </w:p>
          <w:p w14:paraId="0084E587" w14:textId="77777777" w:rsidR="00E735F3" w:rsidRPr="00E735F3" w:rsidRDefault="00E735F3" w:rsidP="00E735F3">
            <w:pPr>
              <w:spacing w:before="60" w:after="60" w:line="240" w:lineRule="auto"/>
              <w:rPr>
                <w:sz w:val="18"/>
              </w:rPr>
            </w:pPr>
            <w:r w:rsidRPr="00E735F3">
              <w:rPr>
                <w:sz w:val="18"/>
              </w:rPr>
              <w:t>[Trentepohliales: Trentepohliaceae]</w:t>
            </w:r>
          </w:p>
          <w:p w14:paraId="05660AD8" w14:textId="77777777" w:rsidR="00E735F3" w:rsidRPr="00E735F3" w:rsidRDefault="00E735F3" w:rsidP="00E735F3">
            <w:pPr>
              <w:spacing w:before="60" w:after="60" w:line="240" w:lineRule="auto"/>
              <w:rPr>
                <w:sz w:val="18"/>
              </w:rPr>
            </w:pPr>
            <w:r w:rsidRPr="00E735F3">
              <w:rPr>
                <w:sz w:val="18"/>
              </w:rPr>
              <w:t>Algal leafspot</w:t>
            </w:r>
          </w:p>
        </w:tc>
        <w:tc>
          <w:tcPr>
            <w:tcW w:w="1974" w:type="dxa"/>
            <w:tcBorders>
              <w:top w:val="nil"/>
              <w:left w:val="nil"/>
              <w:bottom w:val="single" w:sz="4" w:space="0" w:color="BFBFBF"/>
              <w:right w:val="nil"/>
            </w:tcBorders>
          </w:tcPr>
          <w:p w14:paraId="36BAA6AF" w14:textId="77777777" w:rsidR="00E735F3" w:rsidRPr="00E735F3" w:rsidRDefault="00E735F3" w:rsidP="00E735F3">
            <w:pPr>
              <w:spacing w:before="60" w:after="60" w:line="240" w:lineRule="auto"/>
              <w:rPr>
                <w:sz w:val="18"/>
              </w:rPr>
            </w:pPr>
            <w:r w:rsidRPr="00E735F3">
              <w:rPr>
                <w:sz w:val="18"/>
              </w:rPr>
              <w:t xml:space="preserve">Cook Islands, Niue, Samoa, Tonga (Dingley </w:t>
            </w:r>
            <w:r w:rsidRPr="00E735F3">
              <w:rPr>
                <w:i/>
                <w:sz w:val="18"/>
              </w:rPr>
              <w:t>et al</w:t>
            </w:r>
            <w:r w:rsidRPr="00E735F3">
              <w:rPr>
                <w:sz w:val="18"/>
              </w:rPr>
              <w:t>. 1981), Vanuatu (SPC 2016).</w:t>
            </w:r>
          </w:p>
        </w:tc>
        <w:tc>
          <w:tcPr>
            <w:tcW w:w="1701" w:type="dxa"/>
            <w:tcBorders>
              <w:top w:val="nil"/>
              <w:left w:val="nil"/>
              <w:bottom w:val="single" w:sz="4" w:space="0" w:color="BFBFBF"/>
              <w:right w:val="nil"/>
            </w:tcBorders>
            <w:shd w:val="clear" w:color="auto" w:fill="auto"/>
          </w:tcPr>
          <w:p w14:paraId="31995EF9" w14:textId="77777777" w:rsidR="00E735F3" w:rsidRPr="00E735F3" w:rsidRDefault="001C7980" w:rsidP="00D8044C">
            <w:pPr>
              <w:spacing w:before="60" w:after="60" w:line="240" w:lineRule="auto"/>
              <w:rPr>
                <w:sz w:val="18"/>
              </w:rPr>
            </w:pPr>
            <w:r>
              <w:rPr>
                <w:sz w:val="18"/>
              </w:rPr>
              <w:t>Yes. WA (</w:t>
            </w:r>
            <w:r w:rsidR="00D8044C">
              <w:rPr>
                <w:sz w:val="18"/>
              </w:rPr>
              <w:t>APPD 2016</w:t>
            </w:r>
            <w:r>
              <w:rPr>
                <w:sz w:val="18"/>
              </w:rPr>
              <w:t>)</w:t>
            </w:r>
            <w:r w:rsidR="00E735F3" w:rsidRPr="00E735F3">
              <w:rPr>
                <w:sz w:val="18"/>
              </w:rPr>
              <w:t>.</w:t>
            </w:r>
          </w:p>
        </w:tc>
        <w:tc>
          <w:tcPr>
            <w:tcW w:w="2410" w:type="dxa"/>
            <w:tcBorders>
              <w:top w:val="nil"/>
              <w:left w:val="nil"/>
              <w:bottom w:val="single" w:sz="4" w:space="0" w:color="BFBFBF"/>
              <w:right w:val="nil"/>
            </w:tcBorders>
          </w:tcPr>
          <w:p w14:paraId="63DD576A" w14:textId="327A6B72" w:rsidR="00E735F3" w:rsidRPr="00E735F3" w:rsidRDefault="003E3D69" w:rsidP="003F78DA">
            <w:pPr>
              <w:spacing w:before="60" w:after="60" w:line="240" w:lineRule="auto"/>
              <w:rPr>
                <w:sz w:val="18"/>
              </w:rPr>
            </w:pPr>
            <w:r w:rsidRPr="003E3D69">
              <w:rPr>
                <w:sz w:val="18"/>
              </w:rPr>
              <w:t>Assessment not required</w:t>
            </w:r>
            <w:r w:rsidR="00E028B3">
              <w:rPr>
                <w:sz w:val="18"/>
              </w:rPr>
              <w:t>.</w:t>
            </w:r>
          </w:p>
        </w:tc>
        <w:tc>
          <w:tcPr>
            <w:tcW w:w="2410" w:type="dxa"/>
            <w:tcBorders>
              <w:top w:val="nil"/>
              <w:left w:val="nil"/>
              <w:bottom w:val="single" w:sz="4" w:space="0" w:color="BFBFBF"/>
              <w:right w:val="nil"/>
            </w:tcBorders>
            <w:shd w:val="clear" w:color="auto" w:fill="auto"/>
          </w:tcPr>
          <w:p w14:paraId="3D6F58F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73B60028"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2830F059" w14:textId="77777777" w:rsidR="00E735F3" w:rsidRPr="00E735F3" w:rsidRDefault="00E735F3" w:rsidP="00E735F3">
            <w:pPr>
              <w:spacing w:before="60" w:after="60" w:line="240" w:lineRule="auto"/>
              <w:rPr>
                <w:sz w:val="18"/>
              </w:rPr>
            </w:pPr>
            <w:r w:rsidRPr="00E735F3">
              <w:rPr>
                <w:sz w:val="18"/>
              </w:rPr>
              <w:t>No</w:t>
            </w:r>
          </w:p>
        </w:tc>
      </w:tr>
      <w:tr w:rsidR="00E735F3" w:rsidRPr="00E735F3" w14:paraId="20235862" w14:textId="77777777" w:rsidTr="00063347">
        <w:trPr>
          <w:cantSplit/>
        </w:trPr>
        <w:tc>
          <w:tcPr>
            <w:tcW w:w="15451" w:type="dxa"/>
            <w:gridSpan w:val="7"/>
            <w:tcBorders>
              <w:top w:val="single" w:sz="4" w:space="0" w:color="BFBFBF"/>
              <w:left w:val="nil"/>
              <w:bottom w:val="nil"/>
              <w:right w:val="nil"/>
            </w:tcBorders>
            <w:shd w:val="clear" w:color="auto" w:fill="FFFFFF"/>
          </w:tcPr>
          <w:p w14:paraId="15D4CF59" w14:textId="77777777" w:rsidR="00E735F3" w:rsidRPr="00E735F3" w:rsidRDefault="00E735F3" w:rsidP="00E735F3">
            <w:pPr>
              <w:keepNext/>
              <w:spacing w:before="60" w:after="60" w:line="240" w:lineRule="auto"/>
              <w:rPr>
                <w:b/>
                <w:sz w:val="18"/>
              </w:rPr>
            </w:pPr>
            <w:r w:rsidRPr="00E735F3">
              <w:rPr>
                <w:b/>
                <w:sz w:val="18"/>
              </w:rPr>
              <w:t>CHROMALVEOLATA:</w:t>
            </w:r>
            <w:r w:rsidRPr="00E735F3">
              <w:rPr>
                <w:sz w:val="18"/>
              </w:rPr>
              <w:t xml:space="preserve"> </w:t>
            </w:r>
            <w:r w:rsidRPr="00E735F3">
              <w:rPr>
                <w:b/>
                <w:sz w:val="18"/>
              </w:rPr>
              <w:t>Oomycota</w:t>
            </w:r>
          </w:p>
        </w:tc>
      </w:tr>
      <w:tr w:rsidR="00E735F3" w:rsidRPr="00E735F3" w14:paraId="040D562B" w14:textId="77777777" w:rsidTr="00063347">
        <w:trPr>
          <w:cantSplit/>
        </w:trPr>
        <w:tc>
          <w:tcPr>
            <w:tcW w:w="15451" w:type="dxa"/>
            <w:gridSpan w:val="7"/>
            <w:tcBorders>
              <w:top w:val="single" w:sz="4" w:space="0" w:color="BFBFBF"/>
              <w:left w:val="nil"/>
              <w:bottom w:val="nil"/>
              <w:right w:val="nil"/>
            </w:tcBorders>
            <w:shd w:val="clear" w:color="auto" w:fill="FFFFFF"/>
          </w:tcPr>
          <w:p w14:paraId="07027348" w14:textId="77777777" w:rsidR="00E735F3" w:rsidRPr="00E735F3" w:rsidRDefault="00E735F3" w:rsidP="00E735F3">
            <w:pPr>
              <w:keepNext/>
              <w:spacing w:before="60" w:after="60" w:line="240" w:lineRule="auto"/>
              <w:rPr>
                <w:b/>
                <w:sz w:val="18"/>
              </w:rPr>
            </w:pPr>
            <w:r w:rsidRPr="00E735F3">
              <w:rPr>
                <w:b/>
                <w:sz w:val="18"/>
              </w:rPr>
              <w:t>Peronosporales (water moulds)</w:t>
            </w:r>
          </w:p>
        </w:tc>
      </w:tr>
      <w:tr w:rsidR="00E735F3" w:rsidRPr="00E735F3" w14:paraId="2E2FBFD4" w14:textId="77777777" w:rsidTr="00063347">
        <w:trPr>
          <w:cantSplit/>
        </w:trPr>
        <w:tc>
          <w:tcPr>
            <w:tcW w:w="3403" w:type="dxa"/>
            <w:tcBorders>
              <w:top w:val="nil"/>
              <w:left w:val="nil"/>
              <w:bottom w:val="single" w:sz="4" w:space="0" w:color="BFBFBF"/>
              <w:right w:val="nil"/>
            </w:tcBorders>
          </w:tcPr>
          <w:p w14:paraId="0EAF6E44" w14:textId="1C0FECD2" w:rsidR="00E735F3" w:rsidRPr="00E735F3" w:rsidRDefault="00E735F3" w:rsidP="00E735F3">
            <w:pPr>
              <w:spacing w:before="60" w:after="60" w:line="240" w:lineRule="auto"/>
              <w:rPr>
                <w:sz w:val="18"/>
              </w:rPr>
            </w:pPr>
            <w:r w:rsidRPr="00E735F3">
              <w:rPr>
                <w:b/>
                <w:i/>
                <w:sz w:val="18"/>
              </w:rPr>
              <w:t>Phytophthora nicotianae</w:t>
            </w:r>
            <w:r w:rsidRPr="00E735F3">
              <w:rPr>
                <w:i/>
                <w:sz w:val="18"/>
              </w:rPr>
              <w:t xml:space="preserve"> </w:t>
            </w:r>
            <w:r w:rsidRPr="00E735F3">
              <w:rPr>
                <w:sz w:val="18"/>
              </w:rPr>
              <w:t>Breda de Haan</w:t>
            </w:r>
            <w:r w:rsidR="0038161D">
              <w:rPr>
                <w:sz w:val="18"/>
              </w:rPr>
              <w:t xml:space="preserve"> 1896</w:t>
            </w:r>
          </w:p>
          <w:p w14:paraId="7B25D47B" w14:textId="77777777" w:rsidR="00E735F3" w:rsidRPr="00E735F3" w:rsidRDefault="00E735F3" w:rsidP="00E735F3">
            <w:pPr>
              <w:spacing w:before="60" w:after="60" w:line="240" w:lineRule="auto"/>
              <w:rPr>
                <w:sz w:val="18"/>
              </w:rPr>
            </w:pPr>
            <w:r w:rsidRPr="00E735F3">
              <w:rPr>
                <w:sz w:val="18"/>
              </w:rPr>
              <w:t>[Peronosporaceae]</w:t>
            </w:r>
          </w:p>
          <w:p w14:paraId="75557235" w14:textId="77777777" w:rsidR="00E735F3" w:rsidRPr="00E735F3" w:rsidRDefault="00E735F3" w:rsidP="00E735F3">
            <w:pPr>
              <w:spacing w:before="60" w:after="60" w:line="240" w:lineRule="auto"/>
              <w:rPr>
                <w:i/>
                <w:sz w:val="18"/>
              </w:rPr>
            </w:pPr>
            <w:r w:rsidRPr="00E735F3">
              <w:rPr>
                <w:sz w:val="18"/>
              </w:rPr>
              <w:t>Brown rot</w:t>
            </w:r>
          </w:p>
        </w:tc>
        <w:tc>
          <w:tcPr>
            <w:tcW w:w="1974" w:type="dxa"/>
            <w:tcBorders>
              <w:top w:val="nil"/>
              <w:left w:val="nil"/>
              <w:bottom w:val="single" w:sz="4" w:space="0" w:color="BFBFBF"/>
              <w:right w:val="nil"/>
            </w:tcBorders>
          </w:tcPr>
          <w:p w14:paraId="6A0B6173" w14:textId="77777777" w:rsidR="00E735F3" w:rsidRPr="00E735F3" w:rsidRDefault="00E735F3" w:rsidP="00E735F3">
            <w:pPr>
              <w:spacing w:before="60" w:after="60" w:line="240" w:lineRule="auto"/>
              <w:rPr>
                <w:sz w:val="18"/>
              </w:rPr>
            </w:pPr>
            <w:r w:rsidRPr="00E735F3">
              <w:rPr>
                <w:sz w:val="18"/>
              </w:rPr>
              <w:t xml:space="preserve">Cook Islands (Dingley </w:t>
            </w:r>
            <w:r w:rsidRPr="00E735F3">
              <w:rPr>
                <w:i/>
                <w:sz w:val="18"/>
              </w:rPr>
              <w:t>et al</w:t>
            </w:r>
            <w:r w:rsidRPr="00E735F3">
              <w:rPr>
                <w:sz w:val="18"/>
              </w:rPr>
              <w:t>. 1981), Samoa, Tonga (SPC 2016).</w:t>
            </w:r>
          </w:p>
        </w:tc>
        <w:tc>
          <w:tcPr>
            <w:tcW w:w="1701" w:type="dxa"/>
            <w:tcBorders>
              <w:top w:val="nil"/>
              <w:left w:val="nil"/>
              <w:bottom w:val="single" w:sz="4" w:space="0" w:color="BFBFBF"/>
              <w:right w:val="nil"/>
            </w:tcBorders>
            <w:shd w:val="clear" w:color="auto" w:fill="FFFFFF"/>
          </w:tcPr>
          <w:p w14:paraId="51A65EE7" w14:textId="77777777" w:rsidR="00E735F3" w:rsidRPr="00E735F3" w:rsidRDefault="00E735F3" w:rsidP="00E735F3">
            <w:pPr>
              <w:spacing w:before="60" w:after="60" w:line="240" w:lineRule="auto"/>
              <w:rPr>
                <w:sz w:val="18"/>
              </w:rPr>
            </w:pPr>
            <w:r w:rsidRPr="00E735F3">
              <w:rPr>
                <w:sz w:val="18"/>
              </w:rPr>
              <w:t>Yes. Qld (Simmonds 1966), SA (Cook and Dube 1989), Tas. (Sampson and Walker 1982) and WA (Shivas 1989).</w:t>
            </w:r>
          </w:p>
        </w:tc>
        <w:tc>
          <w:tcPr>
            <w:tcW w:w="2410" w:type="dxa"/>
            <w:tcBorders>
              <w:top w:val="nil"/>
              <w:left w:val="nil"/>
              <w:bottom w:val="single" w:sz="4" w:space="0" w:color="BFBFBF"/>
              <w:right w:val="nil"/>
            </w:tcBorders>
          </w:tcPr>
          <w:p w14:paraId="7693B3DC" w14:textId="5FEF78AD"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single" w:sz="4" w:space="0" w:color="BFBFBF"/>
              <w:right w:val="nil"/>
            </w:tcBorders>
            <w:shd w:val="clear" w:color="auto" w:fill="auto"/>
          </w:tcPr>
          <w:p w14:paraId="1B67E70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single" w:sz="4" w:space="0" w:color="BFBFBF"/>
              <w:right w:val="nil"/>
            </w:tcBorders>
            <w:shd w:val="clear" w:color="auto" w:fill="auto"/>
          </w:tcPr>
          <w:p w14:paraId="7C15AA03"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66282C13" w14:textId="77777777" w:rsidR="00E735F3" w:rsidRPr="00E735F3" w:rsidRDefault="00E735F3" w:rsidP="00E735F3">
            <w:pPr>
              <w:spacing w:before="60" w:after="60" w:line="240" w:lineRule="auto"/>
              <w:rPr>
                <w:sz w:val="18"/>
              </w:rPr>
            </w:pPr>
            <w:r w:rsidRPr="00E735F3">
              <w:rPr>
                <w:sz w:val="18"/>
              </w:rPr>
              <w:t>No</w:t>
            </w:r>
          </w:p>
        </w:tc>
      </w:tr>
      <w:tr w:rsidR="00E735F3" w:rsidRPr="00E735F3" w14:paraId="19BF5521" w14:textId="77777777" w:rsidTr="00063347">
        <w:trPr>
          <w:cantSplit/>
        </w:trPr>
        <w:tc>
          <w:tcPr>
            <w:tcW w:w="15451" w:type="dxa"/>
            <w:gridSpan w:val="7"/>
            <w:tcBorders>
              <w:top w:val="single" w:sz="4" w:space="0" w:color="BFBFBF"/>
              <w:left w:val="nil"/>
              <w:bottom w:val="nil"/>
              <w:right w:val="nil"/>
            </w:tcBorders>
            <w:shd w:val="clear" w:color="auto" w:fill="FFFFFF"/>
          </w:tcPr>
          <w:p w14:paraId="78DEE335" w14:textId="77777777" w:rsidR="00E735F3" w:rsidRPr="00E735F3" w:rsidRDefault="00E735F3" w:rsidP="00E735F3">
            <w:pPr>
              <w:keepNext/>
              <w:spacing w:before="60" w:after="60" w:line="240" w:lineRule="auto"/>
              <w:rPr>
                <w:b/>
                <w:sz w:val="18"/>
              </w:rPr>
            </w:pPr>
            <w:r w:rsidRPr="00E735F3">
              <w:rPr>
                <w:sz w:val="18"/>
              </w:rPr>
              <w:br w:type="page"/>
            </w:r>
            <w:r w:rsidRPr="00E735F3">
              <w:rPr>
                <w:b/>
                <w:sz w:val="18"/>
              </w:rPr>
              <w:t>FUNGI</w:t>
            </w:r>
          </w:p>
        </w:tc>
      </w:tr>
      <w:tr w:rsidR="00817848" w:rsidRPr="00E735F3" w14:paraId="61F50ADE" w14:textId="77777777" w:rsidTr="00063347">
        <w:trPr>
          <w:cantSplit/>
        </w:trPr>
        <w:tc>
          <w:tcPr>
            <w:tcW w:w="3403" w:type="dxa"/>
            <w:tcBorders>
              <w:top w:val="nil"/>
              <w:left w:val="nil"/>
              <w:bottom w:val="nil"/>
              <w:right w:val="nil"/>
            </w:tcBorders>
            <w:shd w:val="clear" w:color="auto" w:fill="auto"/>
          </w:tcPr>
          <w:p w14:paraId="5C31839E" w14:textId="77777777" w:rsidR="00817848" w:rsidRDefault="00817848" w:rsidP="00E22049">
            <w:pPr>
              <w:spacing w:before="60" w:after="60" w:line="240" w:lineRule="auto"/>
              <w:rPr>
                <w:sz w:val="18"/>
              </w:rPr>
            </w:pPr>
            <w:r w:rsidRPr="00817848">
              <w:rPr>
                <w:b/>
                <w:i/>
                <w:sz w:val="18"/>
              </w:rPr>
              <w:t xml:space="preserve">Chaetothyrium javanicum </w:t>
            </w:r>
            <w:r w:rsidRPr="00817848">
              <w:rPr>
                <w:sz w:val="18"/>
              </w:rPr>
              <w:t>(Zimm.) Boedijn 1931</w:t>
            </w:r>
          </w:p>
          <w:p w14:paraId="729319D0" w14:textId="77777777" w:rsidR="00817848" w:rsidRDefault="00817848" w:rsidP="00E22049">
            <w:pPr>
              <w:spacing w:before="60" w:after="60" w:line="240" w:lineRule="auto"/>
              <w:rPr>
                <w:sz w:val="18"/>
              </w:rPr>
            </w:pPr>
            <w:r>
              <w:rPr>
                <w:sz w:val="18"/>
              </w:rPr>
              <w:t>[Chaetothyriaceae]</w:t>
            </w:r>
          </w:p>
          <w:p w14:paraId="10524377" w14:textId="77777777" w:rsidR="00817848" w:rsidRPr="000F127E" w:rsidRDefault="0000001D" w:rsidP="00E22049">
            <w:pPr>
              <w:spacing w:before="60" w:after="60" w:line="240" w:lineRule="auto"/>
              <w:rPr>
                <w:b/>
                <w:i/>
                <w:sz w:val="18"/>
              </w:rPr>
            </w:pPr>
            <w:r>
              <w:rPr>
                <w:sz w:val="18"/>
              </w:rPr>
              <w:t>Sooty mould</w:t>
            </w:r>
          </w:p>
        </w:tc>
        <w:tc>
          <w:tcPr>
            <w:tcW w:w="1974" w:type="dxa"/>
            <w:tcBorders>
              <w:top w:val="nil"/>
              <w:left w:val="nil"/>
              <w:bottom w:val="nil"/>
              <w:right w:val="nil"/>
            </w:tcBorders>
            <w:shd w:val="clear" w:color="auto" w:fill="auto"/>
          </w:tcPr>
          <w:p w14:paraId="3EF2EC4B" w14:textId="77777777" w:rsidR="00817848" w:rsidRPr="000F127E" w:rsidRDefault="00817848" w:rsidP="00E22049">
            <w:pPr>
              <w:spacing w:before="60" w:after="60" w:line="240" w:lineRule="auto"/>
              <w:rPr>
                <w:sz w:val="18"/>
              </w:rPr>
            </w:pPr>
            <w:r>
              <w:rPr>
                <w:sz w:val="18"/>
              </w:rPr>
              <w:t xml:space="preserve">Samoa, Tonga (Dingley </w:t>
            </w:r>
            <w:r w:rsidRPr="00817848">
              <w:rPr>
                <w:i/>
                <w:sz w:val="18"/>
              </w:rPr>
              <w:t>et al</w:t>
            </w:r>
            <w:r>
              <w:rPr>
                <w:sz w:val="18"/>
              </w:rPr>
              <w:t xml:space="preserve">. 1981, as </w:t>
            </w:r>
            <w:r w:rsidRPr="00817848">
              <w:rPr>
                <w:i/>
                <w:sz w:val="18"/>
              </w:rPr>
              <w:t>Phaeosaccardinula javanica</w:t>
            </w:r>
            <w:r>
              <w:rPr>
                <w:sz w:val="18"/>
              </w:rPr>
              <w:t>).</w:t>
            </w:r>
          </w:p>
        </w:tc>
        <w:tc>
          <w:tcPr>
            <w:tcW w:w="1701" w:type="dxa"/>
            <w:tcBorders>
              <w:top w:val="nil"/>
              <w:left w:val="nil"/>
              <w:bottom w:val="nil"/>
              <w:right w:val="nil"/>
            </w:tcBorders>
            <w:shd w:val="clear" w:color="auto" w:fill="auto"/>
          </w:tcPr>
          <w:p w14:paraId="085FDEB4" w14:textId="77777777" w:rsidR="00817848" w:rsidRPr="000F127E" w:rsidRDefault="00817848" w:rsidP="00E22049">
            <w:pPr>
              <w:spacing w:before="60" w:after="60" w:line="240" w:lineRule="auto"/>
              <w:rPr>
                <w:sz w:val="18"/>
              </w:rPr>
            </w:pPr>
            <w:r>
              <w:rPr>
                <w:sz w:val="18"/>
              </w:rPr>
              <w:t>No record found</w:t>
            </w:r>
          </w:p>
        </w:tc>
        <w:tc>
          <w:tcPr>
            <w:tcW w:w="2410" w:type="dxa"/>
            <w:tcBorders>
              <w:top w:val="nil"/>
              <w:left w:val="nil"/>
              <w:bottom w:val="nil"/>
              <w:right w:val="nil"/>
            </w:tcBorders>
            <w:shd w:val="clear" w:color="auto" w:fill="auto"/>
          </w:tcPr>
          <w:p w14:paraId="60EF509E" w14:textId="77777777" w:rsidR="00817848" w:rsidRPr="000F127E" w:rsidRDefault="00817848" w:rsidP="00083046">
            <w:pPr>
              <w:spacing w:before="60" w:after="60" w:line="240" w:lineRule="auto"/>
              <w:rPr>
                <w:sz w:val="18"/>
              </w:rPr>
            </w:pPr>
            <w:r>
              <w:rPr>
                <w:sz w:val="18"/>
              </w:rPr>
              <w:t>No</w:t>
            </w:r>
            <w:r w:rsidR="0000001D">
              <w:rPr>
                <w:sz w:val="18"/>
              </w:rPr>
              <w:t xml:space="preserve">. </w:t>
            </w:r>
            <w:r w:rsidR="00083046">
              <w:rPr>
                <w:sz w:val="18"/>
              </w:rPr>
              <w:t xml:space="preserve">Sooty moulds are superficial fungi found on the leaves, stems and fruit of trees that have been infested with honeydew excreting insects (Timmer 2000). Affected fruit would be removed from the pathway prior to export. </w:t>
            </w:r>
          </w:p>
        </w:tc>
        <w:tc>
          <w:tcPr>
            <w:tcW w:w="2410" w:type="dxa"/>
            <w:tcBorders>
              <w:top w:val="nil"/>
              <w:left w:val="nil"/>
              <w:bottom w:val="nil"/>
              <w:right w:val="nil"/>
            </w:tcBorders>
            <w:shd w:val="clear" w:color="auto" w:fill="auto"/>
          </w:tcPr>
          <w:p w14:paraId="57F4A433" w14:textId="77777777" w:rsidR="00817848" w:rsidRPr="000F127E" w:rsidRDefault="00083046" w:rsidP="006876FA">
            <w:pPr>
              <w:spacing w:before="60" w:after="60" w:line="240" w:lineRule="auto"/>
              <w:rPr>
                <w:sz w:val="18"/>
              </w:rPr>
            </w:pPr>
            <w:r w:rsidRPr="00083046">
              <w:rPr>
                <w:sz w:val="18"/>
              </w:rPr>
              <w:t xml:space="preserve">Assessment not required. </w:t>
            </w:r>
          </w:p>
        </w:tc>
        <w:tc>
          <w:tcPr>
            <w:tcW w:w="2268" w:type="dxa"/>
            <w:tcBorders>
              <w:top w:val="nil"/>
              <w:left w:val="nil"/>
              <w:bottom w:val="nil"/>
              <w:right w:val="nil"/>
            </w:tcBorders>
            <w:shd w:val="clear" w:color="auto" w:fill="auto"/>
          </w:tcPr>
          <w:p w14:paraId="5F4C1A75" w14:textId="77777777" w:rsidR="00817848" w:rsidRPr="000F127E" w:rsidRDefault="00083046" w:rsidP="006876FA">
            <w:pPr>
              <w:spacing w:before="60" w:after="60" w:line="240" w:lineRule="auto"/>
              <w:rPr>
                <w:sz w:val="18"/>
              </w:rPr>
            </w:pPr>
            <w:r w:rsidRPr="00083046">
              <w:rPr>
                <w:sz w:val="18"/>
              </w:rPr>
              <w:t xml:space="preserve">Assessment not required. </w:t>
            </w:r>
          </w:p>
        </w:tc>
        <w:tc>
          <w:tcPr>
            <w:tcW w:w="1285" w:type="dxa"/>
            <w:tcBorders>
              <w:top w:val="nil"/>
              <w:left w:val="nil"/>
              <w:bottom w:val="nil"/>
              <w:right w:val="nil"/>
            </w:tcBorders>
            <w:shd w:val="clear" w:color="auto" w:fill="auto"/>
          </w:tcPr>
          <w:p w14:paraId="059FE3DB" w14:textId="77777777" w:rsidR="00817848" w:rsidRPr="000F127E" w:rsidRDefault="00817848" w:rsidP="00E22049">
            <w:pPr>
              <w:spacing w:before="60" w:after="60" w:line="240" w:lineRule="auto"/>
              <w:rPr>
                <w:sz w:val="18"/>
              </w:rPr>
            </w:pPr>
            <w:r>
              <w:rPr>
                <w:sz w:val="18"/>
              </w:rPr>
              <w:t>No</w:t>
            </w:r>
          </w:p>
        </w:tc>
      </w:tr>
      <w:tr w:rsidR="00C93BDC" w:rsidRPr="00E735F3" w14:paraId="7B6A1834" w14:textId="77777777" w:rsidTr="00063347">
        <w:trPr>
          <w:cantSplit/>
        </w:trPr>
        <w:tc>
          <w:tcPr>
            <w:tcW w:w="3403" w:type="dxa"/>
            <w:tcBorders>
              <w:top w:val="nil"/>
              <w:left w:val="nil"/>
              <w:bottom w:val="nil"/>
              <w:right w:val="nil"/>
            </w:tcBorders>
            <w:shd w:val="clear" w:color="auto" w:fill="auto"/>
          </w:tcPr>
          <w:p w14:paraId="10AEDD57" w14:textId="793923DD" w:rsidR="00C93BDC" w:rsidRPr="000F127E" w:rsidRDefault="00C93BDC" w:rsidP="00E22049">
            <w:pPr>
              <w:spacing w:before="60" w:after="60" w:line="240" w:lineRule="auto"/>
              <w:rPr>
                <w:sz w:val="18"/>
              </w:rPr>
            </w:pPr>
            <w:r w:rsidRPr="000F127E">
              <w:rPr>
                <w:b/>
                <w:i/>
                <w:sz w:val="18"/>
              </w:rPr>
              <w:t>Cryptosporiopsis citri</w:t>
            </w:r>
            <w:r w:rsidRPr="000F127E">
              <w:rPr>
                <w:i/>
                <w:sz w:val="18"/>
              </w:rPr>
              <w:t xml:space="preserve"> </w:t>
            </w:r>
            <w:r w:rsidR="0062504A">
              <w:rPr>
                <w:sz w:val="18"/>
              </w:rPr>
              <w:t>P.R.</w:t>
            </w:r>
            <w:r w:rsidRPr="000F127E">
              <w:rPr>
                <w:sz w:val="18"/>
              </w:rPr>
              <w:t>Johnst. &amp; Full.</w:t>
            </w:r>
            <w:r w:rsidR="0062504A">
              <w:rPr>
                <w:sz w:val="18"/>
              </w:rPr>
              <w:t xml:space="preserve"> 1988</w:t>
            </w:r>
          </w:p>
          <w:p w14:paraId="1F6DFB4B" w14:textId="77777777" w:rsidR="00C93BDC" w:rsidRPr="000F127E" w:rsidRDefault="00C93BDC" w:rsidP="00E22049">
            <w:pPr>
              <w:spacing w:before="60" w:after="60" w:line="240" w:lineRule="auto"/>
              <w:rPr>
                <w:sz w:val="18"/>
              </w:rPr>
            </w:pPr>
            <w:r w:rsidRPr="000F127E">
              <w:rPr>
                <w:sz w:val="18"/>
              </w:rPr>
              <w:t>[Dermateaceae]</w:t>
            </w:r>
          </w:p>
          <w:p w14:paraId="594E37EC" w14:textId="77777777" w:rsidR="00C93BDC" w:rsidRPr="0054024C" w:rsidRDefault="00C93BDC" w:rsidP="00E22049">
            <w:pPr>
              <w:spacing w:before="60" w:after="60" w:line="240" w:lineRule="auto"/>
              <w:rPr>
                <w:sz w:val="18"/>
                <w:highlight w:val="yellow"/>
              </w:rPr>
            </w:pPr>
            <w:r w:rsidRPr="000F127E">
              <w:rPr>
                <w:sz w:val="18"/>
              </w:rPr>
              <w:t>Leaf spot</w:t>
            </w:r>
          </w:p>
        </w:tc>
        <w:tc>
          <w:tcPr>
            <w:tcW w:w="1974" w:type="dxa"/>
            <w:tcBorders>
              <w:top w:val="nil"/>
              <w:left w:val="nil"/>
              <w:bottom w:val="nil"/>
              <w:right w:val="nil"/>
            </w:tcBorders>
            <w:shd w:val="clear" w:color="auto" w:fill="auto"/>
          </w:tcPr>
          <w:p w14:paraId="28C4441C" w14:textId="77777777" w:rsidR="00C93BDC" w:rsidRPr="000F127E" w:rsidRDefault="00C93BDC" w:rsidP="00E22049">
            <w:pPr>
              <w:spacing w:before="60" w:after="60" w:line="240" w:lineRule="auto"/>
              <w:rPr>
                <w:sz w:val="18"/>
              </w:rPr>
            </w:pPr>
            <w:r w:rsidRPr="000F127E">
              <w:rPr>
                <w:sz w:val="18"/>
              </w:rPr>
              <w:t>Cook Islands, Niue, Samoa, Tonga, Vanuatu (Johnston and Fullerton 1988).</w:t>
            </w:r>
          </w:p>
        </w:tc>
        <w:tc>
          <w:tcPr>
            <w:tcW w:w="1701" w:type="dxa"/>
            <w:tcBorders>
              <w:top w:val="nil"/>
              <w:left w:val="nil"/>
              <w:bottom w:val="nil"/>
              <w:right w:val="nil"/>
            </w:tcBorders>
            <w:shd w:val="clear" w:color="auto" w:fill="auto"/>
          </w:tcPr>
          <w:p w14:paraId="0C75A4D1" w14:textId="77777777" w:rsidR="00C93BDC" w:rsidRPr="000F127E" w:rsidRDefault="00C93BDC" w:rsidP="00E22049">
            <w:pPr>
              <w:spacing w:before="60" w:after="60" w:line="240" w:lineRule="auto"/>
              <w:rPr>
                <w:sz w:val="18"/>
              </w:rPr>
            </w:pPr>
            <w:r w:rsidRPr="000F127E">
              <w:rPr>
                <w:sz w:val="18"/>
              </w:rPr>
              <w:t xml:space="preserve">Yes. NT (Ray </w:t>
            </w:r>
            <w:r w:rsidRPr="000F127E">
              <w:rPr>
                <w:i/>
                <w:sz w:val="18"/>
              </w:rPr>
              <w:t>et al</w:t>
            </w:r>
            <w:r w:rsidRPr="000F127E">
              <w:rPr>
                <w:sz w:val="18"/>
              </w:rPr>
              <w:t>. 2008)</w:t>
            </w:r>
            <w:r>
              <w:rPr>
                <w:sz w:val="18"/>
              </w:rPr>
              <w:t>, Qld (Johnston and Fullerton 1988)</w:t>
            </w:r>
            <w:r w:rsidRPr="000F127E">
              <w:rPr>
                <w:sz w:val="18"/>
              </w:rPr>
              <w:t>.</w:t>
            </w:r>
          </w:p>
        </w:tc>
        <w:tc>
          <w:tcPr>
            <w:tcW w:w="2410" w:type="dxa"/>
            <w:tcBorders>
              <w:top w:val="nil"/>
              <w:left w:val="nil"/>
              <w:bottom w:val="nil"/>
              <w:right w:val="nil"/>
            </w:tcBorders>
            <w:shd w:val="clear" w:color="auto" w:fill="auto"/>
          </w:tcPr>
          <w:p w14:paraId="184093B6" w14:textId="38BBED89" w:rsidR="00C93BDC" w:rsidRPr="000F127E" w:rsidRDefault="00C736E9" w:rsidP="00E22049">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06F5FEC" w14:textId="77777777" w:rsidR="00C93BDC" w:rsidRPr="000F127E" w:rsidRDefault="00C93BDC" w:rsidP="006876FA">
            <w:pPr>
              <w:spacing w:before="60" w:after="60" w:line="240" w:lineRule="auto"/>
              <w:rPr>
                <w:sz w:val="18"/>
              </w:rPr>
            </w:pPr>
            <w:r w:rsidRPr="000F127E">
              <w:rPr>
                <w:sz w:val="18"/>
              </w:rPr>
              <w:t xml:space="preserve">Assessment not required. </w:t>
            </w:r>
          </w:p>
        </w:tc>
        <w:tc>
          <w:tcPr>
            <w:tcW w:w="2268" w:type="dxa"/>
            <w:tcBorders>
              <w:top w:val="nil"/>
              <w:left w:val="nil"/>
              <w:bottom w:val="nil"/>
              <w:right w:val="nil"/>
            </w:tcBorders>
            <w:shd w:val="clear" w:color="auto" w:fill="auto"/>
          </w:tcPr>
          <w:p w14:paraId="4BBF9A0E" w14:textId="77777777" w:rsidR="00C93BDC" w:rsidRPr="000F127E" w:rsidRDefault="00C93BDC" w:rsidP="006876FA">
            <w:pPr>
              <w:spacing w:before="60" w:after="60" w:line="240" w:lineRule="auto"/>
              <w:rPr>
                <w:sz w:val="18"/>
              </w:rPr>
            </w:pPr>
            <w:r w:rsidRPr="000F127E">
              <w:rPr>
                <w:sz w:val="18"/>
              </w:rPr>
              <w:t xml:space="preserve">Assessment not required. </w:t>
            </w:r>
          </w:p>
        </w:tc>
        <w:tc>
          <w:tcPr>
            <w:tcW w:w="1285" w:type="dxa"/>
            <w:tcBorders>
              <w:top w:val="nil"/>
              <w:left w:val="nil"/>
              <w:bottom w:val="nil"/>
              <w:right w:val="nil"/>
            </w:tcBorders>
            <w:shd w:val="clear" w:color="auto" w:fill="auto"/>
          </w:tcPr>
          <w:p w14:paraId="1085E335" w14:textId="77777777" w:rsidR="00C93BDC" w:rsidRPr="000F127E" w:rsidRDefault="00C93BDC" w:rsidP="00E22049">
            <w:pPr>
              <w:spacing w:before="60" w:after="60" w:line="240" w:lineRule="auto"/>
              <w:rPr>
                <w:sz w:val="18"/>
              </w:rPr>
            </w:pPr>
            <w:r w:rsidRPr="000F127E">
              <w:rPr>
                <w:sz w:val="18"/>
              </w:rPr>
              <w:t>No</w:t>
            </w:r>
          </w:p>
        </w:tc>
      </w:tr>
      <w:tr w:rsidR="000861FB" w:rsidRPr="00E735F3" w14:paraId="6889A0B0" w14:textId="77777777" w:rsidTr="000E37D4">
        <w:trPr>
          <w:cantSplit/>
        </w:trPr>
        <w:tc>
          <w:tcPr>
            <w:tcW w:w="3403" w:type="dxa"/>
            <w:tcBorders>
              <w:top w:val="nil"/>
              <w:left w:val="nil"/>
              <w:bottom w:val="nil"/>
              <w:right w:val="nil"/>
            </w:tcBorders>
          </w:tcPr>
          <w:p w14:paraId="3ACB46B4" w14:textId="77777777" w:rsidR="000861FB" w:rsidRPr="00E735F3" w:rsidRDefault="000861FB" w:rsidP="000E37D4">
            <w:pPr>
              <w:spacing w:before="60" w:after="60" w:line="240" w:lineRule="auto"/>
              <w:rPr>
                <w:b/>
                <w:i/>
                <w:sz w:val="18"/>
              </w:rPr>
            </w:pPr>
            <w:r>
              <w:rPr>
                <w:b/>
                <w:i/>
                <w:sz w:val="18"/>
              </w:rPr>
              <w:t>Diaporthe</w:t>
            </w:r>
            <w:r w:rsidRPr="00E735F3">
              <w:rPr>
                <w:b/>
                <w:i/>
                <w:sz w:val="18"/>
              </w:rPr>
              <w:t xml:space="preserve"> citri </w:t>
            </w:r>
            <w:r>
              <w:rPr>
                <w:b/>
                <w:sz w:val="18"/>
              </w:rPr>
              <w:t>(</w:t>
            </w:r>
            <w:r w:rsidRPr="00E735F3">
              <w:rPr>
                <w:sz w:val="18"/>
              </w:rPr>
              <w:t>H.S.Fawc</w:t>
            </w:r>
            <w:r w:rsidRPr="00E735F3">
              <w:rPr>
                <w:i/>
                <w:sz w:val="18"/>
              </w:rPr>
              <w:t>.</w:t>
            </w:r>
            <w:r>
              <w:rPr>
                <w:sz w:val="18"/>
              </w:rPr>
              <w:t>) F.A.Wolf 1926</w:t>
            </w:r>
            <w:r>
              <w:rPr>
                <w:i/>
                <w:sz w:val="18"/>
              </w:rPr>
              <w:t xml:space="preserve"> </w:t>
            </w:r>
          </w:p>
          <w:p w14:paraId="236442A8" w14:textId="77777777" w:rsidR="000861FB" w:rsidRPr="00E735F3" w:rsidRDefault="000861FB" w:rsidP="000E37D4">
            <w:pPr>
              <w:spacing w:before="60" w:after="60" w:line="240" w:lineRule="auto"/>
              <w:rPr>
                <w:sz w:val="18"/>
              </w:rPr>
            </w:pPr>
            <w:r w:rsidRPr="00E735F3">
              <w:rPr>
                <w:sz w:val="18"/>
              </w:rPr>
              <w:t>[Diaporthaceae]</w:t>
            </w:r>
          </w:p>
          <w:p w14:paraId="585DE3A6" w14:textId="77777777" w:rsidR="000861FB" w:rsidRPr="00E735F3" w:rsidRDefault="000861FB" w:rsidP="000E37D4">
            <w:pPr>
              <w:spacing w:before="60" w:after="60" w:line="240" w:lineRule="auto"/>
              <w:rPr>
                <w:i/>
                <w:sz w:val="18"/>
              </w:rPr>
            </w:pPr>
            <w:r w:rsidRPr="00E735F3">
              <w:rPr>
                <w:sz w:val="18"/>
              </w:rPr>
              <w:t>Melanose</w:t>
            </w:r>
          </w:p>
        </w:tc>
        <w:tc>
          <w:tcPr>
            <w:tcW w:w="1974" w:type="dxa"/>
            <w:tcBorders>
              <w:top w:val="nil"/>
              <w:left w:val="nil"/>
              <w:bottom w:val="nil"/>
              <w:right w:val="nil"/>
            </w:tcBorders>
          </w:tcPr>
          <w:p w14:paraId="24F32F1F" w14:textId="77777777" w:rsidR="000861FB" w:rsidRPr="00E735F3" w:rsidRDefault="000861FB" w:rsidP="000E37D4">
            <w:pPr>
              <w:spacing w:before="60" w:after="60" w:line="240" w:lineRule="auto"/>
              <w:rPr>
                <w:sz w:val="18"/>
              </w:rPr>
            </w:pPr>
            <w:r w:rsidRPr="00E735F3">
              <w:rPr>
                <w:sz w:val="18"/>
              </w:rPr>
              <w:t xml:space="preserve">Cook Islands, Niue, Samoa, Tonga (Dingley </w:t>
            </w:r>
            <w:r w:rsidRPr="00E735F3">
              <w:rPr>
                <w:i/>
                <w:sz w:val="18"/>
              </w:rPr>
              <w:t>et al</w:t>
            </w:r>
            <w:r w:rsidRPr="00E735F3">
              <w:rPr>
                <w:sz w:val="18"/>
              </w:rPr>
              <w:t xml:space="preserve">. 1981; Stout 1982, as </w:t>
            </w:r>
            <w:r w:rsidRPr="00E735F3">
              <w:rPr>
                <w:i/>
                <w:sz w:val="18"/>
              </w:rPr>
              <w:t>Diaporthe citri</w:t>
            </w:r>
            <w:r w:rsidRPr="00E735F3">
              <w:rPr>
                <w:sz w:val="18"/>
              </w:rPr>
              <w:t>).</w:t>
            </w:r>
          </w:p>
        </w:tc>
        <w:tc>
          <w:tcPr>
            <w:tcW w:w="1701" w:type="dxa"/>
            <w:tcBorders>
              <w:top w:val="nil"/>
              <w:left w:val="nil"/>
              <w:bottom w:val="nil"/>
              <w:right w:val="nil"/>
            </w:tcBorders>
            <w:shd w:val="clear" w:color="auto" w:fill="FFFFFF"/>
          </w:tcPr>
          <w:p w14:paraId="20638D9B" w14:textId="77777777" w:rsidR="000861FB" w:rsidRPr="00E735F3" w:rsidRDefault="000861FB" w:rsidP="000E37D4">
            <w:pPr>
              <w:spacing w:before="60" w:after="60" w:line="240" w:lineRule="auto"/>
              <w:rPr>
                <w:sz w:val="18"/>
              </w:rPr>
            </w:pPr>
            <w:r w:rsidRPr="00E735F3">
              <w:rPr>
                <w:sz w:val="18"/>
              </w:rPr>
              <w:t xml:space="preserve">Yes. NSW (Letham 1995), Qld (Simmonds 1966) and WA (ALA 2016). </w:t>
            </w:r>
          </w:p>
        </w:tc>
        <w:tc>
          <w:tcPr>
            <w:tcW w:w="2410" w:type="dxa"/>
            <w:tcBorders>
              <w:top w:val="nil"/>
              <w:left w:val="nil"/>
              <w:bottom w:val="nil"/>
              <w:right w:val="nil"/>
            </w:tcBorders>
          </w:tcPr>
          <w:p w14:paraId="263C48E1" w14:textId="1C9472D2" w:rsidR="000861FB" w:rsidRPr="00E735F3" w:rsidRDefault="00C736E9" w:rsidP="000E37D4">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71C4A3D8" w14:textId="77777777" w:rsidR="000861FB" w:rsidRPr="00E735F3" w:rsidRDefault="000861FB" w:rsidP="000E37D4">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FCE99F2" w14:textId="77777777" w:rsidR="000861FB" w:rsidRPr="00E735F3" w:rsidRDefault="000861FB" w:rsidP="000E37D4">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53F491C9" w14:textId="77777777" w:rsidR="000861FB" w:rsidRPr="00E735F3" w:rsidRDefault="000861FB" w:rsidP="000E37D4">
            <w:pPr>
              <w:spacing w:before="60" w:after="60" w:line="240" w:lineRule="auto"/>
              <w:rPr>
                <w:sz w:val="18"/>
              </w:rPr>
            </w:pPr>
            <w:r w:rsidRPr="00E735F3">
              <w:rPr>
                <w:sz w:val="18"/>
              </w:rPr>
              <w:t>No</w:t>
            </w:r>
          </w:p>
        </w:tc>
      </w:tr>
      <w:tr w:rsidR="007F72E8" w:rsidRPr="00E735F3" w14:paraId="518E0F6F" w14:textId="77777777" w:rsidTr="007F72E8">
        <w:trPr>
          <w:cantSplit/>
        </w:trPr>
        <w:tc>
          <w:tcPr>
            <w:tcW w:w="3403" w:type="dxa"/>
            <w:tcBorders>
              <w:top w:val="nil"/>
              <w:left w:val="nil"/>
              <w:bottom w:val="single" w:sz="4" w:space="0" w:color="BFBFBF"/>
              <w:right w:val="nil"/>
            </w:tcBorders>
            <w:shd w:val="clear" w:color="auto" w:fill="FFFFFF"/>
          </w:tcPr>
          <w:p w14:paraId="302F8CAF" w14:textId="3BB7D94D" w:rsidR="007F72E8" w:rsidRPr="00E735F3" w:rsidRDefault="007F72E8" w:rsidP="007F72E8">
            <w:pPr>
              <w:spacing w:before="60" w:after="60" w:line="240" w:lineRule="auto"/>
              <w:rPr>
                <w:sz w:val="18"/>
              </w:rPr>
            </w:pPr>
            <w:r w:rsidRPr="00E735F3">
              <w:rPr>
                <w:b/>
                <w:i/>
                <w:sz w:val="18"/>
              </w:rPr>
              <w:t>Elsinoë</w:t>
            </w:r>
            <w:r>
              <w:rPr>
                <w:b/>
                <w:i/>
                <w:sz w:val="18"/>
              </w:rPr>
              <w:t xml:space="preserve"> </w:t>
            </w:r>
            <w:r w:rsidRPr="00E735F3">
              <w:rPr>
                <w:b/>
                <w:i/>
                <w:sz w:val="18"/>
              </w:rPr>
              <w:t>fawcettii</w:t>
            </w:r>
            <w:r w:rsidRPr="00E735F3">
              <w:rPr>
                <w:b/>
                <w:sz w:val="18"/>
              </w:rPr>
              <w:t xml:space="preserve"> </w:t>
            </w:r>
            <w:r w:rsidR="0062504A">
              <w:rPr>
                <w:sz w:val="18"/>
              </w:rPr>
              <w:t>Bitanc.</w:t>
            </w:r>
            <w:r w:rsidRPr="00E735F3">
              <w:rPr>
                <w:sz w:val="18"/>
              </w:rPr>
              <w:t xml:space="preserve"> &amp; Jenkins</w:t>
            </w:r>
            <w:r w:rsidR="0062504A">
              <w:rPr>
                <w:sz w:val="18"/>
              </w:rPr>
              <w:t xml:space="preserve"> 1936</w:t>
            </w:r>
          </w:p>
          <w:p w14:paraId="2B34F0EA" w14:textId="77777777" w:rsidR="007F72E8" w:rsidRPr="00E735F3" w:rsidRDefault="007F72E8" w:rsidP="007F72E8">
            <w:pPr>
              <w:spacing w:before="60" w:after="60" w:line="240" w:lineRule="auto"/>
              <w:rPr>
                <w:sz w:val="18"/>
              </w:rPr>
            </w:pPr>
            <w:r w:rsidRPr="00E735F3">
              <w:rPr>
                <w:sz w:val="18"/>
              </w:rPr>
              <w:t>[Elsinoaceae]</w:t>
            </w:r>
          </w:p>
          <w:p w14:paraId="290B0498" w14:textId="77777777" w:rsidR="007F72E8" w:rsidRPr="00E735F3" w:rsidRDefault="007F72E8" w:rsidP="007F72E8">
            <w:pPr>
              <w:spacing w:before="60" w:after="60" w:line="240" w:lineRule="auto"/>
              <w:rPr>
                <w:i/>
                <w:sz w:val="18"/>
              </w:rPr>
            </w:pPr>
            <w:r w:rsidRPr="00E735F3">
              <w:rPr>
                <w:sz w:val="18"/>
              </w:rPr>
              <w:t>Citrus scab</w:t>
            </w:r>
          </w:p>
        </w:tc>
        <w:tc>
          <w:tcPr>
            <w:tcW w:w="1974" w:type="dxa"/>
            <w:tcBorders>
              <w:top w:val="nil"/>
              <w:left w:val="nil"/>
              <w:bottom w:val="single" w:sz="4" w:space="0" w:color="BFBFBF"/>
              <w:right w:val="nil"/>
            </w:tcBorders>
            <w:shd w:val="clear" w:color="auto" w:fill="FFFFFF"/>
          </w:tcPr>
          <w:p w14:paraId="6264ED1C" w14:textId="77777777" w:rsidR="007F72E8" w:rsidRDefault="007F72E8" w:rsidP="007F72E8">
            <w:pPr>
              <w:spacing w:before="60" w:after="60" w:line="240" w:lineRule="auto"/>
              <w:rPr>
                <w:sz w:val="18"/>
              </w:rPr>
            </w:pPr>
            <w:r w:rsidRPr="00E735F3">
              <w:rPr>
                <w:sz w:val="18"/>
              </w:rPr>
              <w:t xml:space="preserve">Cook Islands, Niue, Samoa, Tonga (Dingley </w:t>
            </w:r>
            <w:r w:rsidRPr="00E735F3">
              <w:rPr>
                <w:i/>
                <w:sz w:val="18"/>
              </w:rPr>
              <w:t>et al</w:t>
            </w:r>
            <w:r w:rsidRPr="00E735F3">
              <w:rPr>
                <w:sz w:val="18"/>
              </w:rPr>
              <w:t xml:space="preserve">. 1981, as </w:t>
            </w:r>
            <w:r w:rsidRPr="00E735F3">
              <w:rPr>
                <w:i/>
                <w:sz w:val="18"/>
              </w:rPr>
              <w:t>Sphaceloma fawcettii</w:t>
            </w:r>
            <w:r w:rsidRPr="00E735F3">
              <w:rPr>
                <w:sz w:val="18"/>
              </w:rPr>
              <w:t>), Vanuatu (McKenzie 1989).</w:t>
            </w:r>
          </w:p>
          <w:p w14:paraId="26BC0EEA" w14:textId="1EDF8EC6" w:rsidR="00EE6030" w:rsidRPr="00E735F3" w:rsidRDefault="00EE6030" w:rsidP="007F72E8">
            <w:pPr>
              <w:spacing w:before="60" w:after="60" w:line="240" w:lineRule="auto"/>
              <w:rPr>
                <w:sz w:val="18"/>
              </w:rPr>
            </w:pPr>
            <w:r>
              <w:rPr>
                <w:sz w:val="18"/>
              </w:rPr>
              <w:t>Information on the scab pathotypes present in these countries is not available.</w:t>
            </w:r>
          </w:p>
        </w:tc>
        <w:tc>
          <w:tcPr>
            <w:tcW w:w="1701" w:type="dxa"/>
            <w:tcBorders>
              <w:top w:val="nil"/>
              <w:left w:val="nil"/>
              <w:bottom w:val="single" w:sz="4" w:space="0" w:color="BFBFBF"/>
              <w:right w:val="nil"/>
            </w:tcBorders>
            <w:shd w:val="clear" w:color="auto" w:fill="FFFFFF"/>
          </w:tcPr>
          <w:p w14:paraId="1794FCBB" w14:textId="77777777" w:rsidR="007F72E8" w:rsidRDefault="007F72E8" w:rsidP="007F72E8">
            <w:pPr>
              <w:spacing w:before="60" w:after="60" w:line="240" w:lineRule="auto"/>
              <w:rPr>
                <w:sz w:val="18"/>
              </w:rPr>
            </w:pPr>
            <w:r w:rsidRPr="00E735F3">
              <w:rPr>
                <w:sz w:val="18"/>
              </w:rPr>
              <w:t xml:space="preserve">Yes. NSW, NT and Qld (Timmer </w:t>
            </w:r>
            <w:r w:rsidRPr="00E735F3">
              <w:rPr>
                <w:i/>
                <w:sz w:val="18"/>
              </w:rPr>
              <w:t>et al.</w:t>
            </w:r>
            <w:r w:rsidRPr="00E735F3">
              <w:rPr>
                <w:sz w:val="18"/>
              </w:rPr>
              <w:t xml:space="preserve"> 1996). At least two pathotypes are present in Australia (Tryon’s and lemon) (Timmer </w:t>
            </w:r>
            <w:r w:rsidRPr="00E735F3">
              <w:rPr>
                <w:i/>
                <w:sz w:val="18"/>
              </w:rPr>
              <w:t>et al.</w:t>
            </w:r>
            <w:r w:rsidRPr="00E735F3">
              <w:rPr>
                <w:sz w:val="18"/>
              </w:rPr>
              <w:t xml:space="preserve"> 1996).</w:t>
            </w:r>
          </w:p>
          <w:p w14:paraId="49B03D9E" w14:textId="060591CC" w:rsidR="007F72E8" w:rsidRPr="00E735F3" w:rsidRDefault="0031527E" w:rsidP="00211BE4">
            <w:pPr>
              <w:spacing w:before="60" w:after="60" w:line="240" w:lineRule="auto"/>
              <w:rPr>
                <w:sz w:val="18"/>
              </w:rPr>
            </w:pPr>
            <w:r w:rsidRPr="0031527E">
              <w:rPr>
                <w:sz w:val="18"/>
              </w:rPr>
              <w:t>Declared O</w:t>
            </w:r>
            <w:r>
              <w:rPr>
                <w:sz w:val="18"/>
              </w:rPr>
              <w:t>rganism (Prohibited - section 12)</w:t>
            </w:r>
            <w:r w:rsidRPr="0031527E">
              <w:rPr>
                <w:sz w:val="18"/>
              </w:rPr>
              <w:t xml:space="preserve"> for WA (Gove</w:t>
            </w:r>
            <w:r>
              <w:rPr>
                <w:sz w:val="18"/>
              </w:rPr>
              <w:t>rnment of Western Australia 2017</w:t>
            </w:r>
            <w:r w:rsidRPr="0031527E">
              <w:rPr>
                <w:sz w:val="18"/>
              </w:rPr>
              <w:t>).</w:t>
            </w:r>
          </w:p>
        </w:tc>
        <w:tc>
          <w:tcPr>
            <w:tcW w:w="2410" w:type="dxa"/>
            <w:tcBorders>
              <w:top w:val="nil"/>
              <w:left w:val="nil"/>
              <w:bottom w:val="single" w:sz="4" w:space="0" w:color="BFBFBF"/>
              <w:right w:val="nil"/>
            </w:tcBorders>
            <w:shd w:val="clear" w:color="auto" w:fill="FFFFFF"/>
          </w:tcPr>
          <w:p w14:paraId="0938AC45" w14:textId="77FA07F5" w:rsidR="007F72E8" w:rsidRPr="00E735F3" w:rsidRDefault="007F72E8" w:rsidP="00165B8A">
            <w:pPr>
              <w:spacing w:before="60" w:after="60" w:line="240" w:lineRule="auto"/>
              <w:rPr>
                <w:sz w:val="18"/>
              </w:rPr>
            </w:pPr>
            <w:r w:rsidRPr="00E735F3">
              <w:rPr>
                <w:sz w:val="18"/>
              </w:rPr>
              <w:t>Yes. Could potentially be on Tahitian lime fruit, but infrequently. Most cultivars of Tahitian limes are rarely attacked (</w:t>
            </w:r>
            <w:r w:rsidRPr="00165B8A">
              <w:rPr>
                <w:sz w:val="18"/>
              </w:rPr>
              <w:t xml:space="preserve">Smith </w:t>
            </w:r>
            <w:r w:rsidR="00165B8A">
              <w:rPr>
                <w:sz w:val="18"/>
              </w:rPr>
              <w:t xml:space="preserve">IM </w:t>
            </w:r>
            <w:r w:rsidRPr="00165B8A">
              <w:rPr>
                <w:i/>
                <w:sz w:val="18"/>
              </w:rPr>
              <w:t>et al</w:t>
            </w:r>
            <w:r w:rsidRPr="00165B8A">
              <w:rPr>
                <w:sz w:val="18"/>
              </w:rPr>
              <w:t>. 1997)</w:t>
            </w:r>
            <w:r w:rsidRPr="00E735F3">
              <w:rPr>
                <w:sz w:val="18"/>
              </w:rPr>
              <w:t xml:space="preserve">. Affected trees in an abandoned orchard in Fiji had scabs on less than one percent of old leaves (Meister 1973), but no indication of fruit infection was noted. Additionally, blemished fruit is usually removed from the packing line prior to export (Hyun </w:t>
            </w:r>
            <w:r w:rsidRPr="00E735F3">
              <w:rPr>
                <w:i/>
                <w:sz w:val="18"/>
              </w:rPr>
              <w:t>et al</w:t>
            </w:r>
            <w:r w:rsidRPr="00E735F3">
              <w:rPr>
                <w:sz w:val="18"/>
              </w:rPr>
              <w:t>. 2009).</w:t>
            </w:r>
          </w:p>
        </w:tc>
        <w:tc>
          <w:tcPr>
            <w:tcW w:w="2410" w:type="dxa"/>
            <w:tcBorders>
              <w:top w:val="nil"/>
              <w:left w:val="nil"/>
              <w:bottom w:val="single" w:sz="4" w:space="0" w:color="BFBFBF"/>
              <w:right w:val="nil"/>
            </w:tcBorders>
            <w:shd w:val="clear" w:color="auto" w:fill="FFFFFF"/>
          </w:tcPr>
          <w:p w14:paraId="5E358CAF" w14:textId="77777777" w:rsidR="007F72E8" w:rsidRPr="00E735F3" w:rsidRDefault="00AE26BD" w:rsidP="00AE26BD">
            <w:pPr>
              <w:spacing w:before="60" w:after="60" w:line="240" w:lineRule="auto"/>
              <w:rPr>
                <w:sz w:val="18"/>
              </w:rPr>
            </w:pPr>
            <w:r w:rsidRPr="00AE26BD">
              <w:rPr>
                <w:sz w:val="18"/>
              </w:rPr>
              <w:t>Yes</w:t>
            </w:r>
            <w:r>
              <w:rPr>
                <w:sz w:val="18"/>
              </w:rPr>
              <w:t>.</w:t>
            </w:r>
            <w:r w:rsidRPr="00AE26BD">
              <w:rPr>
                <w:sz w:val="18"/>
              </w:rPr>
              <w:t xml:space="preserve"> Possible, but trade in commercial fruit is an unlikely pathway for establishment of citrus scab (Hyun </w:t>
            </w:r>
            <w:r w:rsidRPr="00AE26BD">
              <w:rPr>
                <w:i/>
                <w:sz w:val="18"/>
              </w:rPr>
              <w:t>et al</w:t>
            </w:r>
            <w:r w:rsidRPr="00AE26BD">
              <w:rPr>
                <w:sz w:val="18"/>
              </w:rPr>
              <w:t xml:space="preserve">. 2009). Scab is only spread by splash dispersal of conidia to young leaves and fruit (Timmer 2000). It can survive for periods in pustules on old leaves and fruit (Timmer 2000) but is difficult to isolate from mature fruit in the field (Hyun </w:t>
            </w:r>
            <w:r w:rsidRPr="00AE26BD">
              <w:rPr>
                <w:i/>
                <w:sz w:val="18"/>
              </w:rPr>
              <w:t>et al</w:t>
            </w:r>
            <w:r w:rsidRPr="00AE26BD">
              <w:rPr>
                <w:sz w:val="18"/>
              </w:rPr>
              <w:t xml:space="preserve">. 2009). Blemished fruit is usually removed from the packing line prior to export (Hyun </w:t>
            </w:r>
            <w:r w:rsidRPr="00AE26BD">
              <w:rPr>
                <w:i/>
                <w:sz w:val="18"/>
              </w:rPr>
              <w:t>et al</w:t>
            </w:r>
            <w:r w:rsidRPr="00AE26BD">
              <w:rPr>
                <w:sz w:val="18"/>
              </w:rPr>
              <w:t>. 2009).</w:t>
            </w:r>
          </w:p>
        </w:tc>
        <w:tc>
          <w:tcPr>
            <w:tcW w:w="2268" w:type="dxa"/>
            <w:tcBorders>
              <w:top w:val="nil"/>
              <w:left w:val="nil"/>
              <w:bottom w:val="single" w:sz="4" w:space="0" w:color="BFBFBF"/>
              <w:right w:val="nil"/>
            </w:tcBorders>
            <w:shd w:val="clear" w:color="auto" w:fill="FFFFFF"/>
          </w:tcPr>
          <w:p w14:paraId="47630990" w14:textId="77777777" w:rsidR="007F72E8" w:rsidRPr="00E735F3" w:rsidRDefault="00AE26BD" w:rsidP="006876FA">
            <w:pPr>
              <w:spacing w:before="60" w:after="60" w:line="240" w:lineRule="auto"/>
              <w:rPr>
                <w:sz w:val="18"/>
              </w:rPr>
            </w:pPr>
            <w:r>
              <w:rPr>
                <w:sz w:val="18"/>
              </w:rPr>
              <w:t xml:space="preserve">Yes. </w:t>
            </w:r>
            <w:r w:rsidRPr="00AE26BD">
              <w:rPr>
                <w:sz w:val="18"/>
              </w:rPr>
              <w:t>Infection produces exterior blemishes on a range of citrus fruit, affecting the value of fruit grown for the fresh market (Timmer 2000).</w:t>
            </w:r>
          </w:p>
        </w:tc>
        <w:tc>
          <w:tcPr>
            <w:tcW w:w="1285" w:type="dxa"/>
            <w:tcBorders>
              <w:top w:val="nil"/>
              <w:left w:val="nil"/>
              <w:bottom w:val="single" w:sz="4" w:space="0" w:color="BFBFBF"/>
              <w:right w:val="nil"/>
            </w:tcBorders>
            <w:shd w:val="clear" w:color="auto" w:fill="auto"/>
          </w:tcPr>
          <w:p w14:paraId="755824F0" w14:textId="6C70EB8F" w:rsidR="00B2341E" w:rsidRPr="00E735F3" w:rsidRDefault="00DD114D" w:rsidP="00211BE4">
            <w:pPr>
              <w:spacing w:before="60" w:after="60" w:line="240" w:lineRule="auto"/>
              <w:rPr>
                <w:bCs/>
                <w:sz w:val="18"/>
              </w:rPr>
            </w:pPr>
            <w:r w:rsidRPr="0034763E">
              <w:rPr>
                <w:b/>
                <w:bCs/>
                <w:sz w:val="18"/>
              </w:rPr>
              <w:t>Yes</w:t>
            </w:r>
          </w:p>
        </w:tc>
      </w:tr>
      <w:tr w:rsidR="00E735F3" w:rsidRPr="00E735F3" w14:paraId="47DB35D0" w14:textId="77777777" w:rsidTr="00063347">
        <w:trPr>
          <w:cantSplit/>
        </w:trPr>
        <w:tc>
          <w:tcPr>
            <w:tcW w:w="3403" w:type="dxa"/>
            <w:tcBorders>
              <w:top w:val="nil"/>
              <w:left w:val="nil"/>
              <w:bottom w:val="nil"/>
              <w:right w:val="nil"/>
            </w:tcBorders>
          </w:tcPr>
          <w:p w14:paraId="51F30617" w14:textId="18B564D0" w:rsidR="00E735F3" w:rsidRPr="00E735F3" w:rsidRDefault="000F127E" w:rsidP="00E735F3">
            <w:pPr>
              <w:spacing w:before="60" w:after="60" w:line="240" w:lineRule="auto"/>
              <w:rPr>
                <w:sz w:val="18"/>
              </w:rPr>
            </w:pPr>
            <w:r w:rsidRPr="000F127E">
              <w:rPr>
                <w:b/>
                <w:i/>
                <w:sz w:val="18"/>
              </w:rPr>
              <w:t xml:space="preserve">Geotrichum candidum </w:t>
            </w:r>
            <w:r w:rsidRPr="000F127E">
              <w:rPr>
                <w:sz w:val="18"/>
              </w:rPr>
              <w:t>Link</w:t>
            </w:r>
            <w:r w:rsidR="0062504A">
              <w:rPr>
                <w:sz w:val="18"/>
              </w:rPr>
              <w:t xml:space="preserve"> 1809</w:t>
            </w:r>
          </w:p>
          <w:p w14:paraId="733D885A" w14:textId="77777777" w:rsidR="00E735F3" w:rsidRPr="00E735F3" w:rsidRDefault="00E735F3" w:rsidP="00E735F3">
            <w:pPr>
              <w:spacing w:before="60" w:after="60" w:line="240" w:lineRule="auto"/>
              <w:rPr>
                <w:sz w:val="18"/>
              </w:rPr>
            </w:pPr>
            <w:r w:rsidRPr="00E735F3">
              <w:rPr>
                <w:sz w:val="18"/>
              </w:rPr>
              <w:t>[Dipodascaceae]</w:t>
            </w:r>
          </w:p>
          <w:p w14:paraId="1AA4E965" w14:textId="77777777" w:rsidR="00E735F3" w:rsidRPr="00E735F3" w:rsidRDefault="00E735F3" w:rsidP="00E735F3">
            <w:pPr>
              <w:spacing w:before="60" w:after="60" w:line="240" w:lineRule="auto"/>
              <w:rPr>
                <w:sz w:val="18"/>
              </w:rPr>
            </w:pPr>
            <w:r w:rsidRPr="00E735F3">
              <w:rPr>
                <w:sz w:val="18"/>
              </w:rPr>
              <w:t>Sour rot</w:t>
            </w:r>
          </w:p>
        </w:tc>
        <w:tc>
          <w:tcPr>
            <w:tcW w:w="1974" w:type="dxa"/>
            <w:tcBorders>
              <w:top w:val="nil"/>
              <w:left w:val="nil"/>
              <w:bottom w:val="nil"/>
              <w:right w:val="nil"/>
            </w:tcBorders>
          </w:tcPr>
          <w:p w14:paraId="439A958B" w14:textId="77777777" w:rsidR="00E735F3" w:rsidRPr="00E735F3" w:rsidRDefault="00E735F3" w:rsidP="00E735F3">
            <w:pPr>
              <w:spacing w:before="60" w:after="60" w:line="240" w:lineRule="auto"/>
              <w:rPr>
                <w:sz w:val="18"/>
              </w:rPr>
            </w:pPr>
            <w:r w:rsidRPr="00E735F3">
              <w:rPr>
                <w:sz w:val="18"/>
              </w:rPr>
              <w:t xml:space="preserve">Cook Islands (Dingley </w:t>
            </w:r>
            <w:r w:rsidRPr="00E735F3">
              <w:rPr>
                <w:i/>
                <w:sz w:val="18"/>
              </w:rPr>
              <w:t>et al</w:t>
            </w:r>
            <w:r w:rsidRPr="00E735F3">
              <w:rPr>
                <w:sz w:val="18"/>
              </w:rPr>
              <w:t xml:space="preserve">. 1981, as </w:t>
            </w:r>
            <w:r w:rsidRPr="00E735F3">
              <w:rPr>
                <w:i/>
                <w:sz w:val="18"/>
              </w:rPr>
              <w:t>Endomyces geotrichum</w:t>
            </w:r>
            <w:r w:rsidRPr="00E735F3">
              <w:rPr>
                <w:sz w:val="18"/>
              </w:rPr>
              <w:t xml:space="preserve">), Vanuatu (McKenzie 1989, as </w:t>
            </w:r>
            <w:r w:rsidRPr="00E735F3">
              <w:rPr>
                <w:i/>
                <w:sz w:val="18"/>
              </w:rPr>
              <w:t>Dipodascus geotrichum</w:t>
            </w:r>
            <w:r w:rsidRPr="00E735F3">
              <w:rPr>
                <w:sz w:val="18"/>
              </w:rPr>
              <w:t>).</w:t>
            </w:r>
          </w:p>
        </w:tc>
        <w:tc>
          <w:tcPr>
            <w:tcW w:w="1701" w:type="dxa"/>
            <w:tcBorders>
              <w:top w:val="nil"/>
              <w:left w:val="nil"/>
              <w:bottom w:val="nil"/>
              <w:right w:val="nil"/>
            </w:tcBorders>
            <w:shd w:val="clear" w:color="auto" w:fill="FFFFFF"/>
          </w:tcPr>
          <w:p w14:paraId="1C67C4C6" w14:textId="77777777" w:rsidR="00E735F3" w:rsidRPr="00E735F3" w:rsidRDefault="00E735F3" w:rsidP="00E735F3">
            <w:pPr>
              <w:spacing w:before="60" w:after="60" w:line="240" w:lineRule="auto"/>
              <w:rPr>
                <w:sz w:val="18"/>
              </w:rPr>
            </w:pPr>
            <w:r w:rsidRPr="00E735F3">
              <w:rPr>
                <w:sz w:val="18"/>
              </w:rPr>
              <w:t>Yes. NSW (Letham 1995), SA (Cook and Dube 1989), Tas. (Sampson and Walker 1982) and WA (Shivas 1989).</w:t>
            </w:r>
          </w:p>
        </w:tc>
        <w:tc>
          <w:tcPr>
            <w:tcW w:w="2410" w:type="dxa"/>
            <w:tcBorders>
              <w:top w:val="nil"/>
              <w:left w:val="nil"/>
              <w:bottom w:val="nil"/>
              <w:right w:val="nil"/>
            </w:tcBorders>
          </w:tcPr>
          <w:p w14:paraId="53F49A26" w14:textId="6558D93B"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69CA82D0"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19094BB1"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14A98EE2" w14:textId="77777777" w:rsidR="00E735F3" w:rsidRPr="00E735F3" w:rsidRDefault="00E735F3" w:rsidP="00E735F3">
            <w:pPr>
              <w:spacing w:before="60" w:after="60" w:line="240" w:lineRule="auto"/>
              <w:rPr>
                <w:sz w:val="18"/>
              </w:rPr>
            </w:pPr>
            <w:r w:rsidRPr="00E735F3">
              <w:rPr>
                <w:sz w:val="18"/>
              </w:rPr>
              <w:t>No</w:t>
            </w:r>
          </w:p>
        </w:tc>
      </w:tr>
      <w:tr w:rsidR="00E735F3" w:rsidRPr="00E735F3" w14:paraId="0F1B42FD" w14:textId="77777777" w:rsidTr="00063347">
        <w:trPr>
          <w:cantSplit/>
        </w:trPr>
        <w:tc>
          <w:tcPr>
            <w:tcW w:w="3403" w:type="dxa"/>
            <w:tcBorders>
              <w:top w:val="nil"/>
              <w:left w:val="nil"/>
              <w:bottom w:val="nil"/>
              <w:right w:val="nil"/>
            </w:tcBorders>
          </w:tcPr>
          <w:p w14:paraId="3FAC51DE" w14:textId="01E9404E" w:rsidR="00E735F3" w:rsidRPr="00E735F3" w:rsidRDefault="00E735F3" w:rsidP="00E735F3">
            <w:pPr>
              <w:spacing w:before="60" w:after="60" w:line="240" w:lineRule="auto"/>
              <w:rPr>
                <w:sz w:val="18"/>
              </w:rPr>
            </w:pPr>
            <w:r w:rsidRPr="00E735F3">
              <w:rPr>
                <w:b/>
                <w:i/>
                <w:sz w:val="18"/>
              </w:rPr>
              <w:t>Lasiodiplodia theobromae</w:t>
            </w:r>
            <w:r w:rsidRPr="00E735F3">
              <w:rPr>
                <w:i/>
                <w:sz w:val="18"/>
              </w:rPr>
              <w:t xml:space="preserve"> </w:t>
            </w:r>
            <w:r w:rsidRPr="00E735F3">
              <w:rPr>
                <w:iCs/>
                <w:sz w:val="18"/>
              </w:rPr>
              <w:t>(</w:t>
            </w:r>
            <w:r w:rsidRPr="00E735F3">
              <w:rPr>
                <w:sz w:val="18"/>
              </w:rPr>
              <w:t>Pat.) Griffon &amp; Maubl.</w:t>
            </w:r>
            <w:r w:rsidR="0062504A">
              <w:rPr>
                <w:sz w:val="18"/>
              </w:rPr>
              <w:t xml:space="preserve"> 1909</w:t>
            </w:r>
          </w:p>
          <w:p w14:paraId="50CD7B4D" w14:textId="77777777" w:rsidR="00E735F3" w:rsidRPr="00E735F3" w:rsidRDefault="00E735F3" w:rsidP="00E735F3">
            <w:pPr>
              <w:spacing w:before="60" w:after="60" w:line="240" w:lineRule="auto"/>
              <w:rPr>
                <w:sz w:val="18"/>
              </w:rPr>
            </w:pPr>
            <w:r w:rsidRPr="00E735F3">
              <w:rPr>
                <w:sz w:val="18"/>
              </w:rPr>
              <w:t>[Botryosphaeriaceae]</w:t>
            </w:r>
          </w:p>
          <w:p w14:paraId="76002803" w14:textId="77777777" w:rsidR="00E735F3" w:rsidRPr="00E735F3" w:rsidRDefault="00E735F3" w:rsidP="00E735F3">
            <w:pPr>
              <w:spacing w:before="60" w:after="60" w:line="240" w:lineRule="auto"/>
              <w:rPr>
                <w:sz w:val="18"/>
              </w:rPr>
            </w:pPr>
            <w:r w:rsidRPr="00E735F3">
              <w:rPr>
                <w:sz w:val="18"/>
              </w:rPr>
              <w:t>Diplodia stem-end rot</w:t>
            </w:r>
          </w:p>
        </w:tc>
        <w:tc>
          <w:tcPr>
            <w:tcW w:w="1974" w:type="dxa"/>
            <w:tcBorders>
              <w:top w:val="nil"/>
              <w:left w:val="nil"/>
              <w:bottom w:val="nil"/>
              <w:right w:val="nil"/>
            </w:tcBorders>
          </w:tcPr>
          <w:p w14:paraId="7F0C02A2" w14:textId="77777777" w:rsidR="00E735F3" w:rsidRPr="00E735F3" w:rsidRDefault="00E735F3" w:rsidP="00E735F3">
            <w:pPr>
              <w:spacing w:before="60" w:after="60" w:line="240" w:lineRule="auto"/>
              <w:rPr>
                <w:sz w:val="18"/>
              </w:rPr>
            </w:pPr>
            <w:r w:rsidRPr="00E735F3">
              <w:rPr>
                <w:sz w:val="18"/>
              </w:rPr>
              <w:t xml:space="preserve">Cook Islands, Niue, Samoa, Tonga (Dingley </w:t>
            </w:r>
            <w:r w:rsidRPr="00E735F3">
              <w:rPr>
                <w:i/>
                <w:sz w:val="18"/>
              </w:rPr>
              <w:t>et al</w:t>
            </w:r>
            <w:r w:rsidRPr="00E735F3">
              <w:rPr>
                <w:sz w:val="18"/>
              </w:rPr>
              <w:t>. 1981), Vanuatu (McKenzie 1989).</w:t>
            </w:r>
          </w:p>
        </w:tc>
        <w:tc>
          <w:tcPr>
            <w:tcW w:w="1701" w:type="dxa"/>
            <w:tcBorders>
              <w:top w:val="nil"/>
              <w:left w:val="nil"/>
              <w:bottom w:val="nil"/>
              <w:right w:val="nil"/>
            </w:tcBorders>
            <w:shd w:val="clear" w:color="auto" w:fill="FFFFFF"/>
          </w:tcPr>
          <w:p w14:paraId="0ACDF153" w14:textId="77777777" w:rsidR="00E735F3" w:rsidRPr="00E735F3" w:rsidRDefault="00E735F3" w:rsidP="00E735F3">
            <w:pPr>
              <w:spacing w:before="60" w:after="60" w:line="240" w:lineRule="auto"/>
              <w:rPr>
                <w:sz w:val="18"/>
              </w:rPr>
            </w:pPr>
            <w:r w:rsidRPr="00E735F3">
              <w:rPr>
                <w:sz w:val="18"/>
              </w:rPr>
              <w:t>Yes. Qld (Simmonds 1966) and WA (Shivas 1989).</w:t>
            </w:r>
          </w:p>
        </w:tc>
        <w:tc>
          <w:tcPr>
            <w:tcW w:w="2410" w:type="dxa"/>
            <w:tcBorders>
              <w:top w:val="nil"/>
              <w:left w:val="nil"/>
              <w:bottom w:val="nil"/>
              <w:right w:val="nil"/>
            </w:tcBorders>
          </w:tcPr>
          <w:p w14:paraId="19AFA2FE" w14:textId="1C92914A" w:rsidR="00E735F3" w:rsidRPr="00E735F3" w:rsidRDefault="00C736E9" w:rsidP="00E735F3">
            <w:pPr>
              <w:spacing w:before="60" w:after="60" w:line="240" w:lineRule="auto"/>
              <w:rPr>
                <w:sz w:val="18"/>
              </w:rPr>
            </w:pPr>
            <w:r w:rsidRPr="00C736E9">
              <w:rPr>
                <w:sz w:val="18"/>
              </w:rPr>
              <w:t>Assessment not required.</w:t>
            </w:r>
          </w:p>
        </w:tc>
        <w:tc>
          <w:tcPr>
            <w:tcW w:w="2410" w:type="dxa"/>
            <w:tcBorders>
              <w:top w:val="nil"/>
              <w:left w:val="nil"/>
              <w:bottom w:val="nil"/>
              <w:right w:val="nil"/>
            </w:tcBorders>
            <w:shd w:val="clear" w:color="auto" w:fill="auto"/>
          </w:tcPr>
          <w:p w14:paraId="020CB9B4"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D3CD02F"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610B71D8" w14:textId="77777777" w:rsidR="00E735F3" w:rsidRPr="00E735F3" w:rsidRDefault="00E735F3" w:rsidP="00E735F3">
            <w:pPr>
              <w:spacing w:before="60" w:after="60" w:line="240" w:lineRule="auto"/>
              <w:rPr>
                <w:sz w:val="18"/>
              </w:rPr>
            </w:pPr>
            <w:r w:rsidRPr="00E735F3">
              <w:rPr>
                <w:sz w:val="18"/>
              </w:rPr>
              <w:t>No</w:t>
            </w:r>
          </w:p>
        </w:tc>
      </w:tr>
      <w:tr w:rsidR="00E735F3" w:rsidRPr="00E735F3" w14:paraId="524CEE0C" w14:textId="77777777" w:rsidTr="00063347">
        <w:trPr>
          <w:cantSplit/>
        </w:trPr>
        <w:tc>
          <w:tcPr>
            <w:tcW w:w="3403" w:type="dxa"/>
            <w:tcBorders>
              <w:top w:val="nil"/>
              <w:left w:val="nil"/>
              <w:bottom w:val="nil"/>
              <w:right w:val="nil"/>
            </w:tcBorders>
          </w:tcPr>
          <w:p w14:paraId="23E59D62" w14:textId="4CFC6EAC" w:rsidR="00E735F3" w:rsidRPr="00E735F3" w:rsidRDefault="00E735F3" w:rsidP="00E735F3">
            <w:pPr>
              <w:spacing w:before="60" w:after="60" w:line="240" w:lineRule="auto"/>
              <w:rPr>
                <w:sz w:val="18"/>
              </w:rPr>
            </w:pPr>
            <w:r w:rsidRPr="00E735F3">
              <w:rPr>
                <w:b/>
                <w:i/>
                <w:sz w:val="18"/>
              </w:rPr>
              <w:t>Meliola citricola</w:t>
            </w:r>
            <w:r w:rsidRPr="00E735F3">
              <w:rPr>
                <w:sz w:val="18"/>
              </w:rPr>
              <w:t xml:space="preserve"> Syd. &amp; P.Syd.</w:t>
            </w:r>
            <w:r w:rsidR="0062504A">
              <w:rPr>
                <w:sz w:val="18"/>
              </w:rPr>
              <w:t xml:space="preserve"> 1917</w:t>
            </w:r>
          </w:p>
          <w:p w14:paraId="3AD3784B" w14:textId="77777777" w:rsidR="00E735F3" w:rsidRPr="00E735F3" w:rsidRDefault="00E735F3" w:rsidP="00E735F3">
            <w:pPr>
              <w:spacing w:before="60" w:after="60" w:line="240" w:lineRule="auto"/>
              <w:rPr>
                <w:sz w:val="18"/>
              </w:rPr>
            </w:pPr>
            <w:r w:rsidRPr="00E735F3">
              <w:rPr>
                <w:sz w:val="18"/>
              </w:rPr>
              <w:t>[Meliolaceae]</w:t>
            </w:r>
          </w:p>
          <w:p w14:paraId="5DBA97DB" w14:textId="77777777" w:rsidR="00E735F3" w:rsidRPr="00E735F3" w:rsidRDefault="00E735F3" w:rsidP="00E735F3">
            <w:pPr>
              <w:spacing w:before="60" w:after="60" w:line="240" w:lineRule="auto"/>
              <w:rPr>
                <w:i/>
                <w:sz w:val="18"/>
              </w:rPr>
            </w:pPr>
            <w:r w:rsidRPr="00E735F3">
              <w:rPr>
                <w:sz w:val="18"/>
              </w:rPr>
              <w:t>Black mildew</w:t>
            </w:r>
          </w:p>
        </w:tc>
        <w:tc>
          <w:tcPr>
            <w:tcW w:w="1974" w:type="dxa"/>
            <w:tcBorders>
              <w:top w:val="nil"/>
              <w:left w:val="nil"/>
              <w:bottom w:val="nil"/>
              <w:right w:val="nil"/>
            </w:tcBorders>
          </w:tcPr>
          <w:p w14:paraId="5A6098C1" w14:textId="77777777" w:rsidR="00E735F3" w:rsidRPr="00E735F3" w:rsidRDefault="00E735F3" w:rsidP="00E735F3">
            <w:pPr>
              <w:spacing w:before="60" w:after="60" w:line="240" w:lineRule="auto"/>
              <w:rPr>
                <w:sz w:val="18"/>
              </w:rPr>
            </w:pPr>
            <w:r w:rsidRPr="00E735F3">
              <w:rPr>
                <w:sz w:val="18"/>
              </w:rPr>
              <w:t xml:space="preserve">Samoa (Dingley </w:t>
            </w:r>
            <w:r w:rsidRPr="00E735F3">
              <w:rPr>
                <w:i/>
                <w:sz w:val="18"/>
              </w:rPr>
              <w:t>et al</w:t>
            </w:r>
            <w:r w:rsidRPr="00E735F3">
              <w:rPr>
                <w:sz w:val="18"/>
              </w:rPr>
              <w:t>. 1981), Vanuatu</w:t>
            </w:r>
          </w:p>
        </w:tc>
        <w:tc>
          <w:tcPr>
            <w:tcW w:w="1701" w:type="dxa"/>
            <w:tcBorders>
              <w:top w:val="nil"/>
              <w:left w:val="nil"/>
              <w:bottom w:val="nil"/>
              <w:right w:val="nil"/>
            </w:tcBorders>
            <w:shd w:val="clear" w:color="auto" w:fill="FFFFFF"/>
          </w:tcPr>
          <w:p w14:paraId="46D1090B"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shd w:val="clear" w:color="auto" w:fill="FFFFFF"/>
          </w:tcPr>
          <w:p w14:paraId="5C54B82C" w14:textId="6C6DCA68" w:rsidR="00E735F3" w:rsidRPr="00E735F3" w:rsidRDefault="00E735F3" w:rsidP="00E735F3">
            <w:pPr>
              <w:spacing w:before="60" w:after="60" w:line="240" w:lineRule="auto"/>
              <w:rPr>
                <w:sz w:val="18"/>
              </w:rPr>
            </w:pPr>
            <w:r w:rsidRPr="00E735F3">
              <w:rPr>
                <w:sz w:val="18"/>
              </w:rPr>
              <w:t xml:space="preserve">Yes. Recorded on key lime and other citrus in Samoa. Usually on the underside of the leaves (Dingley </w:t>
            </w:r>
            <w:r w:rsidRPr="00E735F3">
              <w:rPr>
                <w:i/>
                <w:sz w:val="18"/>
              </w:rPr>
              <w:t>et al</w:t>
            </w:r>
            <w:r w:rsidRPr="00E735F3">
              <w:rPr>
                <w:sz w:val="18"/>
              </w:rPr>
              <w:t>. 1981)</w:t>
            </w:r>
            <w:r w:rsidR="009173CA">
              <w:rPr>
                <w:sz w:val="18"/>
              </w:rPr>
              <w:t>,</w:t>
            </w:r>
            <w:r w:rsidRPr="00E735F3">
              <w:rPr>
                <w:sz w:val="18"/>
              </w:rPr>
              <w:t xml:space="preserve"> but can colonise the fruit (Minter 2006). </w:t>
            </w:r>
          </w:p>
        </w:tc>
        <w:tc>
          <w:tcPr>
            <w:tcW w:w="2410" w:type="dxa"/>
            <w:tcBorders>
              <w:top w:val="nil"/>
              <w:left w:val="nil"/>
              <w:bottom w:val="nil"/>
              <w:right w:val="nil"/>
            </w:tcBorders>
            <w:shd w:val="clear" w:color="auto" w:fill="FFFFFF"/>
          </w:tcPr>
          <w:p w14:paraId="392A4D45" w14:textId="77777777" w:rsidR="00E735F3" w:rsidRPr="00E735F3" w:rsidRDefault="00E735F3" w:rsidP="00E735F3">
            <w:pPr>
              <w:spacing w:before="60" w:after="60" w:line="240" w:lineRule="auto"/>
              <w:rPr>
                <w:sz w:val="18"/>
              </w:rPr>
            </w:pPr>
            <w:r w:rsidRPr="00E735F3">
              <w:rPr>
                <w:sz w:val="18"/>
              </w:rPr>
              <w:t xml:space="preserve">Yes. This species could potentially establish in tropical parts of Australia where citrus is grown. </w:t>
            </w:r>
          </w:p>
        </w:tc>
        <w:tc>
          <w:tcPr>
            <w:tcW w:w="2268" w:type="dxa"/>
            <w:tcBorders>
              <w:top w:val="nil"/>
              <w:left w:val="nil"/>
              <w:bottom w:val="nil"/>
              <w:right w:val="nil"/>
            </w:tcBorders>
            <w:shd w:val="clear" w:color="auto" w:fill="FFFFFF"/>
          </w:tcPr>
          <w:p w14:paraId="26E32F61" w14:textId="77777777" w:rsidR="00E735F3" w:rsidRPr="00E735F3" w:rsidRDefault="00E735F3" w:rsidP="00E735F3">
            <w:pPr>
              <w:spacing w:before="60" w:after="60" w:line="240" w:lineRule="auto"/>
              <w:rPr>
                <w:sz w:val="18"/>
              </w:rPr>
            </w:pPr>
            <w:r w:rsidRPr="00E735F3">
              <w:rPr>
                <w:sz w:val="18"/>
              </w:rPr>
              <w:t>No. Severe infestations could conceivably result in plants having reduced photosynthetic capability, but there are no reports of economic loss as a result. Appearance of fruit could be unsightly (Minter 2006).</w:t>
            </w:r>
          </w:p>
        </w:tc>
        <w:tc>
          <w:tcPr>
            <w:tcW w:w="1285" w:type="dxa"/>
            <w:tcBorders>
              <w:top w:val="nil"/>
              <w:left w:val="nil"/>
              <w:bottom w:val="nil"/>
              <w:right w:val="nil"/>
            </w:tcBorders>
          </w:tcPr>
          <w:p w14:paraId="749D5182" w14:textId="77777777" w:rsidR="00E735F3" w:rsidRPr="00E735F3" w:rsidRDefault="00E735F3" w:rsidP="00E735F3">
            <w:pPr>
              <w:spacing w:before="60" w:after="60" w:line="240" w:lineRule="auto"/>
              <w:rPr>
                <w:sz w:val="18"/>
              </w:rPr>
            </w:pPr>
            <w:r w:rsidRPr="00E735F3">
              <w:rPr>
                <w:sz w:val="18"/>
              </w:rPr>
              <w:t>No</w:t>
            </w:r>
          </w:p>
        </w:tc>
      </w:tr>
      <w:tr w:rsidR="00E735F3" w:rsidRPr="00E735F3" w14:paraId="1C01104A" w14:textId="77777777" w:rsidTr="00063347">
        <w:trPr>
          <w:cantSplit/>
        </w:trPr>
        <w:tc>
          <w:tcPr>
            <w:tcW w:w="3403" w:type="dxa"/>
            <w:tcBorders>
              <w:top w:val="nil"/>
              <w:left w:val="nil"/>
              <w:bottom w:val="nil"/>
              <w:right w:val="nil"/>
            </w:tcBorders>
          </w:tcPr>
          <w:p w14:paraId="6C552C15" w14:textId="0B2EAD54" w:rsidR="00E735F3" w:rsidRPr="00E735F3" w:rsidRDefault="00E735F3" w:rsidP="00E735F3">
            <w:pPr>
              <w:spacing w:before="60" w:after="60" w:line="240" w:lineRule="auto"/>
              <w:rPr>
                <w:sz w:val="18"/>
              </w:rPr>
            </w:pPr>
            <w:r w:rsidRPr="00E735F3">
              <w:rPr>
                <w:b/>
                <w:i/>
                <w:sz w:val="18"/>
              </w:rPr>
              <w:t>Penicillium digitatum</w:t>
            </w:r>
            <w:r w:rsidRPr="00E735F3">
              <w:rPr>
                <w:sz w:val="18"/>
              </w:rPr>
              <w:t xml:space="preserve"> (Pers.:Fr.) Sacc.</w:t>
            </w:r>
            <w:r w:rsidR="0062504A">
              <w:rPr>
                <w:sz w:val="18"/>
              </w:rPr>
              <w:t xml:space="preserve"> 1881</w:t>
            </w:r>
          </w:p>
          <w:p w14:paraId="1A8906C9" w14:textId="77777777" w:rsidR="00E735F3" w:rsidRPr="00E735F3" w:rsidRDefault="00E735F3" w:rsidP="00E735F3">
            <w:pPr>
              <w:spacing w:before="60" w:after="60" w:line="240" w:lineRule="auto"/>
              <w:rPr>
                <w:sz w:val="18"/>
              </w:rPr>
            </w:pPr>
            <w:r w:rsidRPr="00E735F3">
              <w:rPr>
                <w:sz w:val="18"/>
              </w:rPr>
              <w:t>[Trichocomaceae]</w:t>
            </w:r>
          </w:p>
          <w:p w14:paraId="15D608E4" w14:textId="77777777" w:rsidR="00E735F3" w:rsidRPr="00E735F3" w:rsidRDefault="00E735F3" w:rsidP="00E735F3">
            <w:pPr>
              <w:spacing w:before="60" w:after="60" w:line="240" w:lineRule="auto"/>
              <w:rPr>
                <w:i/>
                <w:sz w:val="18"/>
              </w:rPr>
            </w:pPr>
            <w:r w:rsidRPr="00E735F3">
              <w:rPr>
                <w:sz w:val="18"/>
              </w:rPr>
              <w:t>Green mould</w:t>
            </w:r>
          </w:p>
        </w:tc>
        <w:tc>
          <w:tcPr>
            <w:tcW w:w="1974" w:type="dxa"/>
            <w:tcBorders>
              <w:top w:val="nil"/>
              <w:left w:val="nil"/>
              <w:bottom w:val="nil"/>
              <w:right w:val="nil"/>
            </w:tcBorders>
          </w:tcPr>
          <w:p w14:paraId="4F1FCB53" w14:textId="77777777" w:rsidR="00E735F3" w:rsidRPr="00E735F3" w:rsidRDefault="00E735F3" w:rsidP="00E735F3">
            <w:pPr>
              <w:spacing w:before="60" w:after="60" w:line="240" w:lineRule="auto"/>
              <w:rPr>
                <w:sz w:val="18"/>
              </w:rPr>
            </w:pPr>
            <w:r w:rsidRPr="00E735F3">
              <w:rPr>
                <w:sz w:val="18"/>
              </w:rPr>
              <w:t xml:space="preserve">Cook Islands, Niue (Dingley </w:t>
            </w:r>
            <w:r w:rsidRPr="00E735F3">
              <w:rPr>
                <w:i/>
                <w:sz w:val="18"/>
              </w:rPr>
              <w:t>et al</w:t>
            </w:r>
            <w:r w:rsidRPr="00E735F3">
              <w:rPr>
                <w:sz w:val="18"/>
              </w:rPr>
              <w:t>. 1981).</w:t>
            </w:r>
          </w:p>
        </w:tc>
        <w:tc>
          <w:tcPr>
            <w:tcW w:w="1701" w:type="dxa"/>
            <w:tcBorders>
              <w:top w:val="nil"/>
              <w:left w:val="nil"/>
              <w:bottom w:val="nil"/>
              <w:right w:val="nil"/>
            </w:tcBorders>
            <w:shd w:val="clear" w:color="auto" w:fill="FFFFFF"/>
          </w:tcPr>
          <w:p w14:paraId="11C80759" w14:textId="77777777" w:rsidR="00E735F3" w:rsidRPr="00E735F3" w:rsidRDefault="00E735F3" w:rsidP="00E735F3">
            <w:pPr>
              <w:spacing w:before="60" w:after="60" w:line="240" w:lineRule="auto"/>
              <w:rPr>
                <w:sz w:val="18"/>
              </w:rPr>
            </w:pPr>
            <w:r w:rsidRPr="00E735F3">
              <w:rPr>
                <w:sz w:val="18"/>
              </w:rPr>
              <w:t>Yes. NSW (Letham 1995), Qld (Simmonds 1966), SA (Cook and Dube 1989) and WA (Shivas 1989).</w:t>
            </w:r>
          </w:p>
        </w:tc>
        <w:tc>
          <w:tcPr>
            <w:tcW w:w="2410" w:type="dxa"/>
            <w:tcBorders>
              <w:top w:val="nil"/>
              <w:left w:val="nil"/>
              <w:bottom w:val="nil"/>
              <w:right w:val="nil"/>
            </w:tcBorders>
          </w:tcPr>
          <w:p w14:paraId="41CE8CCA" w14:textId="367498C6" w:rsidR="00E735F3" w:rsidRPr="00E735F3" w:rsidRDefault="00F3509E" w:rsidP="00E735F3">
            <w:pPr>
              <w:spacing w:before="60" w:after="60" w:line="240" w:lineRule="auto"/>
              <w:rPr>
                <w:sz w:val="18"/>
              </w:rPr>
            </w:pPr>
            <w:r w:rsidRPr="00F3509E">
              <w:rPr>
                <w:sz w:val="18"/>
              </w:rPr>
              <w:t>Assessment not required.</w:t>
            </w:r>
          </w:p>
        </w:tc>
        <w:tc>
          <w:tcPr>
            <w:tcW w:w="2410" w:type="dxa"/>
            <w:tcBorders>
              <w:top w:val="nil"/>
              <w:left w:val="nil"/>
              <w:bottom w:val="nil"/>
              <w:right w:val="nil"/>
            </w:tcBorders>
            <w:shd w:val="clear" w:color="auto" w:fill="auto"/>
          </w:tcPr>
          <w:p w14:paraId="2BFC08B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7EE6F41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7D2F55F2" w14:textId="77777777" w:rsidR="00E735F3" w:rsidRPr="00E735F3" w:rsidRDefault="00E735F3" w:rsidP="00E735F3">
            <w:pPr>
              <w:spacing w:before="60" w:after="60" w:line="240" w:lineRule="auto"/>
              <w:rPr>
                <w:sz w:val="18"/>
              </w:rPr>
            </w:pPr>
            <w:r w:rsidRPr="00E735F3">
              <w:rPr>
                <w:sz w:val="18"/>
              </w:rPr>
              <w:t>No</w:t>
            </w:r>
          </w:p>
        </w:tc>
      </w:tr>
      <w:tr w:rsidR="00E735F3" w:rsidRPr="00E735F3" w14:paraId="7D4022E8" w14:textId="77777777" w:rsidTr="00063347">
        <w:trPr>
          <w:cantSplit/>
          <w:trHeight w:val="694"/>
        </w:trPr>
        <w:tc>
          <w:tcPr>
            <w:tcW w:w="3403" w:type="dxa"/>
            <w:tcBorders>
              <w:top w:val="nil"/>
              <w:left w:val="nil"/>
              <w:bottom w:val="nil"/>
              <w:right w:val="nil"/>
            </w:tcBorders>
          </w:tcPr>
          <w:p w14:paraId="6FDAA598" w14:textId="18BC3820" w:rsidR="00E735F3" w:rsidRPr="00E735F3" w:rsidRDefault="00E735F3" w:rsidP="00E735F3">
            <w:pPr>
              <w:spacing w:before="60" w:after="60" w:line="240" w:lineRule="auto"/>
              <w:rPr>
                <w:sz w:val="18"/>
              </w:rPr>
            </w:pPr>
            <w:r w:rsidRPr="00E735F3">
              <w:rPr>
                <w:b/>
                <w:i/>
                <w:sz w:val="18"/>
              </w:rPr>
              <w:t>Penicillium italicum</w:t>
            </w:r>
            <w:r w:rsidRPr="00E735F3">
              <w:rPr>
                <w:sz w:val="18"/>
              </w:rPr>
              <w:t xml:space="preserve"> Wehmer</w:t>
            </w:r>
            <w:r w:rsidR="0062504A">
              <w:rPr>
                <w:sz w:val="18"/>
              </w:rPr>
              <w:t xml:space="preserve"> 1894</w:t>
            </w:r>
          </w:p>
          <w:p w14:paraId="320FB9B2" w14:textId="77777777" w:rsidR="00E735F3" w:rsidRPr="00E735F3" w:rsidRDefault="00E735F3" w:rsidP="00E735F3">
            <w:pPr>
              <w:spacing w:before="60" w:after="60" w:line="240" w:lineRule="auto"/>
              <w:rPr>
                <w:sz w:val="18"/>
              </w:rPr>
            </w:pPr>
            <w:r w:rsidRPr="00E735F3">
              <w:rPr>
                <w:sz w:val="18"/>
              </w:rPr>
              <w:t>[Trichocomaceae]</w:t>
            </w:r>
          </w:p>
          <w:p w14:paraId="2053B6B6" w14:textId="77777777" w:rsidR="00E735F3" w:rsidRPr="00E735F3" w:rsidRDefault="00E735F3" w:rsidP="00E735F3">
            <w:pPr>
              <w:spacing w:before="60" w:after="60" w:line="240" w:lineRule="auto"/>
              <w:rPr>
                <w:sz w:val="18"/>
              </w:rPr>
            </w:pPr>
            <w:r w:rsidRPr="00E735F3">
              <w:rPr>
                <w:sz w:val="18"/>
              </w:rPr>
              <w:t>Blue mould</w:t>
            </w:r>
          </w:p>
        </w:tc>
        <w:tc>
          <w:tcPr>
            <w:tcW w:w="1974" w:type="dxa"/>
            <w:tcBorders>
              <w:top w:val="nil"/>
              <w:left w:val="nil"/>
              <w:bottom w:val="nil"/>
              <w:right w:val="nil"/>
            </w:tcBorders>
          </w:tcPr>
          <w:p w14:paraId="46951DD0" w14:textId="77777777" w:rsidR="00E735F3" w:rsidRPr="00E735F3" w:rsidRDefault="00E735F3" w:rsidP="00E735F3">
            <w:pPr>
              <w:spacing w:before="60" w:after="60" w:line="240" w:lineRule="auto"/>
              <w:rPr>
                <w:sz w:val="18"/>
              </w:rPr>
            </w:pPr>
            <w:r w:rsidRPr="00E735F3">
              <w:rPr>
                <w:sz w:val="18"/>
              </w:rPr>
              <w:t xml:space="preserve">Cook Islands (Dingley </w:t>
            </w:r>
            <w:r w:rsidRPr="00E735F3">
              <w:rPr>
                <w:i/>
                <w:sz w:val="18"/>
              </w:rPr>
              <w:t>et al</w:t>
            </w:r>
            <w:r w:rsidRPr="00E735F3">
              <w:rPr>
                <w:sz w:val="18"/>
              </w:rPr>
              <w:t>. 1981), Samoa (SPC 2016).</w:t>
            </w:r>
          </w:p>
        </w:tc>
        <w:tc>
          <w:tcPr>
            <w:tcW w:w="1701" w:type="dxa"/>
            <w:tcBorders>
              <w:top w:val="nil"/>
              <w:left w:val="nil"/>
              <w:bottom w:val="nil"/>
              <w:right w:val="nil"/>
            </w:tcBorders>
            <w:shd w:val="clear" w:color="auto" w:fill="FFFFFF"/>
          </w:tcPr>
          <w:p w14:paraId="61A58928" w14:textId="77777777" w:rsidR="00E735F3" w:rsidRPr="00E735F3" w:rsidRDefault="00E735F3" w:rsidP="00E735F3">
            <w:pPr>
              <w:spacing w:before="60" w:after="60" w:line="240" w:lineRule="auto"/>
              <w:rPr>
                <w:sz w:val="18"/>
              </w:rPr>
            </w:pPr>
            <w:r w:rsidRPr="00E735F3">
              <w:rPr>
                <w:sz w:val="18"/>
              </w:rPr>
              <w:t>Yes. NSW (Letham 1995), Qld (Simmonds 1966), SA (Cook and Dube 1989) and WA (Shivas 1989).</w:t>
            </w:r>
          </w:p>
        </w:tc>
        <w:tc>
          <w:tcPr>
            <w:tcW w:w="2410" w:type="dxa"/>
            <w:tcBorders>
              <w:top w:val="nil"/>
              <w:left w:val="nil"/>
              <w:bottom w:val="nil"/>
              <w:right w:val="nil"/>
            </w:tcBorders>
          </w:tcPr>
          <w:p w14:paraId="268BA025" w14:textId="3A835BCA" w:rsidR="00E735F3" w:rsidRPr="00E735F3" w:rsidRDefault="00F3509E" w:rsidP="00E735F3">
            <w:pPr>
              <w:spacing w:before="60" w:after="60" w:line="240" w:lineRule="auto"/>
              <w:rPr>
                <w:sz w:val="18"/>
              </w:rPr>
            </w:pPr>
            <w:r w:rsidRPr="00F3509E">
              <w:rPr>
                <w:sz w:val="18"/>
              </w:rPr>
              <w:t>Assessment not required.</w:t>
            </w:r>
          </w:p>
        </w:tc>
        <w:tc>
          <w:tcPr>
            <w:tcW w:w="2410" w:type="dxa"/>
            <w:tcBorders>
              <w:top w:val="nil"/>
              <w:left w:val="nil"/>
              <w:bottom w:val="nil"/>
              <w:right w:val="nil"/>
            </w:tcBorders>
            <w:shd w:val="clear" w:color="auto" w:fill="auto"/>
          </w:tcPr>
          <w:p w14:paraId="558B7266"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61B08D6B"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1285" w:type="dxa"/>
            <w:tcBorders>
              <w:top w:val="nil"/>
              <w:left w:val="nil"/>
              <w:bottom w:val="nil"/>
              <w:right w:val="nil"/>
            </w:tcBorders>
          </w:tcPr>
          <w:p w14:paraId="4D2E1DF5" w14:textId="77777777" w:rsidR="00E735F3" w:rsidRPr="00E735F3" w:rsidRDefault="00E735F3" w:rsidP="00E735F3">
            <w:pPr>
              <w:spacing w:before="60" w:after="60" w:line="240" w:lineRule="auto"/>
              <w:rPr>
                <w:sz w:val="18"/>
              </w:rPr>
            </w:pPr>
            <w:r w:rsidRPr="00E735F3">
              <w:rPr>
                <w:sz w:val="18"/>
              </w:rPr>
              <w:t>No</w:t>
            </w:r>
          </w:p>
        </w:tc>
      </w:tr>
      <w:tr w:rsidR="00E735F3" w:rsidRPr="00E735F3" w14:paraId="337BAB18" w14:textId="77777777" w:rsidTr="00063347">
        <w:trPr>
          <w:cantSplit/>
        </w:trPr>
        <w:tc>
          <w:tcPr>
            <w:tcW w:w="3403" w:type="dxa"/>
            <w:tcBorders>
              <w:top w:val="nil"/>
              <w:left w:val="nil"/>
              <w:bottom w:val="nil"/>
              <w:right w:val="nil"/>
            </w:tcBorders>
          </w:tcPr>
          <w:p w14:paraId="6AD1936F" w14:textId="4AB43F02" w:rsidR="00E735F3" w:rsidRPr="00E735F3" w:rsidRDefault="00E735F3" w:rsidP="00E735F3">
            <w:pPr>
              <w:spacing w:before="60" w:after="60" w:line="240" w:lineRule="auto"/>
              <w:rPr>
                <w:sz w:val="18"/>
              </w:rPr>
            </w:pPr>
            <w:r w:rsidRPr="00E735F3">
              <w:rPr>
                <w:b/>
                <w:i/>
                <w:sz w:val="18"/>
              </w:rPr>
              <w:t>Seuratia millardetii</w:t>
            </w:r>
            <w:r w:rsidRPr="00E735F3">
              <w:rPr>
                <w:i/>
                <w:sz w:val="18"/>
              </w:rPr>
              <w:t xml:space="preserve"> </w:t>
            </w:r>
            <w:r w:rsidR="000861FB">
              <w:rPr>
                <w:sz w:val="18"/>
              </w:rPr>
              <w:t>(Racib.</w:t>
            </w:r>
            <w:r w:rsidRPr="00E735F3">
              <w:rPr>
                <w:sz w:val="18"/>
              </w:rPr>
              <w:t>) Meeker</w:t>
            </w:r>
            <w:r w:rsidR="000861FB">
              <w:rPr>
                <w:sz w:val="18"/>
              </w:rPr>
              <w:t xml:space="preserve"> 1975</w:t>
            </w:r>
          </w:p>
          <w:p w14:paraId="0511EA5C" w14:textId="77777777" w:rsidR="00E735F3" w:rsidRPr="00E735F3" w:rsidRDefault="00E735F3" w:rsidP="00E735F3">
            <w:pPr>
              <w:spacing w:before="60" w:after="60" w:line="240" w:lineRule="auto"/>
              <w:rPr>
                <w:sz w:val="18"/>
              </w:rPr>
            </w:pPr>
            <w:r w:rsidRPr="00E735F3">
              <w:rPr>
                <w:sz w:val="18"/>
              </w:rPr>
              <w:t>[Seuratiaceae]</w:t>
            </w:r>
          </w:p>
          <w:p w14:paraId="1B588798" w14:textId="77777777" w:rsidR="00E735F3" w:rsidRPr="00E735F3" w:rsidRDefault="00E735F3" w:rsidP="00E735F3">
            <w:pPr>
              <w:spacing w:before="60" w:after="60" w:line="240" w:lineRule="auto"/>
              <w:rPr>
                <w:sz w:val="18"/>
              </w:rPr>
            </w:pPr>
            <w:r w:rsidRPr="00E735F3">
              <w:rPr>
                <w:sz w:val="18"/>
              </w:rPr>
              <w:t>Sooty mould</w:t>
            </w:r>
          </w:p>
        </w:tc>
        <w:tc>
          <w:tcPr>
            <w:tcW w:w="1974" w:type="dxa"/>
            <w:tcBorders>
              <w:top w:val="nil"/>
              <w:left w:val="nil"/>
              <w:bottom w:val="nil"/>
              <w:right w:val="nil"/>
            </w:tcBorders>
          </w:tcPr>
          <w:p w14:paraId="2E56803A" w14:textId="77777777" w:rsidR="00E735F3" w:rsidRPr="00E735F3" w:rsidRDefault="00E735F3" w:rsidP="00E735F3">
            <w:pPr>
              <w:spacing w:before="60" w:after="60" w:line="240" w:lineRule="auto"/>
              <w:rPr>
                <w:sz w:val="18"/>
              </w:rPr>
            </w:pPr>
            <w:r w:rsidRPr="00E735F3">
              <w:rPr>
                <w:sz w:val="18"/>
              </w:rPr>
              <w:t xml:space="preserve">Cook Islands (as </w:t>
            </w:r>
            <w:r w:rsidRPr="00E735F3">
              <w:rPr>
                <w:i/>
                <w:sz w:val="18"/>
              </w:rPr>
              <w:t>Atichia millardetii</w:t>
            </w:r>
            <w:r w:rsidRPr="00E735F3">
              <w:rPr>
                <w:sz w:val="18"/>
              </w:rPr>
              <w:t xml:space="preserve"> Raciborski)</w:t>
            </w:r>
            <w:r w:rsidRPr="00E735F3">
              <w:t xml:space="preserve"> </w:t>
            </w:r>
            <w:r w:rsidRPr="00E735F3">
              <w:rPr>
                <w:sz w:val="18"/>
              </w:rPr>
              <w:t xml:space="preserve">(Dingley </w:t>
            </w:r>
            <w:r w:rsidRPr="00E735F3">
              <w:rPr>
                <w:i/>
                <w:sz w:val="18"/>
              </w:rPr>
              <w:t>et al</w:t>
            </w:r>
            <w:r w:rsidRPr="00E735F3">
              <w:rPr>
                <w:sz w:val="18"/>
              </w:rPr>
              <w:t xml:space="preserve">. 1981), Samoa (as </w:t>
            </w:r>
            <w:r w:rsidRPr="00E735F3">
              <w:rPr>
                <w:i/>
                <w:sz w:val="18"/>
              </w:rPr>
              <w:t>Atichia glomerulosa</w:t>
            </w:r>
            <w:r w:rsidRPr="00E735F3">
              <w:rPr>
                <w:sz w:val="18"/>
              </w:rPr>
              <w:t xml:space="preserve"> (Ach. ex H. Mann) Stein) (Dingley </w:t>
            </w:r>
            <w:r w:rsidRPr="00E735F3">
              <w:rPr>
                <w:i/>
                <w:sz w:val="18"/>
              </w:rPr>
              <w:t>et al</w:t>
            </w:r>
            <w:r w:rsidRPr="00E735F3">
              <w:rPr>
                <w:sz w:val="18"/>
              </w:rPr>
              <w:t>. 1981).</w:t>
            </w:r>
          </w:p>
        </w:tc>
        <w:tc>
          <w:tcPr>
            <w:tcW w:w="1701" w:type="dxa"/>
            <w:tcBorders>
              <w:top w:val="nil"/>
              <w:left w:val="nil"/>
              <w:bottom w:val="nil"/>
              <w:right w:val="nil"/>
            </w:tcBorders>
          </w:tcPr>
          <w:p w14:paraId="4781F8C7" w14:textId="77777777" w:rsidR="00E735F3" w:rsidRPr="00E735F3" w:rsidRDefault="00E735F3" w:rsidP="00E735F3">
            <w:pPr>
              <w:spacing w:before="60" w:after="60" w:line="240" w:lineRule="auto"/>
              <w:rPr>
                <w:sz w:val="18"/>
              </w:rPr>
            </w:pPr>
            <w:r w:rsidRPr="00E735F3">
              <w:rPr>
                <w:sz w:val="18"/>
              </w:rPr>
              <w:t>No record found.</w:t>
            </w:r>
          </w:p>
        </w:tc>
        <w:tc>
          <w:tcPr>
            <w:tcW w:w="2410" w:type="dxa"/>
            <w:tcBorders>
              <w:top w:val="nil"/>
              <w:left w:val="nil"/>
              <w:bottom w:val="nil"/>
              <w:right w:val="nil"/>
            </w:tcBorders>
          </w:tcPr>
          <w:p w14:paraId="6031BD9D" w14:textId="3292DA37" w:rsidR="00E735F3" w:rsidRPr="00E735F3" w:rsidRDefault="00E735F3" w:rsidP="006F7FC7">
            <w:pPr>
              <w:spacing w:before="60" w:after="60" w:line="240" w:lineRule="auto"/>
              <w:rPr>
                <w:sz w:val="18"/>
              </w:rPr>
            </w:pPr>
            <w:r w:rsidRPr="00E735F3">
              <w:rPr>
                <w:sz w:val="18"/>
              </w:rPr>
              <w:t>Yes</w:t>
            </w:r>
            <w:r w:rsidR="006F7FC7">
              <w:rPr>
                <w:sz w:val="18"/>
              </w:rPr>
              <w:t>.</w:t>
            </w:r>
            <w:r w:rsidRPr="00E735F3">
              <w:rPr>
                <w:sz w:val="18"/>
              </w:rPr>
              <w:t xml:space="preserve"> Saprobic and epiphytic on leaves (Cannon and Kirk 2007). Usually on the upper surface of the leaves, growing on insect honey dew (Dingley </w:t>
            </w:r>
            <w:r w:rsidRPr="00E735F3">
              <w:rPr>
                <w:i/>
                <w:sz w:val="18"/>
              </w:rPr>
              <w:t>et al</w:t>
            </w:r>
            <w:r w:rsidRPr="00E735F3">
              <w:rPr>
                <w:sz w:val="18"/>
              </w:rPr>
              <w:t>. 1981). Could potentially be present on surface of lime fruit.</w:t>
            </w:r>
          </w:p>
        </w:tc>
        <w:tc>
          <w:tcPr>
            <w:tcW w:w="2410" w:type="dxa"/>
            <w:tcBorders>
              <w:top w:val="nil"/>
              <w:left w:val="nil"/>
              <w:bottom w:val="nil"/>
              <w:right w:val="nil"/>
            </w:tcBorders>
          </w:tcPr>
          <w:p w14:paraId="6F440946" w14:textId="77777777" w:rsidR="00E735F3" w:rsidRPr="00E735F3" w:rsidRDefault="00E735F3" w:rsidP="00E735F3">
            <w:pPr>
              <w:spacing w:before="60" w:after="60" w:line="240" w:lineRule="auto"/>
              <w:rPr>
                <w:sz w:val="18"/>
              </w:rPr>
            </w:pPr>
            <w:r w:rsidRPr="00E735F3">
              <w:rPr>
                <w:sz w:val="18"/>
              </w:rPr>
              <w:t xml:space="preserve">Yes. Has a wide global distribution from warm temperate to tropical regions (Farr and Rossman 2016). Some hosts are present in Australia. </w:t>
            </w:r>
          </w:p>
        </w:tc>
        <w:tc>
          <w:tcPr>
            <w:tcW w:w="2268" w:type="dxa"/>
            <w:tcBorders>
              <w:top w:val="nil"/>
              <w:left w:val="nil"/>
              <w:bottom w:val="nil"/>
              <w:right w:val="nil"/>
            </w:tcBorders>
          </w:tcPr>
          <w:p w14:paraId="2024A915" w14:textId="77777777" w:rsidR="00E735F3" w:rsidRPr="00E735F3" w:rsidRDefault="00E735F3" w:rsidP="00E735F3">
            <w:pPr>
              <w:spacing w:before="60" w:after="60" w:line="240" w:lineRule="auto"/>
              <w:rPr>
                <w:sz w:val="18"/>
              </w:rPr>
            </w:pPr>
            <w:r w:rsidRPr="00E735F3">
              <w:rPr>
                <w:sz w:val="18"/>
              </w:rPr>
              <w:t xml:space="preserve">No. Not of economic importance (Dingley </w:t>
            </w:r>
            <w:r w:rsidRPr="00E735F3">
              <w:rPr>
                <w:i/>
                <w:sz w:val="18"/>
              </w:rPr>
              <w:t>et al</w:t>
            </w:r>
            <w:r w:rsidRPr="00E735F3">
              <w:rPr>
                <w:sz w:val="18"/>
              </w:rPr>
              <w:t>. 1981). Fungi of the Seuratiaceae family are not known to have economic consequences (Cannon and Kirk 2007).</w:t>
            </w:r>
          </w:p>
        </w:tc>
        <w:tc>
          <w:tcPr>
            <w:tcW w:w="1285" w:type="dxa"/>
            <w:tcBorders>
              <w:top w:val="nil"/>
              <w:left w:val="nil"/>
              <w:bottom w:val="nil"/>
              <w:right w:val="nil"/>
            </w:tcBorders>
          </w:tcPr>
          <w:p w14:paraId="39775EC6" w14:textId="77777777" w:rsidR="00E735F3" w:rsidRPr="00E735F3" w:rsidRDefault="00E735F3" w:rsidP="00E735F3">
            <w:pPr>
              <w:spacing w:before="60" w:after="60" w:line="240" w:lineRule="auto"/>
              <w:rPr>
                <w:sz w:val="18"/>
              </w:rPr>
            </w:pPr>
            <w:r w:rsidRPr="00E735F3">
              <w:rPr>
                <w:sz w:val="18"/>
              </w:rPr>
              <w:t>No</w:t>
            </w:r>
          </w:p>
        </w:tc>
      </w:tr>
      <w:tr w:rsidR="00E735F3" w:rsidRPr="00E735F3" w14:paraId="30402289" w14:textId="77777777" w:rsidTr="00063347">
        <w:trPr>
          <w:cantSplit/>
        </w:trPr>
        <w:tc>
          <w:tcPr>
            <w:tcW w:w="15451" w:type="dxa"/>
            <w:gridSpan w:val="7"/>
            <w:tcBorders>
              <w:top w:val="single" w:sz="4" w:space="0" w:color="BFBFBF"/>
              <w:left w:val="nil"/>
              <w:bottom w:val="nil"/>
              <w:right w:val="nil"/>
            </w:tcBorders>
            <w:shd w:val="clear" w:color="auto" w:fill="FFFFFF"/>
          </w:tcPr>
          <w:p w14:paraId="2A5F9767" w14:textId="77777777" w:rsidR="00E735F3" w:rsidRPr="00E735F3" w:rsidRDefault="00E735F3" w:rsidP="00E735F3">
            <w:pPr>
              <w:keepNext/>
              <w:spacing w:before="60" w:after="60" w:line="240" w:lineRule="auto"/>
              <w:rPr>
                <w:b/>
                <w:sz w:val="16"/>
                <w:szCs w:val="16"/>
              </w:rPr>
            </w:pPr>
            <w:r w:rsidRPr="00E735F3">
              <w:rPr>
                <w:b/>
                <w:sz w:val="18"/>
              </w:rPr>
              <w:t>VIROIDS</w:t>
            </w:r>
          </w:p>
        </w:tc>
      </w:tr>
      <w:tr w:rsidR="00E735F3" w:rsidRPr="00E735F3" w14:paraId="7F70203F" w14:textId="77777777" w:rsidTr="00063347">
        <w:trPr>
          <w:cantSplit/>
        </w:trPr>
        <w:tc>
          <w:tcPr>
            <w:tcW w:w="3403" w:type="dxa"/>
            <w:tcBorders>
              <w:top w:val="nil"/>
              <w:left w:val="nil"/>
              <w:bottom w:val="single" w:sz="4" w:space="0" w:color="BFBFBF"/>
              <w:right w:val="nil"/>
            </w:tcBorders>
          </w:tcPr>
          <w:p w14:paraId="2779ACA0" w14:textId="77777777" w:rsidR="00E735F3" w:rsidRPr="00E735F3" w:rsidRDefault="00E735F3" w:rsidP="00E735F3">
            <w:pPr>
              <w:spacing w:before="60" w:after="60" w:line="240" w:lineRule="auto"/>
              <w:rPr>
                <w:sz w:val="18"/>
              </w:rPr>
            </w:pPr>
            <w:r w:rsidRPr="00E735F3">
              <w:rPr>
                <w:b/>
                <w:sz w:val="18"/>
              </w:rPr>
              <w:t>Citrus exocortis viroid</w:t>
            </w:r>
            <w:r w:rsidRPr="00E735F3">
              <w:rPr>
                <w:sz w:val="18"/>
              </w:rPr>
              <w:t xml:space="preserve"> (CEVd)</w:t>
            </w:r>
          </w:p>
          <w:p w14:paraId="01E03B37" w14:textId="77777777" w:rsidR="00E735F3" w:rsidRPr="00E735F3" w:rsidRDefault="00E735F3" w:rsidP="00E735F3">
            <w:pPr>
              <w:spacing w:before="60" w:after="60" w:line="240" w:lineRule="auto"/>
              <w:rPr>
                <w:sz w:val="18"/>
              </w:rPr>
            </w:pPr>
            <w:r w:rsidRPr="00E735F3">
              <w:rPr>
                <w:sz w:val="18"/>
              </w:rPr>
              <w:t>[Pospiviroidae]</w:t>
            </w:r>
          </w:p>
        </w:tc>
        <w:tc>
          <w:tcPr>
            <w:tcW w:w="1974" w:type="dxa"/>
            <w:tcBorders>
              <w:top w:val="nil"/>
              <w:left w:val="nil"/>
              <w:bottom w:val="single" w:sz="4" w:space="0" w:color="BFBFBF"/>
              <w:right w:val="nil"/>
            </w:tcBorders>
          </w:tcPr>
          <w:p w14:paraId="124C4C3B" w14:textId="77777777" w:rsidR="00E735F3" w:rsidRPr="00E735F3" w:rsidRDefault="00E735F3" w:rsidP="00E735F3">
            <w:pPr>
              <w:spacing w:before="60" w:after="60" w:line="240" w:lineRule="auto"/>
              <w:rPr>
                <w:sz w:val="18"/>
              </w:rPr>
            </w:pPr>
            <w:r w:rsidRPr="00E735F3">
              <w:rPr>
                <w:sz w:val="18"/>
              </w:rPr>
              <w:t xml:space="preserve">Cook Islands (Davis </w:t>
            </w:r>
            <w:r w:rsidRPr="00E735F3">
              <w:rPr>
                <w:i/>
                <w:sz w:val="18"/>
              </w:rPr>
              <w:t>et al</w:t>
            </w:r>
            <w:r w:rsidRPr="00E735F3">
              <w:rPr>
                <w:sz w:val="18"/>
              </w:rPr>
              <w:t xml:space="preserve">. 2005), Samoa (Davis </w:t>
            </w:r>
            <w:r w:rsidRPr="00E735F3">
              <w:rPr>
                <w:i/>
                <w:sz w:val="18"/>
              </w:rPr>
              <w:t>et al</w:t>
            </w:r>
            <w:r w:rsidRPr="00E735F3">
              <w:rPr>
                <w:sz w:val="18"/>
              </w:rPr>
              <w:t>. 2006a).</w:t>
            </w:r>
          </w:p>
        </w:tc>
        <w:tc>
          <w:tcPr>
            <w:tcW w:w="1701" w:type="dxa"/>
            <w:tcBorders>
              <w:top w:val="nil"/>
              <w:left w:val="nil"/>
              <w:bottom w:val="single" w:sz="4" w:space="0" w:color="BFBFBF"/>
              <w:right w:val="nil"/>
            </w:tcBorders>
            <w:shd w:val="clear" w:color="auto" w:fill="FFFFFF"/>
          </w:tcPr>
          <w:p w14:paraId="7DC5C8E5" w14:textId="77777777" w:rsidR="00E735F3" w:rsidRDefault="00E735F3" w:rsidP="00E735F3">
            <w:pPr>
              <w:spacing w:before="60" w:after="60" w:line="240" w:lineRule="auto"/>
              <w:rPr>
                <w:sz w:val="18"/>
              </w:rPr>
            </w:pPr>
            <w:r w:rsidRPr="00E735F3">
              <w:rPr>
                <w:sz w:val="18"/>
              </w:rPr>
              <w:t>Yes. NSW, NT and Qld (CABI 2016).</w:t>
            </w:r>
          </w:p>
          <w:p w14:paraId="14151D19" w14:textId="27B8FCC4" w:rsidR="00420115" w:rsidRPr="00E735F3" w:rsidRDefault="00420115" w:rsidP="00E735F3">
            <w:pPr>
              <w:spacing w:before="60" w:after="60" w:line="240" w:lineRule="auto"/>
              <w:rPr>
                <w:sz w:val="18"/>
              </w:rPr>
            </w:pPr>
            <w:r w:rsidRPr="0031527E">
              <w:rPr>
                <w:sz w:val="18"/>
              </w:rPr>
              <w:t>Declared O</w:t>
            </w:r>
            <w:r>
              <w:rPr>
                <w:sz w:val="18"/>
              </w:rPr>
              <w:t>rganism (Prohibited - section 12)</w:t>
            </w:r>
            <w:r w:rsidRPr="0031527E">
              <w:rPr>
                <w:sz w:val="18"/>
              </w:rPr>
              <w:t xml:space="preserve"> for WA (Gove</w:t>
            </w:r>
            <w:r>
              <w:rPr>
                <w:sz w:val="18"/>
              </w:rPr>
              <w:t>rnment of Western Australia 2017</w:t>
            </w:r>
            <w:r w:rsidRPr="0031527E">
              <w:rPr>
                <w:sz w:val="18"/>
              </w:rPr>
              <w:t>).</w:t>
            </w:r>
          </w:p>
        </w:tc>
        <w:tc>
          <w:tcPr>
            <w:tcW w:w="2410" w:type="dxa"/>
            <w:tcBorders>
              <w:top w:val="nil"/>
              <w:left w:val="nil"/>
              <w:bottom w:val="single" w:sz="4" w:space="0" w:color="BFBFBF"/>
              <w:right w:val="nil"/>
            </w:tcBorders>
            <w:shd w:val="clear" w:color="auto" w:fill="FFFFFF"/>
          </w:tcPr>
          <w:p w14:paraId="090A1244" w14:textId="5C6516D8" w:rsidR="00E735F3" w:rsidRPr="00E735F3" w:rsidRDefault="00E735F3" w:rsidP="00211BE4">
            <w:pPr>
              <w:spacing w:before="60" w:after="60" w:line="240" w:lineRule="auto"/>
              <w:rPr>
                <w:sz w:val="18"/>
              </w:rPr>
            </w:pPr>
            <w:r w:rsidRPr="00E735F3">
              <w:rPr>
                <w:sz w:val="18"/>
              </w:rPr>
              <w:t xml:space="preserve">Yes. All citrus species are susceptible to infection, but may remain symptomless. Infection is systemic, so some viroids could be present in the fruit. </w:t>
            </w:r>
          </w:p>
        </w:tc>
        <w:tc>
          <w:tcPr>
            <w:tcW w:w="2410" w:type="dxa"/>
            <w:tcBorders>
              <w:top w:val="nil"/>
              <w:left w:val="nil"/>
              <w:bottom w:val="single" w:sz="4" w:space="0" w:color="BFBFBF"/>
              <w:right w:val="nil"/>
            </w:tcBorders>
            <w:shd w:val="clear" w:color="auto" w:fill="FFFFFF"/>
          </w:tcPr>
          <w:p w14:paraId="626B676F" w14:textId="29E8605A" w:rsidR="00E735F3" w:rsidRPr="00E735F3" w:rsidRDefault="00E735F3" w:rsidP="00E735F3">
            <w:pPr>
              <w:spacing w:before="60" w:after="60" w:line="240" w:lineRule="auto"/>
              <w:rPr>
                <w:sz w:val="18"/>
              </w:rPr>
            </w:pPr>
            <w:r w:rsidRPr="00E735F3">
              <w:rPr>
                <w:sz w:val="18"/>
              </w:rPr>
              <w:t xml:space="preserve">No. </w:t>
            </w:r>
            <w:r w:rsidR="00F3509E" w:rsidRPr="00E735F3">
              <w:rPr>
                <w:sz w:val="18"/>
              </w:rPr>
              <w:t>Not known to be transmitted from citrus fruit or seed (CABI 2016).</w:t>
            </w:r>
            <w:r w:rsidR="00F3509E">
              <w:rPr>
                <w:sz w:val="18"/>
              </w:rPr>
              <w:t xml:space="preserve"> </w:t>
            </w:r>
            <w:r w:rsidRPr="00E735F3">
              <w:rPr>
                <w:sz w:val="18"/>
              </w:rPr>
              <w:t>Fresh lime fruit will not provide a pathway for transmission to a susceptible host, so the viroid is unlikely to be able to establish.</w:t>
            </w:r>
          </w:p>
        </w:tc>
        <w:tc>
          <w:tcPr>
            <w:tcW w:w="2268" w:type="dxa"/>
            <w:tcBorders>
              <w:top w:val="nil"/>
              <w:left w:val="nil"/>
              <w:bottom w:val="single" w:sz="4" w:space="0" w:color="BFBFBF"/>
              <w:right w:val="nil"/>
            </w:tcBorders>
            <w:shd w:val="clear" w:color="auto" w:fill="auto"/>
          </w:tcPr>
          <w:p w14:paraId="4D6BF806" w14:textId="77777777" w:rsidR="00E735F3" w:rsidRPr="00E735F3" w:rsidRDefault="00E735F3" w:rsidP="00A23A6C">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BFBFBF"/>
              <w:right w:val="nil"/>
            </w:tcBorders>
          </w:tcPr>
          <w:p w14:paraId="4216CAD5" w14:textId="77777777" w:rsidR="00E735F3" w:rsidRPr="00E735F3" w:rsidRDefault="00E735F3" w:rsidP="00E735F3">
            <w:pPr>
              <w:spacing w:before="60" w:after="60" w:line="240" w:lineRule="auto"/>
              <w:rPr>
                <w:sz w:val="18"/>
              </w:rPr>
            </w:pPr>
            <w:r w:rsidRPr="00E735F3">
              <w:rPr>
                <w:sz w:val="18"/>
              </w:rPr>
              <w:t>No</w:t>
            </w:r>
          </w:p>
        </w:tc>
      </w:tr>
      <w:tr w:rsidR="00E735F3" w:rsidRPr="00E735F3" w14:paraId="7D0B3815" w14:textId="77777777" w:rsidTr="00063347">
        <w:trPr>
          <w:cantSplit/>
        </w:trPr>
        <w:tc>
          <w:tcPr>
            <w:tcW w:w="15451" w:type="dxa"/>
            <w:gridSpan w:val="7"/>
            <w:tcBorders>
              <w:top w:val="single" w:sz="4" w:space="0" w:color="BFBFBF"/>
              <w:left w:val="nil"/>
              <w:bottom w:val="nil"/>
              <w:right w:val="nil"/>
            </w:tcBorders>
            <w:shd w:val="clear" w:color="auto" w:fill="FFFFFF"/>
          </w:tcPr>
          <w:p w14:paraId="0B920D0C" w14:textId="77777777" w:rsidR="00E735F3" w:rsidRPr="00E735F3" w:rsidRDefault="00E735F3" w:rsidP="00E735F3">
            <w:pPr>
              <w:keepNext/>
              <w:spacing w:before="60" w:after="60" w:line="240" w:lineRule="auto"/>
              <w:rPr>
                <w:sz w:val="16"/>
                <w:szCs w:val="16"/>
              </w:rPr>
            </w:pPr>
            <w:r w:rsidRPr="00E735F3">
              <w:rPr>
                <w:b/>
                <w:sz w:val="18"/>
              </w:rPr>
              <w:t>VIRUSES</w:t>
            </w:r>
          </w:p>
        </w:tc>
      </w:tr>
      <w:tr w:rsidR="00E735F3" w:rsidRPr="00E735F3" w14:paraId="506D0D5B" w14:textId="77777777" w:rsidTr="00063347">
        <w:trPr>
          <w:cantSplit/>
        </w:trPr>
        <w:tc>
          <w:tcPr>
            <w:tcW w:w="3403" w:type="dxa"/>
            <w:tcBorders>
              <w:top w:val="nil"/>
              <w:left w:val="nil"/>
              <w:bottom w:val="nil"/>
              <w:right w:val="nil"/>
            </w:tcBorders>
          </w:tcPr>
          <w:p w14:paraId="32737CB5" w14:textId="77777777" w:rsidR="00E735F3" w:rsidRPr="00E735F3" w:rsidRDefault="00E735F3" w:rsidP="00E735F3">
            <w:pPr>
              <w:spacing w:before="60" w:after="60" w:line="240" w:lineRule="auto"/>
              <w:rPr>
                <w:sz w:val="18"/>
              </w:rPr>
            </w:pPr>
            <w:r w:rsidRPr="00E735F3">
              <w:rPr>
                <w:b/>
                <w:sz w:val="18"/>
              </w:rPr>
              <w:t>Citrus psorosis virus</w:t>
            </w:r>
            <w:r w:rsidRPr="00E735F3">
              <w:rPr>
                <w:sz w:val="18"/>
              </w:rPr>
              <w:t xml:space="preserve"> (CPsV)</w:t>
            </w:r>
          </w:p>
          <w:p w14:paraId="138407FE" w14:textId="77777777" w:rsidR="00E735F3" w:rsidRPr="00E735F3" w:rsidRDefault="00E735F3" w:rsidP="00E735F3">
            <w:pPr>
              <w:spacing w:before="60" w:after="60" w:line="240" w:lineRule="auto"/>
              <w:rPr>
                <w:sz w:val="18"/>
              </w:rPr>
            </w:pPr>
            <w:r w:rsidRPr="00E735F3">
              <w:rPr>
                <w:sz w:val="18"/>
              </w:rPr>
              <w:t>[Ophioviridae]</w:t>
            </w:r>
          </w:p>
          <w:p w14:paraId="4B3365C0" w14:textId="77777777" w:rsidR="00E735F3" w:rsidRPr="00E735F3" w:rsidRDefault="00E735F3" w:rsidP="00E735F3">
            <w:pPr>
              <w:spacing w:before="60" w:after="60" w:line="240" w:lineRule="auto"/>
              <w:rPr>
                <w:sz w:val="18"/>
              </w:rPr>
            </w:pPr>
            <w:r w:rsidRPr="00E735F3">
              <w:rPr>
                <w:sz w:val="18"/>
              </w:rPr>
              <w:t xml:space="preserve">Psorosis </w:t>
            </w:r>
          </w:p>
          <w:p w14:paraId="0DD365B9" w14:textId="77777777" w:rsidR="00E735F3" w:rsidRPr="00E735F3" w:rsidRDefault="00E735F3" w:rsidP="00E735F3">
            <w:pPr>
              <w:spacing w:before="60" w:after="60" w:line="240" w:lineRule="auto"/>
              <w:rPr>
                <w:sz w:val="16"/>
                <w:szCs w:val="16"/>
              </w:rPr>
            </w:pPr>
            <w:r w:rsidRPr="00E735F3">
              <w:rPr>
                <w:sz w:val="16"/>
                <w:szCs w:val="16"/>
              </w:rPr>
              <w:t>Note: Psorosis is thought to be caused by a complex of several viruses</w:t>
            </w:r>
          </w:p>
        </w:tc>
        <w:tc>
          <w:tcPr>
            <w:tcW w:w="1974" w:type="dxa"/>
            <w:tcBorders>
              <w:top w:val="nil"/>
              <w:left w:val="nil"/>
              <w:bottom w:val="nil"/>
              <w:right w:val="nil"/>
            </w:tcBorders>
          </w:tcPr>
          <w:p w14:paraId="01F21E10" w14:textId="77777777" w:rsidR="00E735F3" w:rsidRPr="00E735F3" w:rsidRDefault="00E735F3" w:rsidP="00E735F3">
            <w:pPr>
              <w:spacing w:before="60" w:after="60" w:line="240" w:lineRule="auto"/>
              <w:rPr>
                <w:sz w:val="18"/>
              </w:rPr>
            </w:pPr>
            <w:r w:rsidRPr="00E735F3">
              <w:rPr>
                <w:sz w:val="18"/>
              </w:rPr>
              <w:t xml:space="preserve">Samoa (Davis </w:t>
            </w:r>
            <w:r w:rsidRPr="00E735F3">
              <w:rPr>
                <w:i/>
                <w:sz w:val="18"/>
              </w:rPr>
              <w:t>et al</w:t>
            </w:r>
            <w:r w:rsidRPr="00E735F3">
              <w:rPr>
                <w:sz w:val="18"/>
              </w:rPr>
              <w:t xml:space="preserve">. 2006a), Tonga (Davis </w:t>
            </w:r>
            <w:r w:rsidRPr="00E735F3">
              <w:rPr>
                <w:i/>
                <w:sz w:val="18"/>
              </w:rPr>
              <w:t>et al</w:t>
            </w:r>
            <w:r w:rsidRPr="00E735F3">
              <w:rPr>
                <w:sz w:val="18"/>
              </w:rPr>
              <w:t>. 2006b).</w:t>
            </w:r>
          </w:p>
        </w:tc>
        <w:tc>
          <w:tcPr>
            <w:tcW w:w="1701" w:type="dxa"/>
            <w:tcBorders>
              <w:top w:val="nil"/>
              <w:left w:val="nil"/>
              <w:bottom w:val="nil"/>
              <w:right w:val="nil"/>
            </w:tcBorders>
            <w:shd w:val="clear" w:color="auto" w:fill="auto"/>
          </w:tcPr>
          <w:p w14:paraId="36FBB675" w14:textId="77777777" w:rsidR="00E735F3" w:rsidRDefault="00E735F3" w:rsidP="00E735F3">
            <w:pPr>
              <w:spacing w:before="60" w:after="60" w:line="240" w:lineRule="auto"/>
              <w:rPr>
                <w:sz w:val="18"/>
              </w:rPr>
            </w:pPr>
            <w:r w:rsidRPr="00E735F3">
              <w:rPr>
                <w:sz w:val="18"/>
              </w:rPr>
              <w:t>Yes. NSW (Letham 1995), Qld (Simmonds 1966), SA (Cook and Dube 1989) and Vic. (Washington and Nancarrow 1980).</w:t>
            </w:r>
          </w:p>
          <w:p w14:paraId="4077F39A" w14:textId="5AD83ECA" w:rsidR="00420115" w:rsidRPr="00E735F3" w:rsidRDefault="00420115" w:rsidP="00E735F3">
            <w:pPr>
              <w:spacing w:before="60" w:after="60" w:line="240" w:lineRule="auto"/>
              <w:rPr>
                <w:sz w:val="18"/>
              </w:rPr>
            </w:pPr>
            <w:r w:rsidRPr="00420115">
              <w:rPr>
                <w:sz w:val="18"/>
              </w:rPr>
              <w:t>Declared Organism (Prohibited - section 12) for WA (Government of Western Australia 2017).</w:t>
            </w:r>
          </w:p>
        </w:tc>
        <w:tc>
          <w:tcPr>
            <w:tcW w:w="2410" w:type="dxa"/>
            <w:tcBorders>
              <w:top w:val="nil"/>
              <w:left w:val="nil"/>
              <w:bottom w:val="nil"/>
              <w:right w:val="nil"/>
            </w:tcBorders>
          </w:tcPr>
          <w:p w14:paraId="54C91FBB" w14:textId="530DBA9D" w:rsidR="00E735F3" w:rsidRPr="00E735F3" w:rsidRDefault="00E735F3" w:rsidP="00A159E7">
            <w:pPr>
              <w:spacing w:before="60" w:after="60" w:line="240" w:lineRule="auto"/>
              <w:rPr>
                <w:sz w:val="18"/>
              </w:rPr>
            </w:pPr>
            <w:r w:rsidRPr="00E735F3">
              <w:rPr>
                <w:sz w:val="18"/>
              </w:rPr>
              <w:t xml:space="preserve">No. </w:t>
            </w:r>
            <w:r w:rsidR="006F7FC7" w:rsidRPr="006F7FC7">
              <w:rPr>
                <w:sz w:val="18"/>
              </w:rPr>
              <w:t xml:space="preserve">Fruit may have chlorotic ring-shaped symptoms on the surface. Infected trees have low yields and produce poor quality fruit (Sofy </w:t>
            </w:r>
            <w:r w:rsidR="006F7FC7" w:rsidRPr="006F7FC7">
              <w:rPr>
                <w:i/>
                <w:sz w:val="18"/>
              </w:rPr>
              <w:t>et al</w:t>
            </w:r>
            <w:r w:rsidR="006F7FC7" w:rsidRPr="006F7FC7">
              <w:rPr>
                <w:sz w:val="18"/>
              </w:rPr>
              <w:t>. 2007), which are unlikely to be suitable for export.</w:t>
            </w:r>
          </w:p>
        </w:tc>
        <w:tc>
          <w:tcPr>
            <w:tcW w:w="2410" w:type="dxa"/>
            <w:tcBorders>
              <w:top w:val="nil"/>
              <w:left w:val="nil"/>
              <w:bottom w:val="nil"/>
              <w:right w:val="nil"/>
            </w:tcBorders>
            <w:shd w:val="clear" w:color="auto" w:fill="auto"/>
          </w:tcPr>
          <w:p w14:paraId="42D33009" w14:textId="77777777" w:rsidR="00E735F3" w:rsidRPr="00E735F3" w:rsidRDefault="00E735F3" w:rsidP="006876FA">
            <w:pPr>
              <w:spacing w:before="60" w:after="60" w:line="240" w:lineRule="auto"/>
              <w:rPr>
                <w:sz w:val="18"/>
              </w:rPr>
            </w:pPr>
            <w:r w:rsidRPr="00E735F3">
              <w:rPr>
                <w:sz w:val="18"/>
              </w:rPr>
              <w:t xml:space="preserve">Assessment not required. </w:t>
            </w:r>
          </w:p>
        </w:tc>
        <w:tc>
          <w:tcPr>
            <w:tcW w:w="2268" w:type="dxa"/>
            <w:tcBorders>
              <w:top w:val="nil"/>
              <w:left w:val="nil"/>
              <w:bottom w:val="nil"/>
              <w:right w:val="nil"/>
            </w:tcBorders>
            <w:shd w:val="clear" w:color="auto" w:fill="auto"/>
          </w:tcPr>
          <w:p w14:paraId="3AE6A0B6" w14:textId="77777777" w:rsidR="00E735F3" w:rsidRPr="00E735F3" w:rsidRDefault="00E735F3" w:rsidP="006876FA">
            <w:pPr>
              <w:spacing w:before="60" w:after="60" w:line="240" w:lineRule="auto"/>
              <w:rPr>
                <w:sz w:val="18"/>
              </w:rPr>
            </w:pPr>
            <w:r w:rsidRPr="00E735F3">
              <w:rPr>
                <w:sz w:val="18"/>
              </w:rPr>
              <w:t>Assessment not required.</w:t>
            </w:r>
          </w:p>
        </w:tc>
        <w:tc>
          <w:tcPr>
            <w:tcW w:w="1285" w:type="dxa"/>
            <w:tcBorders>
              <w:top w:val="nil"/>
              <w:left w:val="nil"/>
              <w:bottom w:val="nil"/>
              <w:right w:val="nil"/>
            </w:tcBorders>
          </w:tcPr>
          <w:p w14:paraId="3CB03EFC" w14:textId="77777777" w:rsidR="00E735F3" w:rsidRPr="00E735F3" w:rsidRDefault="00E735F3" w:rsidP="00E735F3">
            <w:pPr>
              <w:spacing w:before="60" w:after="60" w:line="240" w:lineRule="auto"/>
              <w:rPr>
                <w:sz w:val="18"/>
              </w:rPr>
            </w:pPr>
            <w:r w:rsidRPr="00E735F3">
              <w:rPr>
                <w:sz w:val="18"/>
              </w:rPr>
              <w:t>No</w:t>
            </w:r>
          </w:p>
        </w:tc>
      </w:tr>
      <w:tr w:rsidR="00E735F3" w:rsidRPr="00E735F3" w14:paraId="07854294" w14:textId="77777777" w:rsidTr="00063347">
        <w:trPr>
          <w:cantSplit/>
        </w:trPr>
        <w:tc>
          <w:tcPr>
            <w:tcW w:w="3403" w:type="dxa"/>
            <w:tcBorders>
              <w:top w:val="nil"/>
              <w:left w:val="nil"/>
              <w:bottom w:val="single" w:sz="4" w:space="0" w:color="auto"/>
              <w:right w:val="nil"/>
            </w:tcBorders>
          </w:tcPr>
          <w:p w14:paraId="02A644AA" w14:textId="77777777" w:rsidR="00E735F3" w:rsidRPr="00E735F3" w:rsidRDefault="00E735F3" w:rsidP="00E735F3">
            <w:pPr>
              <w:spacing w:before="60" w:after="60" w:line="240" w:lineRule="auto"/>
              <w:rPr>
                <w:sz w:val="18"/>
              </w:rPr>
            </w:pPr>
            <w:r w:rsidRPr="00E735F3">
              <w:rPr>
                <w:b/>
                <w:sz w:val="18"/>
              </w:rPr>
              <w:t>Citrus tristeza virus</w:t>
            </w:r>
            <w:r w:rsidRPr="00E735F3">
              <w:rPr>
                <w:sz w:val="18"/>
              </w:rPr>
              <w:t xml:space="preserve"> (CTV)</w:t>
            </w:r>
          </w:p>
          <w:p w14:paraId="3FA4D0C0" w14:textId="77777777" w:rsidR="00E735F3" w:rsidRPr="00E735F3" w:rsidRDefault="00E735F3" w:rsidP="00E735F3">
            <w:pPr>
              <w:spacing w:before="60" w:after="60" w:line="240" w:lineRule="auto"/>
              <w:rPr>
                <w:sz w:val="18"/>
              </w:rPr>
            </w:pPr>
            <w:r w:rsidRPr="00E735F3">
              <w:rPr>
                <w:sz w:val="18"/>
              </w:rPr>
              <w:t>[Closteroviridae]</w:t>
            </w:r>
          </w:p>
          <w:p w14:paraId="30E928ED" w14:textId="77777777" w:rsidR="00E735F3" w:rsidRPr="00E735F3" w:rsidRDefault="00E735F3" w:rsidP="00E735F3">
            <w:pPr>
              <w:spacing w:before="60" w:after="60" w:line="240" w:lineRule="auto"/>
              <w:rPr>
                <w:sz w:val="18"/>
              </w:rPr>
            </w:pPr>
            <w:r w:rsidRPr="00E735F3">
              <w:rPr>
                <w:sz w:val="18"/>
              </w:rPr>
              <w:t>Tristeza, lime dieback</w:t>
            </w:r>
          </w:p>
        </w:tc>
        <w:tc>
          <w:tcPr>
            <w:tcW w:w="1974" w:type="dxa"/>
            <w:tcBorders>
              <w:top w:val="nil"/>
              <w:left w:val="nil"/>
              <w:bottom w:val="single" w:sz="4" w:space="0" w:color="auto"/>
              <w:right w:val="nil"/>
            </w:tcBorders>
          </w:tcPr>
          <w:p w14:paraId="7BD3C809" w14:textId="77777777" w:rsidR="00E735F3" w:rsidRPr="00E735F3" w:rsidRDefault="00E735F3" w:rsidP="009742AF">
            <w:pPr>
              <w:spacing w:before="60" w:after="60" w:line="240" w:lineRule="auto"/>
              <w:rPr>
                <w:sz w:val="18"/>
              </w:rPr>
            </w:pPr>
            <w:r w:rsidRPr="00E735F3">
              <w:rPr>
                <w:sz w:val="18"/>
              </w:rPr>
              <w:t xml:space="preserve">Cook Islands, Niue, Samoa, Tonga (Davis </w:t>
            </w:r>
            <w:r w:rsidRPr="00E735F3">
              <w:rPr>
                <w:i/>
                <w:sz w:val="18"/>
              </w:rPr>
              <w:t>et al</w:t>
            </w:r>
            <w:r w:rsidRPr="00E735F3">
              <w:rPr>
                <w:sz w:val="18"/>
              </w:rPr>
              <w:t xml:space="preserve">. 2010). </w:t>
            </w:r>
          </w:p>
        </w:tc>
        <w:tc>
          <w:tcPr>
            <w:tcW w:w="1701" w:type="dxa"/>
            <w:tcBorders>
              <w:top w:val="nil"/>
              <w:left w:val="nil"/>
              <w:bottom w:val="single" w:sz="4" w:space="0" w:color="auto"/>
              <w:right w:val="nil"/>
            </w:tcBorders>
            <w:shd w:val="clear" w:color="auto" w:fill="auto"/>
          </w:tcPr>
          <w:p w14:paraId="06AE0D77" w14:textId="77777777" w:rsidR="00E735F3" w:rsidRPr="00E735F3" w:rsidRDefault="00E735F3" w:rsidP="00E735F3">
            <w:pPr>
              <w:spacing w:before="60" w:after="60" w:line="240" w:lineRule="auto"/>
              <w:rPr>
                <w:sz w:val="18"/>
              </w:rPr>
            </w:pPr>
            <w:r w:rsidRPr="00E735F3">
              <w:rPr>
                <w:sz w:val="18"/>
              </w:rPr>
              <w:t xml:space="preserve">Yes. NSW (Letham 1995), Qld (Simmonds 1966), SA (Cook and Dube 1989) and Vic. (Washington and Nancarrow 1980). </w:t>
            </w:r>
          </w:p>
          <w:p w14:paraId="5E473C03" w14:textId="693B27CB" w:rsidR="00E735F3" w:rsidRPr="00E735F3" w:rsidRDefault="00E735F3" w:rsidP="00CF75F3">
            <w:pPr>
              <w:spacing w:before="60" w:after="60" w:line="240" w:lineRule="auto"/>
              <w:rPr>
                <w:sz w:val="18"/>
              </w:rPr>
            </w:pPr>
            <w:r w:rsidRPr="00E735F3">
              <w:rPr>
                <w:sz w:val="18"/>
              </w:rPr>
              <w:t>Several strains, but not all, are present in Australia (PHA 201</w:t>
            </w:r>
            <w:r w:rsidR="00CF75F3">
              <w:rPr>
                <w:sz w:val="18"/>
              </w:rPr>
              <w:t>6</w:t>
            </w:r>
            <w:r w:rsidRPr="00E735F3">
              <w:rPr>
                <w:sz w:val="18"/>
              </w:rPr>
              <w:t>).</w:t>
            </w:r>
          </w:p>
        </w:tc>
        <w:tc>
          <w:tcPr>
            <w:tcW w:w="2410" w:type="dxa"/>
            <w:tcBorders>
              <w:top w:val="nil"/>
              <w:left w:val="nil"/>
              <w:bottom w:val="single" w:sz="4" w:space="0" w:color="auto"/>
              <w:right w:val="nil"/>
            </w:tcBorders>
          </w:tcPr>
          <w:p w14:paraId="6DD61841" w14:textId="1D78B262" w:rsidR="00E735F3" w:rsidRPr="00E735F3" w:rsidRDefault="00E735F3">
            <w:pPr>
              <w:spacing w:before="60" w:after="60" w:line="240" w:lineRule="auto"/>
              <w:rPr>
                <w:sz w:val="18"/>
              </w:rPr>
            </w:pPr>
            <w:r w:rsidRPr="00E735F3">
              <w:rPr>
                <w:sz w:val="18"/>
              </w:rPr>
              <w:t xml:space="preserve">Yes. </w:t>
            </w:r>
            <w:r w:rsidR="009742AF" w:rsidRPr="00F8405A">
              <w:rPr>
                <w:i/>
                <w:sz w:val="18"/>
              </w:rPr>
              <w:t>Citrus aurantifolia</w:t>
            </w:r>
            <w:r w:rsidR="009742AF">
              <w:rPr>
                <w:sz w:val="18"/>
              </w:rPr>
              <w:t xml:space="preserve"> </w:t>
            </w:r>
            <w:r w:rsidR="00F8405A">
              <w:rPr>
                <w:sz w:val="18"/>
              </w:rPr>
              <w:t xml:space="preserve">(key lime) </w:t>
            </w:r>
            <w:r w:rsidR="009742AF">
              <w:rPr>
                <w:sz w:val="18"/>
              </w:rPr>
              <w:t xml:space="preserve">is reported as a host in the Pacific Islands (Davis </w:t>
            </w:r>
            <w:r w:rsidR="009742AF" w:rsidRPr="009742AF">
              <w:rPr>
                <w:i/>
                <w:sz w:val="18"/>
              </w:rPr>
              <w:t>et al.</w:t>
            </w:r>
            <w:r w:rsidR="009742AF">
              <w:rPr>
                <w:sz w:val="18"/>
              </w:rPr>
              <w:t xml:space="preserve"> 2010), </w:t>
            </w:r>
            <w:r w:rsidR="000861FB">
              <w:rPr>
                <w:sz w:val="18"/>
              </w:rPr>
              <w:t>and Tahitian lime is also a</w:t>
            </w:r>
            <w:r w:rsidR="009742AF">
              <w:rPr>
                <w:sz w:val="18"/>
              </w:rPr>
              <w:t xml:space="preserve"> likely </w:t>
            </w:r>
            <w:r w:rsidR="000861FB">
              <w:rPr>
                <w:sz w:val="18"/>
              </w:rPr>
              <w:t>host</w:t>
            </w:r>
            <w:r w:rsidR="009742AF">
              <w:rPr>
                <w:sz w:val="18"/>
              </w:rPr>
              <w:t>. Virus is p</w:t>
            </w:r>
            <w:r w:rsidRPr="00E735F3">
              <w:rPr>
                <w:sz w:val="18"/>
              </w:rPr>
              <w:t xml:space="preserve">resent in the phloem, so </w:t>
            </w:r>
            <w:r w:rsidR="00011737">
              <w:rPr>
                <w:sz w:val="18"/>
              </w:rPr>
              <w:t xml:space="preserve">presence in fruit cannot be excluded; </w:t>
            </w:r>
            <w:r w:rsidRPr="00E735F3">
              <w:rPr>
                <w:sz w:val="18"/>
              </w:rPr>
              <w:t xml:space="preserve">affected trees are unlikely to yield export quality fruit. </w:t>
            </w:r>
          </w:p>
        </w:tc>
        <w:tc>
          <w:tcPr>
            <w:tcW w:w="2410" w:type="dxa"/>
            <w:tcBorders>
              <w:top w:val="nil"/>
              <w:left w:val="nil"/>
              <w:bottom w:val="single" w:sz="4" w:space="0" w:color="auto"/>
              <w:right w:val="nil"/>
            </w:tcBorders>
            <w:shd w:val="clear" w:color="auto" w:fill="auto"/>
          </w:tcPr>
          <w:p w14:paraId="496D554C" w14:textId="13219B96" w:rsidR="00E735F3" w:rsidRPr="00E735F3" w:rsidRDefault="00E735F3">
            <w:pPr>
              <w:spacing w:before="60" w:after="60" w:line="240" w:lineRule="auto"/>
              <w:rPr>
                <w:sz w:val="18"/>
              </w:rPr>
            </w:pPr>
            <w:r w:rsidRPr="00E735F3">
              <w:rPr>
                <w:sz w:val="18"/>
              </w:rPr>
              <w:t xml:space="preserve">No. </w:t>
            </w:r>
            <w:r w:rsidR="00F3509E" w:rsidRPr="00E735F3">
              <w:rPr>
                <w:sz w:val="18"/>
              </w:rPr>
              <w:t>Not known to be seed</w:t>
            </w:r>
            <w:r w:rsidR="00011737">
              <w:rPr>
                <w:sz w:val="18"/>
              </w:rPr>
              <w:t>-</w:t>
            </w:r>
            <w:r w:rsidR="00F3509E" w:rsidRPr="00E735F3">
              <w:rPr>
                <w:sz w:val="18"/>
              </w:rPr>
              <w:t>borne (CABI 2016).</w:t>
            </w:r>
            <w:r w:rsidR="00F3509E">
              <w:rPr>
                <w:sz w:val="18"/>
              </w:rPr>
              <w:t xml:space="preserve"> </w:t>
            </w:r>
            <w:r w:rsidRPr="00E735F3">
              <w:rPr>
                <w:sz w:val="18"/>
              </w:rPr>
              <w:t xml:space="preserve">Fresh lime fruit will not provide a pathway for transmission to a susceptible host, so the virus </w:t>
            </w:r>
            <w:r w:rsidR="00011737">
              <w:rPr>
                <w:sz w:val="18"/>
              </w:rPr>
              <w:t xml:space="preserve">will not </w:t>
            </w:r>
            <w:r w:rsidRPr="00E735F3">
              <w:rPr>
                <w:sz w:val="18"/>
              </w:rPr>
              <w:t>be able to establish and spread.</w:t>
            </w:r>
          </w:p>
        </w:tc>
        <w:tc>
          <w:tcPr>
            <w:tcW w:w="2268" w:type="dxa"/>
            <w:tcBorders>
              <w:top w:val="nil"/>
              <w:left w:val="nil"/>
              <w:bottom w:val="single" w:sz="4" w:space="0" w:color="auto"/>
              <w:right w:val="nil"/>
            </w:tcBorders>
            <w:shd w:val="clear" w:color="auto" w:fill="auto"/>
          </w:tcPr>
          <w:p w14:paraId="026E1CCE" w14:textId="0B5A7F72" w:rsidR="00E735F3" w:rsidRPr="00E735F3" w:rsidRDefault="00E735F3" w:rsidP="00A322E5">
            <w:pPr>
              <w:spacing w:before="60" w:after="60" w:line="240" w:lineRule="auto"/>
              <w:rPr>
                <w:sz w:val="18"/>
              </w:rPr>
            </w:pPr>
            <w:r w:rsidRPr="00E735F3">
              <w:rPr>
                <w:sz w:val="18"/>
              </w:rPr>
              <w:t xml:space="preserve">Assessment not required. </w:t>
            </w:r>
          </w:p>
        </w:tc>
        <w:tc>
          <w:tcPr>
            <w:tcW w:w="1285" w:type="dxa"/>
            <w:tcBorders>
              <w:top w:val="nil"/>
              <w:left w:val="nil"/>
              <w:bottom w:val="single" w:sz="4" w:space="0" w:color="auto"/>
              <w:right w:val="nil"/>
            </w:tcBorders>
          </w:tcPr>
          <w:p w14:paraId="5553B64B" w14:textId="77777777" w:rsidR="00E735F3" w:rsidRPr="00E735F3" w:rsidRDefault="00E735F3" w:rsidP="00E735F3">
            <w:pPr>
              <w:spacing w:before="60" w:after="60" w:line="240" w:lineRule="auto"/>
              <w:rPr>
                <w:sz w:val="18"/>
              </w:rPr>
            </w:pPr>
            <w:r w:rsidRPr="00E735F3">
              <w:rPr>
                <w:sz w:val="18"/>
              </w:rPr>
              <w:t>No</w:t>
            </w:r>
          </w:p>
        </w:tc>
      </w:tr>
    </w:tbl>
    <w:p w14:paraId="1E57DE64" w14:textId="77777777" w:rsidR="006D5260" w:rsidRDefault="006D5260">
      <w:pPr>
        <w:pStyle w:val="Heading1nonumbers"/>
        <w:sectPr w:rsidR="006D5260" w:rsidSect="00D96E92">
          <w:headerReference w:type="even" r:id="rId67"/>
          <w:headerReference w:type="default" r:id="rId68"/>
          <w:footerReference w:type="even" r:id="rId69"/>
          <w:footerReference w:type="default" r:id="rId70"/>
          <w:pgSz w:w="16838" w:h="11906" w:orient="landscape"/>
          <w:pgMar w:top="1418" w:right="1418" w:bottom="1418" w:left="1418" w:header="567" w:footer="283" w:gutter="0"/>
          <w:cols w:space="708"/>
          <w:docGrid w:linePitch="360"/>
        </w:sectPr>
      </w:pPr>
    </w:p>
    <w:p w14:paraId="6874C857" w14:textId="3C1903A2" w:rsidR="00887FF3" w:rsidRDefault="00887FF3">
      <w:pPr>
        <w:pStyle w:val="Heading1nonumbers"/>
      </w:pPr>
      <w:bookmarkStart w:id="135" w:name="_Toc501716505"/>
      <w:r>
        <w:t>Appendix B</w:t>
      </w:r>
      <w:r w:rsidR="005F225E">
        <w:tab/>
      </w:r>
      <w:r>
        <w:t xml:space="preserve">Issues raised </w:t>
      </w:r>
      <w:r w:rsidR="005F225E">
        <w:t>in stakeholder comments</w:t>
      </w:r>
      <w:bookmarkEnd w:id="135"/>
    </w:p>
    <w:p w14:paraId="0BB976EE" w14:textId="10564CF6" w:rsidR="005F225E" w:rsidRDefault="00BA3320" w:rsidP="00A547DC">
      <w:r>
        <w:t xml:space="preserve">This section summarises </w:t>
      </w:r>
      <w:r w:rsidR="00660E0D">
        <w:t xml:space="preserve">the </w:t>
      </w:r>
      <w:r>
        <w:t xml:space="preserve">key stakeholder comments </w:t>
      </w:r>
      <w:r w:rsidR="00B270BA">
        <w:t xml:space="preserve">raised </w:t>
      </w:r>
      <w:r w:rsidR="00660E0D">
        <w:t xml:space="preserve">in </w:t>
      </w:r>
      <w:r w:rsidR="0035230F">
        <w:t xml:space="preserve">consultation on </w:t>
      </w:r>
      <w:r w:rsidR="00B270BA">
        <w:t xml:space="preserve">the draft report, </w:t>
      </w:r>
      <w:r>
        <w:t>and the department’s response</w:t>
      </w:r>
      <w:r w:rsidR="00011737">
        <w:t>s</w:t>
      </w:r>
      <w:r>
        <w:t>.</w:t>
      </w:r>
      <w:r w:rsidR="00343B6D">
        <w:t xml:space="preserve"> Additional information</w:t>
      </w:r>
      <w:r w:rsidR="005B10AD">
        <w:t xml:space="preserve"> </w:t>
      </w:r>
      <w:r w:rsidR="008E7912">
        <w:t>on other issues commonly raised by stakeholders, which may be outside the scope of this technical report, is available on the department’s website</w:t>
      </w:r>
      <w:r w:rsidR="00B270BA">
        <w:t>.</w:t>
      </w:r>
      <w:r w:rsidR="00D23626">
        <w:t xml:space="preserve"> </w:t>
      </w:r>
    </w:p>
    <w:p w14:paraId="76A66F77" w14:textId="619B13CF" w:rsidR="001476F8" w:rsidRPr="00A547DC" w:rsidRDefault="001476F8" w:rsidP="001476F8">
      <w:pPr>
        <w:rPr>
          <w:b/>
        </w:rPr>
      </w:pPr>
      <w:r w:rsidRPr="00A547DC">
        <w:rPr>
          <w:b/>
        </w:rPr>
        <w:t xml:space="preserve">Comment </w:t>
      </w:r>
      <w:r>
        <w:rPr>
          <w:b/>
        </w:rPr>
        <w:t>1</w:t>
      </w:r>
      <w:r w:rsidRPr="00A547DC">
        <w:rPr>
          <w:b/>
        </w:rPr>
        <w:t xml:space="preserve">: </w:t>
      </w:r>
      <w:r>
        <w:rPr>
          <w:b/>
        </w:rPr>
        <w:t>It was</w:t>
      </w:r>
      <w:r w:rsidRPr="00A547DC">
        <w:rPr>
          <w:b/>
        </w:rPr>
        <w:t xml:space="preserve"> que</w:t>
      </w:r>
      <w:r>
        <w:rPr>
          <w:b/>
        </w:rPr>
        <w:t xml:space="preserve">ried </w:t>
      </w:r>
      <w:r w:rsidRPr="00A547DC">
        <w:rPr>
          <w:b/>
        </w:rPr>
        <w:t>why citrus canker</w:t>
      </w:r>
      <w:r>
        <w:rPr>
          <w:b/>
        </w:rPr>
        <w:t xml:space="preserve"> (</w:t>
      </w:r>
      <w:r w:rsidRPr="00A547DC">
        <w:rPr>
          <w:b/>
          <w:i/>
        </w:rPr>
        <w:t>Xanthomonas citri</w:t>
      </w:r>
      <w:r>
        <w:rPr>
          <w:b/>
        </w:rPr>
        <w:t>) and</w:t>
      </w:r>
      <w:r w:rsidRPr="00A547DC">
        <w:rPr>
          <w:b/>
        </w:rPr>
        <w:t xml:space="preserve"> huanglongbing (Candidatus </w:t>
      </w:r>
      <w:r w:rsidRPr="00A547DC">
        <w:rPr>
          <w:b/>
          <w:i/>
        </w:rPr>
        <w:t>Liberibacter asiaticus</w:t>
      </w:r>
      <w:r w:rsidRPr="00A547DC">
        <w:rPr>
          <w:b/>
        </w:rPr>
        <w:t>) were not assessed, given they are significant pathogens of citrus</w:t>
      </w:r>
      <w:r>
        <w:rPr>
          <w:b/>
        </w:rPr>
        <w:t xml:space="preserve"> of concern to Australian producers</w:t>
      </w:r>
      <w:r w:rsidRPr="00A547DC">
        <w:rPr>
          <w:b/>
        </w:rPr>
        <w:t>.</w:t>
      </w:r>
    </w:p>
    <w:p w14:paraId="6A0F11BA" w14:textId="33183710" w:rsidR="001476F8" w:rsidRDefault="001476F8" w:rsidP="001476F8">
      <w:r>
        <w:t>Response: These pathogens are not present in the countries assessed</w:t>
      </w:r>
      <w:r w:rsidR="00011737">
        <w:t xml:space="preserve"> in this review</w:t>
      </w:r>
      <w:r>
        <w:t>, and so are not within the scope of this assessment, consistent with ISPM 11 (FAO 2013).</w:t>
      </w:r>
    </w:p>
    <w:p w14:paraId="6C55DAF9" w14:textId="4637F813" w:rsidR="00A547DC" w:rsidRPr="00A547DC" w:rsidRDefault="00A547DC" w:rsidP="00A547DC">
      <w:pPr>
        <w:rPr>
          <w:b/>
        </w:rPr>
      </w:pPr>
      <w:r w:rsidRPr="00A547DC">
        <w:rPr>
          <w:b/>
        </w:rPr>
        <w:t xml:space="preserve">Comment </w:t>
      </w:r>
      <w:r w:rsidR="001476F8">
        <w:rPr>
          <w:b/>
        </w:rPr>
        <w:t>2</w:t>
      </w:r>
      <w:r w:rsidRPr="00A547DC">
        <w:rPr>
          <w:b/>
        </w:rPr>
        <w:t xml:space="preserve">: </w:t>
      </w:r>
      <w:r w:rsidR="003E3D69">
        <w:rPr>
          <w:b/>
        </w:rPr>
        <w:t>C</w:t>
      </w:r>
      <w:r>
        <w:rPr>
          <w:b/>
        </w:rPr>
        <w:t xml:space="preserve">oncerns </w:t>
      </w:r>
      <w:r w:rsidR="003E3D69">
        <w:rPr>
          <w:b/>
        </w:rPr>
        <w:t xml:space="preserve">were raised </w:t>
      </w:r>
      <w:r>
        <w:rPr>
          <w:b/>
        </w:rPr>
        <w:t xml:space="preserve">over the methodology used in the pest categorisation process, which </w:t>
      </w:r>
      <w:r w:rsidR="007457F9">
        <w:rPr>
          <w:b/>
        </w:rPr>
        <w:t xml:space="preserve">resulted in many pests </w:t>
      </w:r>
      <w:r w:rsidR="00296FF2">
        <w:rPr>
          <w:b/>
        </w:rPr>
        <w:t>(</w:t>
      </w:r>
      <w:r w:rsidR="00A322E5">
        <w:rPr>
          <w:b/>
        </w:rPr>
        <w:t xml:space="preserve">for example, </w:t>
      </w:r>
      <w:r w:rsidR="00296FF2">
        <w:rPr>
          <w:b/>
        </w:rPr>
        <w:t>fruit flies, glassy winged sharpshooter</w:t>
      </w:r>
      <w:r w:rsidR="00A322E5">
        <w:rPr>
          <w:b/>
        </w:rPr>
        <w:t xml:space="preserve">, </w:t>
      </w:r>
      <w:r w:rsidR="00702AB0">
        <w:rPr>
          <w:b/>
        </w:rPr>
        <w:t>c</w:t>
      </w:r>
      <w:r w:rsidR="00A322E5">
        <w:rPr>
          <w:b/>
        </w:rPr>
        <w:t xml:space="preserve">itrus tristeza virus) </w:t>
      </w:r>
      <w:r w:rsidR="007457F9">
        <w:rPr>
          <w:b/>
        </w:rPr>
        <w:t>not being assessed further</w:t>
      </w:r>
      <w:r w:rsidRPr="00A547DC">
        <w:rPr>
          <w:b/>
        </w:rPr>
        <w:t>.</w:t>
      </w:r>
    </w:p>
    <w:p w14:paraId="29C80170" w14:textId="175E8AFD" w:rsidR="00E80119" w:rsidRDefault="00A547DC" w:rsidP="00A966B8">
      <w:r w:rsidRPr="007457F9">
        <w:t xml:space="preserve">Response: </w:t>
      </w:r>
      <w:r w:rsidR="00E80119">
        <w:t xml:space="preserve">As indicated in Chapter 2 of this report, </w:t>
      </w:r>
      <w:r w:rsidR="00C62128">
        <w:t xml:space="preserve">phytosanitary measures cannot be imposed for </w:t>
      </w:r>
      <w:r w:rsidR="00E80119">
        <w:t xml:space="preserve">pests </w:t>
      </w:r>
      <w:r w:rsidR="00C62128">
        <w:t>that</w:t>
      </w:r>
      <w:r w:rsidR="00E80119">
        <w:t xml:space="preserve"> are not </w:t>
      </w:r>
      <w:r w:rsidR="00011737">
        <w:t xml:space="preserve">directly </w:t>
      </w:r>
      <w:r w:rsidR="00E80119">
        <w:t>associated with</w:t>
      </w:r>
      <w:r w:rsidR="00011737">
        <w:t>, and transmissible from,</w:t>
      </w:r>
      <w:r w:rsidR="00E80119">
        <w:t xml:space="preserve"> the </w:t>
      </w:r>
      <w:r w:rsidR="00390DAC">
        <w:t xml:space="preserve">actual </w:t>
      </w:r>
      <w:r w:rsidR="00E80119">
        <w:t xml:space="preserve">commodity </w:t>
      </w:r>
      <w:r w:rsidR="00011737">
        <w:t>be</w:t>
      </w:r>
      <w:r w:rsidR="00C62128">
        <w:t>ing</w:t>
      </w:r>
      <w:r w:rsidR="00011737">
        <w:t xml:space="preserve"> </w:t>
      </w:r>
      <w:r w:rsidR="00E80119">
        <w:t>imported</w:t>
      </w:r>
      <w:r w:rsidR="00011737">
        <w:t xml:space="preserve"> (fresh Tahitian lime fruit)</w:t>
      </w:r>
      <w:r w:rsidR="00E80119">
        <w:t xml:space="preserve">, or if they are already present in the importing country </w:t>
      </w:r>
      <w:r w:rsidR="00011737">
        <w:t xml:space="preserve">(Australia) </w:t>
      </w:r>
      <w:r w:rsidR="00E80119">
        <w:t xml:space="preserve">and </w:t>
      </w:r>
      <w:r w:rsidR="00011737">
        <w:t xml:space="preserve">are </w:t>
      </w:r>
      <w:r w:rsidR="00E80119">
        <w:t xml:space="preserve">not under official control. </w:t>
      </w:r>
      <w:r w:rsidR="00A966B8">
        <w:t xml:space="preserve">Pest categorisation also considers whether the pests could establish and spread in Australia, and whether they are likely to have an unacceptable economic impact (including impacts on the environment). </w:t>
      </w:r>
      <w:r w:rsidR="00811945">
        <w:t>The majority of the 82 pests considered in the pest categorisation process did not meet those criteria, and hence were not considered further. Conversely, all twelve pests that did fulfil the criteria were assessed in detail, with three mealybug species ultimately requiring import risk management measures.</w:t>
      </w:r>
    </w:p>
    <w:p w14:paraId="3AAD164D" w14:textId="1891F561" w:rsidR="0099067B" w:rsidRDefault="0099067B">
      <w:r>
        <w:t xml:space="preserve">While specific measures may not be required for all pests, </w:t>
      </w:r>
      <w:r w:rsidR="00834068">
        <w:t xml:space="preserve">goods are </w:t>
      </w:r>
      <w:r>
        <w:t>import</w:t>
      </w:r>
      <w:r w:rsidR="00834068">
        <w:t>ed</w:t>
      </w:r>
      <w:r w:rsidR="002234AA">
        <w:t xml:space="preserve"> through </w:t>
      </w:r>
      <w:r>
        <w:t>a</w:t>
      </w:r>
      <w:r w:rsidR="002234AA">
        <w:t xml:space="preserve"> formal</w:t>
      </w:r>
      <w:r>
        <w:t xml:space="preserve"> operational system</w:t>
      </w:r>
      <w:r w:rsidR="00512AF4">
        <w:t>,</w:t>
      </w:r>
      <w:r>
        <w:t xml:space="preserve"> </w:t>
      </w:r>
      <w:r w:rsidR="00512AF4">
        <w:t>as outlined in section 5.2 of this report</w:t>
      </w:r>
      <w:r>
        <w:t xml:space="preserve">. </w:t>
      </w:r>
      <w:r w:rsidR="002234AA">
        <w:t xml:space="preserve">In addition to </w:t>
      </w:r>
      <w:r w:rsidR="008317D6">
        <w:t>the</w:t>
      </w:r>
      <w:r w:rsidR="002234AA">
        <w:t xml:space="preserve"> quality </w:t>
      </w:r>
      <w:r w:rsidR="008317D6">
        <w:t>assurance</w:t>
      </w:r>
      <w:r w:rsidR="002234AA">
        <w:t xml:space="preserve"> checks done in the packing house</w:t>
      </w:r>
      <w:r w:rsidR="00F30907">
        <w:t xml:space="preserve"> by the exporter</w:t>
      </w:r>
      <w:r w:rsidR="002234AA">
        <w:t xml:space="preserve">, </w:t>
      </w:r>
      <w:r w:rsidR="008317D6">
        <w:t xml:space="preserve">every consignment </w:t>
      </w:r>
      <w:r w:rsidR="00F30907">
        <w:t>will</w:t>
      </w:r>
      <w:r w:rsidR="008317D6">
        <w:t xml:space="preserve"> be subject to a </w:t>
      </w:r>
      <w:r w:rsidR="009F00EE">
        <w:t>pre-export</w:t>
      </w:r>
      <w:r w:rsidR="008317D6">
        <w:t xml:space="preserve"> phytosanitary inspection by the NPPO or relevant agency</w:t>
      </w:r>
      <w:r w:rsidR="009F00EE">
        <w:t xml:space="preserve"> to ensure no quarantine pests or </w:t>
      </w:r>
      <w:r w:rsidR="00D72989">
        <w:t xml:space="preserve">other </w:t>
      </w:r>
      <w:r w:rsidR="009F00EE">
        <w:t>regulated articles</w:t>
      </w:r>
      <w:r w:rsidR="00F65B86">
        <w:t xml:space="preserve"> (</w:t>
      </w:r>
      <w:r w:rsidR="00512AF4">
        <w:t xml:space="preserve">leaves or soil, </w:t>
      </w:r>
      <w:r w:rsidR="00F65B86">
        <w:t>for example) are present</w:t>
      </w:r>
      <w:r w:rsidR="00512AF4">
        <w:t xml:space="preserve"> in the exported goods</w:t>
      </w:r>
      <w:r w:rsidR="008317D6">
        <w:t xml:space="preserve">. </w:t>
      </w:r>
      <w:r w:rsidR="00DA251F">
        <w:t xml:space="preserve">An additional inspection </w:t>
      </w:r>
      <w:r w:rsidR="00F30907">
        <w:t>will be</w:t>
      </w:r>
      <w:r w:rsidR="00DA251F">
        <w:t xml:space="preserve"> done on arrival in Australia to verify that the consignment</w:t>
      </w:r>
      <w:r w:rsidR="0076232B">
        <w:t xml:space="preserve"> is free of pests</w:t>
      </w:r>
      <w:r w:rsidR="00512AF4">
        <w:t xml:space="preserve"> before it is released from quarantine</w:t>
      </w:r>
      <w:r w:rsidR="0076232B">
        <w:t>.</w:t>
      </w:r>
      <w:r w:rsidR="00512AF4">
        <w:t xml:space="preserve"> These checks provide assurance that goods imported into Australia </w:t>
      </w:r>
      <w:r w:rsidR="00834068">
        <w:t>are</w:t>
      </w:r>
      <w:r w:rsidR="00512AF4">
        <w:t xml:space="preserve"> free of quarantine pests.</w:t>
      </w:r>
    </w:p>
    <w:p w14:paraId="069D4565" w14:textId="6C34C74B" w:rsidR="000F74CC" w:rsidRPr="000F74CC" w:rsidRDefault="000F74CC" w:rsidP="00A547DC">
      <w:pPr>
        <w:rPr>
          <w:b/>
        </w:rPr>
      </w:pPr>
      <w:r w:rsidRPr="000F74CC">
        <w:rPr>
          <w:b/>
        </w:rPr>
        <w:t xml:space="preserve">Comment 3: It was queried why </w:t>
      </w:r>
      <w:r w:rsidR="00702AB0">
        <w:rPr>
          <w:b/>
        </w:rPr>
        <w:t>c</w:t>
      </w:r>
      <w:r w:rsidRPr="000F74CC">
        <w:rPr>
          <w:b/>
        </w:rPr>
        <w:t xml:space="preserve">itrus tristeza virus was not assessed further, as a number of </w:t>
      </w:r>
      <w:r w:rsidR="001476F8">
        <w:rPr>
          <w:b/>
        </w:rPr>
        <w:t xml:space="preserve">potentially exotic </w:t>
      </w:r>
      <w:r w:rsidRPr="000F74CC">
        <w:rPr>
          <w:b/>
        </w:rPr>
        <w:t>strains of the virus have been identified in the Pacific Islands.</w:t>
      </w:r>
    </w:p>
    <w:p w14:paraId="5A1D1F53" w14:textId="7DBBF1F7" w:rsidR="003D0CDA" w:rsidRDefault="000F74CC">
      <w:r>
        <w:t xml:space="preserve">Response: </w:t>
      </w:r>
      <w:r w:rsidR="00B02CC2">
        <w:t xml:space="preserve">The citrus tristeza virus </w:t>
      </w:r>
      <w:r w:rsidR="00F86E61">
        <w:t xml:space="preserve">(CTV) </w:t>
      </w:r>
      <w:r w:rsidR="00B02CC2">
        <w:t xml:space="preserve">was not assessed further because fresh </w:t>
      </w:r>
      <w:r w:rsidR="00811945">
        <w:t xml:space="preserve">Tahitian lime </w:t>
      </w:r>
      <w:r w:rsidR="00B02CC2">
        <w:t>fruit does not provide a transmission pathway</w:t>
      </w:r>
      <w:r w:rsidR="00DC60EC">
        <w:t xml:space="preserve"> – </w:t>
      </w:r>
      <w:r w:rsidR="00537063">
        <w:t xml:space="preserve">while the virus could feasibly be carried in the fruit, </w:t>
      </w:r>
      <w:r w:rsidR="00DC60EC">
        <w:t>as indicated in the pe</w:t>
      </w:r>
      <w:r w:rsidR="0087647F">
        <w:t>st categorisation table (page 64</w:t>
      </w:r>
      <w:r w:rsidR="00DC60EC">
        <w:t xml:space="preserve">), </w:t>
      </w:r>
      <w:r w:rsidR="00B02CC2">
        <w:t xml:space="preserve">there is no </w:t>
      </w:r>
      <w:r w:rsidR="00E72AEF">
        <w:t>means</w:t>
      </w:r>
      <w:r w:rsidR="00B02CC2">
        <w:t xml:space="preserve"> for the virus to be transmitted from the fruit to infect new hosts and establish</w:t>
      </w:r>
      <w:r w:rsidR="00E72AEF">
        <w:t xml:space="preserve"> in Australia</w:t>
      </w:r>
      <w:r w:rsidR="00B02CC2">
        <w:t>.</w:t>
      </w:r>
      <w:r w:rsidR="00F86E61">
        <w:t xml:space="preserve"> CTV is </w:t>
      </w:r>
      <w:r w:rsidR="009F00EE">
        <w:t>mainly vectored</w:t>
      </w:r>
      <w:r w:rsidR="00F86E61">
        <w:t xml:space="preserve"> by aphid</w:t>
      </w:r>
      <w:r w:rsidR="009F00EE">
        <w:t xml:space="preserve">s, which acquire the virus by </w:t>
      </w:r>
      <w:r w:rsidR="00F86E61">
        <w:t>feeding on the sap of infected trees</w:t>
      </w:r>
      <w:r w:rsidR="009F00EE">
        <w:t>, but CTV can also be transmitted by us</w:t>
      </w:r>
      <w:r w:rsidR="00F86E61">
        <w:t>ing infected budwood for grafting</w:t>
      </w:r>
      <w:r w:rsidR="009F00EE">
        <w:t>.</w:t>
      </w:r>
    </w:p>
    <w:p w14:paraId="77FFAA43" w14:textId="392AE5FD" w:rsidR="000F74CC" w:rsidRDefault="00E72AEF" w:rsidP="00A547DC">
      <w:r>
        <w:t>Furthermore, t</w:t>
      </w:r>
      <w:r w:rsidR="003D0CDA">
        <w:t xml:space="preserve">here is no information to suggest the ‘stem pitting’ strains </w:t>
      </w:r>
      <w:r w:rsidR="00E96AFA">
        <w:t xml:space="preserve">of </w:t>
      </w:r>
      <w:r w:rsidR="00702AB0">
        <w:t>c</w:t>
      </w:r>
      <w:r w:rsidR="00E96AFA">
        <w:t xml:space="preserve">itrus tristeza virus, which are either </w:t>
      </w:r>
      <w:r w:rsidR="003D0CDA">
        <w:t>regulate</w:t>
      </w:r>
      <w:r w:rsidR="00E96AFA">
        <w:t>d</w:t>
      </w:r>
      <w:r w:rsidR="003D0CDA">
        <w:t xml:space="preserve"> as quarantine pests </w:t>
      </w:r>
      <w:r w:rsidR="00E96AFA">
        <w:t>by Australia, or are under official control in Queensland, are present in the countries</w:t>
      </w:r>
      <w:r>
        <w:t xml:space="preserve"> assessed in this review</w:t>
      </w:r>
      <w:r w:rsidR="00E96AFA">
        <w:t>.</w:t>
      </w:r>
    </w:p>
    <w:p w14:paraId="20FC3068" w14:textId="1A5C1163" w:rsidR="000F74CC" w:rsidRPr="000F74CC" w:rsidRDefault="000F74CC" w:rsidP="00A547DC">
      <w:pPr>
        <w:rPr>
          <w:b/>
        </w:rPr>
      </w:pPr>
      <w:r w:rsidRPr="000F74CC">
        <w:rPr>
          <w:b/>
        </w:rPr>
        <w:t>Comment 4: It was queried why fruit flies were not assessed further, given they are significant pests of concern to Australian producers.</w:t>
      </w:r>
    </w:p>
    <w:p w14:paraId="6E0ABB2C" w14:textId="2506ECFD" w:rsidR="00B00210" w:rsidRDefault="000F74CC" w:rsidP="00B00210">
      <w:r>
        <w:t>Response:</w:t>
      </w:r>
      <w:r w:rsidR="00682557">
        <w:t xml:space="preserve"> </w:t>
      </w:r>
      <w:r w:rsidR="00B00210">
        <w:t xml:space="preserve">Seven fruit fly species were considered in the pest categorisation process. These species were selected because published distribution records </w:t>
      </w:r>
      <w:r w:rsidR="00834068">
        <w:t>indicated</w:t>
      </w:r>
      <w:r w:rsidR="00B00210">
        <w:t xml:space="preserve"> they are (or were previously) present in the Cook Islands, Niue, Samoa, Tonga or Vanuatu, and they are either a known pest of limes (</w:t>
      </w:r>
      <w:r w:rsidR="00B00210">
        <w:rPr>
          <w:i/>
          <w:iCs/>
        </w:rPr>
        <w:t>Bactrocera dorsalis</w:t>
      </w:r>
      <w:r w:rsidR="00B00210">
        <w:t>) or a pest of other citrus fruit (</w:t>
      </w:r>
      <w:r w:rsidR="00B00210">
        <w:rPr>
          <w:i/>
          <w:iCs/>
        </w:rPr>
        <w:t>Bactrocera curvipennis</w:t>
      </w:r>
      <w:r w:rsidR="00B00210">
        <w:t xml:space="preserve">, </w:t>
      </w:r>
      <w:r w:rsidR="00B00210">
        <w:rPr>
          <w:i/>
          <w:iCs/>
        </w:rPr>
        <w:t>Bactrocera kirki</w:t>
      </w:r>
      <w:r w:rsidR="00B00210">
        <w:t xml:space="preserve">, </w:t>
      </w:r>
      <w:r w:rsidR="00B00210">
        <w:rPr>
          <w:i/>
          <w:iCs/>
        </w:rPr>
        <w:t>Bactrocera passiflorae</w:t>
      </w:r>
      <w:r w:rsidR="00B00210">
        <w:t>,</w:t>
      </w:r>
      <w:r w:rsidR="00B00210">
        <w:rPr>
          <w:i/>
          <w:iCs/>
        </w:rPr>
        <w:t xml:space="preserve"> Bactrocera trilineola</w:t>
      </w:r>
      <w:r w:rsidR="00B00210">
        <w:t>,</w:t>
      </w:r>
      <w:r w:rsidR="00B00210">
        <w:rPr>
          <w:i/>
          <w:iCs/>
        </w:rPr>
        <w:t xml:space="preserve"> Bactrocera umbrosa</w:t>
      </w:r>
      <w:r w:rsidR="00B00210">
        <w:t xml:space="preserve"> and </w:t>
      </w:r>
      <w:r w:rsidR="00B00210">
        <w:rPr>
          <w:i/>
          <w:iCs/>
        </w:rPr>
        <w:t>Bactrocera xanthodes</w:t>
      </w:r>
      <w:r w:rsidR="00B00210">
        <w:t xml:space="preserve">) that </w:t>
      </w:r>
      <w:r w:rsidR="004D6DA5">
        <w:t>therefore warranted careful</w:t>
      </w:r>
      <w:r w:rsidR="00B00210">
        <w:t xml:space="preserve"> scrutiny.</w:t>
      </w:r>
    </w:p>
    <w:p w14:paraId="2EE82916" w14:textId="15BE592A" w:rsidR="00B00210" w:rsidRDefault="00B00210" w:rsidP="00B00210">
      <w:r>
        <w:t xml:space="preserve">The first step in the pest categorisation process was to consider </w:t>
      </w:r>
      <w:r w:rsidR="00834068">
        <w:t>whether each species is</w:t>
      </w:r>
      <w:r>
        <w:t xml:space="preserve"> currently present in the Cook Islands, Niue, Samoa, Tonga, or Vanuatu. </w:t>
      </w:r>
    </w:p>
    <w:p w14:paraId="24499F41" w14:textId="426F5D06" w:rsidR="00B00210" w:rsidRDefault="00B00210" w:rsidP="00B00210">
      <w:r>
        <w:rPr>
          <w:i/>
          <w:iCs/>
        </w:rPr>
        <w:t>Bactrocera curvipennis</w:t>
      </w:r>
      <w:r>
        <w:t xml:space="preserve"> was not assessed further as it is no longer considered to be present in Vanuatu</w:t>
      </w:r>
      <w:r w:rsidR="003A7985">
        <w:t>, and is absent from the other countries</w:t>
      </w:r>
      <w:r>
        <w:t xml:space="preserve">. It has not been reported </w:t>
      </w:r>
      <w:r w:rsidR="00834068">
        <w:t xml:space="preserve">in Vanuatu </w:t>
      </w:r>
      <w:r>
        <w:t>since 1930, despite a number of fruit fly surveys since the 1970s, and the introduction of routine trap surveillance</w:t>
      </w:r>
      <w:r w:rsidR="00B955F1">
        <w:t xml:space="preserve">, which has operated since </w:t>
      </w:r>
      <w:r>
        <w:t xml:space="preserve">1994. </w:t>
      </w:r>
    </w:p>
    <w:p w14:paraId="376F5056" w14:textId="2BE2FC8F" w:rsidR="00B00210" w:rsidRDefault="00B00210" w:rsidP="00B00210">
      <w:r>
        <w:rPr>
          <w:i/>
          <w:iCs/>
        </w:rPr>
        <w:t>Bactrocera dorsalis</w:t>
      </w:r>
      <w:r>
        <w:t xml:space="preserve"> was not assessed further as it is no longer considered to be present in the Cook Islands</w:t>
      </w:r>
      <w:r w:rsidR="003A7985">
        <w:t>, and is absent from the other countries</w:t>
      </w:r>
      <w:r>
        <w:t xml:space="preserve">. It was </w:t>
      </w:r>
      <w:r w:rsidR="003A7985">
        <w:t xml:space="preserve">successfully </w:t>
      </w:r>
      <w:r>
        <w:t xml:space="preserve">eradicated </w:t>
      </w:r>
      <w:r w:rsidR="003A7985">
        <w:t xml:space="preserve">from the Cook Islands </w:t>
      </w:r>
      <w:r>
        <w:t xml:space="preserve">following a brief incursion in 2013, and has not been detected </w:t>
      </w:r>
      <w:r w:rsidR="004D6DA5">
        <w:t>since</w:t>
      </w:r>
      <w:r>
        <w:t xml:space="preserve"> in subsequent surveillance trapping. </w:t>
      </w:r>
    </w:p>
    <w:p w14:paraId="2B745EB7" w14:textId="1C99ED96" w:rsidR="00B00210" w:rsidRDefault="00B00210" w:rsidP="00B00210">
      <w:r>
        <w:t>The other five fruit fly species (</w:t>
      </w:r>
      <w:r>
        <w:rPr>
          <w:i/>
          <w:iCs/>
        </w:rPr>
        <w:t>Bactrocera kirki</w:t>
      </w:r>
      <w:r>
        <w:t xml:space="preserve">, </w:t>
      </w:r>
      <w:r>
        <w:rPr>
          <w:i/>
          <w:iCs/>
        </w:rPr>
        <w:t>Bactrocera passiflorae</w:t>
      </w:r>
      <w:r>
        <w:t>,</w:t>
      </w:r>
      <w:r>
        <w:rPr>
          <w:i/>
          <w:iCs/>
        </w:rPr>
        <w:t xml:space="preserve"> Bactrocera trilineola</w:t>
      </w:r>
      <w:r>
        <w:t>,</w:t>
      </w:r>
      <w:r>
        <w:rPr>
          <w:i/>
          <w:iCs/>
        </w:rPr>
        <w:t xml:space="preserve"> Bactrocera umbrosa</w:t>
      </w:r>
      <w:r>
        <w:t xml:space="preserve"> and </w:t>
      </w:r>
      <w:r>
        <w:rPr>
          <w:i/>
          <w:iCs/>
        </w:rPr>
        <w:t>Bactrocera xanthodes</w:t>
      </w:r>
      <w:r>
        <w:t xml:space="preserve">) are known to be present in one or more of the assessed countries, and were therefore considered further to examine their potential to be on the fresh Tahitian lime fruit </w:t>
      </w:r>
      <w:r w:rsidR="00220E06">
        <w:t xml:space="preserve">import </w:t>
      </w:r>
      <w:r>
        <w:t>pathway.</w:t>
      </w:r>
    </w:p>
    <w:p w14:paraId="19504097" w14:textId="77777777" w:rsidR="00B00210" w:rsidRDefault="00B00210" w:rsidP="00B00210">
      <w:r>
        <w:t xml:space="preserve">As indicated in the report, there is no evidence to indicate that commercially produced Tahitian lime fruit are a host for these fruit flies. They have not been reported as pests of Tahitian limes in the field, and extensive host surveys and fruit sampling across the Pacific Islands over many years has not found these species in Tahitian limes. There is also no information to suggest host preferences have changed in recent years. Accordingly, these species were not considered further in the assessment. </w:t>
      </w:r>
    </w:p>
    <w:p w14:paraId="186ED539" w14:textId="3240EAD1" w:rsidR="006F1C5F" w:rsidRDefault="00B00210" w:rsidP="00B02CC2">
      <w:r>
        <w:t>There have been a number of regional fruit fly program initiatives over the last 25 years to improve the knowledge of the fruit fly fauna in Pacific Island countries, implement surveillance systems</w:t>
      </w:r>
      <w:r w:rsidR="004C489F">
        <w:t xml:space="preserve"> in each country</w:t>
      </w:r>
      <w:r>
        <w:t xml:space="preserve">, enhance the capacity of quarantine agencies to exclude or manage fruit flies, and undertake eradication activities. All Pacific Island countries now have permanent trapping stations for quarantine surveillance that are routinely monitored to ensure pests do not expand their range, and in the rare event of an incursion, these are quickly identified and eradicated. Trapping data has been routinely collated and reported, providing a reliable and accurate understanding of pest distribution across the region. </w:t>
      </w:r>
    </w:p>
    <w:p w14:paraId="0BC9F644" w14:textId="106FF030" w:rsidR="00B00210" w:rsidRPr="004D6DA5" w:rsidRDefault="00B00210" w:rsidP="00B02CC2">
      <w:pPr>
        <w:rPr>
          <w:rFonts w:cs="Times New Roman"/>
        </w:rPr>
      </w:pPr>
      <w:r>
        <w:t xml:space="preserve">In addition to the quarantine surveillance, host fruit surveying across the Pacific Island countries, specifically targeting high-risk commodities such as citrus, has provided significant information on the host range, comparative host susceptibility, and economic importance of each fruit fly species. Therefore our understanding of the current distribution and host range of the assessed fruit fly species is considered to be very good. </w:t>
      </w:r>
    </w:p>
    <w:p w14:paraId="1C7D37FD" w14:textId="568745C6" w:rsidR="0061376B" w:rsidRDefault="0061376B" w:rsidP="00B02CC2">
      <w:pPr>
        <w:rPr>
          <w:lang w:eastAsia="en-AU"/>
        </w:rPr>
      </w:pPr>
      <w:r w:rsidRPr="000F74CC">
        <w:rPr>
          <w:b/>
        </w:rPr>
        <w:t xml:space="preserve">Comment </w:t>
      </w:r>
      <w:r>
        <w:rPr>
          <w:b/>
        </w:rPr>
        <w:t>5</w:t>
      </w:r>
      <w:r w:rsidRPr="000F74CC">
        <w:rPr>
          <w:b/>
        </w:rPr>
        <w:t>: It was queried why Asian citrus psyllid w</w:t>
      </w:r>
      <w:r>
        <w:rPr>
          <w:b/>
        </w:rPr>
        <w:t>as</w:t>
      </w:r>
      <w:r w:rsidRPr="000F74CC">
        <w:rPr>
          <w:b/>
        </w:rPr>
        <w:t xml:space="preserve"> not assessed further, given </w:t>
      </w:r>
      <w:r>
        <w:rPr>
          <w:b/>
        </w:rPr>
        <w:t>i</w:t>
      </w:r>
      <w:r w:rsidRPr="000F74CC">
        <w:rPr>
          <w:b/>
        </w:rPr>
        <w:t>t</w:t>
      </w:r>
      <w:r>
        <w:rPr>
          <w:b/>
        </w:rPr>
        <w:t xml:space="preserve"> is</w:t>
      </w:r>
      <w:r w:rsidRPr="000F74CC">
        <w:rPr>
          <w:b/>
        </w:rPr>
        <w:t xml:space="preserve"> </w:t>
      </w:r>
      <w:r>
        <w:rPr>
          <w:b/>
        </w:rPr>
        <w:t xml:space="preserve">a </w:t>
      </w:r>
      <w:r w:rsidRPr="000F74CC">
        <w:rPr>
          <w:b/>
        </w:rPr>
        <w:t>significant pest of concern to Australian producers.</w:t>
      </w:r>
    </w:p>
    <w:p w14:paraId="064B0FB0" w14:textId="08AF976B" w:rsidR="00B02CC2" w:rsidRPr="00107C48" w:rsidRDefault="0061376B" w:rsidP="00B02CC2">
      <w:pPr>
        <w:rPr>
          <w:lang w:eastAsia="en-AU"/>
        </w:rPr>
      </w:pPr>
      <w:r>
        <w:rPr>
          <w:lang w:eastAsia="en-AU"/>
        </w:rPr>
        <w:t xml:space="preserve">Response: </w:t>
      </w:r>
      <w:r w:rsidR="00B02CC2" w:rsidRPr="00107C48">
        <w:rPr>
          <w:lang w:eastAsia="en-AU"/>
        </w:rPr>
        <w:t>The Asian citrus psyllid (</w:t>
      </w:r>
      <w:r w:rsidR="00B02CC2" w:rsidRPr="00107C48">
        <w:rPr>
          <w:i/>
          <w:lang w:eastAsia="en-AU"/>
        </w:rPr>
        <w:t>Diaphorina citri</w:t>
      </w:r>
      <w:r w:rsidR="00B02CC2" w:rsidRPr="00107C48">
        <w:rPr>
          <w:lang w:eastAsia="en-AU"/>
        </w:rPr>
        <w:t xml:space="preserve">) has been introduced into some countries in the Pacific region, but is not present in the countries assessed in this report. The pest is known to be present in American Samoa, which is a </w:t>
      </w:r>
      <w:r w:rsidR="00FF4C42">
        <w:rPr>
          <w:lang w:eastAsia="en-AU"/>
        </w:rPr>
        <w:t>different</w:t>
      </w:r>
      <w:r w:rsidR="00B02CC2" w:rsidRPr="00107C48">
        <w:rPr>
          <w:lang w:eastAsia="en-AU"/>
        </w:rPr>
        <w:t xml:space="preserve"> </w:t>
      </w:r>
      <w:r w:rsidR="00B00210">
        <w:rPr>
          <w:lang w:eastAsia="en-AU"/>
        </w:rPr>
        <w:t xml:space="preserve">group of </w:t>
      </w:r>
      <w:r w:rsidR="00B02CC2" w:rsidRPr="00107C48">
        <w:rPr>
          <w:lang w:eastAsia="en-AU"/>
        </w:rPr>
        <w:t>island</w:t>
      </w:r>
      <w:r w:rsidR="00B00210">
        <w:rPr>
          <w:lang w:eastAsia="en-AU"/>
        </w:rPr>
        <w:t>s and a separate jurisdiction</w:t>
      </w:r>
      <w:r w:rsidR="00B02CC2" w:rsidRPr="00107C48">
        <w:rPr>
          <w:lang w:eastAsia="en-AU"/>
        </w:rPr>
        <w:t xml:space="preserve"> to the Independent State of Samoa (formerly known as Western Samoa) considered </w:t>
      </w:r>
      <w:r w:rsidR="00EC24DD">
        <w:rPr>
          <w:lang w:eastAsia="en-AU"/>
        </w:rPr>
        <w:t>in this report</w:t>
      </w:r>
      <w:r w:rsidR="00B02CC2" w:rsidRPr="00107C48">
        <w:rPr>
          <w:lang w:eastAsia="en-AU"/>
        </w:rPr>
        <w:t xml:space="preserve">. </w:t>
      </w:r>
      <w:r w:rsidR="00B00210">
        <w:rPr>
          <w:lang w:eastAsia="en-AU"/>
        </w:rPr>
        <w:t>Samoa and American Samoa</w:t>
      </w:r>
      <w:r w:rsidR="00651DC2">
        <w:rPr>
          <w:lang w:eastAsia="en-AU"/>
        </w:rPr>
        <w:t xml:space="preserve"> are physically separated by around 70 kilometres of open Pacific Ocean.</w:t>
      </w:r>
    </w:p>
    <w:p w14:paraId="6841BB5D" w14:textId="71DDEEC0" w:rsidR="0061376B" w:rsidRDefault="0061376B" w:rsidP="0061376B">
      <w:r>
        <w:t xml:space="preserve">The adult Asian citrus psyllid is a weak flier, so flight between islands tens or hundreds of kilometres apart is unlikely. Chance dispersal during cyclones may be possible if the psyllids are lifted into higher altitudes, but this </w:t>
      </w:r>
      <w:r w:rsidR="00651DC2">
        <w:t>is not known to have thus far occurred.</w:t>
      </w:r>
      <w:r>
        <w:t xml:space="preserve"> </w:t>
      </w:r>
    </w:p>
    <w:p w14:paraId="2D3A92E7" w14:textId="5C37F40E" w:rsidR="00B02CC2" w:rsidRPr="009A3523" w:rsidRDefault="00B02CC2">
      <w:r w:rsidRPr="00107C48">
        <w:rPr>
          <w:lang w:eastAsia="en-AU"/>
        </w:rPr>
        <w:t xml:space="preserve">The distribution of the Asian citrus psyllid in the Pacific is recognised as being restricted to Papua New Guinea (detected in 1992), Guam (2007), Hawaii (2006), American Samoa (2009) and </w:t>
      </w:r>
      <w:r w:rsidR="00D10006">
        <w:rPr>
          <w:lang w:eastAsia="en-AU"/>
        </w:rPr>
        <w:t xml:space="preserve">the </w:t>
      </w:r>
      <w:r w:rsidRPr="00107C48">
        <w:rPr>
          <w:lang w:eastAsia="en-AU"/>
        </w:rPr>
        <w:t>Commonwealth of the Northern Mariana Islands (</w:t>
      </w:r>
      <w:r w:rsidR="009A3523" w:rsidRPr="009A3523">
        <w:rPr>
          <w:lang w:eastAsia="en-AU"/>
        </w:rPr>
        <w:t>2011</w:t>
      </w:r>
      <w:r w:rsidRPr="00107C48">
        <w:rPr>
          <w:lang w:eastAsia="en-AU"/>
        </w:rPr>
        <w:t xml:space="preserve">). </w:t>
      </w:r>
    </w:p>
    <w:p w14:paraId="63834F3F" w14:textId="61C63AAD" w:rsidR="0038647D" w:rsidRPr="00A322E5" w:rsidRDefault="0038647D" w:rsidP="0038647D">
      <w:pPr>
        <w:rPr>
          <w:b/>
        </w:rPr>
      </w:pPr>
      <w:r w:rsidRPr="00A322E5">
        <w:rPr>
          <w:b/>
        </w:rPr>
        <w:t xml:space="preserve">Comment </w:t>
      </w:r>
      <w:r>
        <w:rPr>
          <w:b/>
        </w:rPr>
        <w:t>6</w:t>
      </w:r>
      <w:r w:rsidRPr="00A322E5">
        <w:rPr>
          <w:b/>
        </w:rPr>
        <w:t xml:space="preserve">: </w:t>
      </w:r>
      <w:r>
        <w:rPr>
          <w:b/>
        </w:rPr>
        <w:t>The host association of glassy winged sharpshooter was queried. Given that the draft report indicated eggs could occasionally be laid in the rind of citrus fruit, how could the department be confident the pests would not be imported in fruit?</w:t>
      </w:r>
    </w:p>
    <w:p w14:paraId="1B53A2FB" w14:textId="699A9978" w:rsidR="0038647D" w:rsidRPr="003A7985" w:rsidRDefault="0038647D" w:rsidP="0038647D">
      <w:pPr>
        <w:rPr>
          <w:rFonts w:cs="Times New Roman"/>
        </w:rPr>
      </w:pPr>
      <w:r>
        <w:t xml:space="preserve">Response: The department considers commercially grown and exported citrus to be an unlikely pathway for introducing </w:t>
      </w:r>
      <w:r w:rsidR="00220E06">
        <w:t>glassy winged sharpshooter (</w:t>
      </w:r>
      <w:r w:rsidR="00220E06" w:rsidRPr="00220E06">
        <w:rPr>
          <w:i/>
        </w:rPr>
        <w:t>Homalodisca vitripennis</w:t>
      </w:r>
      <w:r w:rsidR="00220E06">
        <w:t>)</w:t>
      </w:r>
      <w:r>
        <w:t xml:space="preserve">. Wording in the </w:t>
      </w:r>
      <w:r w:rsidR="00220E06">
        <w:t xml:space="preserve">pest categorisation table (page 52) </w:t>
      </w:r>
      <w:r>
        <w:t xml:space="preserve">has been revised to make </w:t>
      </w:r>
      <w:r w:rsidR="00220E06">
        <w:t xml:space="preserve">the </w:t>
      </w:r>
      <w:r>
        <w:t xml:space="preserve">association with the fruit </w:t>
      </w:r>
      <w:r w:rsidRPr="003A7985">
        <w:t>clearer.</w:t>
      </w:r>
    </w:p>
    <w:p w14:paraId="72A02543" w14:textId="61E5325F" w:rsidR="0038647D" w:rsidRPr="003A7985" w:rsidRDefault="0038647D" w:rsidP="0038647D">
      <w:r w:rsidRPr="003A7985">
        <w:t>G</w:t>
      </w:r>
      <w:r w:rsidR="00220E06" w:rsidRPr="003A7985">
        <w:t>lassy winged sharpshooter</w:t>
      </w:r>
      <w:r w:rsidRPr="003A7985">
        <w:t xml:space="preserve"> is not associated with </w:t>
      </w:r>
      <w:r w:rsidR="00095BFE">
        <w:t xml:space="preserve">mature </w:t>
      </w:r>
      <w:r w:rsidRPr="003A7985">
        <w:t xml:space="preserve">lime fruit. The adults and nymphs feed on xylem in the twigs, stems and leaf petioles of the host plant, so they would not be expected to be found on lime fruit. </w:t>
      </w:r>
      <w:r w:rsidR="009F6C72">
        <w:t xml:space="preserve">All life stages of the pest, including the eggs, are visible to the naked eye. </w:t>
      </w:r>
      <w:r w:rsidRPr="003A7985">
        <w:t>The adults are relatively large insects (12</w:t>
      </w:r>
      <w:r w:rsidR="00CA18A2">
        <w:t xml:space="preserve"> to</w:t>
      </w:r>
      <w:r w:rsidRPr="003A7985">
        <w:t>14</w:t>
      </w:r>
      <w:r w:rsidR="00CA18A2">
        <w:t xml:space="preserve"> </w:t>
      </w:r>
      <w:r w:rsidR="00CA18A2" w:rsidRPr="003A7985">
        <w:t>m</w:t>
      </w:r>
      <w:r w:rsidR="00CA18A2">
        <w:t>illi</w:t>
      </w:r>
      <w:r w:rsidR="00CA18A2" w:rsidRPr="003A7985">
        <w:t>m</w:t>
      </w:r>
      <w:r w:rsidR="00CA18A2">
        <w:t>etres</w:t>
      </w:r>
      <w:r w:rsidRPr="003A7985">
        <w:t xml:space="preserve"> long) that will actively fly away if disturbed</w:t>
      </w:r>
      <w:r w:rsidR="00B05D67">
        <w:t xml:space="preserve"> –</w:t>
      </w:r>
      <w:r w:rsidRPr="003A7985">
        <w:t xml:space="preserve"> they would not </w:t>
      </w:r>
      <w:r w:rsidR="00E53A8F">
        <w:t>remain</w:t>
      </w:r>
      <w:r w:rsidRPr="003A7985">
        <w:t xml:space="preserve"> on a fruit when it was </w:t>
      </w:r>
      <w:r w:rsidR="00E53A8F">
        <w:t>harvest</w:t>
      </w:r>
      <w:r w:rsidRPr="003A7985">
        <w:t>ed</w:t>
      </w:r>
      <w:r w:rsidR="00E53A8F">
        <w:t>, washed and packed</w:t>
      </w:r>
      <w:r w:rsidRPr="003A7985">
        <w:t xml:space="preserve">. The nymphs are smaller and cannot fly, but are active crawlers that would </w:t>
      </w:r>
      <w:r w:rsidR="00220E06" w:rsidRPr="003A7985">
        <w:t xml:space="preserve">attempt to flee if disturbed. </w:t>
      </w:r>
    </w:p>
    <w:p w14:paraId="5C7C4A0B" w14:textId="7641071F" w:rsidR="0038647D" w:rsidRDefault="0038647D" w:rsidP="0038647D">
      <w:r w:rsidRPr="003A7985">
        <w:t>Generally eggs are laid on the leaves of citrus</w:t>
      </w:r>
      <w:r w:rsidR="00095BFE">
        <w:t xml:space="preserve"> trees</w:t>
      </w:r>
      <w:r w:rsidRPr="003A7985">
        <w:t>. However in heavy infestations, when space for oviposition is limited, eggs can be laid in the rind of immature fruit</w:t>
      </w:r>
      <w:r w:rsidR="00220E06" w:rsidRPr="003A7985">
        <w:t xml:space="preserve"> (CABI 2017)</w:t>
      </w:r>
      <w:r w:rsidRPr="003A7985">
        <w:t xml:space="preserve">. </w:t>
      </w:r>
      <w:r w:rsidR="00095BFE">
        <w:t>The e</w:t>
      </w:r>
      <w:r w:rsidRPr="003A7985">
        <w:t xml:space="preserve">ggs hatch in one to two weeks </w:t>
      </w:r>
      <w:r w:rsidR="00220E06" w:rsidRPr="003A7985">
        <w:t xml:space="preserve">(Blua </w:t>
      </w:r>
      <w:r w:rsidR="00220E06" w:rsidRPr="003A7985">
        <w:rPr>
          <w:i/>
        </w:rPr>
        <w:t>et al.</w:t>
      </w:r>
      <w:r w:rsidR="00220E06" w:rsidRPr="003A7985">
        <w:t xml:space="preserve"> 1999) </w:t>
      </w:r>
      <w:r w:rsidRPr="003A7985">
        <w:t xml:space="preserve">so viable eggs are unlikely to still be </w:t>
      </w:r>
      <w:r>
        <w:t xml:space="preserve">present on mature fruit </w:t>
      </w:r>
      <w:r w:rsidR="00220E06">
        <w:t xml:space="preserve">many months later </w:t>
      </w:r>
      <w:r w:rsidR="00E53A8F">
        <w:t>when it is</w:t>
      </w:r>
      <w:r>
        <w:t xml:space="preserve"> harvest</w:t>
      </w:r>
      <w:r w:rsidR="00E53A8F">
        <w:t>ed</w:t>
      </w:r>
      <w:r>
        <w:t>. Old hatched egg masses appear as grey or tanned scars on the surface of the rind. Scarred fruit are typically unmarketable, so would be discarded at harvest or in pre-export sorting and handling.</w:t>
      </w:r>
    </w:p>
    <w:p w14:paraId="5A8F3171" w14:textId="74DABBBF" w:rsidR="0038647D" w:rsidRDefault="0038647D" w:rsidP="0038647D">
      <w:pPr>
        <w:rPr>
          <w:b/>
        </w:rPr>
      </w:pPr>
      <w:r>
        <w:t xml:space="preserve">There is no history of interceptions of this pest via imported </w:t>
      </w:r>
      <w:r w:rsidRPr="003A7985">
        <w:t xml:space="preserve">citrus fruit despite </w:t>
      </w:r>
      <w:r>
        <w:t xml:space="preserve">considerable trade occurring. Australia does not impose measures against </w:t>
      </w:r>
      <w:r w:rsidR="00220E06">
        <w:t xml:space="preserve">glassy winged sharpshooter </w:t>
      </w:r>
      <w:r>
        <w:t>for citrus (including limes) imported from California where this pest is present</w:t>
      </w:r>
      <w:r w:rsidR="00DF7FA9" w:rsidRPr="00E874BE">
        <w:t>, as it is not considered to be associated with commercially-produced mature citrus fruit</w:t>
      </w:r>
      <w:r>
        <w:t>.</w:t>
      </w:r>
    </w:p>
    <w:p w14:paraId="6884FCF4" w14:textId="37BB2AEC" w:rsidR="00A322E5" w:rsidRPr="00A322E5" w:rsidRDefault="00296FF2" w:rsidP="00A547DC">
      <w:pPr>
        <w:rPr>
          <w:b/>
        </w:rPr>
      </w:pPr>
      <w:r w:rsidRPr="00A322E5">
        <w:rPr>
          <w:b/>
        </w:rPr>
        <w:t xml:space="preserve">Comment </w:t>
      </w:r>
      <w:r w:rsidR="0038647D">
        <w:rPr>
          <w:b/>
        </w:rPr>
        <w:t>7</w:t>
      </w:r>
      <w:r w:rsidRPr="00A322E5">
        <w:rPr>
          <w:b/>
        </w:rPr>
        <w:t xml:space="preserve">: </w:t>
      </w:r>
      <w:r w:rsidR="002A5B28">
        <w:rPr>
          <w:b/>
        </w:rPr>
        <w:t>C</w:t>
      </w:r>
      <w:r w:rsidR="00A322E5" w:rsidRPr="00A322E5">
        <w:rPr>
          <w:b/>
        </w:rPr>
        <w:t xml:space="preserve">oncerns </w:t>
      </w:r>
      <w:r w:rsidR="002A5B28">
        <w:rPr>
          <w:b/>
        </w:rPr>
        <w:t xml:space="preserve">were raised </w:t>
      </w:r>
      <w:r w:rsidR="00A322E5" w:rsidRPr="00A322E5">
        <w:rPr>
          <w:b/>
        </w:rPr>
        <w:t>that countries should not be left to monitor their own agronomic and sanitation procedures, suggesting that Australian authorities should have some oversight of production, as well as undertake regular visits to ensure standards are upheld.</w:t>
      </w:r>
    </w:p>
    <w:p w14:paraId="7747FA10" w14:textId="6A4671F9" w:rsidR="005B6514" w:rsidRDefault="00A322E5" w:rsidP="00A547DC">
      <w:r>
        <w:t>Response:</w:t>
      </w:r>
      <w:r w:rsidR="00296FF2">
        <w:t xml:space="preserve"> </w:t>
      </w:r>
      <w:r w:rsidR="005B563D" w:rsidRPr="005B563D">
        <w:t>The risk assessment was based on the typical production and post-harvest systems used in the Pacific Islands</w:t>
      </w:r>
      <w:r w:rsidR="000B6425">
        <w:t>. No pests were assessed as requiring additional in-field intervention or post</w:t>
      </w:r>
      <w:r w:rsidR="009D4420">
        <w:t>-</w:t>
      </w:r>
      <w:r w:rsidR="000B6425">
        <w:t>harvest treatments to mitigate the</w:t>
      </w:r>
      <w:r w:rsidR="00651DC2">
        <w:t>ir</w:t>
      </w:r>
      <w:r w:rsidR="000B6425">
        <w:t xml:space="preserve"> risks to an acceptable level.</w:t>
      </w:r>
      <w:r w:rsidR="005B563D" w:rsidRPr="005B563D">
        <w:t xml:space="preserve"> </w:t>
      </w:r>
      <w:r w:rsidR="00095BFE">
        <w:t>T</w:t>
      </w:r>
      <w:r w:rsidR="00651DC2">
        <w:t xml:space="preserve">he department does undertake visits to production areas </w:t>
      </w:r>
      <w:r w:rsidR="00095BFE">
        <w:t xml:space="preserve">in exporting countries </w:t>
      </w:r>
      <w:r w:rsidR="00651DC2">
        <w:t>from time to time</w:t>
      </w:r>
      <w:r w:rsidR="00095BFE">
        <w:t>. A</w:t>
      </w:r>
      <w:r w:rsidR="003038DF">
        <w:t xml:space="preserve">ll consignments </w:t>
      </w:r>
      <w:r w:rsidR="00B33FE8">
        <w:t>will be</w:t>
      </w:r>
      <w:r w:rsidR="003038DF">
        <w:t xml:space="preserve"> inspected on arrival </w:t>
      </w:r>
      <w:r w:rsidR="0066077E">
        <w:t xml:space="preserve">in Australia </w:t>
      </w:r>
      <w:r w:rsidR="003038DF">
        <w:t xml:space="preserve">to verify </w:t>
      </w:r>
      <w:r w:rsidR="00095BFE">
        <w:t xml:space="preserve">that </w:t>
      </w:r>
      <w:r w:rsidR="003038DF">
        <w:t xml:space="preserve">biosecurity standards have been met. </w:t>
      </w:r>
      <w:r w:rsidR="00C71578">
        <w:t xml:space="preserve">The department reserves the right to review import requirements or suspend trade </w:t>
      </w:r>
      <w:r w:rsidR="002E5551">
        <w:t>i</w:t>
      </w:r>
      <w:r w:rsidR="003038DF">
        <w:t>f there is repeated non-compliance</w:t>
      </w:r>
      <w:r w:rsidR="0066077E">
        <w:t xml:space="preserve"> of imports</w:t>
      </w:r>
      <w:r w:rsidR="00C71578">
        <w:t xml:space="preserve">. </w:t>
      </w:r>
    </w:p>
    <w:p w14:paraId="07D196BB" w14:textId="2B8F59EA" w:rsidR="0083024B" w:rsidRPr="00EB3489" w:rsidRDefault="0083024B" w:rsidP="00A547DC">
      <w:pPr>
        <w:rPr>
          <w:b/>
        </w:rPr>
      </w:pPr>
      <w:r w:rsidRPr="00EB3489">
        <w:rPr>
          <w:b/>
        </w:rPr>
        <w:t>Comme</w:t>
      </w:r>
      <w:r w:rsidR="003E3D69">
        <w:rPr>
          <w:b/>
        </w:rPr>
        <w:t xml:space="preserve">nt </w:t>
      </w:r>
      <w:r w:rsidR="0038647D">
        <w:rPr>
          <w:b/>
        </w:rPr>
        <w:t>8</w:t>
      </w:r>
      <w:r w:rsidR="003E3D69">
        <w:rPr>
          <w:b/>
        </w:rPr>
        <w:t>: T</w:t>
      </w:r>
      <w:r w:rsidRPr="00EB3489">
        <w:rPr>
          <w:b/>
        </w:rPr>
        <w:t>he estimate of the likelihood of entry for</w:t>
      </w:r>
      <w:r w:rsidR="003E3D69">
        <w:rPr>
          <w:b/>
        </w:rPr>
        <w:t xml:space="preserve"> exotic pathotypes of </w:t>
      </w:r>
      <w:r w:rsidR="00A950F8" w:rsidRPr="003E3D69">
        <w:rPr>
          <w:b/>
          <w:i/>
        </w:rPr>
        <w:t>Elsino</w:t>
      </w:r>
      <w:r w:rsidR="0066108A">
        <w:rPr>
          <w:b/>
          <w:i/>
        </w:rPr>
        <w:t>ë</w:t>
      </w:r>
      <w:r w:rsidR="00A950F8" w:rsidRPr="003E3D69">
        <w:rPr>
          <w:b/>
          <w:i/>
        </w:rPr>
        <w:t xml:space="preserve"> fawcettii</w:t>
      </w:r>
      <w:r w:rsidR="00A950F8">
        <w:rPr>
          <w:b/>
        </w:rPr>
        <w:t xml:space="preserve"> </w:t>
      </w:r>
      <w:r w:rsidR="003E3D69">
        <w:rPr>
          <w:b/>
        </w:rPr>
        <w:t>(‘</w:t>
      </w:r>
      <w:r w:rsidRPr="00EB3489">
        <w:rPr>
          <w:b/>
        </w:rPr>
        <w:t>low</w:t>
      </w:r>
      <w:r w:rsidR="003E3D69">
        <w:rPr>
          <w:b/>
        </w:rPr>
        <w:t>’) was questioned</w:t>
      </w:r>
      <w:r w:rsidRPr="00EB3489">
        <w:rPr>
          <w:b/>
        </w:rPr>
        <w:t xml:space="preserve">, </w:t>
      </w:r>
      <w:r w:rsidR="0066077E">
        <w:rPr>
          <w:b/>
        </w:rPr>
        <w:t>suggesting</w:t>
      </w:r>
      <w:r w:rsidRPr="00EB3489">
        <w:rPr>
          <w:b/>
        </w:rPr>
        <w:t xml:space="preserve"> this would not be the case in the absence of specific in-field measures to control the pathogen. </w:t>
      </w:r>
    </w:p>
    <w:p w14:paraId="4CC0E89B" w14:textId="4D709F30" w:rsidR="001476F8" w:rsidRDefault="0083024B" w:rsidP="00A547DC">
      <w:pPr>
        <w:rPr>
          <w:rFonts w:eastAsia="Calibri" w:cs="Times New Roman"/>
        </w:rPr>
      </w:pPr>
      <w:r>
        <w:t>Response:</w:t>
      </w:r>
      <w:r w:rsidR="00EB3489">
        <w:t xml:space="preserve"> The assessment in the draft report was based on available information, including t</w:t>
      </w:r>
      <w:r w:rsidR="00EB3489" w:rsidRPr="00EA09AE">
        <w:rPr>
          <w:rFonts w:eastAsia="Calibri" w:cs="Times New Roman"/>
        </w:rPr>
        <w:t xml:space="preserve">he </w:t>
      </w:r>
      <w:r w:rsidR="00EB3489">
        <w:rPr>
          <w:rFonts w:eastAsia="Calibri" w:cs="Times New Roman"/>
        </w:rPr>
        <w:t>low susceptibility of Tahitian limes to scab infection in the countries assessed, and the visible symptoms of infection that would facilitate removal of blemished fruit from the export pathway</w:t>
      </w:r>
      <w:r w:rsidR="005F658F">
        <w:rPr>
          <w:rFonts w:eastAsia="Calibri" w:cs="Times New Roman"/>
        </w:rPr>
        <w:t>. This</w:t>
      </w:r>
      <w:r w:rsidR="00EB3489">
        <w:rPr>
          <w:rFonts w:eastAsia="Calibri" w:cs="Times New Roman"/>
        </w:rPr>
        <w:t xml:space="preserve"> </w:t>
      </w:r>
      <w:r w:rsidR="00051223">
        <w:rPr>
          <w:rFonts w:eastAsia="Calibri" w:cs="Times New Roman"/>
        </w:rPr>
        <w:t xml:space="preserve">assessment </w:t>
      </w:r>
      <w:r w:rsidR="00EB3489" w:rsidRPr="00EA09AE">
        <w:rPr>
          <w:rFonts w:eastAsia="Calibri" w:cs="Times New Roman"/>
        </w:rPr>
        <w:t>support</w:t>
      </w:r>
      <w:r w:rsidR="00051223">
        <w:rPr>
          <w:rFonts w:eastAsia="Calibri" w:cs="Times New Roman"/>
        </w:rPr>
        <w:t>s</w:t>
      </w:r>
      <w:r w:rsidR="00EB3489" w:rsidRPr="00EA09AE">
        <w:rPr>
          <w:rFonts w:eastAsia="Calibri" w:cs="Times New Roman"/>
        </w:rPr>
        <w:t xml:space="preserve"> a likeliho</w:t>
      </w:r>
      <w:r w:rsidR="00EB3489">
        <w:rPr>
          <w:rFonts w:eastAsia="Calibri" w:cs="Times New Roman"/>
        </w:rPr>
        <w:t xml:space="preserve">od estimate for importation of </w:t>
      </w:r>
      <w:r w:rsidR="00051223">
        <w:rPr>
          <w:rFonts w:eastAsia="Calibri" w:cs="Times New Roman"/>
        </w:rPr>
        <w:t>L</w:t>
      </w:r>
      <w:r w:rsidR="00EB3489">
        <w:rPr>
          <w:rFonts w:eastAsia="Calibri" w:cs="Times New Roman"/>
        </w:rPr>
        <w:t>ow</w:t>
      </w:r>
      <w:r w:rsidR="00EB3489" w:rsidRPr="00EA09AE">
        <w:rPr>
          <w:rFonts w:eastAsia="Calibri" w:cs="Times New Roman"/>
        </w:rPr>
        <w:t>.</w:t>
      </w:r>
      <w:r w:rsidR="00EB3489">
        <w:rPr>
          <w:rFonts w:eastAsia="Calibri" w:cs="Times New Roman"/>
        </w:rPr>
        <w:t xml:space="preserve"> </w:t>
      </w:r>
    </w:p>
    <w:p w14:paraId="4D115826" w14:textId="6B9D8782" w:rsidR="001476F8" w:rsidRDefault="00EB3489" w:rsidP="00A547DC">
      <w:pPr>
        <w:rPr>
          <w:b/>
        </w:rPr>
      </w:pPr>
      <w:r>
        <w:rPr>
          <w:rFonts w:eastAsia="Calibri" w:cs="Times New Roman"/>
        </w:rPr>
        <w:t xml:space="preserve">However, it is </w:t>
      </w:r>
      <w:r w:rsidR="0066077E">
        <w:rPr>
          <w:rFonts w:eastAsia="Calibri" w:cs="Times New Roman"/>
        </w:rPr>
        <w:t>accepted</w:t>
      </w:r>
      <w:r>
        <w:rPr>
          <w:rFonts w:eastAsia="Calibri" w:cs="Times New Roman"/>
        </w:rPr>
        <w:t xml:space="preserve"> that there may be unreported patho</w:t>
      </w:r>
      <w:r w:rsidR="0066108A">
        <w:rPr>
          <w:rFonts w:eastAsia="Calibri" w:cs="Times New Roman"/>
        </w:rPr>
        <w:t>types</w:t>
      </w:r>
      <w:r w:rsidR="0066077E">
        <w:rPr>
          <w:rFonts w:eastAsia="Calibri" w:cs="Times New Roman"/>
        </w:rPr>
        <w:t xml:space="preserve"> present in the countries covered by this review</w:t>
      </w:r>
      <w:r>
        <w:rPr>
          <w:rFonts w:eastAsia="Calibri" w:cs="Times New Roman"/>
        </w:rPr>
        <w:t xml:space="preserve">, which </w:t>
      </w:r>
      <w:r w:rsidR="00437BC8">
        <w:rPr>
          <w:rFonts w:eastAsia="Calibri" w:cs="Times New Roman"/>
        </w:rPr>
        <w:t xml:space="preserve">may </w:t>
      </w:r>
      <w:r w:rsidR="00DC60EC">
        <w:rPr>
          <w:rFonts w:eastAsia="Calibri" w:cs="Times New Roman"/>
        </w:rPr>
        <w:t xml:space="preserve">more readily </w:t>
      </w:r>
      <w:r w:rsidR="00437BC8">
        <w:rPr>
          <w:rFonts w:eastAsia="Calibri" w:cs="Times New Roman"/>
        </w:rPr>
        <w:t xml:space="preserve">infect </w:t>
      </w:r>
      <w:r>
        <w:rPr>
          <w:rFonts w:eastAsia="Calibri" w:cs="Times New Roman"/>
        </w:rPr>
        <w:t>limes</w:t>
      </w:r>
      <w:r w:rsidR="00D6358C">
        <w:rPr>
          <w:rFonts w:eastAsia="Calibri" w:cs="Times New Roman"/>
        </w:rPr>
        <w:t>,</w:t>
      </w:r>
      <w:r>
        <w:rPr>
          <w:rFonts w:eastAsia="Calibri" w:cs="Times New Roman"/>
        </w:rPr>
        <w:t xml:space="preserve"> </w:t>
      </w:r>
      <w:r w:rsidR="00437BC8">
        <w:rPr>
          <w:rFonts w:eastAsia="Calibri" w:cs="Times New Roman"/>
        </w:rPr>
        <w:t>and therefore</w:t>
      </w:r>
      <w:r>
        <w:rPr>
          <w:rFonts w:eastAsia="Calibri" w:cs="Times New Roman"/>
        </w:rPr>
        <w:t xml:space="preserve"> increase the likelihood of importation. </w:t>
      </w:r>
      <w:r w:rsidR="00DC60EC">
        <w:rPr>
          <w:rFonts w:eastAsia="Calibri" w:cs="Times New Roman"/>
        </w:rPr>
        <w:t xml:space="preserve">The capacity to identify and remove all scabby fruit, if present on the pathway, has also been reconsidered. </w:t>
      </w:r>
      <w:r w:rsidR="00051223">
        <w:rPr>
          <w:rFonts w:eastAsia="Calibri" w:cs="Times New Roman"/>
        </w:rPr>
        <w:t>On these grounds, t</w:t>
      </w:r>
      <w:r>
        <w:rPr>
          <w:rFonts w:eastAsia="Calibri" w:cs="Times New Roman"/>
        </w:rPr>
        <w:t xml:space="preserve">he </w:t>
      </w:r>
      <w:r w:rsidR="005F658F">
        <w:rPr>
          <w:rFonts w:eastAsia="Calibri" w:cs="Times New Roman"/>
        </w:rPr>
        <w:t>estimate for likelihood of importation of exotic patho</w:t>
      </w:r>
      <w:r w:rsidR="00FA343B">
        <w:rPr>
          <w:rFonts w:eastAsia="Calibri" w:cs="Times New Roman"/>
        </w:rPr>
        <w:t>types</w:t>
      </w:r>
      <w:r w:rsidR="005F658F">
        <w:rPr>
          <w:rFonts w:eastAsia="Calibri" w:cs="Times New Roman"/>
        </w:rPr>
        <w:t xml:space="preserve"> of citrus scab has therefore been revised to </w:t>
      </w:r>
      <w:r w:rsidR="00051223">
        <w:rPr>
          <w:rFonts w:eastAsia="Calibri" w:cs="Times New Roman"/>
        </w:rPr>
        <w:t>M</w:t>
      </w:r>
      <w:r w:rsidR="005F658F">
        <w:rPr>
          <w:rFonts w:eastAsia="Calibri" w:cs="Times New Roman"/>
        </w:rPr>
        <w:t>oderate in th</w:t>
      </w:r>
      <w:r w:rsidR="00051223">
        <w:rPr>
          <w:rFonts w:eastAsia="Calibri" w:cs="Times New Roman"/>
        </w:rPr>
        <w:t>is</w:t>
      </w:r>
      <w:r w:rsidR="005F658F">
        <w:rPr>
          <w:rFonts w:eastAsia="Calibri" w:cs="Times New Roman"/>
        </w:rPr>
        <w:t xml:space="preserve"> final report.</w:t>
      </w:r>
      <w:r w:rsidR="002F7B3E">
        <w:rPr>
          <w:rFonts w:eastAsia="Calibri" w:cs="Times New Roman"/>
        </w:rPr>
        <w:t xml:space="preserve"> This </w:t>
      </w:r>
      <w:r w:rsidR="009A3523">
        <w:rPr>
          <w:rFonts w:eastAsia="Calibri" w:cs="Times New Roman"/>
        </w:rPr>
        <w:t>raises</w:t>
      </w:r>
      <w:r w:rsidR="002F7B3E">
        <w:rPr>
          <w:rFonts w:eastAsia="Calibri" w:cs="Times New Roman"/>
        </w:rPr>
        <w:t xml:space="preserve"> the overall </w:t>
      </w:r>
      <w:r w:rsidR="00051223">
        <w:rPr>
          <w:rFonts w:eastAsia="Calibri" w:cs="Times New Roman"/>
        </w:rPr>
        <w:t xml:space="preserve">estimated </w:t>
      </w:r>
      <w:r w:rsidR="002F7B3E">
        <w:rPr>
          <w:rFonts w:eastAsia="Calibri" w:cs="Times New Roman"/>
        </w:rPr>
        <w:t xml:space="preserve">unrestricted risk to </w:t>
      </w:r>
      <w:r w:rsidR="00051223">
        <w:rPr>
          <w:rFonts w:eastAsia="Calibri" w:cs="Times New Roman"/>
        </w:rPr>
        <w:t>V</w:t>
      </w:r>
      <w:r w:rsidR="002F7B3E">
        <w:rPr>
          <w:rFonts w:eastAsia="Calibri" w:cs="Times New Roman"/>
        </w:rPr>
        <w:t xml:space="preserve">ery </w:t>
      </w:r>
      <w:r w:rsidR="00051223">
        <w:rPr>
          <w:rFonts w:eastAsia="Calibri" w:cs="Times New Roman"/>
        </w:rPr>
        <w:t>L</w:t>
      </w:r>
      <w:r w:rsidR="002F7B3E">
        <w:rPr>
          <w:rFonts w:eastAsia="Calibri" w:cs="Times New Roman"/>
        </w:rPr>
        <w:t>ow.</w:t>
      </w:r>
    </w:p>
    <w:p w14:paraId="49F39FF7" w14:textId="35793489" w:rsidR="005362BC" w:rsidRPr="005362BC" w:rsidRDefault="002A5B28" w:rsidP="00A547DC">
      <w:pPr>
        <w:rPr>
          <w:b/>
        </w:rPr>
      </w:pPr>
      <w:r>
        <w:rPr>
          <w:b/>
        </w:rPr>
        <w:t xml:space="preserve">Comment </w:t>
      </w:r>
      <w:r w:rsidR="0038647D">
        <w:rPr>
          <w:b/>
        </w:rPr>
        <w:t>9</w:t>
      </w:r>
      <w:r w:rsidR="005362BC" w:rsidRPr="005362BC">
        <w:rPr>
          <w:b/>
        </w:rPr>
        <w:t xml:space="preserve">: </w:t>
      </w:r>
      <w:r w:rsidR="000F5E8D">
        <w:rPr>
          <w:b/>
        </w:rPr>
        <w:t>It was questioned wh</w:t>
      </w:r>
      <w:r w:rsidR="005362BC" w:rsidRPr="005362BC">
        <w:rPr>
          <w:b/>
        </w:rPr>
        <w:t xml:space="preserve">y pressure washing and post-harvest fungicides are not mandated to control </w:t>
      </w:r>
      <w:r w:rsidR="00A950F8" w:rsidRPr="00A950F8">
        <w:rPr>
          <w:b/>
          <w:i/>
        </w:rPr>
        <w:t>Elsino</w:t>
      </w:r>
      <w:r w:rsidR="00FA343B">
        <w:rPr>
          <w:b/>
          <w:i/>
        </w:rPr>
        <w:t>ë</w:t>
      </w:r>
      <w:r w:rsidR="00A950F8" w:rsidRPr="00A950F8">
        <w:rPr>
          <w:b/>
          <w:i/>
        </w:rPr>
        <w:t xml:space="preserve"> fawcettii</w:t>
      </w:r>
      <w:r w:rsidR="00051223">
        <w:rPr>
          <w:b/>
          <w:i/>
        </w:rPr>
        <w:t>.</w:t>
      </w:r>
    </w:p>
    <w:p w14:paraId="4A79EC62" w14:textId="77777777" w:rsidR="00B05D67" w:rsidRDefault="005362BC" w:rsidP="00A547DC">
      <w:r>
        <w:t>Response:</w:t>
      </w:r>
      <w:r w:rsidR="00296FF2">
        <w:t xml:space="preserve"> </w:t>
      </w:r>
      <w:r w:rsidR="00A950F8">
        <w:t xml:space="preserve">The risk assessment </w:t>
      </w:r>
      <w:r w:rsidR="00051223">
        <w:t xml:space="preserve">for </w:t>
      </w:r>
      <w:r w:rsidR="00051223" w:rsidRPr="00A950F8">
        <w:rPr>
          <w:i/>
        </w:rPr>
        <w:t>Elsino</w:t>
      </w:r>
      <w:r w:rsidR="00051223">
        <w:rPr>
          <w:i/>
        </w:rPr>
        <w:t>ë</w:t>
      </w:r>
      <w:r w:rsidR="00051223" w:rsidRPr="00A950F8">
        <w:rPr>
          <w:i/>
        </w:rPr>
        <w:t xml:space="preserve"> fawcettii</w:t>
      </w:r>
      <w:r w:rsidR="00051223">
        <w:t xml:space="preserve"> </w:t>
      </w:r>
      <w:r w:rsidR="00A950F8">
        <w:t xml:space="preserve">was based on typical basic production and post-harvest systems used in the Pacific Islands, and did not factor in </w:t>
      </w:r>
      <w:r w:rsidR="00051223">
        <w:t xml:space="preserve">use of </w:t>
      </w:r>
      <w:r w:rsidR="00A950F8">
        <w:t xml:space="preserve">pressure washing </w:t>
      </w:r>
      <w:r w:rsidR="00051223">
        <w:t>or</w:t>
      </w:r>
      <w:r w:rsidR="00A950F8">
        <w:t xml:space="preserve"> fungicidal dips. As the unrestricted risk estimate achieved the appropriate level of protection for Australia</w:t>
      </w:r>
      <w:r w:rsidR="00051223">
        <w:t xml:space="preserve"> (that is, Very Low)</w:t>
      </w:r>
      <w:r w:rsidR="00A950F8">
        <w:t xml:space="preserve">, additional measures for </w:t>
      </w:r>
      <w:r w:rsidR="00A950F8" w:rsidRPr="00A950F8">
        <w:rPr>
          <w:i/>
        </w:rPr>
        <w:t>Elsino</w:t>
      </w:r>
      <w:r w:rsidR="0066108A">
        <w:rPr>
          <w:i/>
        </w:rPr>
        <w:t>ë</w:t>
      </w:r>
      <w:r w:rsidR="00A950F8" w:rsidRPr="00A950F8">
        <w:rPr>
          <w:i/>
        </w:rPr>
        <w:t xml:space="preserve"> fawcettii</w:t>
      </w:r>
      <w:r w:rsidR="00A950F8">
        <w:t xml:space="preserve"> </w:t>
      </w:r>
      <w:r w:rsidR="009A3523">
        <w:t>are not required</w:t>
      </w:r>
      <w:r w:rsidR="00A950F8">
        <w:t xml:space="preserve">. Commercially produced fresh lime fruit imported from the Cook Islands, Niue, Samoa, Tonga and Vanuatu </w:t>
      </w:r>
      <w:r w:rsidR="00BF08A4">
        <w:t>are</w:t>
      </w:r>
      <w:r w:rsidR="00A950F8">
        <w:t xml:space="preserve"> </w:t>
      </w:r>
      <w:r w:rsidR="00FF2966">
        <w:t xml:space="preserve">considered </w:t>
      </w:r>
      <w:r w:rsidR="00A950F8">
        <w:t xml:space="preserve">an unlikely pathway for </w:t>
      </w:r>
      <w:r w:rsidR="00051223">
        <w:t xml:space="preserve">entry and </w:t>
      </w:r>
      <w:r w:rsidR="00A950F8">
        <w:t xml:space="preserve">establishment of new pathotypes of </w:t>
      </w:r>
      <w:r w:rsidR="00A950F8" w:rsidRPr="00A950F8">
        <w:rPr>
          <w:i/>
        </w:rPr>
        <w:t>Elsino</w:t>
      </w:r>
      <w:r w:rsidR="0066108A">
        <w:rPr>
          <w:i/>
        </w:rPr>
        <w:t>ë</w:t>
      </w:r>
      <w:r w:rsidR="00A950F8" w:rsidRPr="00A950F8">
        <w:rPr>
          <w:i/>
        </w:rPr>
        <w:t xml:space="preserve"> fawcettii</w:t>
      </w:r>
      <w:r w:rsidR="00A950F8">
        <w:t xml:space="preserve"> in Australia. </w:t>
      </w:r>
    </w:p>
    <w:p w14:paraId="6283C2FF" w14:textId="05E12D09" w:rsidR="000F5E8D" w:rsidRPr="000F5E8D" w:rsidRDefault="000F5E8D" w:rsidP="00A547DC">
      <w:pPr>
        <w:rPr>
          <w:b/>
        </w:rPr>
      </w:pPr>
      <w:r w:rsidRPr="000F5E8D">
        <w:rPr>
          <w:b/>
        </w:rPr>
        <w:t xml:space="preserve">Comment </w:t>
      </w:r>
      <w:r w:rsidR="0038647D">
        <w:rPr>
          <w:b/>
        </w:rPr>
        <w:t>10</w:t>
      </w:r>
      <w:r w:rsidRPr="000F5E8D">
        <w:rPr>
          <w:b/>
        </w:rPr>
        <w:t>: Likelihood of entry is supposedly based on a year’s trade, but the expected volume is not stated. The risk assessment therefore lacks robust scientific credibility, and the indicative probabilities are meaningless.</w:t>
      </w:r>
    </w:p>
    <w:p w14:paraId="5778A92E" w14:textId="39265B91" w:rsidR="00BA3320" w:rsidRDefault="000F5E8D" w:rsidP="00A547DC">
      <w:r>
        <w:t xml:space="preserve">Response: </w:t>
      </w:r>
      <w:r w:rsidRPr="000F5E8D">
        <w:t xml:space="preserve">The assessment </w:t>
      </w:r>
      <w:r>
        <w:t xml:space="preserve">was undertaken </w:t>
      </w:r>
      <w:r w:rsidRPr="000F5E8D">
        <w:t xml:space="preserve">on the </w:t>
      </w:r>
      <w:r w:rsidR="00051223">
        <w:t>basis that</w:t>
      </w:r>
      <w:r w:rsidRPr="000F5E8D">
        <w:t xml:space="preserve"> there would be </w:t>
      </w:r>
      <w:r w:rsidR="00437BC8">
        <w:t>low</w:t>
      </w:r>
      <w:r>
        <w:t xml:space="preserve"> </w:t>
      </w:r>
      <w:r w:rsidR="00051223">
        <w:t xml:space="preserve">annual </w:t>
      </w:r>
      <w:r>
        <w:t>volumes of trade (</w:t>
      </w:r>
      <w:r w:rsidR="00051223">
        <w:t>anticipated</w:t>
      </w:r>
      <w:r w:rsidR="002E5551">
        <w:t xml:space="preserve"> </w:t>
      </w:r>
      <w:r w:rsidR="009A3523">
        <w:t xml:space="preserve">to be </w:t>
      </w:r>
      <w:r>
        <w:t xml:space="preserve">less than </w:t>
      </w:r>
      <w:r w:rsidR="00FA343B">
        <w:t>2</w:t>
      </w:r>
      <w:r w:rsidRPr="000F5E8D">
        <w:t>0 tonnes per year</w:t>
      </w:r>
      <w:r>
        <w:t>)</w:t>
      </w:r>
      <w:r w:rsidR="00437BC8">
        <w:t xml:space="preserve">. Additional information to support this assumption has been included in </w:t>
      </w:r>
      <w:r w:rsidR="003550EA">
        <w:t xml:space="preserve">Section 3.1 of </w:t>
      </w:r>
      <w:r w:rsidR="00437BC8">
        <w:t>the report.</w:t>
      </w:r>
    </w:p>
    <w:p w14:paraId="14A15152" w14:textId="77777777" w:rsidR="005F225E" w:rsidRDefault="005F225E">
      <w:pPr>
        <w:pStyle w:val="Heading1nonumbers"/>
        <w:sectPr w:rsidR="005F225E" w:rsidSect="006D5260">
          <w:headerReference w:type="even" r:id="rId71"/>
          <w:headerReference w:type="default" r:id="rId72"/>
          <w:footerReference w:type="default" r:id="rId73"/>
          <w:pgSz w:w="11906" w:h="16838"/>
          <w:pgMar w:top="1418" w:right="1418" w:bottom="1418" w:left="1418" w:header="567" w:footer="283" w:gutter="0"/>
          <w:cols w:space="708"/>
          <w:docGrid w:linePitch="360"/>
        </w:sectPr>
      </w:pPr>
    </w:p>
    <w:p w14:paraId="2BD4D442" w14:textId="77777777" w:rsidR="00146544" w:rsidRDefault="00146544">
      <w:pPr>
        <w:pStyle w:val="Heading1nonumbers"/>
      </w:pPr>
      <w:bookmarkStart w:id="136" w:name="_Toc501716506"/>
      <w:r>
        <w:t>Glossary</w:t>
      </w:r>
      <w:bookmarkEnd w:id="136"/>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146544" w14:paraId="3CECD3D6" w14:textId="77777777">
        <w:tc>
          <w:tcPr>
            <w:tcW w:w="1509" w:type="pct"/>
          </w:tcPr>
          <w:p w14:paraId="1EDFAE09" w14:textId="77777777" w:rsidR="00146544" w:rsidRDefault="00146544">
            <w:pPr>
              <w:pStyle w:val="TableHeading"/>
            </w:pPr>
            <w:r>
              <w:t>Term or abbreviation</w:t>
            </w:r>
          </w:p>
        </w:tc>
        <w:tc>
          <w:tcPr>
            <w:tcW w:w="3491" w:type="pct"/>
          </w:tcPr>
          <w:p w14:paraId="062462BE" w14:textId="77777777" w:rsidR="00146544" w:rsidRDefault="00146544">
            <w:pPr>
              <w:pStyle w:val="TableHeading"/>
            </w:pPr>
            <w:r>
              <w:t>Definition</w:t>
            </w:r>
          </w:p>
        </w:tc>
      </w:tr>
      <w:tr w:rsidR="00146544" w14:paraId="6870E031" w14:textId="77777777">
        <w:tc>
          <w:tcPr>
            <w:tcW w:w="1509" w:type="pct"/>
          </w:tcPr>
          <w:p w14:paraId="64879726" w14:textId="77777777" w:rsidR="00146544" w:rsidRDefault="00146544">
            <w:pPr>
              <w:pStyle w:val="TableText"/>
            </w:pPr>
            <w:r>
              <w:t>Additional declaration</w:t>
            </w:r>
          </w:p>
        </w:tc>
        <w:tc>
          <w:tcPr>
            <w:tcW w:w="3491" w:type="pct"/>
          </w:tcPr>
          <w:p w14:paraId="40BE87EA" w14:textId="77777777" w:rsidR="00146544" w:rsidRDefault="00146544">
            <w:pPr>
              <w:pStyle w:val="TableText"/>
            </w:pPr>
            <w:r>
              <w:t xml:space="preserve">A statement that is required by an importing country to be entered on a phytosanitary certificate and which provides specific additional information on a consignment in relation to regulated pests </w:t>
            </w:r>
            <w:r w:rsidR="00DD74C5">
              <w:t xml:space="preserve">or regulated articles </w:t>
            </w:r>
            <w:r>
              <w:t>(</w:t>
            </w:r>
            <w:r w:rsidR="00CC1E5B">
              <w:t>FAO 2016</w:t>
            </w:r>
            <w:r>
              <w:t>).</w:t>
            </w:r>
          </w:p>
        </w:tc>
      </w:tr>
      <w:tr w:rsidR="00146544" w14:paraId="3528063D" w14:textId="77777777">
        <w:tc>
          <w:tcPr>
            <w:tcW w:w="1509" w:type="pct"/>
          </w:tcPr>
          <w:p w14:paraId="4D559CE1" w14:textId="77777777" w:rsidR="00146544" w:rsidRDefault="00146544">
            <w:pPr>
              <w:pStyle w:val="TableText"/>
            </w:pPr>
            <w:r>
              <w:t>Appropriate level of protection (ALOP)</w:t>
            </w:r>
          </w:p>
        </w:tc>
        <w:tc>
          <w:tcPr>
            <w:tcW w:w="3491" w:type="pct"/>
          </w:tcPr>
          <w:p w14:paraId="68703ED9" w14:textId="77777777" w:rsidR="00146544" w:rsidRDefault="00146544">
            <w:pPr>
              <w:pStyle w:val="TableText"/>
            </w:pPr>
            <w:r>
              <w:t>The level of protection deemed appropriate by the Member establishing a sanitary or phytosanitary measure to protect human, animal or plant life or health within its territory (WTO 1995).</w:t>
            </w:r>
          </w:p>
        </w:tc>
      </w:tr>
      <w:tr w:rsidR="00146544" w14:paraId="59EB6DCC" w14:textId="77777777">
        <w:tc>
          <w:tcPr>
            <w:tcW w:w="1509" w:type="pct"/>
          </w:tcPr>
          <w:p w14:paraId="5B843238" w14:textId="77777777" w:rsidR="00146544" w:rsidRDefault="00146544">
            <w:pPr>
              <w:pStyle w:val="TableText"/>
            </w:pPr>
            <w:r>
              <w:t>Area</w:t>
            </w:r>
          </w:p>
        </w:tc>
        <w:tc>
          <w:tcPr>
            <w:tcW w:w="3491" w:type="pct"/>
          </w:tcPr>
          <w:p w14:paraId="798762EF" w14:textId="77777777" w:rsidR="00146544" w:rsidRDefault="00146544">
            <w:pPr>
              <w:pStyle w:val="TableText"/>
            </w:pPr>
            <w:r>
              <w:t>An officially defined country, part of a country or all or parts of several countries (</w:t>
            </w:r>
            <w:r w:rsidR="00CC1E5B">
              <w:t>FAO 2016</w:t>
            </w:r>
            <w:r>
              <w:t>).</w:t>
            </w:r>
          </w:p>
        </w:tc>
      </w:tr>
      <w:tr w:rsidR="00146544" w14:paraId="0830623E" w14:textId="77777777">
        <w:tc>
          <w:tcPr>
            <w:tcW w:w="1509" w:type="pct"/>
          </w:tcPr>
          <w:p w14:paraId="37E0186E" w14:textId="77777777" w:rsidR="00146544" w:rsidRDefault="00146544">
            <w:pPr>
              <w:pStyle w:val="TableText"/>
            </w:pPr>
            <w:r>
              <w:t>Consignment</w:t>
            </w:r>
          </w:p>
        </w:tc>
        <w:tc>
          <w:tcPr>
            <w:tcW w:w="3491" w:type="pct"/>
          </w:tcPr>
          <w:p w14:paraId="2B160E53" w14:textId="77777777" w:rsidR="00146544" w:rsidRDefault="00146544">
            <w:pPr>
              <w:pStyle w:val="TableText"/>
            </w:pPr>
            <w:r>
              <w:t>A quantity of plants, plant products or other articles being moved from one country to another and covered, when required, by a single phytosanitary certificate (a consignment may be composed of one or more commodities or lots) (</w:t>
            </w:r>
            <w:r w:rsidR="00CC1E5B">
              <w:t>FAO 2016</w:t>
            </w:r>
            <w:r>
              <w:t>).</w:t>
            </w:r>
          </w:p>
        </w:tc>
      </w:tr>
      <w:tr w:rsidR="00146544" w14:paraId="3368F1A5" w14:textId="77777777">
        <w:tc>
          <w:tcPr>
            <w:tcW w:w="1509" w:type="pct"/>
          </w:tcPr>
          <w:p w14:paraId="4335A111" w14:textId="77777777" w:rsidR="00146544" w:rsidRDefault="00146544">
            <w:pPr>
              <w:pStyle w:val="TableText"/>
            </w:pPr>
            <w:r>
              <w:t>Control (of a pest)</w:t>
            </w:r>
          </w:p>
        </w:tc>
        <w:tc>
          <w:tcPr>
            <w:tcW w:w="3491" w:type="pct"/>
          </w:tcPr>
          <w:p w14:paraId="7B70DA05" w14:textId="77777777" w:rsidR="00146544" w:rsidRDefault="00146544">
            <w:pPr>
              <w:pStyle w:val="TableText"/>
            </w:pPr>
            <w:r>
              <w:t>Suppression, containment or eradication of a pest population (</w:t>
            </w:r>
            <w:r w:rsidR="00CC1E5B">
              <w:t>FAO 2016</w:t>
            </w:r>
            <w:r>
              <w:t>).</w:t>
            </w:r>
          </w:p>
        </w:tc>
      </w:tr>
      <w:tr w:rsidR="00146544" w14:paraId="567C2077" w14:textId="77777777">
        <w:tc>
          <w:tcPr>
            <w:tcW w:w="1509" w:type="pct"/>
          </w:tcPr>
          <w:p w14:paraId="5C0B1C49" w14:textId="77777777" w:rsidR="00146544" w:rsidRDefault="00146544">
            <w:pPr>
              <w:pStyle w:val="TableText"/>
            </w:pPr>
            <w:r>
              <w:t>Endangered area</w:t>
            </w:r>
          </w:p>
        </w:tc>
        <w:tc>
          <w:tcPr>
            <w:tcW w:w="3491" w:type="pct"/>
          </w:tcPr>
          <w:p w14:paraId="3148F217" w14:textId="77777777" w:rsidR="00146544" w:rsidRDefault="00146544">
            <w:pPr>
              <w:pStyle w:val="TableText"/>
            </w:pPr>
            <w:r>
              <w:t>An area where ecological factors favour the establishment of a pest whose presence in the area will result in economically important loss (</w:t>
            </w:r>
            <w:r w:rsidR="00CC1E5B">
              <w:t>FAO 2016</w:t>
            </w:r>
            <w:r>
              <w:t>).</w:t>
            </w:r>
          </w:p>
        </w:tc>
      </w:tr>
      <w:tr w:rsidR="00146544" w14:paraId="57B47FD9" w14:textId="77777777">
        <w:tc>
          <w:tcPr>
            <w:tcW w:w="1509" w:type="pct"/>
          </w:tcPr>
          <w:p w14:paraId="72F65356" w14:textId="77777777" w:rsidR="00146544" w:rsidRDefault="00146544">
            <w:pPr>
              <w:pStyle w:val="TableText"/>
            </w:pPr>
            <w:r>
              <w:t>Entry (of a pest)</w:t>
            </w:r>
          </w:p>
        </w:tc>
        <w:tc>
          <w:tcPr>
            <w:tcW w:w="3491" w:type="pct"/>
          </w:tcPr>
          <w:p w14:paraId="6EE80FD6" w14:textId="77777777" w:rsidR="00146544" w:rsidRDefault="00146544">
            <w:pPr>
              <w:pStyle w:val="TableText"/>
            </w:pPr>
            <w:r>
              <w:t>Movement of a pest into an area where it is not yet present, or present but not widely distributed and being officially controlled (</w:t>
            </w:r>
            <w:r w:rsidR="00CC1E5B">
              <w:t>FAO 2016</w:t>
            </w:r>
            <w:r>
              <w:t>).</w:t>
            </w:r>
          </w:p>
        </w:tc>
      </w:tr>
      <w:tr w:rsidR="00146544" w14:paraId="0E08006F" w14:textId="77777777">
        <w:tc>
          <w:tcPr>
            <w:tcW w:w="1509" w:type="pct"/>
          </w:tcPr>
          <w:p w14:paraId="42999275" w14:textId="77777777" w:rsidR="00146544" w:rsidRDefault="00146544">
            <w:pPr>
              <w:pStyle w:val="TableText"/>
            </w:pPr>
            <w:r>
              <w:t>Establishment (of a pest)</w:t>
            </w:r>
          </w:p>
        </w:tc>
        <w:tc>
          <w:tcPr>
            <w:tcW w:w="3491" w:type="pct"/>
          </w:tcPr>
          <w:p w14:paraId="18945831" w14:textId="77777777" w:rsidR="00146544" w:rsidRDefault="00146544">
            <w:pPr>
              <w:pStyle w:val="TableText"/>
            </w:pPr>
            <w:r>
              <w:t>Perpetuation, for the foreseeable future, of a pest within an area after entry (</w:t>
            </w:r>
            <w:r w:rsidR="00CC1E5B">
              <w:t>FAO 2016</w:t>
            </w:r>
            <w:r>
              <w:t>).</w:t>
            </w:r>
          </w:p>
        </w:tc>
      </w:tr>
      <w:tr w:rsidR="00146544" w14:paraId="6915DC48" w14:textId="77777777">
        <w:tc>
          <w:tcPr>
            <w:tcW w:w="1509" w:type="pct"/>
          </w:tcPr>
          <w:p w14:paraId="64055161" w14:textId="77777777" w:rsidR="00146544" w:rsidRDefault="00146544">
            <w:pPr>
              <w:pStyle w:val="TableText"/>
            </w:pPr>
            <w:r>
              <w:t>Fresh</w:t>
            </w:r>
          </w:p>
        </w:tc>
        <w:tc>
          <w:tcPr>
            <w:tcW w:w="3491" w:type="pct"/>
          </w:tcPr>
          <w:p w14:paraId="3B0FD2C6" w14:textId="77777777" w:rsidR="00146544" w:rsidRDefault="00146544">
            <w:pPr>
              <w:pStyle w:val="TableText"/>
            </w:pPr>
            <w:r>
              <w:t>Living; not dried, deep-frozen or otherwise conserved (</w:t>
            </w:r>
            <w:r w:rsidR="00CC1E5B">
              <w:t>FAO 2016</w:t>
            </w:r>
            <w:r>
              <w:t>).</w:t>
            </w:r>
          </w:p>
        </w:tc>
      </w:tr>
      <w:tr w:rsidR="00146544" w14:paraId="10138450" w14:textId="77777777">
        <w:tc>
          <w:tcPr>
            <w:tcW w:w="1509" w:type="pct"/>
          </w:tcPr>
          <w:p w14:paraId="06B094A5" w14:textId="77777777" w:rsidR="00146544" w:rsidRDefault="00146544">
            <w:pPr>
              <w:pStyle w:val="TableText"/>
            </w:pPr>
            <w:r>
              <w:t>Host range</w:t>
            </w:r>
          </w:p>
        </w:tc>
        <w:tc>
          <w:tcPr>
            <w:tcW w:w="3491" w:type="pct"/>
          </w:tcPr>
          <w:p w14:paraId="3F43334A" w14:textId="77777777" w:rsidR="00146544" w:rsidRDefault="00146544">
            <w:pPr>
              <w:pStyle w:val="TableText"/>
            </w:pPr>
            <w:r>
              <w:t>Species capable, under natural conditions, of sustaining a specific pest or other organism (</w:t>
            </w:r>
            <w:r w:rsidR="00CC1E5B">
              <w:t>FAO 2016</w:t>
            </w:r>
            <w:r>
              <w:t>).</w:t>
            </w:r>
          </w:p>
        </w:tc>
      </w:tr>
      <w:tr w:rsidR="00146544" w14:paraId="5FA6BC47" w14:textId="77777777">
        <w:tc>
          <w:tcPr>
            <w:tcW w:w="1509" w:type="pct"/>
          </w:tcPr>
          <w:p w14:paraId="57C7B027" w14:textId="77777777" w:rsidR="00146544" w:rsidRDefault="00146544">
            <w:pPr>
              <w:pStyle w:val="TableText"/>
            </w:pPr>
            <w:r>
              <w:t>Import permit</w:t>
            </w:r>
          </w:p>
        </w:tc>
        <w:tc>
          <w:tcPr>
            <w:tcW w:w="3491" w:type="pct"/>
          </w:tcPr>
          <w:p w14:paraId="22BD9FC3" w14:textId="77777777" w:rsidR="00146544" w:rsidRDefault="00146544">
            <w:pPr>
              <w:pStyle w:val="TableText"/>
            </w:pPr>
            <w:r>
              <w:t>Official document authorising importation of a commodity in accordance with specified phytosanitary import requirements (</w:t>
            </w:r>
            <w:r w:rsidR="00CC1E5B">
              <w:t>FAO 2016</w:t>
            </w:r>
            <w:r>
              <w:t>).</w:t>
            </w:r>
          </w:p>
        </w:tc>
      </w:tr>
      <w:tr w:rsidR="00146544" w14:paraId="73BB2342" w14:textId="77777777">
        <w:tc>
          <w:tcPr>
            <w:tcW w:w="1509" w:type="pct"/>
          </w:tcPr>
          <w:p w14:paraId="1A91D1BA" w14:textId="77777777" w:rsidR="00146544" w:rsidRDefault="00146544">
            <w:pPr>
              <w:pStyle w:val="TableText"/>
            </w:pPr>
            <w:r>
              <w:t>Infection</w:t>
            </w:r>
          </w:p>
        </w:tc>
        <w:tc>
          <w:tcPr>
            <w:tcW w:w="3491" w:type="pct"/>
          </w:tcPr>
          <w:p w14:paraId="67278F8E" w14:textId="77777777" w:rsidR="00146544" w:rsidRDefault="00146544">
            <w:pPr>
              <w:pStyle w:val="TableText"/>
            </w:pPr>
            <w:r>
              <w:t>The internal ‘endophytic’ colonisation of a plant, or plant organ, and is generally associated with the development of disease symptoms as the integrity of cells and/or biological processes are disrupted.</w:t>
            </w:r>
          </w:p>
        </w:tc>
      </w:tr>
      <w:tr w:rsidR="00146544" w14:paraId="3FA6D1F4" w14:textId="77777777">
        <w:tc>
          <w:tcPr>
            <w:tcW w:w="1509" w:type="pct"/>
          </w:tcPr>
          <w:p w14:paraId="6D4491A9" w14:textId="77777777" w:rsidR="00146544" w:rsidRDefault="00146544">
            <w:pPr>
              <w:pStyle w:val="TableText"/>
            </w:pPr>
            <w:r>
              <w:t>Infestation (of a commodity)</w:t>
            </w:r>
          </w:p>
        </w:tc>
        <w:tc>
          <w:tcPr>
            <w:tcW w:w="3491" w:type="pct"/>
          </w:tcPr>
          <w:p w14:paraId="7A94F5CE" w14:textId="77777777" w:rsidR="00146544" w:rsidRDefault="00146544">
            <w:pPr>
              <w:pStyle w:val="TableText"/>
            </w:pPr>
            <w:r>
              <w:t>Presence in a commodity of a living pest of the plant or plant product concerned. Infestation includes infection (</w:t>
            </w:r>
            <w:r w:rsidR="00CC1E5B">
              <w:t>FAO 2016</w:t>
            </w:r>
            <w:r>
              <w:t>).</w:t>
            </w:r>
          </w:p>
        </w:tc>
      </w:tr>
      <w:tr w:rsidR="00146544" w14:paraId="15F0EFB8" w14:textId="77777777">
        <w:tc>
          <w:tcPr>
            <w:tcW w:w="1509" w:type="pct"/>
          </w:tcPr>
          <w:p w14:paraId="7DD149B0" w14:textId="77777777" w:rsidR="00146544" w:rsidRDefault="00146544">
            <w:pPr>
              <w:pStyle w:val="TableText"/>
            </w:pPr>
            <w:r>
              <w:t>Inspection</w:t>
            </w:r>
          </w:p>
        </w:tc>
        <w:tc>
          <w:tcPr>
            <w:tcW w:w="3491" w:type="pct"/>
          </w:tcPr>
          <w:p w14:paraId="6104F326" w14:textId="77777777" w:rsidR="00146544" w:rsidRDefault="00146544">
            <w:pPr>
              <w:pStyle w:val="TableText"/>
            </w:pPr>
            <w:r>
              <w:t>Official visual examination of plants, plant products or other regulated articles to determine if pests are present or to determine compliance with phytosanitary regulations (</w:t>
            </w:r>
            <w:r w:rsidR="00CC1E5B">
              <w:t>FAO 2016</w:t>
            </w:r>
            <w:r>
              <w:t>).</w:t>
            </w:r>
          </w:p>
        </w:tc>
      </w:tr>
      <w:tr w:rsidR="00146544" w14:paraId="421ACF7F" w14:textId="77777777">
        <w:tc>
          <w:tcPr>
            <w:tcW w:w="1509" w:type="pct"/>
          </w:tcPr>
          <w:p w14:paraId="5729236F" w14:textId="77777777" w:rsidR="00146544" w:rsidRDefault="00146544">
            <w:pPr>
              <w:pStyle w:val="TableText"/>
            </w:pPr>
            <w:r>
              <w:t>Intended use</w:t>
            </w:r>
          </w:p>
        </w:tc>
        <w:tc>
          <w:tcPr>
            <w:tcW w:w="3491" w:type="pct"/>
          </w:tcPr>
          <w:p w14:paraId="60413F00" w14:textId="77777777" w:rsidR="00146544" w:rsidRDefault="00146544">
            <w:pPr>
              <w:pStyle w:val="TableText"/>
            </w:pPr>
            <w:r>
              <w:t>Declared purpose for which plants, plant products, or other regulated articles are imported, produced or used (</w:t>
            </w:r>
            <w:r w:rsidR="00CC1E5B">
              <w:t>FAO 2016</w:t>
            </w:r>
            <w:r>
              <w:t>).</w:t>
            </w:r>
          </w:p>
        </w:tc>
      </w:tr>
      <w:tr w:rsidR="00146544" w14:paraId="72A9E649" w14:textId="77777777">
        <w:tc>
          <w:tcPr>
            <w:tcW w:w="1509" w:type="pct"/>
          </w:tcPr>
          <w:p w14:paraId="19971594" w14:textId="77777777" w:rsidR="00146544" w:rsidRDefault="00146544">
            <w:pPr>
              <w:pStyle w:val="TableText"/>
            </w:pPr>
            <w:r>
              <w:t>Interception (of a pest)</w:t>
            </w:r>
          </w:p>
        </w:tc>
        <w:tc>
          <w:tcPr>
            <w:tcW w:w="3491" w:type="pct"/>
          </w:tcPr>
          <w:p w14:paraId="54238B75" w14:textId="77777777" w:rsidR="00146544" w:rsidRDefault="00146544">
            <w:pPr>
              <w:pStyle w:val="TableText"/>
            </w:pPr>
            <w:r>
              <w:t>The detection of a pest during inspection or testing of an imported consignment (</w:t>
            </w:r>
            <w:r w:rsidR="00CC1E5B">
              <w:t>FAO 2016</w:t>
            </w:r>
            <w:r>
              <w:t>).</w:t>
            </w:r>
          </w:p>
        </w:tc>
      </w:tr>
      <w:tr w:rsidR="00146544" w14:paraId="00C00FC8" w14:textId="77777777">
        <w:tc>
          <w:tcPr>
            <w:tcW w:w="1509" w:type="pct"/>
          </w:tcPr>
          <w:p w14:paraId="7AF4761A" w14:textId="77777777" w:rsidR="00146544" w:rsidRDefault="00146544">
            <w:pPr>
              <w:pStyle w:val="TableText"/>
            </w:pPr>
            <w:r>
              <w:t>International Standard for Phytosanitary Measures (ISPM)</w:t>
            </w:r>
          </w:p>
        </w:tc>
        <w:tc>
          <w:tcPr>
            <w:tcW w:w="3491" w:type="pct"/>
          </w:tcPr>
          <w:p w14:paraId="0F63BFC1" w14:textId="77777777" w:rsidR="00146544" w:rsidRDefault="00146544">
            <w:pPr>
              <w:pStyle w:val="TableText"/>
            </w:pPr>
            <w:r>
              <w:t>An international standard adopted by the Conference of the Food and Agriculture Organization, the Interim Commission on Phytosanitary Measures or the Commission on Phytosanitary Measures, established under the IPCC (</w:t>
            </w:r>
            <w:r w:rsidR="00CC1E5B">
              <w:t>FAO 2016</w:t>
            </w:r>
            <w:r>
              <w:t>).</w:t>
            </w:r>
          </w:p>
        </w:tc>
      </w:tr>
      <w:tr w:rsidR="00146544" w14:paraId="56DF6FB3" w14:textId="77777777">
        <w:tc>
          <w:tcPr>
            <w:tcW w:w="1509" w:type="pct"/>
          </w:tcPr>
          <w:p w14:paraId="632A15C4" w14:textId="77777777" w:rsidR="00146544" w:rsidRDefault="00146544">
            <w:pPr>
              <w:pStyle w:val="TableText"/>
            </w:pPr>
            <w:r>
              <w:t>Introduction (of a pest)</w:t>
            </w:r>
          </w:p>
        </w:tc>
        <w:tc>
          <w:tcPr>
            <w:tcW w:w="3491" w:type="pct"/>
          </w:tcPr>
          <w:p w14:paraId="6091DD30" w14:textId="77777777" w:rsidR="00146544" w:rsidRDefault="00146544">
            <w:pPr>
              <w:pStyle w:val="TableText"/>
            </w:pPr>
            <w:r>
              <w:t>The entry of a pest resulting in its establishment (</w:t>
            </w:r>
            <w:r w:rsidR="00CC1E5B">
              <w:t>FAO 2016</w:t>
            </w:r>
            <w:r>
              <w:t>).</w:t>
            </w:r>
          </w:p>
        </w:tc>
      </w:tr>
      <w:tr w:rsidR="00146544" w14:paraId="04010334" w14:textId="77777777" w:rsidTr="003A7DEF">
        <w:trPr>
          <w:cantSplit/>
        </w:trPr>
        <w:tc>
          <w:tcPr>
            <w:tcW w:w="1509" w:type="pct"/>
          </w:tcPr>
          <w:p w14:paraId="54CD0A21" w14:textId="77777777" w:rsidR="00146544" w:rsidRDefault="00146544">
            <w:pPr>
              <w:pStyle w:val="TableText"/>
            </w:pPr>
            <w:r>
              <w:t>National Plant Protection Organization (NPPO)</w:t>
            </w:r>
          </w:p>
        </w:tc>
        <w:tc>
          <w:tcPr>
            <w:tcW w:w="3491" w:type="pct"/>
          </w:tcPr>
          <w:p w14:paraId="590A879A" w14:textId="77777777" w:rsidR="00146544" w:rsidRDefault="00146544">
            <w:pPr>
              <w:pStyle w:val="TableText"/>
            </w:pPr>
            <w:r>
              <w:t>Official service established by a government to discharge the functions specified by the IPPC (</w:t>
            </w:r>
            <w:r w:rsidR="00CC1E5B">
              <w:t>FAO 2016</w:t>
            </w:r>
            <w:r>
              <w:t>).</w:t>
            </w:r>
          </w:p>
        </w:tc>
      </w:tr>
      <w:tr w:rsidR="00146544" w14:paraId="70A9ABB5" w14:textId="77777777" w:rsidTr="00403225">
        <w:trPr>
          <w:cantSplit/>
        </w:trPr>
        <w:tc>
          <w:tcPr>
            <w:tcW w:w="1509" w:type="pct"/>
          </w:tcPr>
          <w:p w14:paraId="35E496B7" w14:textId="77777777" w:rsidR="00146544" w:rsidRDefault="00146544">
            <w:pPr>
              <w:pStyle w:val="TableText"/>
            </w:pPr>
            <w:r>
              <w:t>Official control</w:t>
            </w:r>
          </w:p>
        </w:tc>
        <w:tc>
          <w:tcPr>
            <w:tcW w:w="3491" w:type="pct"/>
          </w:tcPr>
          <w:p w14:paraId="1D76C67F" w14:textId="77777777" w:rsidR="00146544" w:rsidRDefault="00146544">
            <w:pPr>
              <w:pStyle w:val="TableText"/>
            </w:pPr>
            <w:r>
              <w:t>The active enforcement of mandatory phytosanitary regulations and the application of mandatory phytosanitary procedures with the objective of eradication or containment of quarantine pests or for the management of regulated non-quarantine pests (</w:t>
            </w:r>
            <w:r w:rsidR="00CC1E5B">
              <w:t>FAO 2016</w:t>
            </w:r>
            <w:r>
              <w:t>).</w:t>
            </w:r>
          </w:p>
        </w:tc>
      </w:tr>
      <w:tr w:rsidR="00146544" w14:paraId="1AC5B917" w14:textId="77777777">
        <w:tc>
          <w:tcPr>
            <w:tcW w:w="1509" w:type="pct"/>
          </w:tcPr>
          <w:p w14:paraId="382D3A16" w14:textId="77777777" w:rsidR="00146544" w:rsidRDefault="00146544">
            <w:pPr>
              <w:pStyle w:val="TableText"/>
            </w:pPr>
            <w:r>
              <w:t>Pathway</w:t>
            </w:r>
          </w:p>
        </w:tc>
        <w:tc>
          <w:tcPr>
            <w:tcW w:w="3491" w:type="pct"/>
          </w:tcPr>
          <w:p w14:paraId="3A1A373C" w14:textId="77777777" w:rsidR="00146544" w:rsidRDefault="00146544">
            <w:pPr>
              <w:pStyle w:val="TableText"/>
            </w:pPr>
            <w:r>
              <w:t>Any means that allows the entry or spread of a pest (</w:t>
            </w:r>
            <w:r w:rsidR="00CC1E5B">
              <w:t>FAO 2016</w:t>
            </w:r>
            <w:r>
              <w:t>).</w:t>
            </w:r>
          </w:p>
        </w:tc>
      </w:tr>
      <w:tr w:rsidR="00146544" w14:paraId="444BDBA4" w14:textId="77777777">
        <w:tc>
          <w:tcPr>
            <w:tcW w:w="1509" w:type="pct"/>
          </w:tcPr>
          <w:p w14:paraId="2E5A54FD" w14:textId="77777777" w:rsidR="00146544" w:rsidRDefault="00146544">
            <w:pPr>
              <w:pStyle w:val="TableText"/>
            </w:pPr>
            <w:r>
              <w:t>Pest</w:t>
            </w:r>
          </w:p>
        </w:tc>
        <w:tc>
          <w:tcPr>
            <w:tcW w:w="3491" w:type="pct"/>
          </w:tcPr>
          <w:p w14:paraId="5A7B3923" w14:textId="77777777" w:rsidR="00146544" w:rsidRDefault="00146544">
            <w:pPr>
              <w:pStyle w:val="TableText"/>
            </w:pPr>
            <w:r>
              <w:t>Any species, strain or biotype of plant, animal, or pathogenic agent injurious to plants or plant products (</w:t>
            </w:r>
            <w:r w:rsidR="00CC1E5B">
              <w:t>FAO 2016</w:t>
            </w:r>
            <w:r>
              <w:t>).</w:t>
            </w:r>
          </w:p>
        </w:tc>
      </w:tr>
      <w:tr w:rsidR="00146544" w14:paraId="6454157E" w14:textId="77777777">
        <w:tc>
          <w:tcPr>
            <w:tcW w:w="1509" w:type="pct"/>
          </w:tcPr>
          <w:p w14:paraId="2D35F9F2" w14:textId="77777777" w:rsidR="00146544" w:rsidRDefault="00146544">
            <w:pPr>
              <w:pStyle w:val="TableText"/>
            </w:pPr>
            <w:r>
              <w:t>Pest categorisation</w:t>
            </w:r>
          </w:p>
        </w:tc>
        <w:tc>
          <w:tcPr>
            <w:tcW w:w="3491" w:type="pct"/>
          </w:tcPr>
          <w:p w14:paraId="0AC28AD0" w14:textId="77777777" w:rsidR="00146544" w:rsidRDefault="00146544">
            <w:pPr>
              <w:pStyle w:val="TableText"/>
            </w:pPr>
            <w:r>
              <w:t>The process for determining whether a pest has or has not the characteristics of a quarantine pest or those of a regulated non-quarantine pest (</w:t>
            </w:r>
            <w:r w:rsidR="00CC1E5B">
              <w:t>FAO 2016</w:t>
            </w:r>
            <w:r>
              <w:t>).</w:t>
            </w:r>
          </w:p>
        </w:tc>
      </w:tr>
      <w:tr w:rsidR="00146544" w14:paraId="44409827" w14:textId="77777777">
        <w:tc>
          <w:tcPr>
            <w:tcW w:w="1509" w:type="pct"/>
          </w:tcPr>
          <w:p w14:paraId="08C96B01" w14:textId="77777777" w:rsidR="00146544" w:rsidRDefault="00146544">
            <w:pPr>
              <w:pStyle w:val="TableText"/>
            </w:pPr>
            <w:r>
              <w:t>Pest free area (PFA)</w:t>
            </w:r>
          </w:p>
        </w:tc>
        <w:tc>
          <w:tcPr>
            <w:tcW w:w="3491" w:type="pct"/>
          </w:tcPr>
          <w:p w14:paraId="321AABE1" w14:textId="77777777" w:rsidR="00146544" w:rsidRDefault="00146544">
            <w:pPr>
              <w:pStyle w:val="TableText"/>
            </w:pPr>
            <w:r>
              <w:t>An area in which a specific pest does not occur as demonstrated by scientific evidence and in which, where appropriate, this condition is being officially maintained (</w:t>
            </w:r>
            <w:r w:rsidR="00CC1E5B">
              <w:t>FAO 2016</w:t>
            </w:r>
            <w:r>
              <w:t>).</w:t>
            </w:r>
          </w:p>
        </w:tc>
      </w:tr>
      <w:tr w:rsidR="00146544" w14:paraId="7C322C76" w14:textId="77777777">
        <w:tc>
          <w:tcPr>
            <w:tcW w:w="1509" w:type="pct"/>
          </w:tcPr>
          <w:p w14:paraId="7D19D998" w14:textId="77777777" w:rsidR="00146544" w:rsidRDefault="00146544">
            <w:pPr>
              <w:pStyle w:val="TableText"/>
            </w:pPr>
            <w:r>
              <w:t>Pest risk analysis (PRA)</w:t>
            </w:r>
          </w:p>
        </w:tc>
        <w:tc>
          <w:tcPr>
            <w:tcW w:w="3491" w:type="pct"/>
          </w:tcPr>
          <w:p w14:paraId="63BD9CB8" w14:textId="77777777" w:rsidR="00146544" w:rsidRDefault="00146544">
            <w:pPr>
              <w:pStyle w:val="TableText"/>
            </w:pPr>
            <w:r>
              <w:t>The process of evaluating biological or other scientific and economic evidence to determine whether an organism is a pest, whether it should be regulated, and the strength of any phytosanitary measures to be taken against it (</w:t>
            </w:r>
            <w:r w:rsidR="00CC1E5B">
              <w:t>FAO 2016</w:t>
            </w:r>
            <w:r>
              <w:t>).</w:t>
            </w:r>
          </w:p>
        </w:tc>
      </w:tr>
      <w:tr w:rsidR="00146544" w14:paraId="5965E44A" w14:textId="77777777">
        <w:tc>
          <w:tcPr>
            <w:tcW w:w="1509" w:type="pct"/>
          </w:tcPr>
          <w:p w14:paraId="2BE0A11B" w14:textId="77777777" w:rsidR="00146544" w:rsidRDefault="00146544">
            <w:pPr>
              <w:pStyle w:val="TableText"/>
            </w:pPr>
            <w:r>
              <w:t>Pest risk assessment (for quarantine pests)</w:t>
            </w:r>
          </w:p>
        </w:tc>
        <w:tc>
          <w:tcPr>
            <w:tcW w:w="3491" w:type="pct"/>
          </w:tcPr>
          <w:p w14:paraId="6391548F" w14:textId="77777777" w:rsidR="00146544" w:rsidRDefault="00146544">
            <w:pPr>
              <w:pStyle w:val="TableText"/>
            </w:pPr>
            <w:r>
              <w:t>Evaluation of the probability of the introduction and spread of a pest and of the magnitude of the associated potential economic consequences (</w:t>
            </w:r>
            <w:r w:rsidR="00CC1E5B">
              <w:t>FAO 2016</w:t>
            </w:r>
            <w:r>
              <w:t>).</w:t>
            </w:r>
          </w:p>
        </w:tc>
      </w:tr>
      <w:tr w:rsidR="00146544" w14:paraId="425878DA" w14:textId="77777777">
        <w:tc>
          <w:tcPr>
            <w:tcW w:w="1509" w:type="pct"/>
          </w:tcPr>
          <w:p w14:paraId="34F3CBC4" w14:textId="77777777" w:rsidR="00146544" w:rsidRDefault="00146544">
            <w:pPr>
              <w:pStyle w:val="TableText"/>
            </w:pPr>
            <w:r>
              <w:t>Pest risk management (for quarantine pests)</w:t>
            </w:r>
          </w:p>
        </w:tc>
        <w:tc>
          <w:tcPr>
            <w:tcW w:w="3491" w:type="pct"/>
          </w:tcPr>
          <w:p w14:paraId="07DCF2BA" w14:textId="77777777" w:rsidR="00146544" w:rsidRDefault="00146544">
            <w:pPr>
              <w:pStyle w:val="TableText"/>
            </w:pPr>
            <w:r>
              <w:t>Evaluation and selection of options to reduce the risk of introduction and spread of a pest (</w:t>
            </w:r>
            <w:r w:rsidR="00CC1E5B">
              <w:t>FAO 2016</w:t>
            </w:r>
            <w:r>
              <w:t>).</w:t>
            </w:r>
          </w:p>
        </w:tc>
      </w:tr>
      <w:tr w:rsidR="00146544" w14:paraId="2BCB817B" w14:textId="77777777">
        <w:tc>
          <w:tcPr>
            <w:tcW w:w="1509" w:type="pct"/>
          </w:tcPr>
          <w:p w14:paraId="57210E46" w14:textId="77777777" w:rsidR="00146544" w:rsidRDefault="00146544">
            <w:pPr>
              <w:pStyle w:val="TableText"/>
            </w:pPr>
            <w:r>
              <w:t>Phytosanitary certificate</w:t>
            </w:r>
          </w:p>
        </w:tc>
        <w:tc>
          <w:tcPr>
            <w:tcW w:w="3491" w:type="pct"/>
          </w:tcPr>
          <w:p w14:paraId="2A2D6D6C" w14:textId="77777777" w:rsidR="00146544" w:rsidRDefault="00146544">
            <w:pPr>
              <w:pStyle w:val="TableText"/>
            </w:pPr>
            <w:r>
              <w:t>An official paper document or its official electronic equivalent, consistent with the model of certificates of the IPPC, attesting that a consignment meets phytosanitary import requirements (</w:t>
            </w:r>
            <w:r w:rsidR="00CC1E5B">
              <w:t>FAO 2016</w:t>
            </w:r>
            <w:r>
              <w:t>).</w:t>
            </w:r>
          </w:p>
        </w:tc>
      </w:tr>
      <w:tr w:rsidR="00146544" w14:paraId="26C2F5C5" w14:textId="77777777">
        <w:tc>
          <w:tcPr>
            <w:tcW w:w="1509" w:type="pct"/>
          </w:tcPr>
          <w:p w14:paraId="39331CD5" w14:textId="77777777" w:rsidR="00146544" w:rsidRDefault="00146544">
            <w:pPr>
              <w:pStyle w:val="TableText"/>
            </w:pPr>
            <w:r>
              <w:t>Phytosanitary measure</w:t>
            </w:r>
          </w:p>
        </w:tc>
        <w:tc>
          <w:tcPr>
            <w:tcW w:w="3491" w:type="pct"/>
          </w:tcPr>
          <w:p w14:paraId="78E5E65A" w14:textId="77777777" w:rsidR="00146544" w:rsidRDefault="00146544">
            <w:pPr>
              <w:pStyle w:val="TableText"/>
            </w:pPr>
            <w:r>
              <w:t>Any legislation, regulation or official procedure having the purpose to prevent the introduction and/or spread of quarantine pests, or to limit the economic impact of regulated non-quarantine pests (</w:t>
            </w:r>
            <w:r w:rsidR="00CC1E5B">
              <w:t>FAO 2016</w:t>
            </w:r>
            <w:r>
              <w:t>).</w:t>
            </w:r>
          </w:p>
        </w:tc>
      </w:tr>
      <w:tr w:rsidR="00146544" w14:paraId="084832CE" w14:textId="77777777">
        <w:tc>
          <w:tcPr>
            <w:tcW w:w="1509" w:type="pct"/>
          </w:tcPr>
          <w:p w14:paraId="205B4FC6" w14:textId="77777777" w:rsidR="00146544" w:rsidRDefault="00146544">
            <w:pPr>
              <w:pStyle w:val="TableText"/>
            </w:pPr>
            <w:r>
              <w:t>Phytosanitary regulation</w:t>
            </w:r>
          </w:p>
        </w:tc>
        <w:tc>
          <w:tcPr>
            <w:tcW w:w="3491" w:type="pct"/>
          </w:tcPr>
          <w:p w14:paraId="6A102429" w14:textId="77777777" w:rsidR="00146544" w:rsidRDefault="00146544">
            <w:pPr>
              <w:pStyle w:val="TableText"/>
            </w:pPr>
            <w:r>
              <w:t>Official rule to prevent the introduction and/or spread of quarantine pests, or to limit the economic impact of regulated non-quarantine pests, including establishment of procedures for phytosanitary certification (</w:t>
            </w:r>
            <w:r w:rsidR="00CC1E5B">
              <w:t>FAO 2016</w:t>
            </w:r>
            <w:r>
              <w:t>).</w:t>
            </w:r>
          </w:p>
        </w:tc>
      </w:tr>
      <w:tr w:rsidR="00146544" w14:paraId="12C2900F" w14:textId="77777777">
        <w:tc>
          <w:tcPr>
            <w:tcW w:w="1509" w:type="pct"/>
          </w:tcPr>
          <w:p w14:paraId="54D1D09E" w14:textId="77777777" w:rsidR="00146544" w:rsidRDefault="00146544">
            <w:pPr>
              <w:pStyle w:val="TableText"/>
            </w:pPr>
            <w:r>
              <w:t>Polyphagous</w:t>
            </w:r>
          </w:p>
        </w:tc>
        <w:tc>
          <w:tcPr>
            <w:tcW w:w="3491" w:type="pct"/>
          </w:tcPr>
          <w:p w14:paraId="103D17B1" w14:textId="77777777" w:rsidR="00146544" w:rsidRDefault="00146544">
            <w:pPr>
              <w:pStyle w:val="TableText"/>
            </w:pPr>
            <w:r>
              <w:t>Feeding on a relatively large number of hosts from different plant family and/or genera.</w:t>
            </w:r>
          </w:p>
        </w:tc>
      </w:tr>
      <w:tr w:rsidR="00146544" w14:paraId="5C72DEB6" w14:textId="77777777">
        <w:tc>
          <w:tcPr>
            <w:tcW w:w="1509" w:type="pct"/>
          </w:tcPr>
          <w:p w14:paraId="4D1D501D" w14:textId="77777777" w:rsidR="00146544" w:rsidRDefault="00146544">
            <w:pPr>
              <w:pStyle w:val="TableText"/>
            </w:pPr>
            <w:r>
              <w:t>PRA area</w:t>
            </w:r>
          </w:p>
        </w:tc>
        <w:tc>
          <w:tcPr>
            <w:tcW w:w="3491" w:type="pct"/>
          </w:tcPr>
          <w:p w14:paraId="78973901" w14:textId="77777777" w:rsidR="00146544" w:rsidRDefault="00146544">
            <w:pPr>
              <w:pStyle w:val="TableText"/>
            </w:pPr>
            <w:r>
              <w:t>Area in relation to which a pest risk analysis is conducted (</w:t>
            </w:r>
            <w:r w:rsidR="00CC1E5B">
              <w:t>FAO 2016</w:t>
            </w:r>
            <w:r>
              <w:t>).</w:t>
            </w:r>
          </w:p>
        </w:tc>
      </w:tr>
      <w:tr w:rsidR="00146544" w14:paraId="1D435FD7" w14:textId="77777777">
        <w:tc>
          <w:tcPr>
            <w:tcW w:w="1509" w:type="pct"/>
          </w:tcPr>
          <w:p w14:paraId="3DD6D5FE" w14:textId="77777777" w:rsidR="00146544" w:rsidRDefault="00146544">
            <w:pPr>
              <w:pStyle w:val="TableText"/>
            </w:pPr>
            <w:r>
              <w:t>Quarantine pest</w:t>
            </w:r>
          </w:p>
        </w:tc>
        <w:tc>
          <w:tcPr>
            <w:tcW w:w="3491" w:type="pct"/>
          </w:tcPr>
          <w:p w14:paraId="75DC3DFF" w14:textId="77777777" w:rsidR="00146544" w:rsidRDefault="00146544">
            <w:pPr>
              <w:pStyle w:val="TableText"/>
            </w:pPr>
            <w:r>
              <w:t>A pest of potential economic importance to the area endangered thereby and not yet present there, or present but not widely distributed and being officially controlled (</w:t>
            </w:r>
            <w:r w:rsidR="00CC1E5B">
              <w:t>FAO 2016</w:t>
            </w:r>
            <w:r>
              <w:t>).</w:t>
            </w:r>
          </w:p>
        </w:tc>
      </w:tr>
      <w:tr w:rsidR="00146544" w14:paraId="0BD97CB2" w14:textId="77777777">
        <w:tc>
          <w:tcPr>
            <w:tcW w:w="1509" w:type="pct"/>
          </w:tcPr>
          <w:p w14:paraId="3CC08CDA" w14:textId="77777777" w:rsidR="00146544" w:rsidRDefault="00146544">
            <w:pPr>
              <w:pStyle w:val="TableText"/>
            </w:pPr>
            <w:r>
              <w:t>Regulated article</w:t>
            </w:r>
          </w:p>
        </w:tc>
        <w:tc>
          <w:tcPr>
            <w:tcW w:w="3491" w:type="pct"/>
          </w:tcPr>
          <w:p w14:paraId="41E8678E" w14:textId="77777777" w:rsidR="00146544" w:rsidRDefault="00146544">
            <w:pPr>
              <w:pStyle w:val="TableText"/>
            </w:pPr>
            <w:r>
              <w:t>Any plant, plant product, storage place, packaging, conveyance, container, soil and any other organism, object or material capable of harbouring or spreading pests, deemed to require phytosanitary measures, particularly where international transportation is involved (</w:t>
            </w:r>
            <w:r w:rsidR="00CC1E5B">
              <w:t>FAO 2016</w:t>
            </w:r>
            <w:r>
              <w:t>).</w:t>
            </w:r>
          </w:p>
        </w:tc>
      </w:tr>
      <w:tr w:rsidR="00146544" w14:paraId="2C5F5726" w14:textId="77777777">
        <w:tc>
          <w:tcPr>
            <w:tcW w:w="1509" w:type="pct"/>
          </w:tcPr>
          <w:p w14:paraId="31915E6E" w14:textId="77777777" w:rsidR="00146544" w:rsidRDefault="00146544">
            <w:pPr>
              <w:pStyle w:val="TableText"/>
            </w:pPr>
            <w:r>
              <w:t>Restricted risk</w:t>
            </w:r>
          </w:p>
        </w:tc>
        <w:tc>
          <w:tcPr>
            <w:tcW w:w="3491" w:type="pct"/>
          </w:tcPr>
          <w:p w14:paraId="30E06A6B" w14:textId="77777777" w:rsidR="00146544" w:rsidRDefault="00146544">
            <w:pPr>
              <w:pStyle w:val="TableText"/>
            </w:pPr>
            <w:r>
              <w:t>Risk estimate with phytosanitary measure(s) applied.</w:t>
            </w:r>
          </w:p>
        </w:tc>
      </w:tr>
      <w:tr w:rsidR="00146544" w14:paraId="6FC5AE74" w14:textId="77777777">
        <w:tc>
          <w:tcPr>
            <w:tcW w:w="1509" w:type="pct"/>
          </w:tcPr>
          <w:p w14:paraId="609F2332" w14:textId="77777777" w:rsidR="00146544" w:rsidRDefault="00146544">
            <w:pPr>
              <w:pStyle w:val="TableText"/>
            </w:pPr>
            <w:r>
              <w:t>Spread (of a pest)</w:t>
            </w:r>
          </w:p>
        </w:tc>
        <w:tc>
          <w:tcPr>
            <w:tcW w:w="3491" w:type="pct"/>
          </w:tcPr>
          <w:p w14:paraId="54161F90" w14:textId="77777777" w:rsidR="00146544" w:rsidRDefault="00146544">
            <w:pPr>
              <w:pStyle w:val="TableText"/>
            </w:pPr>
            <w:r>
              <w:t>Expansion of the geographical distribution of a pest within an area (</w:t>
            </w:r>
            <w:r w:rsidR="00CC1E5B">
              <w:t>FAO 2016</w:t>
            </w:r>
            <w:r>
              <w:t>).</w:t>
            </w:r>
          </w:p>
        </w:tc>
      </w:tr>
      <w:tr w:rsidR="00146544" w14:paraId="57DFA1CD" w14:textId="77777777">
        <w:tc>
          <w:tcPr>
            <w:tcW w:w="1509" w:type="pct"/>
          </w:tcPr>
          <w:p w14:paraId="0DC27B80" w14:textId="77777777" w:rsidR="00146544" w:rsidRDefault="00146544">
            <w:pPr>
              <w:pStyle w:val="TableText"/>
            </w:pPr>
            <w:r>
              <w:t>SPS Agreement</w:t>
            </w:r>
          </w:p>
        </w:tc>
        <w:tc>
          <w:tcPr>
            <w:tcW w:w="3491" w:type="pct"/>
          </w:tcPr>
          <w:p w14:paraId="79088B94" w14:textId="77777777" w:rsidR="00146544" w:rsidRDefault="00146544">
            <w:pPr>
              <w:pStyle w:val="TableText"/>
            </w:pPr>
            <w:r>
              <w:t>WTO Agreement on the Application of Sanitary and Phytosanitary Measures.</w:t>
            </w:r>
          </w:p>
        </w:tc>
      </w:tr>
      <w:tr w:rsidR="00146544" w14:paraId="6E378203" w14:textId="77777777">
        <w:tc>
          <w:tcPr>
            <w:tcW w:w="1509" w:type="pct"/>
          </w:tcPr>
          <w:p w14:paraId="394F2B30" w14:textId="77777777" w:rsidR="00146544" w:rsidRDefault="00146544">
            <w:pPr>
              <w:pStyle w:val="TableText"/>
            </w:pPr>
            <w:r>
              <w:t>Systems approach(es)</w:t>
            </w:r>
          </w:p>
        </w:tc>
        <w:tc>
          <w:tcPr>
            <w:tcW w:w="3491" w:type="pct"/>
          </w:tcPr>
          <w:p w14:paraId="2D3891A0" w14:textId="77777777" w:rsidR="00146544" w:rsidRDefault="00146544">
            <w:pPr>
              <w:pStyle w:val="TableText"/>
            </w:pPr>
            <w:r>
              <w:t>The integration of different risk management measures, at least two of which act independently, and which cumulatively achieve the appropriate level of protection against regulated pests.</w:t>
            </w:r>
          </w:p>
        </w:tc>
      </w:tr>
      <w:tr w:rsidR="00146544" w14:paraId="67C51B43" w14:textId="77777777">
        <w:tc>
          <w:tcPr>
            <w:tcW w:w="1509" w:type="pct"/>
          </w:tcPr>
          <w:p w14:paraId="62839397" w14:textId="77777777" w:rsidR="00146544" w:rsidRDefault="00146544">
            <w:pPr>
              <w:pStyle w:val="TableText"/>
            </w:pPr>
            <w:r>
              <w:t>Unrestricted risk</w:t>
            </w:r>
          </w:p>
        </w:tc>
        <w:tc>
          <w:tcPr>
            <w:tcW w:w="3491" w:type="pct"/>
          </w:tcPr>
          <w:p w14:paraId="6CC1F446" w14:textId="77777777" w:rsidR="00146544" w:rsidRDefault="00146544">
            <w:pPr>
              <w:pStyle w:val="TableText"/>
            </w:pPr>
            <w:r>
              <w:t>Unrestricted risk estimates apply in the absence of risk mitigation measures.</w:t>
            </w:r>
          </w:p>
        </w:tc>
      </w:tr>
    </w:tbl>
    <w:p w14:paraId="0FB3C0AB" w14:textId="77777777" w:rsidR="00BA126C" w:rsidRDefault="00BA126C">
      <w:pPr>
        <w:pStyle w:val="Heading1nonumbers"/>
        <w:sectPr w:rsidR="00BA126C" w:rsidSect="006D5260">
          <w:headerReference w:type="default" r:id="rId74"/>
          <w:pgSz w:w="11906" w:h="16838"/>
          <w:pgMar w:top="1418" w:right="1418" w:bottom="1418" w:left="1418" w:header="567" w:footer="283" w:gutter="0"/>
          <w:cols w:space="708"/>
          <w:docGrid w:linePitch="360"/>
        </w:sectPr>
      </w:pPr>
    </w:p>
    <w:p w14:paraId="7DF3261A" w14:textId="77777777" w:rsidR="00146544" w:rsidRDefault="00146544">
      <w:pPr>
        <w:pStyle w:val="Heading1nonumbers"/>
      </w:pPr>
      <w:bookmarkStart w:id="137" w:name="_Toc501716507"/>
      <w:r>
        <w:t>References</w:t>
      </w:r>
      <w:bookmarkEnd w:id="137"/>
    </w:p>
    <w:p w14:paraId="063E9A47" w14:textId="7C2514FB" w:rsidR="00E722A3" w:rsidRDefault="00E722A3" w:rsidP="008B5249">
      <w:pPr>
        <w:pStyle w:val="EndnoteText"/>
        <w:rPr>
          <w:lang w:eastAsia="en-AU"/>
        </w:rPr>
      </w:pPr>
      <w:r>
        <w:rPr>
          <w:lang w:eastAsia="en-AU"/>
        </w:rPr>
        <w:t xml:space="preserve">Agostini, JP, Bushong, PM, Bhatia, A &amp; Timmer, LW 2003, ‘Influence of environmental factors on severity of citrus scab and melanose’, </w:t>
      </w:r>
      <w:r w:rsidRPr="00E722A3">
        <w:rPr>
          <w:i/>
          <w:lang w:eastAsia="en-AU"/>
        </w:rPr>
        <w:t>Plant Disease</w:t>
      </w:r>
      <w:r>
        <w:rPr>
          <w:lang w:eastAsia="en-AU"/>
        </w:rPr>
        <w:t>, 87, pp. 1102–1106.</w:t>
      </w:r>
    </w:p>
    <w:p w14:paraId="7409A64F" w14:textId="77777777" w:rsidR="008B5249" w:rsidRDefault="008B5249" w:rsidP="008B5249">
      <w:pPr>
        <w:pStyle w:val="EndnoteText"/>
        <w:rPr>
          <w:lang w:eastAsia="en-AU"/>
        </w:rPr>
      </w:pPr>
      <w:r>
        <w:rPr>
          <w:lang w:eastAsia="en-AU"/>
        </w:rPr>
        <w:t xml:space="preserve">Aguiar, AMF 2009, ‘Exotic arthropod fruit pests and parasitoids found in the Archipelago of Madeira, Portugal since 1990’, </w:t>
      </w:r>
      <w:r w:rsidR="009848DE" w:rsidRPr="008F276A">
        <w:rPr>
          <w:i/>
          <w:lang w:eastAsia="en-AU"/>
        </w:rPr>
        <w:t>Actas do I Workshop de Fruticultura – Contributo para o seu desenv</w:t>
      </w:r>
      <w:r w:rsidR="008F276A">
        <w:rPr>
          <w:i/>
          <w:lang w:eastAsia="en-AU"/>
        </w:rPr>
        <w:t>olvimento (Angra do Heroísmo 21–</w:t>
      </w:r>
      <w:r w:rsidR="009848DE" w:rsidRPr="008F276A">
        <w:rPr>
          <w:i/>
          <w:lang w:eastAsia="en-AU"/>
        </w:rPr>
        <w:t>23 A</w:t>
      </w:r>
      <w:r w:rsidR="008F276A">
        <w:rPr>
          <w:i/>
          <w:lang w:eastAsia="en-AU"/>
        </w:rPr>
        <w:t>p</w:t>
      </w:r>
      <w:r w:rsidR="009848DE" w:rsidRPr="008F276A">
        <w:rPr>
          <w:i/>
          <w:lang w:eastAsia="en-AU"/>
        </w:rPr>
        <w:t>ril 2005)</w:t>
      </w:r>
      <w:r w:rsidR="009848DE" w:rsidRPr="009848DE">
        <w:rPr>
          <w:lang w:eastAsia="en-AU"/>
        </w:rPr>
        <w:t xml:space="preserve">, pp. </w:t>
      </w:r>
      <w:r w:rsidR="008F276A">
        <w:rPr>
          <w:lang w:eastAsia="en-AU"/>
        </w:rPr>
        <w:t>89</w:t>
      </w:r>
      <w:r w:rsidR="009848DE" w:rsidRPr="009848DE">
        <w:rPr>
          <w:lang w:eastAsia="en-AU"/>
        </w:rPr>
        <w:t>-</w:t>
      </w:r>
      <w:r w:rsidR="008F276A">
        <w:rPr>
          <w:lang w:eastAsia="en-AU"/>
        </w:rPr>
        <w:t>100</w:t>
      </w:r>
      <w:r w:rsidR="009848DE" w:rsidRPr="009848DE">
        <w:rPr>
          <w:lang w:eastAsia="en-AU"/>
        </w:rPr>
        <w:t>.</w:t>
      </w:r>
    </w:p>
    <w:p w14:paraId="313E1013" w14:textId="219848E6" w:rsidR="00323D52" w:rsidRPr="00323D52" w:rsidRDefault="00323D52" w:rsidP="004105EC">
      <w:pPr>
        <w:pStyle w:val="EndnoteText"/>
        <w:rPr>
          <w:lang w:eastAsia="en-AU"/>
        </w:rPr>
      </w:pPr>
      <w:r w:rsidRPr="00323D52">
        <w:rPr>
          <w:lang w:eastAsia="en-AU"/>
        </w:rPr>
        <w:t xml:space="preserve">Allwood, AJ, Tumukon, T, Tau, D &amp; Kassim, A 1997, ‘Fruit fly fauna in Vanuatu’, in AJ Allwood &amp; RAI Drew (eds) </w:t>
      </w:r>
      <w:r w:rsidRPr="00323D52">
        <w:rPr>
          <w:i/>
          <w:lang w:eastAsia="en-AU"/>
        </w:rPr>
        <w:t xml:space="preserve">Management of fruit flies in the Pacific. A regional symposium, Nadi, Fiji </w:t>
      </w:r>
      <w:r w:rsidRPr="00DB0B4C">
        <w:rPr>
          <w:i/>
          <w:lang w:eastAsia="en-AU"/>
        </w:rPr>
        <w:t>28</w:t>
      </w:r>
      <w:r w:rsidR="00DB0B4C" w:rsidRPr="00DB0B4C">
        <w:rPr>
          <w:i/>
          <w:lang w:eastAsia="en-AU"/>
        </w:rPr>
        <w:t>–</w:t>
      </w:r>
      <w:r w:rsidRPr="00DB0B4C">
        <w:rPr>
          <w:i/>
          <w:lang w:eastAsia="en-AU"/>
        </w:rPr>
        <w:t>31</w:t>
      </w:r>
      <w:r w:rsidRPr="00323D52">
        <w:rPr>
          <w:i/>
          <w:lang w:eastAsia="en-AU"/>
        </w:rPr>
        <w:t xml:space="preserve"> October 1996</w:t>
      </w:r>
      <w:r w:rsidRPr="00323D52">
        <w:rPr>
          <w:lang w:eastAsia="en-AU"/>
        </w:rPr>
        <w:t>, pp. 77–80, Australian Centre for International Agricultural Research, Canberra.</w:t>
      </w:r>
    </w:p>
    <w:p w14:paraId="34FB679E" w14:textId="77777777" w:rsidR="00323D52" w:rsidRPr="00323D52" w:rsidRDefault="00323D52" w:rsidP="004105EC">
      <w:pPr>
        <w:pStyle w:val="EndnoteText"/>
        <w:rPr>
          <w:lang w:eastAsia="en-AU"/>
        </w:rPr>
      </w:pPr>
      <w:r w:rsidRPr="00323D52">
        <w:rPr>
          <w:lang w:eastAsia="en-AU"/>
        </w:rPr>
        <w:t xml:space="preserve">Allwood, AJ, Chinajariyawong, A, Drew, RAI, Hamacek, EL, Hancock, DL, Hengsawad, C, Jipanin, JC, Jirasurat, M, Kong Krong, C, Kritsaneepaiboon, S, Leong, CTS &amp; Vijaysegaran, S 1999, ‘Host plant records for fruit flies (Diptera: Tephritidae) in South East Asia’, </w:t>
      </w:r>
      <w:r w:rsidRPr="00323D52">
        <w:rPr>
          <w:i/>
          <w:lang w:eastAsia="en-AU"/>
        </w:rPr>
        <w:t>The Raffles Bulletin of Zoology</w:t>
      </w:r>
      <w:r w:rsidRPr="00323D52">
        <w:rPr>
          <w:lang w:eastAsia="en-AU"/>
        </w:rPr>
        <w:t>, Supplement</w:t>
      </w:r>
      <w:r w:rsidRPr="00323D52">
        <w:rPr>
          <w:i/>
          <w:lang w:eastAsia="en-AU"/>
        </w:rPr>
        <w:t xml:space="preserve"> </w:t>
      </w:r>
      <w:r w:rsidRPr="00323D52">
        <w:rPr>
          <w:lang w:eastAsia="en-AU"/>
        </w:rPr>
        <w:t>No.7, pp. 1–92.</w:t>
      </w:r>
    </w:p>
    <w:p w14:paraId="2BC2F383" w14:textId="06055523" w:rsidR="00323D52" w:rsidRPr="00323D52" w:rsidRDefault="00323D52" w:rsidP="004105EC">
      <w:pPr>
        <w:pStyle w:val="EndnoteText"/>
        <w:rPr>
          <w:lang w:eastAsia="en-AU"/>
        </w:rPr>
      </w:pPr>
      <w:r w:rsidRPr="00323D52">
        <w:rPr>
          <w:lang w:eastAsia="en-AU"/>
        </w:rPr>
        <w:t xml:space="preserve">Allwood, AJ, Vueti, ET, Leblanc, L &amp; Bull, R 2002, ‘Eradication of introduced </w:t>
      </w:r>
      <w:r w:rsidRPr="00323D52">
        <w:rPr>
          <w:i/>
          <w:lang w:eastAsia="en-AU"/>
        </w:rPr>
        <w:t>Bactrocera</w:t>
      </w:r>
      <w:r w:rsidRPr="00323D52">
        <w:rPr>
          <w:lang w:eastAsia="en-AU"/>
        </w:rPr>
        <w:t xml:space="preserve"> species (Diptera: Tephritidae) in Nauru using male annihilation and protein bait application techniques’, in CR Veitch &amp; MN Clout (eds), </w:t>
      </w:r>
      <w:r w:rsidRPr="00323D52">
        <w:rPr>
          <w:i/>
          <w:lang w:eastAsia="en-AU"/>
        </w:rPr>
        <w:t>Turning the tide: the eradication of invasive species</w:t>
      </w:r>
      <w:r w:rsidRPr="00323D52">
        <w:rPr>
          <w:lang w:eastAsia="en-AU"/>
        </w:rPr>
        <w:t>, pp. 19</w:t>
      </w:r>
      <w:r w:rsidR="00DB0B4C">
        <w:rPr>
          <w:lang w:eastAsia="en-AU"/>
        </w:rPr>
        <w:t>–</w:t>
      </w:r>
      <w:r w:rsidRPr="00323D52">
        <w:rPr>
          <w:lang w:eastAsia="en-AU"/>
        </w:rPr>
        <w:t>25, Occasional papers of the IUCN Species Survival Commission, No. 27.</w:t>
      </w:r>
    </w:p>
    <w:p w14:paraId="7104BDA1" w14:textId="77777777" w:rsidR="00323D52" w:rsidRPr="00323D52" w:rsidRDefault="00323D52" w:rsidP="004105EC">
      <w:pPr>
        <w:pStyle w:val="EndnoteText"/>
        <w:rPr>
          <w:lang w:eastAsia="en-AU"/>
        </w:rPr>
      </w:pPr>
      <w:r w:rsidRPr="00323D52">
        <w:rPr>
          <w:lang w:eastAsia="en-AU"/>
        </w:rPr>
        <w:t xml:space="preserve">Anderson, H &amp; MacLeod, A 2008, CSL Pest Risk Analysis for </w:t>
      </w:r>
      <w:r w:rsidRPr="00323D52">
        <w:rPr>
          <w:i/>
          <w:lang w:eastAsia="en-AU"/>
        </w:rPr>
        <w:t>Milviscutulus mangiferae</w:t>
      </w:r>
      <w:r w:rsidRPr="00323D52">
        <w:rPr>
          <w:lang w:eastAsia="en-AU"/>
        </w:rPr>
        <w:t xml:space="preserve">, Central Science Laboratory, Sand Hutton, UK. </w:t>
      </w:r>
    </w:p>
    <w:p w14:paraId="5DEBCFE8" w14:textId="77777777" w:rsidR="00A23B9E" w:rsidRDefault="00A23B9E" w:rsidP="004105EC">
      <w:pPr>
        <w:pStyle w:val="EndnoteText"/>
        <w:rPr>
          <w:lang w:eastAsia="en-AU"/>
        </w:rPr>
      </w:pPr>
      <w:r w:rsidRPr="00A23B9E">
        <w:rPr>
          <w:lang w:eastAsia="en-AU"/>
        </w:rPr>
        <w:t>ALA 2016, Atlas of Living Australia</w:t>
      </w:r>
      <w:r w:rsidR="000E00B3">
        <w:rPr>
          <w:lang w:eastAsia="en-AU"/>
        </w:rPr>
        <w:t>, viewed April 2016,</w:t>
      </w:r>
      <w:r w:rsidRPr="00A23B9E">
        <w:rPr>
          <w:lang w:eastAsia="en-AU"/>
        </w:rPr>
        <w:t xml:space="preserve"> </w:t>
      </w:r>
      <w:hyperlink r:id="rId75" w:history="1">
        <w:r w:rsidRPr="00A23B9E">
          <w:rPr>
            <w:color w:val="165788"/>
            <w:u w:val="single"/>
            <w:lang w:eastAsia="en-AU"/>
          </w:rPr>
          <w:t>ala.org.au/</w:t>
        </w:r>
      </w:hyperlink>
    </w:p>
    <w:p w14:paraId="3A93F264" w14:textId="77777777" w:rsidR="00CA28A8" w:rsidRDefault="00CA28A8" w:rsidP="004105EC">
      <w:pPr>
        <w:pStyle w:val="EndnoteText"/>
        <w:rPr>
          <w:lang w:eastAsia="en-AU"/>
        </w:rPr>
      </w:pPr>
      <w:r>
        <w:rPr>
          <w:lang w:eastAsia="en-AU"/>
        </w:rPr>
        <w:t>APPD 2016, Australian plant pest database</w:t>
      </w:r>
      <w:r w:rsidR="007A5329">
        <w:rPr>
          <w:lang w:eastAsia="en-AU"/>
        </w:rPr>
        <w:t>, Plant Health Australia</w:t>
      </w:r>
      <w:r>
        <w:rPr>
          <w:lang w:eastAsia="en-AU"/>
        </w:rPr>
        <w:t>.</w:t>
      </w:r>
    </w:p>
    <w:p w14:paraId="58C6AA83" w14:textId="77777777" w:rsidR="00323D52" w:rsidRPr="00323D52" w:rsidRDefault="00323D52" w:rsidP="004105EC">
      <w:pPr>
        <w:pStyle w:val="EndnoteText"/>
        <w:rPr>
          <w:lang w:eastAsia="en-AU"/>
        </w:rPr>
      </w:pPr>
      <w:r w:rsidRPr="00323D52">
        <w:rPr>
          <w:lang w:eastAsia="en-AU"/>
        </w:rPr>
        <w:t xml:space="preserve">Arai, T 2002, ‘Attractiveness of sex pheromone of </w:t>
      </w:r>
      <w:r w:rsidRPr="00323D52">
        <w:rPr>
          <w:i/>
          <w:lang w:eastAsia="en-AU"/>
        </w:rPr>
        <w:t>Pseudococcus cryptus</w:t>
      </w:r>
      <w:r w:rsidRPr="00323D52">
        <w:rPr>
          <w:lang w:eastAsia="en-AU"/>
        </w:rPr>
        <w:t xml:space="preserve"> Hempel (Homoptera: Pseudococcidae) to adult males in a citrus orchard’, </w:t>
      </w:r>
      <w:r w:rsidRPr="00323D52">
        <w:rPr>
          <w:i/>
          <w:lang w:eastAsia="en-AU"/>
        </w:rPr>
        <w:t>Applied Entomology and Zoology</w:t>
      </w:r>
      <w:r w:rsidRPr="00323D52">
        <w:rPr>
          <w:lang w:eastAsia="en-AU"/>
        </w:rPr>
        <w:t>, 37, pp. 69–72.</w:t>
      </w:r>
    </w:p>
    <w:p w14:paraId="588848AB" w14:textId="77777777" w:rsidR="000E329C" w:rsidRPr="000E329C" w:rsidRDefault="000E329C" w:rsidP="000E329C">
      <w:pPr>
        <w:pStyle w:val="EndnoteText"/>
        <w:rPr>
          <w:lang w:eastAsia="en-AU"/>
        </w:rPr>
      </w:pPr>
      <w:r w:rsidRPr="000E329C">
        <w:rPr>
          <w:lang w:eastAsia="en-AU"/>
        </w:rPr>
        <w:t xml:space="preserve">BA 2005, </w:t>
      </w:r>
      <w:r w:rsidRPr="000E329C">
        <w:rPr>
          <w:i/>
          <w:lang w:eastAsia="en-AU"/>
        </w:rPr>
        <w:t>Final report – Extension of existing policy for sweet oranges from Italy</w:t>
      </w:r>
      <w:r w:rsidRPr="000E329C">
        <w:rPr>
          <w:lang w:eastAsia="en-AU"/>
        </w:rPr>
        <w:t>, Biosecurity Australia, Department of Agriculture, Fisheries and Forestry, Canberra.</w:t>
      </w:r>
    </w:p>
    <w:p w14:paraId="7F58A33B" w14:textId="4A008E50" w:rsidR="000E329C" w:rsidRPr="000E329C" w:rsidRDefault="009774F0" w:rsidP="000E329C">
      <w:pPr>
        <w:pStyle w:val="EndnoteText"/>
        <w:rPr>
          <w:lang w:eastAsia="en-AU"/>
        </w:rPr>
      </w:pPr>
      <w:r>
        <w:rPr>
          <w:lang w:eastAsia="en-AU"/>
        </w:rPr>
        <w:t>-- --</w:t>
      </w:r>
      <w:r w:rsidR="000E329C" w:rsidRPr="000E329C">
        <w:rPr>
          <w:lang w:eastAsia="en-AU"/>
        </w:rPr>
        <w:t xml:space="preserve"> 2006a, </w:t>
      </w:r>
      <w:r w:rsidR="000E329C" w:rsidRPr="000E329C">
        <w:rPr>
          <w:i/>
          <w:lang w:eastAsia="en-AU"/>
        </w:rPr>
        <w:t>Final report – import risk analysis for Tahitian limes from New Caledonia</w:t>
      </w:r>
      <w:r w:rsidR="000E329C" w:rsidRPr="000E329C">
        <w:rPr>
          <w:lang w:eastAsia="en-AU"/>
        </w:rPr>
        <w:t>, Biosecurity Australia, Canberra.</w:t>
      </w:r>
    </w:p>
    <w:p w14:paraId="067B09D8" w14:textId="12606783" w:rsidR="000E329C" w:rsidRPr="000E329C" w:rsidRDefault="009774F0" w:rsidP="000E329C">
      <w:pPr>
        <w:pStyle w:val="EndnoteText"/>
        <w:rPr>
          <w:lang w:eastAsia="en-AU"/>
        </w:rPr>
      </w:pPr>
      <w:r>
        <w:rPr>
          <w:lang w:eastAsia="en-AU"/>
        </w:rPr>
        <w:t>-- --</w:t>
      </w:r>
      <w:r w:rsidR="000E329C" w:rsidRPr="000E329C">
        <w:rPr>
          <w:lang w:eastAsia="en-AU"/>
        </w:rPr>
        <w:t xml:space="preserve"> 2006b, </w:t>
      </w:r>
      <w:r w:rsidR="000E329C" w:rsidRPr="000E329C">
        <w:rPr>
          <w:i/>
          <w:lang w:eastAsia="en-AU"/>
        </w:rPr>
        <w:t>Policy for the importation of fresh mangoes (Mangifera indica L.) from Taiwan</w:t>
      </w:r>
      <w:r w:rsidR="000E329C" w:rsidRPr="000E329C">
        <w:rPr>
          <w:lang w:eastAsia="en-AU"/>
        </w:rPr>
        <w:t>, Biosecurity Australia, Department of Agriculture, Fisheries and Forestry, Canberra.</w:t>
      </w:r>
    </w:p>
    <w:p w14:paraId="39355D3D" w14:textId="53C36821" w:rsidR="000E329C" w:rsidRPr="000E329C" w:rsidRDefault="009774F0" w:rsidP="000E329C">
      <w:pPr>
        <w:pStyle w:val="EndnoteText"/>
        <w:rPr>
          <w:lang w:eastAsia="en-AU"/>
        </w:rPr>
      </w:pPr>
      <w:r>
        <w:rPr>
          <w:lang w:eastAsia="en-AU"/>
        </w:rPr>
        <w:t>-- --</w:t>
      </w:r>
      <w:r w:rsidR="000E329C" w:rsidRPr="000E329C">
        <w:rPr>
          <w:lang w:eastAsia="en-AU"/>
        </w:rPr>
        <w:t xml:space="preserve"> 2008, </w:t>
      </w:r>
      <w:r w:rsidR="000E329C" w:rsidRPr="000E329C">
        <w:rPr>
          <w:i/>
          <w:lang w:eastAsia="en-AU"/>
        </w:rPr>
        <w:t>Final import risk analysis report for fresh mango fruit from India</w:t>
      </w:r>
      <w:r w:rsidR="000E329C" w:rsidRPr="000E329C">
        <w:rPr>
          <w:lang w:eastAsia="en-AU"/>
        </w:rPr>
        <w:t>, Biosecurity Australia, Department of Agriculture, Fisheries and Forestry, Canberra.</w:t>
      </w:r>
    </w:p>
    <w:p w14:paraId="4F46C8B9" w14:textId="77777777" w:rsidR="002B1576" w:rsidRDefault="002B1576" w:rsidP="004105EC">
      <w:pPr>
        <w:pStyle w:val="EndnoteText"/>
        <w:rPr>
          <w:lang w:eastAsia="en-AU"/>
        </w:rPr>
      </w:pPr>
      <w:r>
        <w:rPr>
          <w:lang w:eastAsia="en-AU"/>
        </w:rPr>
        <w:t>Barnidge-McIntyre, M 2010, Orchard trees of Rancho Los Cerritos: lemon, lime &amp; m</w:t>
      </w:r>
      <w:r w:rsidRPr="002B1576">
        <w:rPr>
          <w:lang w:eastAsia="en-AU"/>
        </w:rPr>
        <w:t>andarin</w:t>
      </w:r>
      <w:r>
        <w:rPr>
          <w:lang w:eastAsia="en-AU"/>
        </w:rPr>
        <w:t xml:space="preserve">, Pacific Horticulture, January 2010, viewed June 2016, </w:t>
      </w:r>
      <w:hyperlink r:id="rId76" w:history="1">
        <w:r>
          <w:rPr>
            <w:rStyle w:val="Hyperlink"/>
            <w:rFonts w:eastAsia="Times New Roman"/>
            <w:lang w:eastAsia="en-AU"/>
          </w:rPr>
          <w:t>pacifichorticulture.org/articles/orchard-trees-of-rancho-los-cerritos-lemon-lime-mandarin/</w:t>
        </w:r>
      </w:hyperlink>
      <w:r>
        <w:rPr>
          <w:lang w:eastAsia="en-AU"/>
        </w:rPr>
        <w:t xml:space="preserve">  </w:t>
      </w:r>
    </w:p>
    <w:p w14:paraId="698F39B2" w14:textId="77777777" w:rsidR="00F43BE0" w:rsidRDefault="00F43BE0" w:rsidP="000B2D85">
      <w:pPr>
        <w:pStyle w:val="EndnoteText"/>
        <w:rPr>
          <w:lang w:eastAsia="en-AU"/>
        </w:rPr>
      </w:pPr>
      <w:r>
        <w:rPr>
          <w:lang w:eastAsia="en-AU"/>
        </w:rPr>
        <w:t>Beard, J</w:t>
      </w:r>
      <w:r w:rsidR="000B2D85">
        <w:rPr>
          <w:lang w:eastAsia="en-AU"/>
        </w:rPr>
        <w:t>J,</w:t>
      </w:r>
      <w:r>
        <w:rPr>
          <w:lang w:eastAsia="en-AU"/>
        </w:rPr>
        <w:t xml:space="preserve"> </w:t>
      </w:r>
      <w:r w:rsidR="000B2D85">
        <w:rPr>
          <w:lang w:eastAsia="en-AU"/>
        </w:rPr>
        <w:t xml:space="preserve">Ochoa, R, Braswell, WE &amp; Bauchan, GR </w:t>
      </w:r>
      <w:r>
        <w:rPr>
          <w:lang w:eastAsia="en-AU"/>
        </w:rPr>
        <w:t>2015,</w:t>
      </w:r>
      <w:r w:rsidR="000B2D85" w:rsidRPr="000B2D85">
        <w:t xml:space="preserve"> </w:t>
      </w:r>
      <w:r w:rsidR="000B2D85">
        <w:t>‘</w:t>
      </w:r>
      <w:r w:rsidR="000B2D85" w:rsidRPr="000B2D85">
        <w:rPr>
          <w:i/>
        </w:rPr>
        <w:t>Brevipalpus phoenicis</w:t>
      </w:r>
      <w:r w:rsidR="000B2D85">
        <w:t xml:space="preserve"> (Geijskes) species complex (Acari: Tenuipalpidae)—a closer look’, </w:t>
      </w:r>
      <w:r w:rsidR="000B2D85" w:rsidRPr="000B2D85">
        <w:rPr>
          <w:i/>
        </w:rPr>
        <w:t>Zootaxa</w:t>
      </w:r>
      <w:r w:rsidR="000B2D85" w:rsidRPr="000B2D85">
        <w:t xml:space="preserve"> 3944</w:t>
      </w:r>
      <w:r w:rsidR="000B2D85">
        <w:t>, pp.</w:t>
      </w:r>
      <w:r w:rsidR="000B2D85" w:rsidRPr="000B2D85">
        <w:t xml:space="preserve"> 1–67</w:t>
      </w:r>
      <w:r w:rsidR="000B2D85">
        <w:t>.</w:t>
      </w:r>
    </w:p>
    <w:p w14:paraId="36A54F5C" w14:textId="77777777" w:rsidR="00323D52" w:rsidRPr="00323D52" w:rsidRDefault="00323D52" w:rsidP="004105EC">
      <w:pPr>
        <w:pStyle w:val="EndnoteText"/>
        <w:rPr>
          <w:lang w:eastAsia="en-AU"/>
        </w:rPr>
      </w:pPr>
      <w:r w:rsidRPr="00323D52">
        <w:rPr>
          <w:lang w:eastAsia="en-AU"/>
        </w:rPr>
        <w:t xml:space="preserve">Beardsley, JW &amp; Gonzalez, RH 1975, ‘The biology and ecology of armored scales’, </w:t>
      </w:r>
      <w:r w:rsidRPr="00323D52">
        <w:rPr>
          <w:i/>
          <w:lang w:eastAsia="en-AU"/>
        </w:rPr>
        <w:t>Annual Review of Entomology</w:t>
      </w:r>
      <w:r w:rsidRPr="00323D52">
        <w:rPr>
          <w:lang w:eastAsia="en-AU"/>
        </w:rPr>
        <w:t xml:space="preserve"> 20, pp. 47–73.</w:t>
      </w:r>
    </w:p>
    <w:p w14:paraId="7EE25343" w14:textId="159FCA21" w:rsidR="00323D52" w:rsidRPr="00323D52" w:rsidRDefault="00323D52" w:rsidP="004105EC">
      <w:pPr>
        <w:pStyle w:val="EndnoteText"/>
        <w:rPr>
          <w:lang w:eastAsia="en-AU"/>
        </w:rPr>
      </w:pPr>
      <w:r w:rsidRPr="00323D52">
        <w:rPr>
          <w:lang w:eastAsia="en-AU"/>
        </w:rPr>
        <w:t>Beardsley, JW 2001, ‘</w:t>
      </w:r>
      <w:r w:rsidRPr="00323D52">
        <w:rPr>
          <w:i/>
          <w:lang w:eastAsia="en-AU"/>
        </w:rPr>
        <w:t>Fiorinia proboscidaria</w:t>
      </w:r>
      <w:r w:rsidRPr="00323D52">
        <w:rPr>
          <w:lang w:eastAsia="en-AU"/>
        </w:rPr>
        <w:t xml:space="preserve"> Green, an armored scale insect new to the Hawaiian fauna (Homoptera: Diaspididae)’, </w:t>
      </w:r>
      <w:r w:rsidRPr="00323D52">
        <w:rPr>
          <w:i/>
          <w:lang w:eastAsia="en-AU"/>
        </w:rPr>
        <w:t>Proceedings of the Hawaiian Entomological Society</w:t>
      </w:r>
      <w:r w:rsidRPr="00323D52">
        <w:rPr>
          <w:lang w:eastAsia="en-AU"/>
        </w:rPr>
        <w:t xml:space="preserve"> 35, p</w:t>
      </w:r>
      <w:r w:rsidR="00DB0B4C">
        <w:rPr>
          <w:lang w:eastAsia="en-AU"/>
        </w:rPr>
        <w:t>.</w:t>
      </w:r>
      <w:r w:rsidRPr="00323D52">
        <w:rPr>
          <w:lang w:eastAsia="en-AU"/>
        </w:rPr>
        <w:t>149.</w:t>
      </w:r>
    </w:p>
    <w:p w14:paraId="4BA11F2F" w14:textId="77777777" w:rsidR="00323D52" w:rsidRPr="00323D52" w:rsidRDefault="00323D52" w:rsidP="004105EC">
      <w:pPr>
        <w:pStyle w:val="EndnoteText"/>
        <w:rPr>
          <w:lang w:eastAsia="en-AU"/>
        </w:rPr>
      </w:pPr>
      <w:r w:rsidRPr="00323D52">
        <w:rPr>
          <w:lang w:eastAsia="en-AU"/>
        </w:rPr>
        <w:t xml:space="preserve">Bennett, FD, Rosen, D, Cochereau, P &amp; Wood, BJ 1976, ‘Biological control of pests of tropical fruits and nuts’. In CB Huffaker &amp; PS Messenger (eds) </w:t>
      </w:r>
      <w:r w:rsidRPr="00323D52">
        <w:rPr>
          <w:i/>
          <w:lang w:eastAsia="en-AU"/>
        </w:rPr>
        <w:t>Theory and practice of biological control</w:t>
      </w:r>
      <w:r w:rsidRPr="00323D52">
        <w:rPr>
          <w:lang w:eastAsia="en-AU"/>
        </w:rPr>
        <w:t xml:space="preserve">, pp. 359–396, Academic Press, New York, United States of America. </w:t>
      </w:r>
    </w:p>
    <w:p w14:paraId="7F363300" w14:textId="77777777" w:rsidR="00323D52" w:rsidRPr="00323D52" w:rsidRDefault="00323D52" w:rsidP="004105EC">
      <w:pPr>
        <w:pStyle w:val="EndnoteText"/>
        <w:rPr>
          <w:lang w:eastAsia="en-AU"/>
        </w:rPr>
      </w:pPr>
      <w:r w:rsidRPr="00323D52">
        <w:rPr>
          <w:lang w:eastAsia="en-AU"/>
        </w:rPr>
        <w:t xml:space="preserve">Blua, M, Phillips, PP &amp; Redak RA 1999, ‘A new sharpshooter threatens both crops and ornamentals’, </w:t>
      </w:r>
      <w:r w:rsidRPr="00323D52">
        <w:rPr>
          <w:i/>
          <w:lang w:eastAsia="en-AU"/>
        </w:rPr>
        <w:t>California Agriculture</w:t>
      </w:r>
      <w:r w:rsidRPr="00323D52">
        <w:rPr>
          <w:lang w:eastAsia="en-AU"/>
        </w:rPr>
        <w:t xml:space="preserve"> 53, pp. 22–25.</w:t>
      </w:r>
    </w:p>
    <w:p w14:paraId="5D4F7A8A" w14:textId="77777777" w:rsidR="00F43BE0" w:rsidRDefault="00F43BE0" w:rsidP="004105EC">
      <w:pPr>
        <w:pStyle w:val="EndnoteText"/>
        <w:rPr>
          <w:lang w:eastAsia="en-AU"/>
        </w:rPr>
      </w:pPr>
      <w:r>
        <w:rPr>
          <w:lang w:eastAsia="en-AU"/>
        </w:rPr>
        <w:t xml:space="preserve">Botha, </w:t>
      </w:r>
      <w:r w:rsidR="00CF4B34">
        <w:rPr>
          <w:lang w:eastAsia="en-AU"/>
        </w:rPr>
        <w:t xml:space="preserve">J, Bennington, J &amp; Poole, M </w:t>
      </w:r>
      <w:r>
        <w:rPr>
          <w:lang w:eastAsia="en-AU"/>
        </w:rPr>
        <w:t>201</w:t>
      </w:r>
      <w:r w:rsidR="00CF4B34">
        <w:rPr>
          <w:lang w:eastAsia="en-AU"/>
        </w:rPr>
        <w:t>6</w:t>
      </w:r>
      <w:r>
        <w:rPr>
          <w:lang w:eastAsia="en-AU"/>
        </w:rPr>
        <w:t>,</w:t>
      </w:r>
      <w:r w:rsidR="00CF4B34">
        <w:rPr>
          <w:lang w:eastAsia="en-AU"/>
        </w:rPr>
        <w:t xml:space="preserve"> ‘Spider mite pests of Western Australia’, Department of Agriculture and </w:t>
      </w:r>
      <w:r w:rsidR="000B2D85">
        <w:rPr>
          <w:lang w:eastAsia="en-AU"/>
        </w:rPr>
        <w:t>Food,</w:t>
      </w:r>
      <w:r w:rsidR="00CF4B34">
        <w:rPr>
          <w:lang w:eastAsia="en-AU"/>
        </w:rPr>
        <w:t xml:space="preserve"> </w:t>
      </w:r>
      <w:r w:rsidR="000B2D85">
        <w:rPr>
          <w:lang w:eastAsia="en-AU"/>
        </w:rPr>
        <w:t xml:space="preserve">viewed July 2016, </w:t>
      </w:r>
      <w:hyperlink r:id="rId77" w:history="1">
        <w:r w:rsidR="000B2D85">
          <w:rPr>
            <w:rStyle w:val="Hyperlink"/>
            <w:lang w:eastAsia="en-AU"/>
          </w:rPr>
          <w:t>agric.wa.gov.au/plant-biosecurity/spider-mite-pests-western-australian-plants</w:t>
        </w:r>
      </w:hyperlink>
      <w:r w:rsidR="00CF4B34">
        <w:rPr>
          <w:lang w:eastAsia="en-AU"/>
        </w:rPr>
        <w:t xml:space="preserve"> </w:t>
      </w:r>
    </w:p>
    <w:p w14:paraId="7FE1240C" w14:textId="4B4A454D" w:rsidR="00E97D9D" w:rsidRDefault="00E97D9D" w:rsidP="004105EC">
      <w:pPr>
        <w:pStyle w:val="EndnoteText"/>
        <w:rPr>
          <w:lang w:eastAsia="en-AU"/>
        </w:rPr>
      </w:pPr>
      <w:r>
        <w:rPr>
          <w:lang w:eastAsia="en-AU"/>
        </w:rPr>
        <w:t xml:space="preserve">Brooks, JG 1964, ‘New records of Coleoptera in Australia’, </w:t>
      </w:r>
      <w:r w:rsidRPr="00E97D9D">
        <w:rPr>
          <w:i/>
          <w:lang w:eastAsia="en-AU"/>
        </w:rPr>
        <w:t>Australian Journal of Entomology</w:t>
      </w:r>
      <w:r>
        <w:rPr>
          <w:lang w:eastAsia="en-AU"/>
        </w:rPr>
        <w:t xml:space="preserve"> 64, p. 85.</w:t>
      </w:r>
    </w:p>
    <w:p w14:paraId="4D1CDD91" w14:textId="77777777" w:rsidR="00454E20" w:rsidRDefault="00454E20" w:rsidP="004105EC">
      <w:pPr>
        <w:pStyle w:val="EndnoteText"/>
        <w:rPr>
          <w:lang w:eastAsia="en-AU"/>
        </w:rPr>
      </w:pPr>
      <w:r>
        <w:rPr>
          <w:lang w:eastAsia="en-AU"/>
        </w:rPr>
        <w:t>Broughton, S</w:t>
      </w:r>
      <w:r w:rsidR="00134AE8">
        <w:rPr>
          <w:lang w:eastAsia="en-AU"/>
        </w:rPr>
        <w:t xml:space="preserve"> 2007, ‘Scale in citrus’, Farmnote 243, Western Australia Department of Agriculture and Food.</w:t>
      </w:r>
    </w:p>
    <w:p w14:paraId="676CF0EB" w14:textId="77777777" w:rsidR="00323D52" w:rsidRPr="00323D52" w:rsidRDefault="00323D52" w:rsidP="004105EC">
      <w:pPr>
        <w:pStyle w:val="EndnoteText"/>
        <w:rPr>
          <w:lang w:eastAsia="en-AU"/>
        </w:rPr>
      </w:pPr>
      <w:r w:rsidRPr="00323D52">
        <w:rPr>
          <w:lang w:eastAsia="en-AU"/>
        </w:rPr>
        <w:t xml:space="preserve">Bullock, RC 1976, ‘Aerial sprays vs. black scale on Florida citrus’, </w:t>
      </w:r>
      <w:r w:rsidRPr="00323D52">
        <w:rPr>
          <w:i/>
          <w:lang w:eastAsia="en-AU"/>
        </w:rPr>
        <w:t>Proceedings of the Florida State Horticulture Society</w:t>
      </w:r>
      <w:r w:rsidRPr="00323D52">
        <w:rPr>
          <w:lang w:eastAsia="en-AU"/>
        </w:rPr>
        <w:t xml:space="preserve"> 89, pp. 62–63.</w:t>
      </w:r>
    </w:p>
    <w:p w14:paraId="59636121" w14:textId="77777777" w:rsidR="00323D52" w:rsidRPr="00323D52" w:rsidRDefault="00323D52" w:rsidP="004105EC">
      <w:pPr>
        <w:pStyle w:val="EndnoteText"/>
        <w:rPr>
          <w:lang w:eastAsia="en-AU"/>
        </w:rPr>
      </w:pPr>
      <w:r w:rsidRPr="00323D52">
        <w:rPr>
          <w:lang w:eastAsia="en-AU"/>
        </w:rPr>
        <w:t>CABI 201</w:t>
      </w:r>
      <w:r w:rsidR="00C17DEA">
        <w:rPr>
          <w:lang w:eastAsia="en-AU"/>
        </w:rPr>
        <w:t>6</w:t>
      </w:r>
      <w:r w:rsidRPr="00323D52">
        <w:rPr>
          <w:lang w:eastAsia="en-AU"/>
        </w:rPr>
        <w:t>, Crop Protection Compendium, CAB Internation</w:t>
      </w:r>
      <w:r w:rsidR="00C17DEA">
        <w:rPr>
          <w:lang w:eastAsia="en-AU"/>
        </w:rPr>
        <w:t>al, Wallingford, UK, viewed March</w:t>
      </w:r>
      <w:r w:rsidRPr="00323D52">
        <w:rPr>
          <w:lang w:eastAsia="en-AU"/>
        </w:rPr>
        <w:t xml:space="preserve"> 201</w:t>
      </w:r>
      <w:r w:rsidR="00C17DEA">
        <w:rPr>
          <w:lang w:eastAsia="en-AU"/>
        </w:rPr>
        <w:t>6</w:t>
      </w:r>
      <w:r w:rsidRPr="00323D52">
        <w:rPr>
          <w:lang w:eastAsia="en-AU"/>
        </w:rPr>
        <w:t xml:space="preserve">, </w:t>
      </w:r>
      <w:hyperlink r:id="rId78" w:history="1">
        <w:r w:rsidRPr="00323D52">
          <w:rPr>
            <w:color w:val="165788"/>
            <w:u w:val="single"/>
            <w:lang w:eastAsia="en-AU"/>
          </w:rPr>
          <w:t>cabi.org/cpc/</w:t>
        </w:r>
      </w:hyperlink>
    </w:p>
    <w:p w14:paraId="54920F32" w14:textId="77777777" w:rsidR="00323D52" w:rsidRPr="00323D52" w:rsidRDefault="00323D52" w:rsidP="004105EC">
      <w:pPr>
        <w:pStyle w:val="EndnoteText"/>
        <w:rPr>
          <w:lang w:eastAsia="en-AU"/>
        </w:rPr>
      </w:pPr>
      <w:r w:rsidRPr="00323D52">
        <w:rPr>
          <w:lang w:eastAsia="en-AU"/>
        </w:rPr>
        <w:t>Cannon, PF &amp; Kirk</w:t>
      </w:r>
      <w:r w:rsidR="005F613A">
        <w:rPr>
          <w:lang w:eastAsia="en-AU"/>
        </w:rPr>
        <w:t>,</w:t>
      </w:r>
      <w:r w:rsidRPr="00323D52">
        <w:rPr>
          <w:lang w:eastAsia="en-AU"/>
        </w:rPr>
        <w:t xml:space="preserve"> PM 2007, </w:t>
      </w:r>
      <w:r w:rsidRPr="00323D52">
        <w:rPr>
          <w:i/>
          <w:lang w:eastAsia="en-AU"/>
        </w:rPr>
        <w:t>Fungal families of the world</w:t>
      </w:r>
      <w:r w:rsidRPr="00323D52">
        <w:rPr>
          <w:lang w:eastAsia="en-AU"/>
        </w:rPr>
        <w:t>, CAB International, Wallingford, UK.</w:t>
      </w:r>
    </w:p>
    <w:p w14:paraId="025DD3B3" w14:textId="77777777" w:rsidR="00CA28A8" w:rsidRPr="00CA28A8" w:rsidRDefault="00CA28A8" w:rsidP="004105EC">
      <w:pPr>
        <w:pStyle w:val="EndnoteText"/>
        <w:rPr>
          <w:lang w:eastAsia="en-AU"/>
        </w:rPr>
      </w:pPr>
      <w:r w:rsidRPr="00CA28A8">
        <w:rPr>
          <w:lang w:eastAsia="en-AU"/>
        </w:rPr>
        <w:t xml:space="preserve">Cantrell, B, Chadwick, B &amp; Cahill, A 2002, </w:t>
      </w:r>
      <w:r w:rsidRPr="00CA28A8">
        <w:rPr>
          <w:i/>
          <w:lang w:eastAsia="en-AU"/>
        </w:rPr>
        <w:t>Fruit fly fighters: eradication of the papaya fruit fly</w:t>
      </w:r>
      <w:r w:rsidRPr="00CA28A8">
        <w:rPr>
          <w:lang w:eastAsia="en-AU"/>
        </w:rPr>
        <w:t>. CSIRO Publishing, Collingwood, Victoria, Australia.</w:t>
      </w:r>
    </w:p>
    <w:p w14:paraId="648F2808" w14:textId="77777777" w:rsidR="00323D52" w:rsidRPr="00323D52" w:rsidRDefault="00323D52" w:rsidP="004105EC">
      <w:pPr>
        <w:pStyle w:val="EndnoteText"/>
        <w:rPr>
          <w:lang w:eastAsia="en-AU"/>
        </w:rPr>
      </w:pPr>
      <w:r w:rsidRPr="00323D52">
        <w:rPr>
          <w:lang w:eastAsia="en-AU"/>
        </w:rPr>
        <w:t xml:space="preserve">Carver, M, Gross, GF &amp; Woodward, TE 1991, ‘Hemiptera’, in ID Naumann (ed) </w:t>
      </w:r>
      <w:r w:rsidRPr="00323D52">
        <w:rPr>
          <w:i/>
          <w:lang w:eastAsia="en-AU"/>
        </w:rPr>
        <w:t>Insects of Australia</w:t>
      </w:r>
      <w:r w:rsidRPr="00323D52">
        <w:rPr>
          <w:lang w:eastAsia="en-AU"/>
        </w:rPr>
        <w:t>, pp. 429–509, Melbourne University Press, Carlton, Australia.</w:t>
      </w:r>
    </w:p>
    <w:p w14:paraId="62FFA8FA" w14:textId="77777777" w:rsidR="001163A0" w:rsidRDefault="001163A0" w:rsidP="00CF4B34">
      <w:pPr>
        <w:pStyle w:val="EndnoteText"/>
        <w:rPr>
          <w:lang w:eastAsia="en-AU"/>
        </w:rPr>
      </w:pPr>
      <w:r>
        <w:rPr>
          <w:lang w:eastAsia="en-AU"/>
        </w:rPr>
        <w:t>Carver, M</w:t>
      </w:r>
      <w:r w:rsidR="00C81C26">
        <w:rPr>
          <w:lang w:eastAsia="en-AU"/>
        </w:rPr>
        <w:t>, Hart, PJ &amp; Wellings</w:t>
      </w:r>
      <w:r w:rsidR="00CF4B34">
        <w:rPr>
          <w:lang w:eastAsia="en-AU"/>
        </w:rPr>
        <w:t xml:space="preserve">, PW 1993, ‘Aphids (Hemiptera: Aphididae) and associated biota from the Kingdom of Tonga, with respect to biological control’, </w:t>
      </w:r>
      <w:r w:rsidR="00CF4B34" w:rsidRPr="00CF4B34">
        <w:rPr>
          <w:i/>
          <w:lang w:eastAsia="en-AU"/>
        </w:rPr>
        <w:t>Pan-Pacific Entomologist</w:t>
      </w:r>
      <w:r w:rsidR="00CF4B34">
        <w:rPr>
          <w:lang w:eastAsia="en-AU"/>
        </w:rPr>
        <w:t xml:space="preserve"> 69, pp. 250–260.</w:t>
      </w:r>
    </w:p>
    <w:p w14:paraId="05026926" w14:textId="77777777" w:rsidR="001163A0" w:rsidRDefault="006A3B6F" w:rsidP="004105EC">
      <w:pPr>
        <w:pStyle w:val="EndnoteText"/>
        <w:rPr>
          <w:lang w:eastAsia="en-AU"/>
        </w:rPr>
      </w:pPr>
      <w:r w:rsidRPr="006A3B6F">
        <w:rPr>
          <w:lang w:eastAsia="en-AU"/>
        </w:rPr>
        <w:t>Cassis, G, Namyatova, A, Tatarnic, N</w:t>
      </w:r>
      <w:r>
        <w:rPr>
          <w:lang w:eastAsia="en-AU"/>
        </w:rPr>
        <w:t xml:space="preserve"> &amp;</w:t>
      </w:r>
      <w:r w:rsidRPr="006A3B6F">
        <w:rPr>
          <w:lang w:eastAsia="en-AU"/>
        </w:rPr>
        <w:t xml:space="preserve"> Symonds, C 2012, ‘Superfamily Coreoidea’, Australian Faunal Directory. Australian Biological Resources Study, Canberra.</w:t>
      </w:r>
    </w:p>
    <w:p w14:paraId="4888809D" w14:textId="77777777" w:rsidR="00323D52" w:rsidRPr="00323D52" w:rsidRDefault="00323D52" w:rsidP="004105EC">
      <w:pPr>
        <w:pStyle w:val="EndnoteText"/>
        <w:rPr>
          <w:lang w:eastAsia="en-AU"/>
        </w:rPr>
      </w:pPr>
      <w:r w:rsidRPr="00323D52">
        <w:rPr>
          <w:lang w:eastAsia="en-AU"/>
        </w:rPr>
        <w:t xml:space="preserve">Christenson, LD &amp; Foote RH 1960, ‘Biology of fruit flies’, </w:t>
      </w:r>
      <w:r w:rsidRPr="00323D52">
        <w:rPr>
          <w:i/>
          <w:lang w:eastAsia="en-AU"/>
        </w:rPr>
        <w:t>Annual Review of Entomology</w:t>
      </w:r>
      <w:r w:rsidRPr="00323D52">
        <w:rPr>
          <w:lang w:eastAsia="en-AU"/>
        </w:rPr>
        <w:t xml:space="preserve"> 5, pp. 171–192.</w:t>
      </w:r>
    </w:p>
    <w:p w14:paraId="37BAEE83" w14:textId="77777777" w:rsidR="00323D52" w:rsidRPr="00323D52" w:rsidRDefault="00323D52" w:rsidP="004105EC">
      <w:pPr>
        <w:pStyle w:val="EndnoteText"/>
        <w:rPr>
          <w:lang w:eastAsia="en-AU"/>
        </w:rPr>
      </w:pPr>
      <w:r w:rsidRPr="00323D52">
        <w:rPr>
          <w:lang w:eastAsia="en-AU"/>
        </w:rPr>
        <w:t xml:space="preserve">Cook, RP &amp; Dube, AJ 1989, </w:t>
      </w:r>
      <w:r w:rsidRPr="00323D52">
        <w:rPr>
          <w:i/>
          <w:lang w:eastAsia="en-AU"/>
        </w:rPr>
        <w:t>Host-pathogen index of plant diseases in South Australia</w:t>
      </w:r>
      <w:r w:rsidRPr="00323D52">
        <w:rPr>
          <w:lang w:eastAsia="en-AU"/>
        </w:rPr>
        <w:t>, South Australian Department of Agriculture.</w:t>
      </w:r>
    </w:p>
    <w:p w14:paraId="195CEB83" w14:textId="77777777" w:rsidR="00CF4B34" w:rsidRPr="00CF4B34" w:rsidRDefault="00CF4B34" w:rsidP="00CF4B34">
      <w:pPr>
        <w:pStyle w:val="EndnoteText"/>
        <w:rPr>
          <w:lang w:eastAsia="en-AU"/>
        </w:rPr>
      </w:pPr>
      <w:r w:rsidRPr="00CF4B34">
        <w:rPr>
          <w:lang w:eastAsia="en-AU"/>
        </w:rPr>
        <w:t xml:space="preserve">Cox, JM 1989, ‘The mealybug genus </w:t>
      </w:r>
      <w:r w:rsidRPr="00CF4B34">
        <w:rPr>
          <w:i/>
          <w:lang w:eastAsia="en-AU"/>
        </w:rPr>
        <w:t>Planococcus</w:t>
      </w:r>
      <w:r w:rsidRPr="00CF4B34">
        <w:rPr>
          <w:lang w:eastAsia="en-AU"/>
        </w:rPr>
        <w:t xml:space="preserve"> (Homoptera: Pseudococcidae)’, </w:t>
      </w:r>
      <w:r w:rsidRPr="00CF4B34">
        <w:rPr>
          <w:i/>
          <w:lang w:eastAsia="en-AU"/>
        </w:rPr>
        <w:t>Bulletin of the British Museum (Natural History)</w:t>
      </w:r>
      <w:r w:rsidRPr="00CF4B34">
        <w:rPr>
          <w:lang w:eastAsia="en-AU"/>
        </w:rPr>
        <w:t xml:space="preserve"> 58, pp. 1–78.</w:t>
      </w:r>
    </w:p>
    <w:p w14:paraId="1CC3C4DA" w14:textId="77777777" w:rsidR="004D4955" w:rsidRDefault="004D4955" w:rsidP="004105EC">
      <w:pPr>
        <w:pStyle w:val="EndnoteText"/>
        <w:rPr>
          <w:lang w:eastAsia="en-AU"/>
        </w:rPr>
      </w:pPr>
      <w:r>
        <w:rPr>
          <w:lang w:eastAsia="en-AU"/>
        </w:rPr>
        <w:t xml:space="preserve">CSIRO </w:t>
      </w:r>
      <w:r w:rsidRPr="00323D52">
        <w:rPr>
          <w:lang w:eastAsia="en-AU"/>
        </w:rPr>
        <w:t>201</w:t>
      </w:r>
      <w:r>
        <w:rPr>
          <w:lang w:eastAsia="en-AU"/>
        </w:rPr>
        <w:t>6</w:t>
      </w:r>
      <w:r w:rsidRPr="00323D52">
        <w:rPr>
          <w:lang w:eastAsia="en-AU"/>
        </w:rPr>
        <w:t xml:space="preserve">, Australian Insect Common Names. Australian National Insect Collection, CSIRO, Canberra, viewed </w:t>
      </w:r>
      <w:r>
        <w:rPr>
          <w:lang w:eastAsia="en-AU"/>
        </w:rPr>
        <w:t xml:space="preserve">March </w:t>
      </w:r>
      <w:r w:rsidRPr="00323D52">
        <w:rPr>
          <w:lang w:eastAsia="en-AU"/>
        </w:rPr>
        <w:t>201</w:t>
      </w:r>
      <w:r>
        <w:rPr>
          <w:lang w:eastAsia="en-AU"/>
        </w:rPr>
        <w:t>6</w:t>
      </w:r>
      <w:r w:rsidRPr="00323D52">
        <w:rPr>
          <w:lang w:eastAsia="en-AU"/>
        </w:rPr>
        <w:t xml:space="preserve">, </w:t>
      </w:r>
      <w:hyperlink r:id="rId79" w:history="1">
        <w:r w:rsidRPr="00323D52">
          <w:rPr>
            <w:color w:val="165788"/>
            <w:u w:val="single"/>
            <w:lang w:eastAsia="en-AU"/>
          </w:rPr>
          <w:t>ces.csiro.au/aicn/name_s/b_1.htm</w:t>
        </w:r>
      </w:hyperlink>
    </w:p>
    <w:p w14:paraId="1D63A4E2" w14:textId="77777777" w:rsidR="00323D52" w:rsidRPr="00323D52" w:rsidRDefault="00323D52" w:rsidP="004105EC">
      <w:pPr>
        <w:pStyle w:val="EndnoteText"/>
        <w:rPr>
          <w:lang w:eastAsia="en-AU"/>
        </w:rPr>
      </w:pPr>
      <w:r w:rsidRPr="00323D52">
        <w:rPr>
          <w:lang w:eastAsia="en-AU"/>
        </w:rPr>
        <w:t xml:space="preserve">DAFF 2004, </w:t>
      </w:r>
      <w:r w:rsidRPr="00323D52">
        <w:rPr>
          <w:i/>
          <w:lang w:eastAsia="en-AU"/>
        </w:rPr>
        <w:t>Mangosteen fruit from Thailand – Final import risk analysis report</w:t>
      </w:r>
      <w:r w:rsidRPr="00323D52">
        <w:rPr>
          <w:lang w:eastAsia="en-AU"/>
        </w:rPr>
        <w:t>, Department of Agriculture, Fisheries and Forestry, Canberra.</w:t>
      </w:r>
    </w:p>
    <w:p w14:paraId="12B922BC" w14:textId="28400DE7" w:rsidR="00323D52" w:rsidRPr="00323D52" w:rsidRDefault="009774F0" w:rsidP="004105EC">
      <w:pPr>
        <w:pStyle w:val="EndnoteText"/>
        <w:rPr>
          <w:lang w:eastAsia="en-AU"/>
        </w:rPr>
      </w:pPr>
      <w:r>
        <w:rPr>
          <w:lang w:eastAsia="en-AU"/>
        </w:rPr>
        <w:t>-- --</w:t>
      </w:r>
      <w:r w:rsidR="00323D52" w:rsidRPr="00323D52">
        <w:rPr>
          <w:lang w:eastAsia="en-AU"/>
        </w:rPr>
        <w:t xml:space="preserve"> 2012, </w:t>
      </w:r>
      <w:r w:rsidR="00323D52" w:rsidRPr="00323D52">
        <w:rPr>
          <w:i/>
          <w:lang w:eastAsia="en-AU"/>
        </w:rPr>
        <w:t>Final import risk analysis report for fresh decrowned pineapple fruit from Malaysia</w:t>
      </w:r>
      <w:r w:rsidR="00323D52" w:rsidRPr="00323D52">
        <w:rPr>
          <w:lang w:eastAsia="en-AU"/>
        </w:rPr>
        <w:t>, Department of Agriculture, Fisheries and Forestry, Canberra.</w:t>
      </w:r>
    </w:p>
    <w:p w14:paraId="6376355A" w14:textId="77777777" w:rsidR="00323D52" w:rsidRPr="00323D52" w:rsidRDefault="00323D52" w:rsidP="004105EC">
      <w:pPr>
        <w:pStyle w:val="EndnoteText"/>
        <w:rPr>
          <w:lang w:eastAsia="en-AU"/>
        </w:rPr>
      </w:pPr>
      <w:r w:rsidRPr="00323D52">
        <w:rPr>
          <w:lang w:eastAsia="en-AU"/>
        </w:rPr>
        <w:t xml:space="preserve">Davis, RI, McMichael, LA, Maireroa, N &amp; Wigmore, WJ 2005, </w:t>
      </w:r>
      <w:r w:rsidRPr="00323D52">
        <w:rPr>
          <w:i/>
          <w:lang w:eastAsia="en-AU"/>
        </w:rPr>
        <w:t>Surveys for plant diseases caused by viruses and virus-like pathogens in the Cook Islands</w:t>
      </w:r>
      <w:r w:rsidRPr="00323D52">
        <w:rPr>
          <w:lang w:eastAsia="en-AU"/>
        </w:rPr>
        <w:t>, Technical paper 222, Secretariat of the Pacific Community, Suva, Fiji Islands.</w:t>
      </w:r>
    </w:p>
    <w:p w14:paraId="48E99A3B" w14:textId="77777777" w:rsidR="00323D52" w:rsidRPr="00323D52" w:rsidRDefault="00323D52" w:rsidP="004105EC">
      <w:pPr>
        <w:pStyle w:val="EndnoteText"/>
        <w:rPr>
          <w:lang w:eastAsia="en-AU"/>
        </w:rPr>
      </w:pPr>
      <w:r w:rsidRPr="00323D52">
        <w:rPr>
          <w:lang w:eastAsia="en-AU"/>
        </w:rPr>
        <w:t xml:space="preserve">Davis, RI, Matalavea, P, Seth, M, Mauga, T &amp; Jones, P 2006a, </w:t>
      </w:r>
      <w:r w:rsidRPr="00323D52">
        <w:rPr>
          <w:i/>
          <w:lang w:eastAsia="en-AU"/>
        </w:rPr>
        <w:t>Surveys for plant diseases caused by viruses and virus-like pathogens in Samoa and Vanuatu</w:t>
      </w:r>
      <w:r w:rsidRPr="00323D52">
        <w:rPr>
          <w:lang w:eastAsia="en-AU"/>
        </w:rPr>
        <w:t>, Technical paper 225, Secretariat of the Pacific Community, Suva, Fiji Islands.</w:t>
      </w:r>
    </w:p>
    <w:p w14:paraId="44CEAFC9" w14:textId="77777777" w:rsidR="00323D52" w:rsidRPr="00323D52" w:rsidRDefault="00323D52" w:rsidP="004105EC">
      <w:pPr>
        <w:pStyle w:val="EndnoteText"/>
        <w:rPr>
          <w:lang w:eastAsia="en-AU"/>
        </w:rPr>
      </w:pPr>
      <w:r w:rsidRPr="00323D52">
        <w:rPr>
          <w:lang w:eastAsia="en-AU"/>
        </w:rPr>
        <w:t xml:space="preserve">Davis, RI, Tupouniua, SK, Amice, R, Taufa, L &amp; Jones, P 2006b, </w:t>
      </w:r>
      <w:r w:rsidRPr="00323D52">
        <w:rPr>
          <w:i/>
          <w:lang w:eastAsia="en-AU"/>
        </w:rPr>
        <w:t>Surveys for plant diseases caused by viruses and virus-like pathogens in Tonga and New Caledonia</w:t>
      </w:r>
      <w:r w:rsidRPr="00323D52">
        <w:rPr>
          <w:lang w:eastAsia="en-AU"/>
        </w:rPr>
        <w:t>, Technical Paper No. 224, Secretariat of the Pacific Community, Land Resources Division: Suva, Fiji Islands.</w:t>
      </w:r>
    </w:p>
    <w:p w14:paraId="483A9081" w14:textId="77777777" w:rsidR="00323D52" w:rsidRPr="00323D52" w:rsidRDefault="00323D52" w:rsidP="004105EC">
      <w:pPr>
        <w:pStyle w:val="EndnoteText"/>
        <w:rPr>
          <w:lang w:eastAsia="en-AU"/>
        </w:rPr>
      </w:pPr>
      <w:r w:rsidRPr="00323D52">
        <w:rPr>
          <w:lang w:eastAsia="en-AU"/>
        </w:rPr>
        <w:t xml:space="preserve">Davis, RI, Ruabete, TK 2010, ‘Records of plant pathogenic viruses and virus-like agents from 22 Pacific island countries and territories: a review and an update’ </w:t>
      </w:r>
      <w:r w:rsidRPr="00323D52">
        <w:rPr>
          <w:i/>
          <w:lang w:eastAsia="en-AU"/>
        </w:rPr>
        <w:t>Australasian Plant Pathology</w:t>
      </w:r>
      <w:r w:rsidRPr="00323D52">
        <w:rPr>
          <w:lang w:eastAsia="en-AU"/>
        </w:rPr>
        <w:t xml:space="preserve">, 39, pp. 265–291. </w:t>
      </w:r>
    </w:p>
    <w:p w14:paraId="09C68094" w14:textId="77777777" w:rsidR="00323D52" w:rsidRPr="00323D52" w:rsidRDefault="00323D52" w:rsidP="004105EC">
      <w:pPr>
        <w:pStyle w:val="EndnoteText"/>
        <w:rPr>
          <w:lang w:eastAsia="en-AU"/>
        </w:rPr>
      </w:pPr>
      <w:r w:rsidRPr="00323D52">
        <w:rPr>
          <w:lang w:eastAsia="en-AU"/>
        </w:rPr>
        <w:t xml:space="preserve">De Barro, PJ 1998, </w:t>
      </w:r>
      <w:r w:rsidRPr="00323D52">
        <w:rPr>
          <w:i/>
          <w:lang w:eastAsia="en-AU"/>
        </w:rPr>
        <w:t>Survey of Bemisia tabaci Biotype B whitefly (also known as B. argentifolii) and its natural enemies in the South Pacific. Final Report of ACIAR Project No. 96/148 Sept. 1997</w:t>
      </w:r>
      <w:r w:rsidR="00D965AB">
        <w:rPr>
          <w:lang w:eastAsia="en-AU"/>
        </w:rPr>
        <w:t>.</w:t>
      </w:r>
    </w:p>
    <w:p w14:paraId="1F3F6DD5" w14:textId="77777777" w:rsidR="00323D52" w:rsidRPr="00323D52" w:rsidRDefault="00323D52" w:rsidP="004105EC">
      <w:pPr>
        <w:pStyle w:val="EndnoteText"/>
        <w:rPr>
          <w:lang w:eastAsia="en-AU"/>
        </w:rPr>
      </w:pPr>
      <w:r w:rsidRPr="00323D52">
        <w:rPr>
          <w:lang w:eastAsia="en-AU"/>
        </w:rPr>
        <w:t xml:space="preserve">De Barro, PJ, Liebregts, W &amp; Carver, M 1998, ‘Distribution and identity of biotypes of </w:t>
      </w:r>
      <w:r w:rsidRPr="00323D52">
        <w:rPr>
          <w:i/>
          <w:lang w:eastAsia="en-AU"/>
        </w:rPr>
        <w:t>Bemisia tabaci</w:t>
      </w:r>
      <w:r w:rsidRPr="00323D52">
        <w:rPr>
          <w:lang w:eastAsia="en-AU"/>
        </w:rPr>
        <w:t xml:space="preserve"> (Gennadius) (Hemiptera: Aleyrodidae) in member countries of the Secretariat of the Pacific Community’, </w:t>
      </w:r>
      <w:r w:rsidRPr="00323D52">
        <w:rPr>
          <w:i/>
          <w:lang w:eastAsia="en-AU"/>
        </w:rPr>
        <w:t>Australian Journal of Entomology</w:t>
      </w:r>
      <w:r w:rsidRPr="00323D52">
        <w:rPr>
          <w:lang w:eastAsia="en-AU"/>
        </w:rPr>
        <w:t>, 37, pp. 214–218.</w:t>
      </w:r>
    </w:p>
    <w:p w14:paraId="5F654378" w14:textId="77777777" w:rsidR="00F43BE0" w:rsidRDefault="00F43BE0" w:rsidP="000B2D85">
      <w:pPr>
        <w:pStyle w:val="EndnoteText"/>
        <w:rPr>
          <w:lang w:eastAsia="en-AU"/>
        </w:rPr>
      </w:pPr>
      <w:r>
        <w:rPr>
          <w:lang w:eastAsia="en-AU"/>
        </w:rPr>
        <w:t>De Barro</w:t>
      </w:r>
      <w:r w:rsidR="000B2D85">
        <w:rPr>
          <w:lang w:eastAsia="en-AU"/>
        </w:rPr>
        <w:t>,</w:t>
      </w:r>
      <w:r>
        <w:rPr>
          <w:lang w:eastAsia="en-AU"/>
        </w:rPr>
        <w:t xml:space="preserve"> </w:t>
      </w:r>
      <w:r w:rsidR="000B2D85">
        <w:rPr>
          <w:lang w:eastAsia="en-AU"/>
        </w:rPr>
        <w:t xml:space="preserve">PJ, Liu, SS, Boykin, LM &amp; Dinsdale, AB </w:t>
      </w:r>
      <w:r>
        <w:rPr>
          <w:lang w:eastAsia="en-AU"/>
        </w:rPr>
        <w:t>2011,</w:t>
      </w:r>
      <w:r w:rsidR="000B2D85">
        <w:rPr>
          <w:lang w:eastAsia="en-AU"/>
        </w:rPr>
        <w:t xml:space="preserve"> ‘</w:t>
      </w:r>
      <w:r w:rsidR="000B2D85" w:rsidRPr="000B2D85">
        <w:rPr>
          <w:i/>
          <w:lang w:eastAsia="en-AU"/>
        </w:rPr>
        <w:t>Bemisia tabaci</w:t>
      </w:r>
      <w:r w:rsidR="000B2D85">
        <w:rPr>
          <w:lang w:eastAsia="en-AU"/>
        </w:rPr>
        <w:t xml:space="preserve">: a statement of species status’, </w:t>
      </w:r>
      <w:r w:rsidR="000B2D85" w:rsidRPr="000B2D85">
        <w:rPr>
          <w:i/>
          <w:lang w:eastAsia="en-AU"/>
        </w:rPr>
        <w:t>Annual Review of Entomology</w:t>
      </w:r>
      <w:r w:rsidR="000B2D85">
        <w:rPr>
          <w:lang w:eastAsia="en-AU"/>
        </w:rPr>
        <w:t xml:space="preserve"> 56, pp. 1–19.</w:t>
      </w:r>
    </w:p>
    <w:p w14:paraId="4ADA2A2F" w14:textId="77777777" w:rsidR="00323D52" w:rsidRPr="00323D52" w:rsidRDefault="00323D52" w:rsidP="004105EC">
      <w:pPr>
        <w:pStyle w:val="EndnoteText"/>
        <w:rPr>
          <w:lang w:eastAsia="en-AU"/>
        </w:rPr>
      </w:pPr>
      <w:r w:rsidRPr="00323D52">
        <w:rPr>
          <w:lang w:eastAsia="en-AU"/>
        </w:rPr>
        <w:t xml:space="preserve">Dingley, JM, Fullerton, RA &amp; McKenzie, EHC 1981, </w:t>
      </w:r>
      <w:r w:rsidRPr="00323D52">
        <w:rPr>
          <w:i/>
          <w:lang w:eastAsia="en-AU"/>
        </w:rPr>
        <w:t>Survey of agricultural pests and diseases. Technical report volume 2. Records of fungi, bacteria, algae and angiosperms pathogenic on plants in Cook Islands, Fiji, Kiribati, Niue, Tonga, Tuvalu and Western Samoa</w:t>
      </w:r>
      <w:r w:rsidRPr="00323D52">
        <w:rPr>
          <w:lang w:eastAsia="en-AU"/>
        </w:rPr>
        <w:t>, South Pacific Bureau for Economic Co-operation, United Nations Development Programme, Food and Agriculture Organization of the United Nations.</w:t>
      </w:r>
    </w:p>
    <w:p w14:paraId="2E9133E1" w14:textId="77777777" w:rsidR="00F43BE0" w:rsidRDefault="000B2D85" w:rsidP="004105EC">
      <w:pPr>
        <w:pStyle w:val="EndnoteText"/>
        <w:rPr>
          <w:lang w:eastAsia="en-AU"/>
        </w:rPr>
      </w:pPr>
      <w:r w:rsidRPr="000B2D85">
        <w:rPr>
          <w:rFonts w:eastAsia="Times New Roman" w:cs="Times New Roman"/>
          <w:lang w:eastAsia="en-AU"/>
        </w:rPr>
        <w:t>Donaldson, J &amp; Tsang, K 2002, ‘Family Diaspididae: Armoured scales, diaspids’. Australian Faunal Directory. Australian Biological Resources Study, Canberra.</w:t>
      </w:r>
    </w:p>
    <w:p w14:paraId="137FFA4F" w14:textId="77777777" w:rsidR="00323D52" w:rsidRPr="00323D52" w:rsidRDefault="00323D52" w:rsidP="004105EC">
      <w:pPr>
        <w:pStyle w:val="EndnoteText"/>
        <w:rPr>
          <w:lang w:eastAsia="en-AU"/>
        </w:rPr>
      </w:pPr>
      <w:r w:rsidRPr="00323D52">
        <w:rPr>
          <w:lang w:eastAsia="en-AU"/>
        </w:rPr>
        <w:t xml:space="preserve">Drew, RAI &amp; Hancock, DL 1994, ‘The </w:t>
      </w:r>
      <w:r w:rsidRPr="00323D52">
        <w:rPr>
          <w:i/>
          <w:lang w:eastAsia="en-AU"/>
        </w:rPr>
        <w:t>Bactrocera dorsalis</w:t>
      </w:r>
      <w:r w:rsidRPr="00323D52">
        <w:rPr>
          <w:lang w:eastAsia="en-AU"/>
        </w:rPr>
        <w:t xml:space="preserve"> complex of fruit flies (Diptera: Tephritidae: Dacinae) in Asia’, </w:t>
      </w:r>
      <w:r w:rsidRPr="00323D52">
        <w:rPr>
          <w:i/>
          <w:lang w:eastAsia="en-AU"/>
        </w:rPr>
        <w:t>Bulletin of Entomological Research Supplement</w:t>
      </w:r>
      <w:r w:rsidRPr="00323D52">
        <w:rPr>
          <w:lang w:eastAsia="en-AU"/>
        </w:rPr>
        <w:t>, 2, pp. 1–68.</w:t>
      </w:r>
    </w:p>
    <w:p w14:paraId="2FB26BB0" w14:textId="1DA7D6B5" w:rsidR="00323D52" w:rsidRPr="00323D52" w:rsidRDefault="00323D52" w:rsidP="004105EC">
      <w:pPr>
        <w:pStyle w:val="EndnoteText"/>
        <w:rPr>
          <w:lang w:eastAsia="en-AU"/>
        </w:rPr>
      </w:pPr>
      <w:r w:rsidRPr="00323D52">
        <w:rPr>
          <w:lang w:eastAsia="en-AU"/>
        </w:rPr>
        <w:t>Drew, RAI &amp; Romig, MC 2001, ‘The fruit fly fauna (Diptera:</w:t>
      </w:r>
      <w:r w:rsidR="009B250F">
        <w:rPr>
          <w:lang w:eastAsia="en-AU"/>
        </w:rPr>
        <w:t xml:space="preserve"> </w:t>
      </w:r>
      <w:r w:rsidRPr="00323D52">
        <w:rPr>
          <w:lang w:eastAsia="en-AU"/>
        </w:rPr>
        <w:t xml:space="preserve">Tephritidae: Dacinae) of Bougainville, the Solomon Islands and Vanuatu’, </w:t>
      </w:r>
      <w:r w:rsidRPr="00323D52">
        <w:rPr>
          <w:i/>
          <w:lang w:eastAsia="en-AU"/>
        </w:rPr>
        <w:t>Australian Journal of Entomology</w:t>
      </w:r>
      <w:r w:rsidRPr="00323D52">
        <w:rPr>
          <w:lang w:eastAsia="en-AU"/>
        </w:rPr>
        <w:t>, 40, pp. 113–150.</w:t>
      </w:r>
    </w:p>
    <w:p w14:paraId="486EC493" w14:textId="77777777" w:rsidR="00C722C5" w:rsidRDefault="00C722C5" w:rsidP="004105EC">
      <w:pPr>
        <w:pStyle w:val="EndnoteText"/>
        <w:rPr>
          <w:lang w:eastAsia="en-AU"/>
        </w:rPr>
      </w:pPr>
      <w:r>
        <w:rPr>
          <w:lang w:eastAsia="en-AU"/>
        </w:rPr>
        <w:t xml:space="preserve">EPPO 1988, </w:t>
      </w:r>
      <w:r w:rsidR="00A747B6">
        <w:rPr>
          <w:lang w:eastAsia="en-AU"/>
        </w:rPr>
        <w:t>‘</w:t>
      </w:r>
      <w:r w:rsidRPr="00A747B6">
        <w:rPr>
          <w:i/>
          <w:lang w:eastAsia="en-AU"/>
        </w:rPr>
        <w:t>Parabemisia myricae</w:t>
      </w:r>
      <w:r w:rsidR="00A747B6">
        <w:rPr>
          <w:lang w:eastAsia="en-AU"/>
        </w:rPr>
        <w:t>’</w:t>
      </w:r>
      <w:r>
        <w:rPr>
          <w:lang w:eastAsia="en-AU"/>
        </w:rPr>
        <w:t xml:space="preserve">, </w:t>
      </w:r>
      <w:r w:rsidRPr="00C722C5">
        <w:rPr>
          <w:i/>
          <w:lang w:eastAsia="en-AU"/>
        </w:rPr>
        <w:t>EPPO Bulletin</w:t>
      </w:r>
      <w:r>
        <w:rPr>
          <w:lang w:eastAsia="en-AU"/>
        </w:rPr>
        <w:t xml:space="preserve"> 18, pp. 539–542.</w:t>
      </w:r>
    </w:p>
    <w:p w14:paraId="5C780A73" w14:textId="5E840239" w:rsidR="00323D52" w:rsidRPr="00323D52" w:rsidRDefault="009774F0" w:rsidP="004105EC">
      <w:pPr>
        <w:pStyle w:val="EndnoteText"/>
        <w:rPr>
          <w:lang w:eastAsia="en-AU"/>
        </w:rPr>
      </w:pPr>
      <w:r>
        <w:rPr>
          <w:lang w:eastAsia="en-AU"/>
        </w:rPr>
        <w:t>-- --</w:t>
      </w:r>
      <w:r w:rsidR="00323D52" w:rsidRPr="00211BE4">
        <w:rPr>
          <w:lang w:eastAsia="en-AU"/>
        </w:rPr>
        <w:t xml:space="preserve"> </w:t>
      </w:r>
      <w:r w:rsidR="002E6E64" w:rsidRPr="00211BE4">
        <w:rPr>
          <w:lang w:eastAsia="en-AU"/>
        </w:rPr>
        <w:t>1997</w:t>
      </w:r>
      <w:r w:rsidR="00323D52" w:rsidRPr="00323D52">
        <w:rPr>
          <w:lang w:eastAsia="en-AU"/>
        </w:rPr>
        <w:t xml:space="preserve">, </w:t>
      </w:r>
      <w:r w:rsidR="00323D52" w:rsidRPr="00323D52">
        <w:rPr>
          <w:i/>
          <w:lang w:eastAsia="en-AU"/>
        </w:rPr>
        <w:t>Bemisia tabaci, Data sheets on quarantine pests</w:t>
      </w:r>
      <w:r w:rsidR="00323D52" w:rsidRPr="00323D52">
        <w:rPr>
          <w:lang w:eastAsia="en-AU"/>
        </w:rPr>
        <w:t xml:space="preserve">, European and Mediterranean Plant Protection Organisation, viewed </w:t>
      </w:r>
      <w:r w:rsidR="00D965AB">
        <w:rPr>
          <w:lang w:eastAsia="en-AU"/>
        </w:rPr>
        <w:t>March 2016</w:t>
      </w:r>
      <w:r w:rsidR="00323D52" w:rsidRPr="00323D52">
        <w:rPr>
          <w:lang w:eastAsia="en-AU"/>
        </w:rPr>
        <w:t xml:space="preserve">, </w:t>
      </w:r>
      <w:hyperlink r:id="rId80" w:history="1">
        <w:r w:rsidR="00D965AB" w:rsidRPr="00D965AB">
          <w:rPr>
            <w:color w:val="165788"/>
            <w:u w:val="single"/>
            <w:lang w:eastAsia="en-AU"/>
          </w:rPr>
          <w:t>eppo.int/QUARANTINE/data_sheets/insects/BEMITA_ds.pdf</w:t>
        </w:r>
      </w:hyperlink>
    </w:p>
    <w:p w14:paraId="044AF89E" w14:textId="77777777" w:rsidR="00002543" w:rsidRDefault="00002543" w:rsidP="004105EC">
      <w:pPr>
        <w:pStyle w:val="EndnoteText"/>
        <w:rPr>
          <w:lang w:eastAsia="en-AU"/>
        </w:rPr>
      </w:pPr>
      <w:r>
        <w:rPr>
          <w:lang w:eastAsia="en-AU"/>
        </w:rPr>
        <w:t>Evans, GA &amp; Dooley JW 2013, ‘Potential invasive s</w:t>
      </w:r>
      <w:r w:rsidRPr="00002543">
        <w:rPr>
          <w:lang w:eastAsia="en-AU"/>
        </w:rPr>
        <w:t xml:space="preserve">pecies of </w:t>
      </w:r>
      <w:r>
        <w:rPr>
          <w:lang w:eastAsia="en-AU"/>
        </w:rPr>
        <w:t>s</w:t>
      </w:r>
      <w:r w:rsidRPr="00002543">
        <w:rPr>
          <w:lang w:eastAsia="en-AU"/>
        </w:rPr>
        <w:t xml:space="preserve">cale </w:t>
      </w:r>
      <w:r>
        <w:rPr>
          <w:lang w:eastAsia="en-AU"/>
        </w:rPr>
        <w:t>i</w:t>
      </w:r>
      <w:r w:rsidRPr="00002543">
        <w:rPr>
          <w:lang w:eastAsia="en-AU"/>
        </w:rPr>
        <w:t>nsects for the USA and Caribbean Basin</w:t>
      </w:r>
      <w:r>
        <w:rPr>
          <w:lang w:eastAsia="en-AU"/>
        </w:rPr>
        <w:t xml:space="preserve">’, in </w:t>
      </w:r>
      <w:r w:rsidRPr="00002543">
        <w:rPr>
          <w:lang w:eastAsia="en-AU"/>
        </w:rPr>
        <w:t>J</w:t>
      </w:r>
      <w:r w:rsidR="00BA037A">
        <w:rPr>
          <w:lang w:eastAsia="en-AU"/>
        </w:rPr>
        <w:t>E</w:t>
      </w:r>
      <w:r w:rsidRPr="00002543">
        <w:rPr>
          <w:lang w:eastAsia="en-AU"/>
        </w:rPr>
        <w:t xml:space="preserve"> Peña</w:t>
      </w:r>
      <w:r>
        <w:rPr>
          <w:lang w:eastAsia="en-AU"/>
        </w:rPr>
        <w:t xml:space="preserve"> (ed)</w:t>
      </w:r>
      <w:r w:rsidRPr="00002543">
        <w:rPr>
          <w:lang w:eastAsia="en-AU"/>
        </w:rPr>
        <w:t xml:space="preserve"> </w:t>
      </w:r>
      <w:r w:rsidRPr="00002543">
        <w:rPr>
          <w:i/>
          <w:lang w:eastAsia="en-AU"/>
        </w:rPr>
        <w:t>Potential Invasive Pests of Agricultural Crops</w:t>
      </w:r>
      <w:r>
        <w:rPr>
          <w:lang w:eastAsia="en-AU"/>
        </w:rPr>
        <w:t>, pp. 320–341, CAB International, Wallingford, UK.</w:t>
      </w:r>
    </w:p>
    <w:p w14:paraId="4B30732E" w14:textId="77777777" w:rsidR="00323D52" w:rsidRPr="00323D52" w:rsidRDefault="00323D52" w:rsidP="008F357F">
      <w:pPr>
        <w:pStyle w:val="EndnoteText"/>
        <w:rPr>
          <w:lang w:eastAsia="en-AU"/>
        </w:rPr>
      </w:pPr>
      <w:r w:rsidRPr="00323D52">
        <w:rPr>
          <w:lang w:eastAsia="en-AU"/>
        </w:rPr>
        <w:t xml:space="preserve">FAO 2007, </w:t>
      </w:r>
      <w:r w:rsidRPr="00323D52">
        <w:rPr>
          <w:i/>
          <w:lang w:eastAsia="en-AU"/>
        </w:rPr>
        <w:t>International Standards for Phytosanitary Measures (ISPM) no. 2: Framework for pest risk analysis</w:t>
      </w:r>
      <w:r w:rsidRPr="00323D52">
        <w:rPr>
          <w:lang w:eastAsia="en-AU"/>
        </w:rPr>
        <w:t xml:space="preserve">, </w:t>
      </w:r>
      <w:r w:rsidRPr="008F357F">
        <w:t>Secretariat</w:t>
      </w:r>
      <w:r w:rsidRPr="00323D52">
        <w:rPr>
          <w:lang w:eastAsia="en-AU"/>
        </w:rPr>
        <w:t xml:space="preserve"> of the International Plant Protection Convention, Food and Agriculture Organisation of the United Nations, Rome, Italy.</w:t>
      </w:r>
    </w:p>
    <w:p w14:paraId="1CBF84E1" w14:textId="7AFE8557" w:rsidR="00A23A6C" w:rsidRDefault="009774F0" w:rsidP="004105EC">
      <w:pPr>
        <w:pStyle w:val="EndnoteText"/>
        <w:rPr>
          <w:lang w:eastAsia="en-AU"/>
        </w:rPr>
      </w:pPr>
      <w:r>
        <w:rPr>
          <w:lang w:eastAsia="en-AU"/>
        </w:rPr>
        <w:t>-- --</w:t>
      </w:r>
      <w:r w:rsidR="00A23A6C">
        <w:rPr>
          <w:lang w:eastAsia="en-AU"/>
        </w:rPr>
        <w:t xml:space="preserve"> 2011, International Plant Protection Convention, Secretariat of the International Plant Protection Convention, </w:t>
      </w:r>
      <w:r w:rsidR="00A23A6C" w:rsidRPr="00A23A6C">
        <w:rPr>
          <w:lang w:eastAsia="en-AU"/>
        </w:rPr>
        <w:t>Food and Agriculture Organisation of the United Nations, Rome, Italy.</w:t>
      </w:r>
    </w:p>
    <w:p w14:paraId="7A59650E" w14:textId="114E5318" w:rsidR="000F3A12" w:rsidRPr="00323D52" w:rsidRDefault="009774F0" w:rsidP="004105EC">
      <w:pPr>
        <w:pStyle w:val="EndnoteText"/>
        <w:rPr>
          <w:lang w:eastAsia="en-AU"/>
        </w:rPr>
      </w:pPr>
      <w:r>
        <w:rPr>
          <w:lang w:eastAsia="en-AU"/>
        </w:rPr>
        <w:t>-- --</w:t>
      </w:r>
      <w:r w:rsidR="000F3A12" w:rsidRPr="00323D52">
        <w:rPr>
          <w:lang w:eastAsia="en-AU"/>
        </w:rPr>
        <w:t xml:space="preserve"> 2013, </w:t>
      </w:r>
      <w:r w:rsidR="000F3A12" w:rsidRPr="00323D52">
        <w:rPr>
          <w:i/>
          <w:lang w:eastAsia="en-AU"/>
        </w:rPr>
        <w:t>International Standards for Phytosanitary Measures (ISPM) no. 11: Pest risk analysis for quarantine pests</w:t>
      </w:r>
      <w:r w:rsidR="000F3A12" w:rsidRPr="00323D52">
        <w:rPr>
          <w:lang w:eastAsia="en-AU"/>
        </w:rPr>
        <w:t>, Secretariat of the International Plant Protection Convention, Food and Agriculture Organisation of the United Nations, Rome, Italy.</w:t>
      </w:r>
    </w:p>
    <w:p w14:paraId="5286C890" w14:textId="04D67632" w:rsidR="00323D52" w:rsidRPr="00323D52" w:rsidRDefault="009774F0" w:rsidP="004105EC">
      <w:pPr>
        <w:pStyle w:val="EndnoteText"/>
        <w:rPr>
          <w:lang w:eastAsia="en-AU"/>
        </w:rPr>
      </w:pPr>
      <w:r>
        <w:rPr>
          <w:lang w:eastAsia="en-AU"/>
        </w:rPr>
        <w:t>-- --</w:t>
      </w:r>
      <w:r w:rsidR="00323D52" w:rsidRPr="00323D52">
        <w:rPr>
          <w:lang w:eastAsia="en-AU"/>
        </w:rPr>
        <w:t xml:space="preserve"> 201</w:t>
      </w:r>
      <w:r w:rsidR="00CC1E5B">
        <w:rPr>
          <w:lang w:eastAsia="en-AU"/>
        </w:rPr>
        <w:t>6</w:t>
      </w:r>
      <w:r w:rsidR="00323D52" w:rsidRPr="00323D52">
        <w:rPr>
          <w:lang w:eastAsia="en-AU"/>
        </w:rPr>
        <w:t xml:space="preserve">, </w:t>
      </w:r>
      <w:r w:rsidR="00323D52" w:rsidRPr="00323D52">
        <w:rPr>
          <w:i/>
          <w:lang w:eastAsia="en-AU"/>
        </w:rPr>
        <w:t>International Standards for Phytosanitary Measures (ISPM) no. 5: Glossary of phytosanitary terms</w:t>
      </w:r>
      <w:r w:rsidR="00323D52" w:rsidRPr="00323D52">
        <w:rPr>
          <w:lang w:eastAsia="en-AU"/>
        </w:rPr>
        <w:t>, Secretariat of the International Plant Protection Convention, Food and Agriculture Organisation of the United Nations, Rome, Italy.</w:t>
      </w:r>
    </w:p>
    <w:p w14:paraId="17C92D88" w14:textId="77777777" w:rsidR="00323D52" w:rsidRPr="00323D52" w:rsidRDefault="00323D52" w:rsidP="004105EC">
      <w:pPr>
        <w:pStyle w:val="EndnoteText"/>
        <w:rPr>
          <w:lang w:eastAsia="en-AU"/>
        </w:rPr>
      </w:pPr>
      <w:r w:rsidRPr="00211BE4">
        <w:rPr>
          <w:lang w:eastAsia="en-AU"/>
        </w:rPr>
        <w:t>Farr, DF &amp; Rossman, AY</w:t>
      </w:r>
      <w:r w:rsidRPr="00323D52">
        <w:rPr>
          <w:lang w:eastAsia="en-AU"/>
        </w:rPr>
        <w:t xml:space="preserve"> 201</w:t>
      </w:r>
      <w:r w:rsidR="00D965AB">
        <w:rPr>
          <w:lang w:eastAsia="en-AU"/>
        </w:rPr>
        <w:t>6</w:t>
      </w:r>
      <w:r w:rsidRPr="00323D52">
        <w:rPr>
          <w:lang w:eastAsia="en-AU"/>
        </w:rPr>
        <w:t xml:space="preserve"> </w:t>
      </w:r>
      <w:r w:rsidRPr="00323D52">
        <w:rPr>
          <w:i/>
          <w:lang w:eastAsia="en-AU"/>
        </w:rPr>
        <w:t>Fungal databases</w:t>
      </w:r>
      <w:r w:rsidRPr="00323D52">
        <w:rPr>
          <w:lang w:eastAsia="en-AU"/>
        </w:rPr>
        <w:t xml:space="preserve">. Systematic Botany and Mycology Laboratory, ARS, USDA, viewed </w:t>
      </w:r>
      <w:r w:rsidR="00D965AB">
        <w:rPr>
          <w:lang w:eastAsia="en-AU"/>
        </w:rPr>
        <w:t>March</w:t>
      </w:r>
      <w:r w:rsidRPr="00323D52">
        <w:rPr>
          <w:lang w:eastAsia="en-AU"/>
        </w:rPr>
        <w:t xml:space="preserve"> 201</w:t>
      </w:r>
      <w:r w:rsidR="00D965AB">
        <w:rPr>
          <w:lang w:eastAsia="en-AU"/>
        </w:rPr>
        <w:t>6</w:t>
      </w:r>
      <w:r w:rsidRPr="00323D52">
        <w:rPr>
          <w:lang w:eastAsia="en-AU"/>
        </w:rPr>
        <w:t xml:space="preserve">, </w:t>
      </w:r>
      <w:hyperlink r:id="rId81" w:history="1">
        <w:r w:rsidRPr="00323D52">
          <w:rPr>
            <w:color w:val="165788"/>
            <w:u w:val="single"/>
            <w:lang w:eastAsia="en-AU"/>
          </w:rPr>
          <w:t>nt.ars-grin.gov/fungaldatabases/index.cfm</w:t>
        </w:r>
      </w:hyperlink>
      <w:r w:rsidRPr="00323D52">
        <w:rPr>
          <w:lang w:eastAsia="en-AU"/>
        </w:rPr>
        <w:t xml:space="preserve">  </w:t>
      </w:r>
    </w:p>
    <w:p w14:paraId="1BE47F7E" w14:textId="77777777" w:rsidR="00323D52" w:rsidRPr="00323D52" w:rsidRDefault="00323D52" w:rsidP="004105EC">
      <w:pPr>
        <w:pStyle w:val="EndnoteText"/>
        <w:rPr>
          <w:lang w:eastAsia="en-AU"/>
        </w:rPr>
      </w:pPr>
      <w:r w:rsidRPr="00323D52">
        <w:rPr>
          <w:lang w:eastAsia="en-AU"/>
        </w:rPr>
        <w:t xml:space="preserve">Fasulo, TR &amp; Brooks, RF 2013, Scale pests of Florida citrus, ENY-814, Florida Cooperative Extension Service, Institute of Food and Agricultural Sciences, University of Florida, viewed </w:t>
      </w:r>
      <w:r w:rsidR="00D965AB">
        <w:rPr>
          <w:lang w:eastAsia="en-AU"/>
        </w:rPr>
        <w:t>March</w:t>
      </w:r>
      <w:r w:rsidRPr="00323D52">
        <w:rPr>
          <w:lang w:eastAsia="en-AU"/>
        </w:rPr>
        <w:t xml:space="preserve"> 201</w:t>
      </w:r>
      <w:r w:rsidR="00D965AB">
        <w:rPr>
          <w:lang w:eastAsia="en-AU"/>
        </w:rPr>
        <w:t>6</w:t>
      </w:r>
      <w:r w:rsidRPr="00323D52">
        <w:rPr>
          <w:lang w:eastAsia="en-AU"/>
        </w:rPr>
        <w:t xml:space="preserve">, </w:t>
      </w:r>
      <w:hyperlink r:id="rId82" w:history="1">
        <w:r w:rsidRPr="00323D52">
          <w:rPr>
            <w:color w:val="165788"/>
            <w:u w:val="single"/>
            <w:lang w:eastAsia="en-AU"/>
          </w:rPr>
          <w:t>edis.ifas.ufl.edu/pdffiles/CH/CH05900.pdf</w:t>
        </w:r>
      </w:hyperlink>
      <w:r w:rsidRPr="00323D52">
        <w:rPr>
          <w:lang w:eastAsia="en-AU"/>
        </w:rPr>
        <w:t xml:space="preserve"> </w:t>
      </w:r>
    </w:p>
    <w:p w14:paraId="018FE1A1" w14:textId="77777777" w:rsidR="00323D52" w:rsidRPr="00323D52" w:rsidRDefault="00323D52" w:rsidP="004105EC">
      <w:pPr>
        <w:pStyle w:val="EndnoteText"/>
        <w:rPr>
          <w:lang w:eastAsia="en-AU"/>
        </w:rPr>
      </w:pPr>
      <w:r w:rsidRPr="00323D52">
        <w:rPr>
          <w:lang w:eastAsia="en-AU"/>
        </w:rPr>
        <w:t xml:space="preserve">Francis, AW, Kairo, MTK, Roda, AL, Liburd, OE &amp; Polar, P 2012, The passionvine mealybug, </w:t>
      </w:r>
      <w:r w:rsidRPr="00323D52">
        <w:rPr>
          <w:i/>
          <w:lang w:eastAsia="en-AU"/>
        </w:rPr>
        <w:t>Planococcus minor</w:t>
      </w:r>
      <w:r w:rsidRPr="00323D52">
        <w:rPr>
          <w:lang w:eastAsia="en-AU"/>
        </w:rPr>
        <w:t xml:space="preserve"> (Maskell) (Hemiptera: Pseudococcidae), and its natural enemies in the cocoa agroecosystem in Trinidad, </w:t>
      </w:r>
      <w:r w:rsidRPr="00323D52">
        <w:rPr>
          <w:i/>
          <w:lang w:eastAsia="en-AU"/>
        </w:rPr>
        <w:t>Biological Control</w:t>
      </w:r>
      <w:r w:rsidRPr="00323D52">
        <w:rPr>
          <w:lang w:eastAsia="en-AU"/>
        </w:rPr>
        <w:t>, 60, pp. 290–296.</w:t>
      </w:r>
    </w:p>
    <w:p w14:paraId="07CF90AB" w14:textId="77777777" w:rsidR="00041B2B" w:rsidRDefault="00C10617" w:rsidP="004105EC">
      <w:pPr>
        <w:pStyle w:val="EndnoteText"/>
        <w:rPr>
          <w:lang w:eastAsia="en-AU"/>
        </w:rPr>
      </w:pPr>
      <w:r w:rsidRPr="00C10617">
        <w:rPr>
          <w:lang w:eastAsia="en-AU"/>
        </w:rPr>
        <w:t>García Morales</w:t>
      </w:r>
      <w:r>
        <w:rPr>
          <w:lang w:eastAsia="en-AU"/>
        </w:rPr>
        <w:t>,</w:t>
      </w:r>
      <w:r w:rsidRPr="00C10617">
        <w:rPr>
          <w:lang w:eastAsia="en-AU"/>
        </w:rPr>
        <w:t xml:space="preserve"> M, Denno</w:t>
      </w:r>
      <w:r>
        <w:rPr>
          <w:lang w:eastAsia="en-AU"/>
        </w:rPr>
        <w:t>,</w:t>
      </w:r>
      <w:r w:rsidRPr="00C10617">
        <w:rPr>
          <w:lang w:eastAsia="en-AU"/>
        </w:rPr>
        <w:t xml:space="preserve"> BD, Miller</w:t>
      </w:r>
      <w:r>
        <w:rPr>
          <w:lang w:eastAsia="en-AU"/>
        </w:rPr>
        <w:t>,</w:t>
      </w:r>
      <w:r w:rsidRPr="00C10617">
        <w:rPr>
          <w:lang w:eastAsia="en-AU"/>
        </w:rPr>
        <w:t xml:space="preserve"> DR, Miller</w:t>
      </w:r>
      <w:r>
        <w:rPr>
          <w:lang w:eastAsia="en-AU"/>
        </w:rPr>
        <w:t>,</w:t>
      </w:r>
      <w:r w:rsidRPr="00C10617">
        <w:rPr>
          <w:lang w:eastAsia="en-AU"/>
        </w:rPr>
        <w:t xml:space="preserve"> GL, Ben-Dov</w:t>
      </w:r>
      <w:r>
        <w:rPr>
          <w:lang w:eastAsia="en-AU"/>
        </w:rPr>
        <w:t>,</w:t>
      </w:r>
      <w:r w:rsidRPr="00C10617">
        <w:rPr>
          <w:lang w:eastAsia="en-AU"/>
        </w:rPr>
        <w:t xml:space="preserve"> Y, </w:t>
      </w:r>
      <w:r>
        <w:rPr>
          <w:lang w:eastAsia="en-AU"/>
        </w:rPr>
        <w:t xml:space="preserve">&amp; </w:t>
      </w:r>
      <w:r w:rsidRPr="00C10617">
        <w:rPr>
          <w:lang w:eastAsia="en-AU"/>
        </w:rPr>
        <w:t>Hardy</w:t>
      </w:r>
      <w:r>
        <w:rPr>
          <w:lang w:eastAsia="en-AU"/>
        </w:rPr>
        <w:t>,</w:t>
      </w:r>
      <w:r w:rsidRPr="00C10617">
        <w:rPr>
          <w:lang w:eastAsia="en-AU"/>
        </w:rPr>
        <w:t xml:space="preserve"> NB 2016</w:t>
      </w:r>
      <w:r>
        <w:rPr>
          <w:lang w:eastAsia="en-AU"/>
        </w:rPr>
        <w:t>,</w:t>
      </w:r>
      <w:r w:rsidRPr="00C10617">
        <w:rPr>
          <w:lang w:eastAsia="en-AU"/>
        </w:rPr>
        <w:t xml:space="preserve"> </w:t>
      </w:r>
      <w:r w:rsidRPr="00C10617">
        <w:rPr>
          <w:i/>
          <w:iCs/>
          <w:lang w:eastAsia="en-AU"/>
        </w:rPr>
        <w:t>ScaleNet: A literature-based model of scale insect biology and systematics</w:t>
      </w:r>
      <w:r w:rsidRPr="00C10617">
        <w:rPr>
          <w:lang w:eastAsia="en-AU"/>
        </w:rPr>
        <w:t>. Database. doi: 10.1093/database/bav118</w:t>
      </w:r>
      <w:r>
        <w:rPr>
          <w:lang w:eastAsia="en-AU"/>
        </w:rPr>
        <w:t>, viewed March 2016,</w:t>
      </w:r>
      <w:r w:rsidRPr="00C10617">
        <w:rPr>
          <w:lang w:eastAsia="en-AU"/>
        </w:rPr>
        <w:t xml:space="preserve"> </w:t>
      </w:r>
      <w:hyperlink r:id="rId83" w:history="1">
        <w:r>
          <w:rPr>
            <w:rStyle w:val="Hyperlink"/>
            <w:rFonts w:eastAsia="Times New Roman"/>
            <w:lang w:eastAsia="en-AU"/>
          </w:rPr>
          <w:t>scalenet.info</w:t>
        </w:r>
      </w:hyperlink>
    </w:p>
    <w:p w14:paraId="40EDA5EC" w14:textId="77777777" w:rsidR="00323D52" w:rsidRPr="00323D52" w:rsidRDefault="00323D52" w:rsidP="004105EC">
      <w:pPr>
        <w:pStyle w:val="EndnoteText"/>
        <w:rPr>
          <w:lang w:eastAsia="en-AU"/>
        </w:rPr>
      </w:pPr>
      <w:r w:rsidRPr="00323D52">
        <w:rPr>
          <w:lang w:eastAsia="en-AU"/>
        </w:rPr>
        <w:t xml:space="preserve">Gill, RJ 1988, </w:t>
      </w:r>
      <w:r w:rsidRPr="00323D52">
        <w:rPr>
          <w:i/>
          <w:lang w:eastAsia="en-AU"/>
        </w:rPr>
        <w:t>The scale insects of California, Part I: the soft scales (Homoptera: Coccoidea: Coccidae)</w:t>
      </w:r>
      <w:r w:rsidRPr="00323D52">
        <w:rPr>
          <w:lang w:eastAsia="en-AU"/>
        </w:rPr>
        <w:t>, California Department of Food and Agriculture, Sacramento, United States of America.</w:t>
      </w:r>
    </w:p>
    <w:p w14:paraId="78031DBE" w14:textId="2199FD8A" w:rsidR="00323D52" w:rsidRPr="00323D52" w:rsidRDefault="009774F0" w:rsidP="004105EC">
      <w:pPr>
        <w:pStyle w:val="EndnoteText"/>
        <w:rPr>
          <w:lang w:eastAsia="en-AU"/>
        </w:rPr>
      </w:pPr>
      <w:r>
        <w:rPr>
          <w:lang w:eastAsia="en-AU"/>
        </w:rPr>
        <w:t>-- --</w:t>
      </w:r>
      <w:r w:rsidR="00323D52" w:rsidRPr="00323D52">
        <w:rPr>
          <w:lang w:eastAsia="en-AU"/>
        </w:rPr>
        <w:t xml:space="preserve"> 1997</w:t>
      </w:r>
      <w:r w:rsidR="005F613A">
        <w:rPr>
          <w:lang w:eastAsia="en-AU"/>
        </w:rPr>
        <w:t>,</w:t>
      </w:r>
      <w:r w:rsidR="00323D52" w:rsidRPr="00323D52">
        <w:rPr>
          <w:lang w:eastAsia="en-AU"/>
        </w:rPr>
        <w:t xml:space="preserve"> </w:t>
      </w:r>
      <w:r w:rsidR="00323D52" w:rsidRPr="00323D52">
        <w:rPr>
          <w:i/>
          <w:lang w:eastAsia="en-AU"/>
        </w:rPr>
        <w:t>The scale insects of California, Part 3: the armoured scales (Homoptera: Coccoidea: Diaspididae)</w:t>
      </w:r>
      <w:r w:rsidR="00323D52" w:rsidRPr="00323D52">
        <w:rPr>
          <w:lang w:eastAsia="en-AU"/>
        </w:rPr>
        <w:t>, California Department of Food and Agriculture, Sacramento, United States of America.</w:t>
      </w:r>
    </w:p>
    <w:p w14:paraId="2A9903CD" w14:textId="77777777" w:rsidR="00323D52" w:rsidRDefault="00323D52" w:rsidP="004105EC">
      <w:pPr>
        <w:pStyle w:val="EndnoteText"/>
        <w:rPr>
          <w:lang w:eastAsia="en-AU"/>
        </w:rPr>
      </w:pPr>
      <w:r w:rsidRPr="00323D52">
        <w:rPr>
          <w:lang w:eastAsia="en-AU"/>
        </w:rPr>
        <w:t xml:space="preserve">Gill, RJ &amp; Kosztarab, M 1997, ‘Economic importance’, in Y Ben-Dov &amp; CJ Hodgson (eds), </w:t>
      </w:r>
      <w:r w:rsidRPr="00323D52">
        <w:rPr>
          <w:i/>
          <w:lang w:eastAsia="en-AU"/>
        </w:rPr>
        <w:t>Soft scale insects – their biology, natural enemies and control</w:t>
      </w:r>
      <w:r w:rsidRPr="00323D52">
        <w:rPr>
          <w:lang w:eastAsia="en-AU"/>
        </w:rPr>
        <w:t>, pp. 161–163, Elsevier Science, Amsterdam, Netherlands.</w:t>
      </w:r>
    </w:p>
    <w:p w14:paraId="16EFB557" w14:textId="2B2EC1FA" w:rsidR="00FB2C87" w:rsidRPr="00323D52" w:rsidRDefault="00FB2C87" w:rsidP="004105EC">
      <w:pPr>
        <w:pStyle w:val="EndnoteText"/>
        <w:rPr>
          <w:lang w:eastAsia="en-AU"/>
        </w:rPr>
      </w:pPr>
      <w:r w:rsidRPr="00FB2C87">
        <w:rPr>
          <w:lang w:eastAsia="en-AU"/>
        </w:rPr>
        <w:t>Government of Western Australia 201</w:t>
      </w:r>
      <w:r>
        <w:rPr>
          <w:lang w:eastAsia="en-AU"/>
        </w:rPr>
        <w:t>7</w:t>
      </w:r>
      <w:r w:rsidRPr="00FB2C87">
        <w:rPr>
          <w:lang w:eastAsia="en-AU"/>
        </w:rPr>
        <w:t xml:space="preserve">, ‘Western Australia Organism List (WAOL)’, </w:t>
      </w:r>
      <w:r>
        <w:rPr>
          <w:lang w:eastAsia="en-AU"/>
        </w:rPr>
        <w:t>viewed March 2017,</w:t>
      </w:r>
      <w:r w:rsidRPr="00FB2C87">
        <w:rPr>
          <w:lang w:eastAsia="en-AU"/>
        </w:rPr>
        <w:t xml:space="preserve"> </w:t>
      </w:r>
      <w:hyperlink r:id="rId84" w:history="1">
        <w:r>
          <w:rPr>
            <w:rStyle w:val="Hyperlink"/>
            <w:lang w:eastAsia="en-AU"/>
          </w:rPr>
          <w:t>agric.wa.gov.au/bam/western-australian-organism-list-waol</w:t>
        </w:r>
      </w:hyperlink>
      <w:r>
        <w:rPr>
          <w:lang w:eastAsia="en-AU"/>
        </w:rPr>
        <w:t xml:space="preserve"> </w:t>
      </w:r>
    </w:p>
    <w:p w14:paraId="15A8CE1F" w14:textId="77777777" w:rsidR="00323D52" w:rsidRPr="00323D52" w:rsidRDefault="00323D52" w:rsidP="004105EC">
      <w:pPr>
        <w:pStyle w:val="EndnoteText"/>
        <w:rPr>
          <w:lang w:eastAsia="en-AU"/>
        </w:rPr>
      </w:pPr>
      <w:r w:rsidRPr="00323D52">
        <w:rPr>
          <w:lang w:eastAsia="en-AU"/>
        </w:rPr>
        <w:t xml:space="preserve">Grayum, MH, Hammel, BE &amp; Madrigal, QJ 2012, </w:t>
      </w:r>
      <w:r w:rsidR="00213C98">
        <w:rPr>
          <w:lang w:eastAsia="en-AU"/>
        </w:rPr>
        <w:t>‘</w:t>
      </w:r>
      <w:r w:rsidRPr="00323D52">
        <w:rPr>
          <w:lang w:eastAsia="en-AU"/>
        </w:rPr>
        <w:t>Validation of a scientific name for the Tahitian lime</w:t>
      </w:r>
      <w:r w:rsidR="00213C98">
        <w:rPr>
          <w:lang w:eastAsia="en-AU"/>
        </w:rPr>
        <w:t>’</w:t>
      </w:r>
      <w:r w:rsidRPr="00323D52">
        <w:rPr>
          <w:lang w:eastAsia="en-AU"/>
        </w:rPr>
        <w:t xml:space="preserve">, </w:t>
      </w:r>
      <w:r w:rsidRPr="00323D52">
        <w:rPr>
          <w:i/>
          <w:lang w:eastAsia="en-AU"/>
        </w:rPr>
        <w:t>Phytoneuron</w:t>
      </w:r>
      <w:r w:rsidRPr="00323D52">
        <w:rPr>
          <w:lang w:eastAsia="en-AU"/>
        </w:rPr>
        <w:t>, 101, pp. 1–5.</w:t>
      </w:r>
    </w:p>
    <w:p w14:paraId="07F82AFF" w14:textId="77777777" w:rsidR="00323D52" w:rsidRPr="00323D52" w:rsidRDefault="00323D52" w:rsidP="004105EC">
      <w:pPr>
        <w:pStyle w:val="EndnoteText"/>
        <w:rPr>
          <w:lang w:eastAsia="en-AU"/>
        </w:rPr>
      </w:pPr>
      <w:r w:rsidRPr="00323D52">
        <w:rPr>
          <w:lang w:eastAsia="en-AU"/>
        </w:rPr>
        <w:t xml:space="preserve">Greathead, DJ 1997, ‘Crawler behaviour and dispersal’, in Y Ben-Dov &amp; CJ Hodgson (eds), </w:t>
      </w:r>
      <w:r w:rsidRPr="00323D52">
        <w:rPr>
          <w:i/>
          <w:lang w:eastAsia="en-AU"/>
        </w:rPr>
        <w:t>Soft scale insects – their biology, natural enemies and control</w:t>
      </w:r>
      <w:r w:rsidRPr="00323D52">
        <w:rPr>
          <w:lang w:eastAsia="en-AU"/>
        </w:rPr>
        <w:t>, pp. 339–342, Elsevier Science, Amsterdam, Netherlands.</w:t>
      </w:r>
    </w:p>
    <w:p w14:paraId="569620CC" w14:textId="6B2E46A6" w:rsidR="001163A0" w:rsidRDefault="00EF42B3" w:rsidP="004105EC">
      <w:pPr>
        <w:pStyle w:val="EndnoteText"/>
        <w:rPr>
          <w:lang w:eastAsia="en-AU"/>
        </w:rPr>
      </w:pPr>
      <w:r w:rsidRPr="003E6926">
        <w:rPr>
          <w:rFonts w:eastAsia="Times New Roman"/>
          <w:bCs/>
          <w:lang w:eastAsia="en-AU"/>
        </w:rPr>
        <w:t>Grimshaw, JF</w:t>
      </w:r>
      <w:r>
        <w:rPr>
          <w:rFonts w:eastAsia="Times New Roman"/>
          <w:bCs/>
          <w:lang w:eastAsia="en-AU"/>
        </w:rPr>
        <w:t xml:space="preserve"> &amp;</w:t>
      </w:r>
      <w:r w:rsidRPr="003E6926">
        <w:rPr>
          <w:rFonts w:eastAsia="Times New Roman"/>
          <w:lang w:eastAsia="en-AU"/>
        </w:rPr>
        <w:t xml:space="preserve"> </w:t>
      </w:r>
      <w:r w:rsidRPr="003E6926">
        <w:rPr>
          <w:rFonts w:eastAsia="Times New Roman"/>
          <w:bCs/>
          <w:lang w:eastAsia="en-AU"/>
        </w:rPr>
        <w:t>Donaldson, JF</w:t>
      </w:r>
      <w:r w:rsidRPr="003E6926">
        <w:rPr>
          <w:rFonts w:eastAsia="Times New Roman"/>
          <w:lang w:eastAsia="en-AU"/>
        </w:rPr>
        <w:t xml:space="preserve"> 2007</w:t>
      </w:r>
      <w:r>
        <w:rPr>
          <w:rFonts w:eastAsia="Times New Roman"/>
          <w:lang w:eastAsia="en-AU"/>
        </w:rPr>
        <w:t>,</w:t>
      </w:r>
      <w:r w:rsidRPr="003E6926">
        <w:rPr>
          <w:rFonts w:eastAsia="Times New Roman"/>
          <w:lang w:eastAsia="en-AU"/>
        </w:rPr>
        <w:t xml:space="preserve"> New records of mango shield scale </w:t>
      </w:r>
      <w:r w:rsidRPr="003E6926">
        <w:rPr>
          <w:rFonts w:eastAsia="Times New Roman"/>
          <w:i/>
          <w:iCs/>
          <w:lang w:eastAsia="en-AU"/>
        </w:rPr>
        <w:t>Milviscutulus mangiferae</w:t>
      </w:r>
      <w:r w:rsidRPr="003E6926">
        <w:rPr>
          <w:rFonts w:eastAsia="Times New Roman"/>
          <w:lang w:eastAsia="en-AU"/>
        </w:rPr>
        <w:t xml:space="preserve"> (Green) (Hemiptera: Coccidae) and </w:t>
      </w:r>
      <w:r w:rsidRPr="003E6926">
        <w:rPr>
          <w:rFonts w:eastAsia="Times New Roman"/>
          <w:i/>
          <w:iCs/>
          <w:lang w:eastAsia="en-AU"/>
        </w:rPr>
        <w:t>Brevennia rehi</w:t>
      </w:r>
      <w:r>
        <w:rPr>
          <w:rFonts w:eastAsia="Times New Roman"/>
          <w:lang w:eastAsia="en-AU"/>
        </w:rPr>
        <w:t xml:space="preserve"> (Lindinger) (</w:t>
      </w:r>
      <w:r w:rsidRPr="003E6926">
        <w:rPr>
          <w:rFonts w:eastAsia="Times New Roman"/>
          <w:lang w:eastAsia="en-AU"/>
        </w:rPr>
        <w:t xml:space="preserve">Hemiptera: Pseudococcidae) in north Queensland. </w:t>
      </w:r>
      <w:r w:rsidRPr="00E86103">
        <w:rPr>
          <w:rFonts w:eastAsia="Times New Roman"/>
          <w:i/>
          <w:lang w:eastAsia="en-AU"/>
        </w:rPr>
        <w:t>Australian Journal of Entomology</w:t>
      </w:r>
      <w:r w:rsidR="00115E8D">
        <w:rPr>
          <w:rFonts w:eastAsia="Times New Roman"/>
          <w:lang w:eastAsia="en-AU"/>
        </w:rPr>
        <w:t>,</w:t>
      </w:r>
      <w:r w:rsidRPr="003E6926">
        <w:rPr>
          <w:rFonts w:eastAsia="Times New Roman"/>
          <w:lang w:eastAsia="en-AU"/>
        </w:rPr>
        <w:t xml:space="preserve"> 46</w:t>
      </w:r>
      <w:r w:rsidR="00115E8D">
        <w:rPr>
          <w:rFonts w:eastAsia="Times New Roman"/>
          <w:lang w:eastAsia="en-AU"/>
        </w:rPr>
        <w:t>,</w:t>
      </w:r>
      <w:r w:rsidRPr="003E6926">
        <w:rPr>
          <w:rFonts w:eastAsia="Times New Roman"/>
          <w:lang w:eastAsia="en-AU"/>
        </w:rPr>
        <w:t xml:space="preserve"> </w:t>
      </w:r>
      <w:r>
        <w:rPr>
          <w:rFonts w:eastAsia="Times New Roman"/>
          <w:lang w:eastAsia="en-AU"/>
        </w:rPr>
        <w:t xml:space="preserve">pp. </w:t>
      </w:r>
      <w:r w:rsidRPr="003E6926">
        <w:rPr>
          <w:rFonts w:eastAsia="Times New Roman"/>
          <w:lang w:eastAsia="en-AU"/>
        </w:rPr>
        <w:t>96</w:t>
      </w:r>
      <w:r>
        <w:rPr>
          <w:rFonts w:eastAsia="Times New Roman"/>
          <w:lang w:eastAsia="en-AU"/>
        </w:rPr>
        <w:t>–</w:t>
      </w:r>
      <w:r w:rsidRPr="003E6926">
        <w:rPr>
          <w:rFonts w:eastAsia="Times New Roman"/>
          <w:lang w:eastAsia="en-AU"/>
        </w:rPr>
        <w:t>98</w:t>
      </w:r>
      <w:r>
        <w:rPr>
          <w:rFonts w:eastAsia="Times New Roman"/>
          <w:lang w:eastAsia="en-AU"/>
        </w:rPr>
        <w:t>.</w:t>
      </w:r>
    </w:p>
    <w:p w14:paraId="587519BC" w14:textId="77777777" w:rsidR="00323D52" w:rsidRPr="00323D52" w:rsidRDefault="00323D52" w:rsidP="004105EC">
      <w:pPr>
        <w:pStyle w:val="EndnoteText"/>
        <w:rPr>
          <w:lang w:eastAsia="en-AU"/>
        </w:rPr>
      </w:pPr>
      <w:r w:rsidRPr="00323D52">
        <w:rPr>
          <w:lang w:eastAsia="en-AU"/>
        </w:rPr>
        <w:t xml:space="preserve">Gullan, PJ 1997, ‘Relationships with ants’, in Y Ben-Dov &amp; CJ Hodgson (eds), </w:t>
      </w:r>
      <w:r w:rsidRPr="00323D52">
        <w:rPr>
          <w:i/>
          <w:lang w:eastAsia="en-AU"/>
        </w:rPr>
        <w:t>Soft scale insects – their biology, natural enemies and control</w:t>
      </w:r>
      <w:r w:rsidRPr="00323D52">
        <w:rPr>
          <w:lang w:eastAsia="en-AU"/>
        </w:rPr>
        <w:t>, pp. 351–373, Elsevier Science, Amsterdam, Netherlands.</w:t>
      </w:r>
    </w:p>
    <w:p w14:paraId="1F692328" w14:textId="77777777" w:rsidR="00323D52" w:rsidRPr="00323D52" w:rsidRDefault="00323D52" w:rsidP="004105EC">
      <w:pPr>
        <w:pStyle w:val="EndnoteText"/>
        <w:rPr>
          <w:lang w:eastAsia="en-AU"/>
        </w:rPr>
      </w:pPr>
      <w:r w:rsidRPr="00323D52">
        <w:rPr>
          <w:lang w:eastAsia="en-AU"/>
        </w:rPr>
        <w:t xml:space="preserve">Gutierrez, J &amp; Schicha, E 1983, ‘The spider mite family Tetranychidae (Acari) in New South Wales’, </w:t>
      </w:r>
      <w:r w:rsidRPr="00323D52">
        <w:rPr>
          <w:i/>
          <w:lang w:eastAsia="en-AU"/>
        </w:rPr>
        <w:t>International Journal of Acarology</w:t>
      </w:r>
      <w:r w:rsidRPr="00323D52">
        <w:rPr>
          <w:lang w:eastAsia="en-AU"/>
        </w:rPr>
        <w:t>, 9, pp. 99–116.</w:t>
      </w:r>
    </w:p>
    <w:p w14:paraId="1DEEF4A8" w14:textId="77777777" w:rsidR="00C722C5" w:rsidRDefault="00C722C5" w:rsidP="004105EC">
      <w:pPr>
        <w:pStyle w:val="EndnoteText"/>
        <w:rPr>
          <w:lang w:eastAsia="en-AU"/>
        </w:rPr>
      </w:pPr>
      <w:r>
        <w:rPr>
          <w:lang w:eastAsia="en-AU"/>
        </w:rPr>
        <w:t xml:space="preserve">Hamon, AB, Nguyen, R &amp; Browning, H 1990, ‘The bayberry whitefly, </w:t>
      </w:r>
      <w:r w:rsidRPr="00C722C5">
        <w:rPr>
          <w:i/>
          <w:lang w:eastAsia="en-AU"/>
        </w:rPr>
        <w:t>Parabemisia myricae</w:t>
      </w:r>
      <w:r>
        <w:rPr>
          <w:lang w:eastAsia="en-AU"/>
        </w:rPr>
        <w:t xml:space="preserve">, in Florida (Homoptera: Aleyrodidae: Aleyrodinae)’, </w:t>
      </w:r>
      <w:r w:rsidRPr="00C722C5">
        <w:rPr>
          <w:i/>
          <w:lang w:eastAsia="en-AU"/>
        </w:rPr>
        <w:t>Entomology Circular</w:t>
      </w:r>
      <w:r>
        <w:rPr>
          <w:lang w:eastAsia="en-AU"/>
        </w:rPr>
        <w:t xml:space="preserve"> no. 328, Florida Department of Agriculture and Consumer Services.</w:t>
      </w:r>
    </w:p>
    <w:p w14:paraId="732CA0FA" w14:textId="77777777" w:rsidR="00323D52" w:rsidRPr="00323D52" w:rsidRDefault="00323D52" w:rsidP="004105EC">
      <w:pPr>
        <w:pStyle w:val="EndnoteText"/>
        <w:rPr>
          <w:lang w:eastAsia="en-AU"/>
        </w:rPr>
      </w:pPr>
      <w:r w:rsidRPr="00323D52">
        <w:rPr>
          <w:lang w:eastAsia="en-AU"/>
        </w:rPr>
        <w:t xml:space="preserve">Heimoana, V, Leweniqila, L, Tau, D, Tunupopo, F, Nemeye, P, Kassims, A, Quashie-Williams, C, Allwood, A &amp; Leblanc L 1997a, ‘Non-host status as a quarantine treatment option for fruit flies’, in AJ Allwood &amp; RAI Drew (eds), </w:t>
      </w:r>
      <w:r w:rsidRPr="00323D52">
        <w:rPr>
          <w:i/>
          <w:lang w:eastAsia="en-AU"/>
        </w:rPr>
        <w:t>Management of fruit flies in the Pacific. A regional symposium, Nadi, Fiji 28-31 October 1996</w:t>
      </w:r>
      <w:r w:rsidRPr="00323D52">
        <w:rPr>
          <w:lang w:eastAsia="en-AU"/>
        </w:rPr>
        <w:t>, pp. 225–231, Australian Centre for International Agricultural Research, Canberra.</w:t>
      </w:r>
    </w:p>
    <w:p w14:paraId="12288FC2" w14:textId="0A62A50F" w:rsidR="00323D52" w:rsidRPr="00323D52" w:rsidRDefault="00323D52" w:rsidP="004105EC">
      <w:pPr>
        <w:pStyle w:val="EndnoteText"/>
        <w:rPr>
          <w:lang w:eastAsia="en-AU"/>
        </w:rPr>
      </w:pPr>
      <w:r w:rsidRPr="00323D52">
        <w:rPr>
          <w:lang w:eastAsia="en-AU"/>
        </w:rPr>
        <w:t xml:space="preserve">Heimoana, V, Tunupopo, F, Toleafoa, E &amp; Fakanaiki, C 1997b, ‘The Fruit Fly Fauna of Tonga, Western Samoa, American Samoa and Niue’, in AJ Allwood &amp; RAI Drew (eds) </w:t>
      </w:r>
      <w:r w:rsidRPr="00323D52">
        <w:rPr>
          <w:i/>
          <w:lang w:eastAsia="en-AU"/>
        </w:rPr>
        <w:t>Management of fruit flies in the Pacific. A regional symposium, Nadi, Fiji 28</w:t>
      </w:r>
      <w:r w:rsidR="00DB0B4C">
        <w:rPr>
          <w:i/>
          <w:lang w:eastAsia="en-AU"/>
        </w:rPr>
        <w:t>–</w:t>
      </w:r>
      <w:r w:rsidRPr="00323D52">
        <w:rPr>
          <w:i/>
          <w:lang w:eastAsia="en-AU"/>
        </w:rPr>
        <w:t>31 October 1996</w:t>
      </w:r>
      <w:r w:rsidRPr="00323D52">
        <w:rPr>
          <w:lang w:eastAsia="en-AU"/>
        </w:rPr>
        <w:t>, pp. 57</w:t>
      </w:r>
      <w:r w:rsidR="00DB0B4C">
        <w:rPr>
          <w:lang w:eastAsia="en-AU"/>
        </w:rPr>
        <w:t>–</w:t>
      </w:r>
      <w:r w:rsidRPr="00323D52">
        <w:rPr>
          <w:lang w:eastAsia="en-AU"/>
        </w:rPr>
        <w:t>59, Australian Centre for International Agricultural Research, Canberra.</w:t>
      </w:r>
    </w:p>
    <w:p w14:paraId="391FBF8C" w14:textId="77777777" w:rsidR="00323D52" w:rsidRPr="00323D52" w:rsidRDefault="00323D52" w:rsidP="004105EC">
      <w:pPr>
        <w:pStyle w:val="EndnoteText"/>
        <w:rPr>
          <w:lang w:eastAsia="en-AU"/>
        </w:rPr>
      </w:pPr>
      <w:r w:rsidRPr="00211BE4">
        <w:rPr>
          <w:lang w:eastAsia="en-AU"/>
        </w:rPr>
        <w:t>Hill, DS</w:t>
      </w:r>
      <w:r w:rsidRPr="00323D52">
        <w:rPr>
          <w:lang w:eastAsia="en-AU"/>
        </w:rPr>
        <w:t xml:space="preserve"> 2008, </w:t>
      </w:r>
      <w:r w:rsidRPr="00323D52">
        <w:rPr>
          <w:i/>
          <w:lang w:eastAsia="en-AU"/>
        </w:rPr>
        <w:t>Pests of crops in warmer climates and their control</w:t>
      </w:r>
      <w:r w:rsidRPr="00323D52">
        <w:rPr>
          <w:lang w:eastAsia="en-AU"/>
        </w:rPr>
        <w:t>, Springer-Verlag, New York, USA.</w:t>
      </w:r>
    </w:p>
    <w:p w14:paraId="12042EEF" w14:textId="77777777" w:rsidR="00323D52" w:rsidRPr="00323D52" w:rsidRDefault="00323D52" w:rsidP="004105EC">
      <w:pPr>
        <w:pStyle w:val="EndnoteText"/>
        <w:rPr>
          <w:lang w:eastAsia="en-AU"/>
        </w:rPr>
      </w:pPr>
      <w:r w:rsidRPr="00323D52">
        <w:rPr>
          <w:lang w:eastAsia="en-AU"/>
        </w:rPr>
        <w:t xml:space="preserve">Hodgson, CJ 1994, </w:t>
      </w:r>
      <w:r w:rsidRPr="00323D52">
        <w:rPr>
          <w:i/>
          <w:lang w:eastAsia="en-AU"/>
        </w:rPr>
        <w:t>The scale insect family Coccidae. An identification manual to genera</w:t>
      </w:r>
      <w:r w:rsidRPr="00323D52">
        <w:rPr>
          <w:lang w:eastAsia="en-AU"/>
        </w:rPr>
        <w:t>, CAB International, Wallingford, United Kingdom.</w:t>
      </w:r>
    </w:p>
    <w:p w14:paraId="45894ED5" w14:textId="77777777" w:rsidR="00F867C0" w:rsidRDefault="00F867C0" w:rsidP="004105EC">
      <w:pPr>
        <w:pStyle w:val="EndnoteText"/>
        <w:rPr>
          <w:lang w:eastAsia="en-AU"/>
        </w:rPr>
      </w:pPr>
      <w:r>
        <w:rPr>
          <w:lang w:eastAsia="en-AU"/>
        </w:rPr>
        <w:t xml:space="preserve">Holat, D, Kaydan, MB, Mustu, M 2014, ‘Investigations on some biological characters of </w:t>
      </w:r>
      <w:r w:rsidRPr="00DB0B4C">
        <w:rPr>
          <w:i/>
          <w:lang w:eastAsia="en-AU"/>
        </w:rPr>
        <w:t>Pseudococcus</w:t>
      </w:r>
      <w:r>
        <w:rPr>
          <w:lang w:eastAsia="en-AU"/>
        </w:rPr>
        <w:t xml:space="preserve"> </w:t>
      </w:r>
      <w:r w:rsidRPr="00DB0B4C">
        <w:rPr>
          <w:i/>
          <w:lang w:eastAsia="en-AU"/>
        </w:rPr>
        <w:t>cryptus</w:t>
      </w:r>
      <w:r>
        <w:rPr>
          <w:lang w:eastAsia="en-AU"/>
        </w:rPr>
        <w:t xml:space="preserve"> (Hempel) (Hemiptera: Pseudococcidae) on four </w:t>
      </w:r>
      <w:r w:rsidRPr="00F867C0">
        <w:rPr>
          <w:i/>
          <w:lang w:eastAsia="en-AU"/>
        </w:rPr>
        <w:t>Citrus</w:t>
      </w:r>
      <w:r>
        <w:rPr>
          <w:lang w:eastAsia="en-AU"/>
        </w:rPr>
        <w:t xml:space="preserve"> species’, </w:t>
      </w:r>
      <w:r w:rsidRPr="00F867C0">
        <w:rPr>
          <w:i/>
          <w:lang w:eastAsia="en-AU"/>
        </w:rPr>
        <w:t>Acta Zoologica Bulgarica</w:t>
      </w:r>
      <w:r>
        <w:rPr>
          <w:lang w:eastAsia="en-AU"/>
        </w:rPr>
        <w:t>, Supplement 6, pp. 35–40.</w:t>
      </w:r>
    </w:p>
    <w:p w14:paraId="3FA20A36" w14:textId="77777777" w:rsidR="00F43BE0" w:rsidRDefault="00EF42B3" w:rsidP="004105EC">
      <w:pPr>
        <w:pStyle w:val="EndnoteText"/>
        <w:rPr>
          <w:lang w:eastAsia="en-AU"/>
        </w:rPr>
      </w:pPr>
      <w:r w:rsidRPr="00EF42B3">
        <w:rPr>
          <w:lang w:eastAsia="en-AU"/>
        </w:rPr>
        <w:t xml:space="preserve">Hollis, D &amp; Eastop, VH 2005, ‘Superfamily Aphidoidea’, Australian Faunal Directory. Australian Biological Resources Study, Canberra. </w:t>
      </w:r>
    </w:p>
    <w:p w14:paraId="5671F700" w14:textId="2EEF004B" w:rsidR="00B329A2" w:rsidRDefault="00B329A2" w:rsidP="0086675E">
      <w:pPr>
        <w:pStyle w:val="EndnoteText"/>
        <w:rPr>
          <w:lang w:eastAsia="en-AU"/>
        </w:rPr>
      </w:pPr>
      <w:r>
        <w:rPr>
          <w:lang w:eastAsia="en-AU"/>
        </w:rPr>
        <w:t xml:space="preserve">Hou, X, Huang, F, Zhang, T, Xu, J, Hyde, DK &amp; Li, H 2014, ‘Pathotypes and genetic diversity of Chinese collections of </w:t>
      </w:r>
      <w:r w:rsidRPr="00B329A2">
        <w:rPr>
          <w:i/>
          <w:lang w:eastAsia="en-AU"/>
        </w:rPr>
        <w:t>Elsinoe fawcettii</w:t>
      </w:r>
      <w:r>
        <w:rPr>
          <w:lang w:eastAsia="en-AU"/>
        </w:rPr>
        <w:t xml:space="preserve"> causing citrus scab’, </w:t>
      </w:r>
      <w:r w:rsidRPr="00B329A2">
        <w:rPr>
          <w:i/>
          <w:lang w:eastAsia="en-AU"/>
        </w:rPr>
        <w:t>Journal of Integrative Agriculture</w:t>
      </w:r>
      <w:r>
        <w:rPr>
          <w:lang w:eastAsia="en-AU"/>
        </w:rPr>
        <w:t>, 13, pp. 1293–1302.</w:t>
      </w:r>
    </w:p>
    <w:p w14:paraId="466E825F" w14:textId="77777777" w:rsidR="001163A0" w:rsidRDefault="001163A0" w:rsidP="0086675E">
      <w:pPr>
        <w:pStyle w:val="EndnoteText"/>
        <w:rPr>
          <w:lang w:eastAsia="en-AU"/>
        </w:rPr>
      </w:pPr>
      <w:r>
        <w:rPr>
          <w:lang w:eastAsia="en-AU"/>
        </w:rPr>
        <w:t>Houston</w:t>
      </w:r>
      <w:r w:rsidR="0086675E">
        <w:rPr>
          <w:lang w:eastAsia="en-AU"/>
        </w:rPr>
        <w:t>, WWK</w:t>
      </w:r>
      <w:r>
        <w:rPr>
          <w:lang w:eastAsia="en-AU"/>
        </w:rPr>
        <w:t xml:space="preserve"> 2002,</w:t>
      </w:r>
      <w:r w:rsidR="0086675E">
        <w:rPr>
          <w:lang w:eastAsia="en-AU"/>
        </w:rPr>
        <w:t xml:space="preserve"> </w:t>
      </w:r>
      <w:r w:rsidR="00A52353">
        <w:rPr>
          <w:lang w:eastAsia="en-AU"/>
        </w:rPr>
        <w:t>‘</w:t>
      </w:r>
      <w:r w:rsidR="0086675E">
        <w:rPr>
          <w:lang w:eastAsia="en-AU"/>
        </w:rPr>
        <w:t>Superfamily Coccoidea (mealy bugs, scale insects)</w:t>
      </w:r>
      <w:r w:rsidR="00A52353">
        <w:rPr>
          <w:lang w:eastAsia="en-AU"/>
        </w:rPr>
        <w:t xml:space="preserve">’. </w:t>
      </w:r>
      <w:r w:rsidR="00A52353" w:rsidRPr="00A52353">
        <w:rPr>
          <w:lang w:eastAsia="en-AU"/>
        </w:rPr>
        <w:t>Australian Faunal Directory. Australian Biological Resources Study, Canberra.</w:t>
      </w:r>
    </w:p>
    <w:p w14:paraId="188C5EAA" w14:textId="3BB26515" w:rsidR="00323D52" w:rsidRPr="00323D52" w:rsidRDefault="00323D52" w:rsidP="004105EC">
      <w:pPr>
        <w:pStyle w:val="EndnoteText"/>
        <w:rPr>
          <w:lang w:eastAsia="en-AU"/>
        </w:rPr>
      </w:pPr>
      <w:r w:rsidRPr="00323D52">
        <w:rPr>
          <w:lang w:eastAsia="en-AU"/>
        </w:rPr>
        <w:t xml:space="preserve">Hyun, JW, Yi, SH, MacKenzie, SJ, Timmer, LW, Kim, KS, Kang, SK, Kwon, HM &amp; Lim HC 2009, ‘Pathotypes and genetic relationship of worldwide collections of </w:t>
      </w:r>
      <w:r w:rsidRPr="00323D52">
        <w:rPr>
          <w:i/>
          <w:lang w:eastAsia="en-AU"/>
        </w:rPr>
        <w:t>Elsino</w:t>
      </w:r>
      <w:r w:rsidR="00DB0B4C">
        <w:rPr>
          <w:i/>
          <w:lang w:eastAsia="en-AU"/>
        </w:rPr>
        <w:t>ë</w:t>
      </w:r>
      <w:r w:rsidRPr="00323D52">
        <w:rPr>
          <w:lang w:eastAsia="en-AU"/>
        </w:rPr>
        <w:t xml:space="preserve"> spp. causing scab diseases of citrus’, </w:t>
      </w:r>
      <w:r w:rsidRPr="00323D52">
        <w:rPr>
          <w:i/>
          <w:lang w:eastAsia="en-AU"/>
        </w:rPr>
        <w:t>Phytopathology</w:t>
      </w:r>
      <w:r w:rsidRPr="00323D52">
        <w:rPr>
          <w:lang w:eastAsia="en-AU"/>
        </w:rPr>
        <w:t>, 99, pp. 721–728.</w:t>
      </w:r>
    </w:p>
    <w:p w14:paraId="5C1865AA" w14:textId="77777777" w:rsidR="00323D52" w:rsidRPr="00323D52" w:rsidRDefault="00323D52" w:rsidP="004105EC">
      <w:pPr>
        <w:pStyle w:val="EndnoteText"/>
        <w:rPr>
          <w:lang w:eastAsia="en-AU"/>
        </w:rPr>
      </w:pPr>
      <w:r w:rsidRPr="00323D52">
        <w:rPr>
          <w:lang w:eastAsia="en-AU"/>
        </w:rPr>
        <w:t>Johnston, PR &amp; Fullerton, RA 1988, ‘</w:t>
      </w:r>
      <w:r w:rsidRPr="00323D52">
        <w:rPr>
          <w:i/>
          <w:lang w:eastAsia="en-AU"/>
        </w:rPr>
        <w:t>Cryptosporiopsis citri</w:t>
      </w:r>
      <w:r w:rsidRPr="00323D52">
        <w:rPr>
          <w:lang w:eastAsia="en-AU"/>
        </w:rPr>
        <w:t xml:space="preserve"> sp. nov.; cause of a Citrus leaf spot in the Pacific Islands’, </w:t>
      </w:r>
      <w:r w:rsidRPr="00323D52">
        <w:rPr>
          <w:i/>
          <w:lang w:eastAsia="en-AU"/>
        </w:rPr>
        <w:t>New Zealand Journal of Experimental Agriculture</w:t>
      </w:r>
      <w:r w:rsidRPr="00323D52">
        <w:rPr>
          <w:lang w:eastAsia="en-AU"/>
        </w:rPr>
        <w:t>, 16, pp. 159–163.</w:t>
      </w:r>
    </w:p>
    <w:p w14:paraId="2F0116A8" w14:textId="77777777" w:rsidR="00323D52" w:rsidRPr="00323D52" w:rsidRDefault="00323D52" w:rsidP="004105EC">
      <w:pPr>
        <w:pStyle w:val="EndnoteText"/>
        <w:rPr>
          <w:lang w:eastAsia="en-AU"/>
        </w:rPr>
      </w:pPr>
      <w:r w:rsidRPr="00323D52">
        <w:rPr>
          <w:lang w:eastAsia="en-AU"/>
        </w:rPr>
        <w:t xml:space="preserve">Kaszab, Z 1955, ‘Die Tenebrioniden der Samoa-Inseln (Coleoptera)’, </w:t>
      </w:r>
      <w:r w:rsidRPr="00323D52">
        <w:rPr>
          <w:i/>
          <w:lang w:eastAsia="en-AU"/>
        </w:rPr>
        <w:t>Proceedings, Hawaiian Entomological Society</w:t>
      </w:r>
      <w:r w:rsidRPr="00323D52">
        <w:rPr>
          <w:lang w:eastAsia="en-AU"/>
        </w:rPr>
        <w:t>, 15, pp. 631–671.</w:t>
      </w:r>
    </w:p>
    <w:p w14:paraId="57CEF416" w14:textId="77777777" w:rsidR="00323D52" w:rsidRPr="00323D52" w:rsidRDefault="00323D52" w:rsidP="004105EC">
      <w:pPr>
        <w:pStyle w:val="EndnoteText"/>
        <w:rPr>
          <w:lang w:eastAsia="en-AU"/>
        </w:rPr>
      </w:pPr>
      <w:r w:rsidRPr="00323D52">
        <w:rPr>
          <w:lang w:eastAsia="en-AU"/>
        </w:rPr>
        <w:t xml:space="preserve">Kim, SC, Song, JH &amp; Kim, DS 2008, ‘Effect of temperature on the development and fecundity of the cryptic mealybug, </w:t>
      </w:r>
      <w:r w:rsidRPr="00323D52">
        <w:rPr>
          <w:i/>
          <w:lang w:eastAsia="en-AU"/>
        </w:rPr>
        <w:t>Pseudococcus cryptus</w:t>
      </w:r>
      <w:r w:rsidRPr="00323D52">
        <w:rPr>
          <w:lang w:eastAsia="en-AU"/>
        </w:rPr>
        <w:t xml:space="preserve">, in the laboratory’, </w:t>
      </w:r>
      <w:r w:rsidRPr="00323D52">
        <w:rPr>
          <w:i/>
          <w:lang w:eastAsia="en-AU"/>
        </w:rPr>
        <w:t>Journal of Asia-Pacific Entomology</w:t>
      </w:r>
      <w:r w:rsidRPr="00323D52">
        <w:rPr>
          <w:lang w:eastAsia="en-AU"/>
        </w:rPr>
        <w:t>, 11, pp. 149–153.</w:t>
      </w:r>
    </w:p>
    <w:p w14:paraId="3976CDA7" w14:textId="45DCB783" w:rsidR="00661B54" w:rsidRDefault="00661B54" w:rsidP="004105EC">
      <w:pPr>
        <w:pStyle w:val="EndnoteText"/>
        <w:rPr>
          <w:lang w:eastAsia="en-AU"/>
        </w:rPr>
      </w:pPr>
      <w:r>
        <w:rPr>
          <w:lang w:eastAsia="en-AU"/>
        </w:rPr>
        <w:t>Kondo</w:t>
      </w:r>
      <w:r w:rsidR="00195670">
        <w:rPr>
          <w:lang w:eastAsia="en-AU"/>
        </w:rPr>
        <w:t>,</w:t>
      </w:r>
      <w:r>
        <w:rPr>
          <w:lang w:eastAsia="en-AU"/>
        </w:rPr>
        <w:t xml:space="preserve"> </w:t>
      </w:r>
      <w:r w:rsidR="00195670">
        <w:rPr>
          <w:lang w:eastAsia="en-AU"/>
        </w:rPr>
        <w:t xml:space="preserve">T and Munoz, JA 2016, ‘Scale insects (Hemiptera: Coccoidea) associated with avocado crop, </w:t>
      </w:r>
      <w:r w:rsidR="00195670" w:rsidRPr="00195670">
        <w:rPr>
          <w:i/>
          <w:lang w:eastAsia="en-AU"/>
        </w:rPr>
        <w:t>Persea americana</w:t>
      </w:r>
      <w:r w:rsidR="00195670">
        <w:rPr>
          <w:lang w:eastAsia="en-AU"/>
        </w:rPr>
        <w:t xml:space="preserve"> Mill. (Lauraceae) in Valle del Cauca and neighboring departments of Colombia’, </w:t>
      </w:r>
      <w:r w:rsidR="00195670" w:rsidRPr="00195670">
        <w:rPr>
          <w:i/>
          <w:lang w:eastAsia="en-AU"/>
        </w:rPr>
        <w:t>Insecta Mundi</w:t>
      </w:r>
      <w:r w:rsidR="00DB0B4C">
        <w:rPr>
          <w:lang w:eastAsia="en-AU"/>
        </w:rPr>
        <w:t>,</w:t>
      </w:r>
      <w:r w:rsidR="00195670">
        <w:rPr>
          <w:lang w:eastAsia="en-AU"/>
        </w:rPr>
        <w:t xml:space="preserve"> 0465, pp. 1–24.</w:t>
      </w:r>
    </w:p>
    <w:p w14:paraId="1DBC5B75" w14:textId="77777777" w:rsidR="00323D52" w:rsidRPr="00323D52" w:rsidRDefault="00323D52" w:rsidP="004105EC">
      <w:pPr>
        <w:pStyle w:val="EndnoteText"/>
        <w:rPr>
          <w:lang w:eastAsia="en-AU"/>
        </w:rPr>
      </w:pPr>
      <w:r w:rsidRPr="00323D52">
        <w:rPr>
          <w:lang w:eastAsia="en-AU"/>
        </w:rPr>
        <w:t xml:space="preserve">Ladaniya, M 2008, </w:t>
      </w:r>
      <w:r w:rsidRPr="00323D52">
        <w:rPr>
          <w:i/>
          <w:lang w:eastAsia="en-AU"/>
        </w:rPr>
        <w:t>Citrus fruit: biology, technology and evaluation</w:t>
      </w:r>
      <w:r w:rsidRPr="00323D52">
        <w:rPr>
          <w:lang w:eastAsia="en-AU"/>
        </w:rPr>
        <w:t>, Academic Press, San Diego, USA.</w:t>
      </w:r>
    </w:p>
    <w:p w14:paraId="5E0D5E89" w14:textId="77777777" w:rsidR="00323D52" w:rsidRPr="00323D52" w:rsidRDefault="00323D52" w:rsidP="004105EC">
      <w:pPr>
        <w:pStyle w:val="EndnoteText"/>
        <w:rPr>
          <w:lang w:eastAsia="en-AU"/>
        </w:rPr>
      </w:pPr>
      <w:r w:rsidRPr="00323D52">
        <w:rPr>
          <w:lang w:eastAsia="en-AU"/>
        </w:rPr>
        <w:t xml:space="preserve">Leblanc, L, Tora Vueti, E, Drew, RAI &amp; Allwood, AJ 2012, ‘Host Plant Records for Fruit Flies (Diptera: Tephritidae: Dacini) in the Pacific Islands’, </w:t>
      </w:r>
      <w:r w:rsidRPr="00323D52">
        <w:rPr>
          <w:i/>
          <w:lang w:eastAsia="en-AU"/>
        </w:rPr>
        <w:t>Proceedings of the Hawaiian Entomological Society</w:t>
      </w:r>
      <w:r w:rsidRPr="00323D52">
        <w:rPr>
          <w:lang w:eastAsia="en-AU"/>
        </w:rPr>
        <w:t>, 44, pp. 11–53.</w:t>
      </w:r>
    </w:p>
    <w:p w14:paraId="41F08F1A" w14:textId="77777777" w:rsidR="00323D52" w:rsidRPr="00323D52" w:rsidRDefault="00323D52" w:rsidP="004105EC">
      <w:pPr>
        <w:pStyle w:val="EndnoteText"/>
        <w:rPr>
          <w:lang w:eastAsia="en-AU"/>
        </w:rPr>
      </w:pPr>
      <w:r w:rsidRPr="00323D52">
        <w:rPr>
          <w:lang w:eastAsia="en-AU"/>
        </w:rPr>
        <w:t xml:space="preserve">Letham, DB 1995, </w:t>
      </w:r>
      <w:r w:rsidRPr="00323D52">
        <w:rPr>
          <w:i/>
          <w:lang w:eastAsia="en-AU"/>
        </w:rPr>
        <w:t>Host-pathogen index of plant diseases in New South Wales</w:t>
      </w:r>
      <w:r w:rsidRPr="00323D52">
        <w:rPr>
          <w:lang w:eastAsia="en-AU"/>
        </w:rPr>
        <w:t>. New South Wales Agriculture, Rydalmere, Australia.</w:t>
      </w:r>
    </w:p>
    <w:p w14:paraId="44AEB069" w14:textId="3F78F11C" w:rsidR="0019462A" w:rsidRDefault="0019462A" w:rsidP="004105EC">
      <w:pPr>
        <w:pStyle w:val="EndnoteText"/>
        <w:rPr>
          <w:lang w:eastAsia="en-AU"/>
        </w:rPr>
      </w:pPr>
      <w:r>
        <w:rPr>
          <w:lang w:eastAsia="en-AU"/>
        </w:rPr>
        <w:t xml:space="preserve">Malumphy, C 2014, ‘An annotated checklist of scale insects (Hemiptera: Coccoidea) of Saint Lucia, Lesser Antilles’, </w:t>
      </w:r>
      <w:r w:rsidRPr="0019462A">
        <w:rPr>
          <w:i/>
          <w:lang w:eastAsia="en-AU"/>
        </w:rPr>
        <w:t>Zootaxa</w:t>
      </w:r>
      <w:r w:rsidR="00DB0B4C">
        <w:rPr>
          <w:lang w:eastAsia="en-AU"/>
        </w:rPr>
        <w:t>,</w:t>
      </w:r>
      <w:r>
        <w:rPr>
          <w:lang w:eastAsia="en-AU"/>
        </w:rPr>
        <w:t xml:space="preserve"> 3846, pp. 69–86.</w:t>
      </w:r>
    </w:p>
    <w:p w14:paraId="3954684E" w14:textId="77777777" w:rsidR="00E97D9D" w:rsidRDefault="00E97D9D" w:rsidP="004105EC">
      <w:pPr>
        <w:pStyle w:val="EndnoteText"/>
        <w:rPr>
          <w:lang w:eastAsia="en-AU"/>
        </w:rPr>
      </w:pPr>
      <w:r w:rsidRPr="00E97D9D">
        <w:rPr>
          <w:lang w:eastAsia="en-AU"/>
        </w:rPr>
        <w:t>Martin, PH, &amp; Gillespie, PS 2001, ‘Superfamily Aleyrodoidea: white flies’, Australian Faunal Directory. Australian Biological Resources Study, Canberra.</w:t>
      </w:r>
    </w:p>
    <w:p w14:paraId="693515EC" w14:textId="763239D2" w:rsidR="00323D52" w:rsidRPr="00323D52" w:rsidRDefault="00323D52" w:rsidP="004105EC">
      <w:pPr>
        <w:pStyle w:val="EndnoteText"/>
        <w:rPr>
          <w:lang w:eastAsia="en-AU"/>
        </w:rPr>
      </w:pPr>
      <w:r w:rsidRPr="00323D52">
        <w:rPr>
          <w:lang w:eastAsia="en-AU"/>
        </w:rPr>
        <w:t xml:space="preserve">Martin Kessing, JL, Mau, RFL &amp; Diez, JM 2007a, </w:t>
      </w:r>
      <w:r w:rsidRPr="00323D52">
        <w:rPr>
          <w:i/>
          <w:lang w:eastAsia="en-AU"/>
        </w:rPr>
        <w:t>Abgrallaspis cyanophylli (Signoret)</w:t>
      </w:r>
      <w:r w:rsidRPr="00323D52">
        <w:rPr>
          <w:lang w:eastAsia="en-AU"/>
        </w:rPr>
        <w:t xml:space="preserve">, Crop Knowledge Master, Extension Entomology and UH-CTAHR Integrated Pest Management Program, viewed </w:t>
      </w:r>
      <w:r w:rsidR="00A23B9E">
        <w:rPr>
          <w:lang w:eastAsia="en-AU"/>
        </w:rPr>
        <w:t xml:space="preserve">March </w:t>
      </w:r>
      <w:r w:rsidRPr="00323D52">
        <w:rPr>
          <w:lang w:eastAsia="en-AU"/>
        </w:rPr>
        <w:t>201</w:t>
      </w:r>
      <w:r w:rsidR="00A23B9E">
        <w:rPr>
          <w:lang w:eastAsia="en-AU"/>
        </w:rPr>
        <w:t>6</w:t>
      </w:r>
      <w:r w:rsidRPr="00323D52">
        <w:rPr>
          <w:lang w:eastAsia="en-AU"/>
        </w:rPr>
        <w:t xml:space="preserve">, </w:t>
      </w:r>
      <w:hyperlink r:id="rId85" w:history="1">
        <w:r w:rsidRPr="00323D52">
          <w:rPr>
            <w:color w:val="165788"/>
            <w:u w:val="single"/>
            <w:lang w:eastAsia="en-AU"/>
          </w:rPr>
          <w:t>extento.hawaii.edu/kbase/Crop/Type/a_cyanop.htm</w:t>
        </w:r>
      </w:hyperlink>
      <w:r w:rsidRPr="00323D52">
        <w:rPr>
          <w:lang w:eastAsia="en-AU"/>
        </w:rPr>
        <w:t>.</w:t>
      </w:r>
    </w:p>
    <w:p w14:paraId="3496E9F5" w14:textId="14D69D3D" w:rsidR="00323D52" w:rsidRPr="00323D52" w:rsidRDefault="009774F0" w:rsidP="004105EC">
      <w:pPr>
        <w:pStyle w:val="EndnoteText"/>
        <w:rPr>
          <w:lang w:eastAsia="en-AU"/>
        </w:rPr>
      </w:pPr>
      <w:r>
        <w:rPr>
          <w:lang w:eastAsia="en-AU"/>
        </w:rPr>
        <w:t>-- --</w:t>
      </w:r>
      <w:r w:rsidR="00323D52" w:rsidRPr="00323D52">
        <w:rPr>
          <w:lang w:eastAsia="en-AU"/>
        </w:rPr>
        <w:t xml:space="preserve"> 2007b, </w:t>
      </w:r>
      <w:r w:rsidR="00323D52" w:rsidRPr="00323D52">
        <w:rPr>
          <w:i/>
          <w:lang w:eastAsia="en-AU"/>
        </w:rPr>
        <w:t xml:space="preserve">Aspidiotus destructor </w:t>
      </w:r>
      <w:r w:rsidR="00323D52" w:rsidRPr="009B250F">
        <w:rPr>
          <w:lang w:eastAsia="en-AU"/>
        </w:rPr>
        <w:t>(Signoret)</w:t>
      </w:r>
      <w:r w:rsidR="00323D52" w:rsidRPr="00115E8D">
        <w:rPr>
          <w:lang w:eastAsia="en-AU"/>
        </w:rPr>
        <w:t>,</w:t>
      </w:r>
      <w:r w:rsidR="00323D52" w:rsidRPr="00323D52">
        <w:rPr>
          <w:lang w:eastAsia="en-AU"/>
        </w:rPr>
        <w:t xml:space="preserve"> Crop Knowledge Master, Extension Entomology and UH-CTAHR Integrated Pest Management Program, viewed </w:t>
      </w:r>
      <w:r w:rsidR="00A23B9E">
        <w:rPr>
          <w:lang w:eastAsia="en-AU"/>
        </w:rPr>
        <w:t>March</w:t>
      </w:r>
      <w:r w:rsidR="00323D52" w:rsidRPr="00323D52">
        <w:rPr>
          <w:lang w:eastAsia="en-AU"/>
        </w:rPr>
        <w:t xml:space="preserve"> 201</w:t>
      </w:r>
      <w:r w:rsidR="00A23B9E">
        <w:rPr>
          <w:lang w:eastAsia="en-AU"/>
        </w:rPr>
        <w:t>6</w:t>
      </w:r>
      <w:r w:rsidR="00323D52" w:rsidRPr="00323D52">
        <w:rPr>
          <w:lang w:eastAsia="en-AU"/>
        </w:rPr>
        <w:t xml:space="preserve">, </w:t>
      </w:r>
      <w:hyperlink r:id="rId86" w:history="1">
        <w:r w:rsidR="00323D52" w:rsidRPr="00323D52">
          <w:rPr>
            <w:color w:val="165788"/>
            <w:u w:val="single"/>
            <w:lang w:eastAsia="en-AU"/>
          </w:rPr>
          <w:t>extento.hawaii.edu/kbase/crop/type/a_destru.htm</w:t>
        </w:r>
      </w:hyperlink>
      <w:r w:rsidR="00323D52" w:rsidRPr="00323D52">
        <w:rPr>
          <w:lang w:eastAsia="en-AU"/>
        </w:rPr>
        <w:t xml:space="preserve"> </w:t>
      </w:r>
    </w:p>
    <w:p w14:paraId="1C9A3313" w14:textId="1DF71457" w:rsidR="00323D52" w:rsidRPr="00323D52" w:rsidRDefault="009774F0" w:rsidP="004105EC">
      <w:pPr>
        <w:pStyle w:val="EndnoteText"/>
        <w:rPr>
          <w:lang w:eastAsia="en-AU"/>
        </w:rPr>
      </w:pPr>
      <w:r>
        <w:rPr>
          <w:lang w:eastAsia="en-AU"/>
        </w:rPr>
        <w:t>-- --</w:t>
      </w:r>
      <w:r w:rsidR="00323D52" w:rsidRPr="00323D52">
        <w:rPr>
          <w:lang w:eastAsia="en-AU"/>
        </w:rPr>
        <w:t xml:space="preserve"> 2007c, </w:t>
      </w:r>
      <w:r w:rsidR="00323D52" w:rsidRPr="00213C98">
        <w:rPr>
          <w:i/>
          <w:lang w:eastAsia="en-AU"/>
        </w:rPr>
        <w:t>Dysmicoccus neobrevipes</w:t>
      </w:r>
      <w:r w:rsidR="00323D52" w:rsidRPr="00323D52">
        <w:rPr>
          <w:lang w:eastAsia="en-AU"/>
        </w:rPr>
        <w:t xml:space="preserve"> (Beardsley), Crop Knowledge Master, Extension Entomology and UH-CTAHR Integrated Pest Management Program, viewed </w:t>
      </w:r>
      <w:r w:rsidR="00A23B9E">
        <w:rPr>
          <w:lang w:eastAsia="en-AU"/>
        </w:rPr>
        <w:t>March</w:t>
      </w:r>
      <w:r w:rsidR="00323D52" w:rsidRPr="00323D52">
        <w:rPr>
          <w:lang w:eastAsia="en-AU"/>
        </w:rPr>
        <w:t xml:space="preserve"> 201</w:t>
      </w:r>
      <w:r w:rsidR="00A23B9E">
        <w:rPr>
          <w:lang w:eastAsia="en-AU"/>
        </w:rPr>
        <w:t>6</w:t>
      </w:r>
      <w:r w:rsidR="00323D52" w:rsidRPr="00323D52">
        <w:rPr>
          <w:lang w:eastAsia="en-AU"/>
        </w:rPr>
        <w:t xml:space="preserve">, </w:t>
      </w:r>
      <w:hyperlink r:id="rId87" w:history="1">
        <w:r w:rsidR="00323D52" w:rsidRPr="00323D52">
          <w:rPr>
            <w:color w:val="165788"/>
            <w:u w:val="single"/>
            <w:lang w:eastAsia="en-AU"/>
          </w:rPr>
          <w:t>extento.hawaii.edu/kbase/crop/type/d_neobre.htm</w:t>
        </w:r>
      </w:hyperlink>
    </w:p>
    <w:p w14:paraId="62A615ED" w14:textId="77777777" w:rsidR="008B5249" w:rsidRDefault="008633E6" w:rsidP="004105EC">
      <w:pPr>
        <w:pStyle w:val="EndnoteText"/>
        <w:rPr>
          <w:lang w:eastAsia="en-AU"/>
        </w:rPr>
      </w:pPr>
      <w:r>
        <w:rPr>
          <w:lang w:eastAsia="en-AU"/>
        </w:rPr>
        <w:t xml:space="preserve">Masten Milek, </w:t>
      </w:r>
      <w:r w:rsidRPr="008633E6">
        <w:rPr>
          <w:lang w:eastAsia="en-AU"/>
        </w:rPr>
        <w:t>T</w:t>
      </w:r>
      <w:r>
        <w:rPr>
          <w:lang w:eastAsia="en-AU"/>
        </w:rPr>
        <w:t>,</w:t>
      </w:r>
      <w:r w:rsidRPr="008633E6">
        <w:rPr>
          <w:lang w:eastAsia="en-AU"/>
        </w:rPr>
        <w:t xml:space="preserve"> </w:t>
      </w:r>
      <w:r>
        <w:rPr>
          <w:lang w:eastAsia="en-AU"/>
        </w:rPr>
        <w:t xml:space="preserve">Simala, </w:t>
      </w:r>
      <w:r w:rsidRPr="008633E6">
        <w:rPr>
          <w:lang w:eastAsia="en-AU"/>
        </w:rPr>
        <w:t>M</w:t>
      </w:r>
      <w:r>
        <w:rPr>
          <w:lang w:eastAsia="en-AU"/>
        </w:rPr>
        <w:t xml:space="preserve"> &amp; Koric, B 2009, ‘The scale insects (Hemiptera: Coccoidea) of imported fruits in Croatia’, </w:t>
      </w:r>
      <w:r w:rsidRPr="00E94328">
        <w:rPr>
          <w:i/>
          <w:lang w:eastAsia="en-AU"/>
        </w:rPr>
        <w:t>Lectures and papers presented at 9th Slovenian Conference on P</w:t>
      </w:r>
      <w:r w:rsidR="00E94328" w:rsidRPr="00E94328">
        <w:rPr>
          <w:i/>
          <w:lang w:eastAsia="en-AU"/>
        </w:rPr>
        <w:t>lant Protection, Nova Gorica, 4–</w:t>
      </w:r>
      <w:r w:rsidRPr="00E94328">
        <w:rPr>
          <w:i/>
          <w:lang w:eastAsia="en-AU"/>
        </w:rPr>
        <w:t>5 March, 2009</w:t>
      </w:r>
      <w:r w:rsidR="00E94328">
        <w:rPr>
          <w:lang w:eastAsia="en-AU"/>
        </w:rPr>
        <w:t>, pp. 385–388.</w:t>
      </w:r>
    </w:p>
    <w:p w14:paraId="77A50B63" w14:textId="77777777" w:rsidR="00F8405A" w:rsidRDefault="00F8405A" w:rsidP="004105EC">
      <w:pPr>
        <w:pStyle w:val="EndnoteText"/>
        <w:rPr>
          <w:lang w:eastAsia="en-AU"/>
        </w:rPr>
      </w:pPr>
      <w:r>
        <w:rPr>
          <w:lang w:eastAsia="en-AU"/>
        </w:rPr>
        <w:t>McKenzie</w:t>
      </w:r>
      <w:r w:rsidR="006A3B6F">
        <w:rPr>
          <w:lang w:eastAsia="en-AU"/>
        </w:rPr>
        <w:t>, EHC</w:t>
      </w:r>
      <w:r>
        <w:rPr>
          <w:lang w:eastAsia="en-AU"/>
        </w:rPr>
        <w:t xml:space="preserve"> 1989, </w:t>
      </w:r>
      <w:r w:rsidR="006A3B6F">
        <w:rPr>
          <w:lang w:eastAsia="en-AU"/>
        </w:rPr>
        <w:t xml:space="preserve">‘The fungi, bacteria and pathogenic algae of Vanuatu’, </w:t>
      </w:r>
      <w:r w:rsidR="006A3B6F" w:rsidRPr="006A3B6F">
        <w:rPr>
          <w:lang w:eastAsia="en-AU"/>
        </w:rPr>
        <w:t>Plant Diseases Division, Department of Scientific and Industrial Research</w:t>
      </w:r>
      <w:r w:rsidR="006A3B6F">
        <w:rPr>
          <w:lang w:eastAsia="en-AU"/>
        </w:rPr>
        <w:t>, Auckland, New Zealand.</w:t>
      </w:r>
    </w:p>
    <w:p w14:paraId="11B2C270" w14:textId="77777777" w:rsidR="00323D52" w:rsidRPr="00323D52" w:rsidRDefault="00323D52" w:rsidP="004105EC">
      <w:pPr>
        <w:pStyle w:val="EndnoteText"/>
        <w:rPr>
          <w:lang w:eastAsia="en-AU"/>
        </w:rPr>
      </w:pPr>
      <w:r w:rsidRPr="00323D52">
        <w:rPr>
          <w:lang w:eastAsia="en-AU"/>
        </w:rPr>
        <w:t xml:space="preserve">Meister, CW 1973, ‘Differential reaction of citrus species to diseases and pests at Koronivia’, </w:t>
      </w:r>
      <w:r w:rsidRPr="00323D52">
        <w:rPr>
          <w:i/>
          <w:lang w:eastAsia="en-AU"/>
        </w:rPr>
        <w:t>Fiji Agricultural Journal</w:t>
      </w:r>
      <w:r w:rsidRPr="00323D52">
        <w:rPr>
          <w:lang w:eastAsia="en-AU"/>
        </w:rPr>
        <w:t>, 35, pp. 75–78.</w:t>
      </w:r>
    </w:p>
    <w:p w14:paraId="217E1F00" w14:textId="377B0A15" w:rsidR="00E722A3" w:rsidRDefault="00E722A3" w:rsidP="004105EC">
      <w:pPr>
        <w:pStyle w:val="EndnoteText"/>
        <w:rPr>
          <w:lang w:eastAsia="en-AU"/>
        </w:rPr>
      </w:pPr>
      <w:r>
        <w:rPr>
          <w:lang w:eastAsia="en-AU"/>
        </w:rPr>
        <w:t xml:space="preserve">Miles, AK, Tan, YP, Shivas RG &amp; Drenth, A 2015, ‘Novel pathotypes of </w:t>
      </w:r>
      <w:r w:rsidRPr="00E722A3">
        <w:rPr>
          <w:i/>
          <w:lang w:eastAsia="en-AU"/>
        </w:rPr>
        <w:t>Elsinoe australis</w:t>
      </w:r>
      <w:r>
        <w:rPr>
          <w:lang w:eastAsia="en-AU"/>
        </w:rPr>
        <w:t xml:space="preserve"> associated with </w:t>
      </w:r>
      <w:r w:rsidRPr="00E722A3">
        <w:rPr>
          <w:i/>
          <w:lang w:eastAsia="en-AU"/>
        </w:rPr>
        <w:t>Citrus australasica</w:t>
      </w:r>
      <w:r>
        <w:rPr>
          <w:lang w:eastAsia="en-AU"/>
        </w:rPr>
        <w:t xml:space="preserve"> and </w:t>
      </w:r>
      <w:r w:rsidRPr="00E722A3">
        <w:rPr>
          <w:i/>
          <w:lang w:eastAsia="en-AU"/>
        </w:rPr>
        <w:t>Simmondsia chinensis</w:t>
      </w:r>
      <w:r>
        <w:rPr>
          <w:lang w:eastAsia="en-AU"/>
        </w:rPr>
        <w:t xml:space="preserve"> in Australia’, </w:t>
      </w:r>
      <w:r w:rsidRPr="00E722A3">
        <w:rPr>
          <w:i/>
          <w:lang w:eastAsia="en-AU"/>
        </w:rPr>
        <w:t>Tropical Plant Pathology</w:t>
      </w:r>
      <w:r>
        <w:rPr>
          <w:lang w:eastAsia="en-AU"/>
        </w:rPr>
        <w:t>, 40, pp. 26–34.</w:t>
      </w:r>
    </w:p>
    <w:p w14:paraId="11DA04B4" w14:textId="77777777" w:rsidR="00323D52" w:rsidRDefault="00323D52" w:rsidP="004105EC">
      <w:pPr>
        <w:pStyle w:val="EndnoteText"/>
        <w:rPr>
          <w:lang w:eastAsia="en-AU"/>
        </w:rPr>
      </w:pPr>
      <w:r w:rsidRPr="00323D52">
        <w:rPr>
          <w:lang w:eastAsia="en-AU"/>
        </w:rPr>
        <w:t xml:space="preserve">Miller, DR &amp; Davidson, JA 2005, </w:t>
      </w:r>
      <w:r w:rsidRPr="00323D52">
        <w:rPr>
          <w:i/>
          <w:lang w:eastAsia="en-AU"/>
        </w:rPr>
        <w:t>Armored scale insect pests of trees and shrubs (Hemiptera: Diaspididae)</w:t>
      </w:r>
      <w:r w:rsidRPr="00323D52">
        <w:rPr>
          <w:lang w:eastAsia="en-AU"/>
        </w:rPr>
        <w:t>, Cornell University Press, Ithaca, New York.</w:t>
      </w:r>
    </w:p>
    <w:p w14:paraId="73F321D6" w14:textId="77777777" w:rsidR="00372752" w:rsidRPr="00323D52" w:rsidRDefault="00372752" w:rsidP="004105EC">
      <w:pPr>
        <w:pStyle w:val="EndnoteText"/>
        <w:rPr>
          <w:lang w:eastAsia="en-AU"/>
        </w:rPr>
      </w:pPr>
      <w:r w:rsidRPr="00372752">
        <w:rPr>
          <w:lang w:eastAsia="en-AU"/>
        </w:rPr>
        <w:t>Miller, D</w:t>
      </w:r>
      <w:r>
        <w:rPr>
          <w:lang w:eastAsia="en-AU"/>
        </w:rPr>
        <w:t xml:space="preserve">, </w:t>
      </w:r>
      <w:r w:rsidRPr="00372752">
        <w:rPr>
          <w:lang w:eastAsia="en-AU"/>
        </w:rPr>
        <w:t xml:space="preserve">Rung, </w:t>
      </w:r>
      <w:r>
        <w:rPr>
          <w:lang w:eastAsia="en-AU"/>
        </w:rPr>
        <w:t xml:space="preserve">A, </w:t>
      </w:r>
      <w:r w:rsidRPr="00372752">
        <w:rPr>
          <w:lang w:eastAsia="en-AU"/>
        </w:rPr>
        <w:t>Parikh</w:t>
      </w:r>
      <w:r>
        <w:rPr>
          <w:lang w:eastAsia="en-AU"/>
        </w:rPr>
        <w:t>, G</w:t>
      </w:r>
      <w:r w:rsidRPr="00372752">
        <w:rPr>
          <w:lang w:eastAsia="en-AU"/>
        </w:rPr>
        <w:t>, Venable</w:t>
      </w:r>
      <w:r>
        <w:rPr>
          <w:lang w:eastAsia="en-AU"/>
        </w:rPr>
        <w:t xml:space="preserve"> G</w:t>
      </w:r>
      <w:r w:rsidRPr="00372752">
        <w:rPr>
          <w:lang w:eastAsia="en-AU"/>
        </w:rPr>
        <w:t xml:space="preserve">, Redford, </w:t>
      </w:r>
      <w:r>
        <w:rPr>
          <w:lang w:eastAsia="en-AU"/>
        </w:rPr>
        <w:t xml:space="preserve">AJ, </w:t>
      </w:r>
      <w:r w:rsidRPr="00372752">
        <w:rPr>
          <w:lang w:eastAsia="en-AU"/>
        </w:rPr>
        <w:t>Evans</w:t>
      </w:r>
      <w:r>
        <w:rPr>
          <w:lang w:eastAsia="en-AU"/>
        </w:rPr>
        <w:t xml:space="preserve"> GA &amp;</w:t>
      </w:r>
      <w:r w:rsidRPr="00372752">
        <w:rPr>
          <w:lang w:eastAsia="en-AU"/>
        </w:rPr>
        <w:t xml:space="preserve"> Gill</w:t>
      </w:r>
      <w:r>
        <w:rPr>
          <w:lang w:eastAsia="en-AU"/>
        </w:rPr>
        <w:t xml:space="preserve"> RJ</w:t>
      </w:r>
      <w:r w:rsidRPr="00372752">
        <w:rPr>
          <w:lang w:eastAsia="en-AU"/>
        </w:rPr>
        <w:t xml:space="preserve"> 2014</w:t>
      </w:r>
      <w:r>
        <w:rPr>
          <w:lang w:eastAsia="en-AU"/>
        </w:rPr>
        <w:t>,</w:t>
      </w:r>
      <w:r w:rsidRPr="00372752">
        <w:rPr>
          <w:lang w:eastAsia="en-AU"/>
        </w:rPr>
        <w:t xml:space="preserve"> Scale Insects, Edition 2. USDA APHIS Identification Technology Program (ITP)</w:t>
      </w:r>
      <w:r>
        <w:rPr>
          <w:lang w:eastAsia="en-AU"/>
        </w:rPr>
        <w:t>,</w:t>
      </w:r>
      <w:r w:rsidRPr="00372752">
        <w:rPr>
          <w:lang w:eastAsia="en-AU"/>
        </w:rPr>
        <w:t xml:space="preserve"> Fort Collins, C</w:t>
      </w:r>
      <w:r>
        <w:rPr>
          <w:lang w:eastAsia="en-AU"/>
        </w:rPr>
        <w:t xml:space="preserve">olorado, viewed July 2016, </w:t>
      </w:r>
      <w:hyperlink r:id="rId88" w:history="1">
        <w:r>
          <w:rPr>
            <w:rStyle w:val="Hyperlink"/>
            <w:rFonts w:eastAsia="Times New Roman"/>
            <w:lang w:eastAsia="en-AU"/>
          </w:rPr>
          <w:t>idtools.org/id/scales/</w:t>
        </w:r>
      </w:hyperlink>
      <w:r>
        <w:rPr>
          <w:lang w:eastAsia="en-AU"/>
        </w:rPr>
        <w:t xml:space="preserve"> </w:t>
      </w:r>
    </w:p>
    <w:p w14:paraId="516614A3" w14:textId="77777777" w:rsidR="00323D52" w:rsidRPr="00323D52" w:rsidRDefault="00323D52" w:rsidP="004105EC">
      <w:pPr>
        <w:pStyle w:val="EndnoteText"/>
        <w:rPr>
          <w:lang w:eastAsia="en-AU"/>
        </w:rPr>
      </w:pPr>
      <w:r w:rsidRPr="00323D52">
        <w:rPr>
          <w:lang w:eastAsia="en-AU"/>
        </w:rPr>
        <w:t>Minter, DW 2006</w:t>
      </w:r>
      <w:r w:rsidR="006D0548">
        <w:rPr>
          <w:lang w:eastAsia="en-AU"/>
        </w:rPr>
        <w:t>,</w:t>
      </w:r>
      <w:r w:rsidRPr="00323D52">
        <w:rPr>
          <w:lang w:eastAsia="en-AU"/>
        </w:rPr>
        <w:t xml:space="preserve"> </w:t>
      </w:r>
      <w:r w:rsidRPr="00323D52">
        <w:rPr>
          <w:i/>
          <w:lang w:eastAsia="en-AU"/>
        </w:rPr>
        <w:t>Meliola citricola</w:t>
      </w:r>
      <w:r w:rsidRPr="00323D52">
        <w:rPr>
          <w:lang w:eastAsia="en-AU"/>
        </w:rPr>
        <w:t xml:space="preserve">. IMI Descriptions of Fungi and Bacteria 168, Sheet 1672, viewed </w:t>
      </w:r>
      <w:r w:rsidR="00A23B9E">
        <w:rPr>
          <w:lang w:eastAsia="en-AU"/>
        </w:rPr>
        <w:t>March</w:t>
      </w:r>
      <w:r w:rsidRPr="00323D52">
        <w:rPr>
          <w:lang w:eastAsia="en-AU"/>
        </w:rPr>
        <w:t xml:space="preserve"> 201</w:t>
      </w:r>
      <w:r w:rsidR="00A23B9E">
        <w:rPr>
          <w:lang w:eastAsia="en-AU"/>
        </w:rPr>
        <w:t>6</w:t>
      </w:r>
      <w:r w:rsidRPr="00323D52">
        <w:rPr>
          <w:lang w:eastAsia="en-AU"/>
        </w:rPr>
        <w:t xml:space="preserve">, </w:t>
      </w:r>
      <w:hyperlink r:id="rId89" w:history="1">
        <w:r w:rsidRPr="00323D52">
          <w:rPr>
            <w:color w:val="165788"/>
            <w:u w:val="single"/>
            <w:lang w:eastAsia="en-AU"/>
          </w:rPr>
          <w:t>cabi.org/dfb/FullTextPDF/2006/20063129257.pdf</w:t>
        </w:r>
      </w:hyperlink>
      <w:r w:rsidRPr="00323D52">
        <w:rPr>
          <w:lang w:eastAsia="en-AU"/>
        </w:rPr>
        <w:t xml:space="preserve"> </w:t>
      </w:r>
    </w:p>
    <w:p w14:paraId="5432A1D5" w14:textId="77777777" w:rsidR="00323D52" w:rsidRPr="00323D52" w:rsidRDefault="00323D52" w:rsidP="004105EC">
      <w:pPr>
        <w:pStyle w:val="EndnoteText"/>
        <w:rPr>
          <w:lang w:eastAsia="en-AU"/>
        </w:rPr>
      </w:pPr>
      <w:r w:rsidRPr="00323D52">
        <w:rPr>
          <w:lang w:eastAsia="en-AU"/>
        </w:rPr>
        <w:t xml:space="preserve">Morton, J 1987, ‘Tahiti lime’, in JF Morton (ed) </w:t>
      </w:r>
      <w:r w:rsidRPr="00323D52">
        <w:rPr>
          <w:i/>
          <w:lang w:eastAsia="en-AU"/>
        </w:rPr>
        <w:t>Fruits of warm climates</w:t>
      </w:r>
      <w:r w:rsidRPr="00323D52">
        <w:rPr>
          <w:lang w:eastAsia="en-AU"/>
        </w:rPr>
        <w:t>, pp. 172–175, Julia F Morton, Miami, USA.</w:t>
      </w:r>
    </w:p>
    <w:p w14:paraId="35774272" w14:textId="77777777" w:rsidR="00323D52" w:rsidRPr="00323D52" w:rsidRDefault="00323D52" w:rsidP="004105EC">
      <w:pPr>
        <w:pStyle w:val="EndnoteText"/>
        <w:rPr>
          <w:lang w:eastAsia="en-AU"/>
        </w:rPr>
      </w:pPr>
      <w:r w:rsidRPr="00323D52">
        <w:rPr>
          <w:lang w:eastAsia="en-AU"/>
        </w:rPr>
        <w:t xml:space="preserve">Muniappan, R, Purea, M, Tarilonga, B, Berukilukilu, L, Bule, S &amp; Reddy, GVOP 2002, ‘Fruit piercing moths and their management in Vanuatu’, </w:t>
      </w:r>
      <w:r w:rsidRPr="00323D52">
        <w:rPr>
          <w:i/>
          <w:lang w:eastAsia="en-AU"/>
        </w:rPr>
        <w:t>Journal of South Pacific Agriculture</w:t>
      </w:r>
      <w:r w:rsidRPr="00323D52">
        <w:rPr>
          <w:lang w:eastAsia="en-AU"/>
        </w:rPr>
        <w:t>, 9, pp. 16–27.</w:t>
      </w:r>
    </w:p>
    <w:p w14:paraId="26F62084" w14:textId="77777777" w:rsidR="00323D52" w:rsidRPr="00323D52" w:rsidRDefault="00323D52" w:rsidP="004105EC">
      <w:pPr>
        <w:pStyle w:val="EndnoteText"/>
        <w:rPr>
          <w:lang w:eastAsia="en-AU"/>
        </w:rPr>
      </w:pPr>
      <w:r w:rsidRPr="00323D52">
        <w:rPr>
          <w:lang w:eastAsia="en-AU"/>
        </w:rPr>
        <w:t xml:space="preserve">Naumann, ID 2002, </w:t>
      </w:r>
      <w:r w:rsidRPr="00323D52">
        <w:rPr>
          <w:i/>
          <w:lang w:eastAsia="en-AU"/>
        </w:rPr>
        <w:t>Exotic arthropod pests of concern to the Australian citrus industry</w:t>
      </w:r>
      <w:r w:rsidRPr="00323D52">
        <w:rPr>
          <w:lang w:eastAsia="en-AU"/>
        </w:rPr>
        <w:t>, Office of the Chief Plant Protection Officer, Canberra, Australia.</w:t>
      </w:r>
    </w:p>
    <w:p w14:paraId="4B4A374D" w14:textId="77777777" w:rsidR="00F8405A" w:rsidRDefault="00F8405A" w:rsidP="004105EC">
      <w:pPr>
        <w:pStyle w:val="EndnoteText"/>
        <w:rPr>
          <w:lang w:eastAsia="en-AU"/>
        </w:rPr>
      </w:pPr>
      <w:r>
        <w:rPr>
          <w:lang w:eastAsia="en-AU"/>
        </w:rPr>
        <w:t>PHA 201</w:t>
      </w:r>
      <w:r w:rsidR="006A3B6F">
        <w:rPr>
          <w:lang w:eastAsia="en-AU"/>
        </w:rPr>
        <w:t>6</w:t>
      </w:r>
      <w:r>
        <w:rPr>
          <w:lang w:eastAsia="en-AU"/>
        </w:rPr>
        <w:t xml:space="preserve">, </w:t>
      </w:r>
      <w:r w:rsidR="00336F74">
        <w:rPr>
          <w:lang w:eastAsia="en-AU"/>
        </w:rPr>
        <w:t>‘</w:t>
      </w:r>
      <w:r w:rsidR="006A3B6F">
        <w:rPr>
          <w:lang w:eastAsia="en-AU"/>
        </w:rPr>
        <w:t xml:space="preserve">Fact sheet: </w:t>
      </w:r>
      <w:r w:rsidR="00336F74" w:rsidRPr="00336F74">
        <w:rPr>
          <w:lang w:eastAsia="en-AU"/>
        </w:rPr>
        <w:t>Citrus tristeza virus</w:t>
      </w:r>
      <w:r w:rsidR="00336F74">
        <w:rPr>
          <w:lang w:eastAsia="en-AU"/>
        </w:rPr>
        <w:t xml:space="preserve">’, viewed July 2016, </w:t>
      </w:r>
      <w:hyperlink r:id="rId90" w:history="1">
        <w:r w:rsidR="00336F74">
          <w:rPr>
            <w:rStyle w:val="Hyperlink"/>
            <w:lang w:eastAsia="en-AU"/>
          </w:rPr>
          <w:t>planthealthaustralia.com.au/wp-content/uploads/2015/01/Citrus-tristeza-virus-Mandarin-stem-pitting-strain-FS.pdf</w:t>
        </w:r>
      </w:hyperlink>
      <w:r w:rsidR="006A3B6F">
        <w:rPr>
          <w:lang w:eastAsia="en-AU"/>
        </w:rPr>
        <w:t xml:space="preserve"> </w:t>
      </w:r>
    </w:p>
    <w:p w14:paraId="79386C85" w14:textId="77777777" w:rsidR="00323D52" w:rsidRPr="00323D52" w:rsidRDefault="00323D52" w:rsidP="004105EC">
      <w:pPr>
        <w:pStyle w:val="EndnoteText"/>
        <w:rPr>
          <w:lang w:eastAsia="en-AU"/>
        </w:rPr>
      </w:pPr>
      <w:r w:rsidRPr="00323D52">
        <w:rPr>
          <w:lang w:eastAsia="en-AU"/>
        </w:rPr>
        <w:t xml:space="preserve">Phillips, PA 2000, ‘The Glassy-winged sharpshooter - a new threat for California citrus as a potential vector of CVC’, </w:t>
      </w:r>
      <w:r w:rsidRPr="00323D52">
        <w:rPr>
          <w:i/>
          <w:lang w:eastAsia="en-AU"/>
        </w:rPr>
        <w:t>CAPCA Adviser Magazine</w:t>
      </w:r>
      <w:r w:rsidRPr="00323D52">
        <w:rPr>
          <w:lang w:eastAsia="en-AU"/>
        </w:rPr>
        <w:t>, July/August 2000, pp. 16–17, 28.</w:t>
      </w:r>
    </w:p>
    <w:p w14:paraId="04A82B92" w14:textId="77777777" w:rsidR="00323D52" w:rsidRPr="00323D52" w:rsidRDefault="00323D52" w:rsidP="004105EC">
      <w:pPr>
        <w:pStyle w:val="EndnoteText"/>
        <w:rPr>
          <w:lang w:eastAsia="en-AU"/>
        </w:rPr>
      </w:pPr>
      <w:r w:rsidRPr="00323D52">
        <w:rPr>
          <w:lang w:eastAsia="en-AU"/>
        </w:rPr>
        <w:t xml:space="preserve">Poole, M 2005, </w:t>
      </w:r>
      <w:r w:rsidRPr="00323D52">
        <w:rPr>
          <w:i/>
          <w:lang w:eastAsia="en-AU"/>
        </w:rPr>
        <w:t>Green coffee scale Coccus viridis (Green) [Hemiptera: Coccidae]</w:t>
      </w:r>
      <w:r w:rsidRPr="00323D52">
        <w:rPr>
          <w:lang w:eastAsia="en-AU"/>
        </w:rPr>
        <w:t>, Farmnote 16/2005</w:t>
      </w:r>
      <w:r w:rsidR="00C411C1">
        <w:rPr>
          <w:lang w:eastAsia="en-AU"/>
        </w:rPr>
        <w:t>.</w:t>
      </w:r>
      <w:r w:rsidR="006D0548">
        <w:rPr>
          <w:lang w:eastAsia="en-AU"/>
        </w:rPr>
        <w:t xml:space="preserve"> Western Australia Department of Agriculture, viewed February 2016, </w:t>
      </w:r>
      <w:hyperlink r:id="rId91" w:history="1">
        <w:r w:rsidR="006D0548">
          <w:rPr>
            <w:rStyle w:val="Hyperlink"/>
            <w:lang w:eastAsia="en-AU"/>
          </w:rPr>
          <w:t>citrusaustralia.com.au/_literature_47827/Green_coffee_scale</w:t>
        </w:r>
      </w:hyperlink>
      <w:r w:rsidR="00A23B9E">
        <w:rPr>
          <w:lang w:eastAsia="en-AU"/>
        </w:rPr>
        <w:t xml:space="preserve">. </w:t>
      </w:r>
    </w:p>
    <w:p w14:paraId="429C4041" w14:textId="762325EB" w:rsidR="00323D52" w:rsidRPr="00323D52" w:rsidRDefault="009774F0" w:rsidP="004105EC">
      <w:pPr>
        <w:pStyle w:val="EndnoteText"/>
        <w:rPr>
          <w:lang w:eastAsia="en-AU"/>
        </w:rPr>
      </w:pPr>
      <w:r>
        <w:rPr>
          <w:lang w:eastAsia="en-AU"/>
        </w:rPr>
        <w:t>-- --</w:t>
      </w:r>
      <w:r w:rsidR="00323D52" w:rsidRPr="00323D52">
        <w:rPr>
          <w:lang w:eastAsia="en-AU"/>
        </w:rPr>
        <w:t xml:space="preserve"> 2010, </w:t>
      </w:r>
      <w:r w:rsidR="00323D52" w:rsidRPr="00323D52">
        <w:rPr>
          <w:i/>
          <w:lang w:eastAsia="en-AU"/>
        </w:rPr>
        <w:t>An annotated catalogue of insect and allied species associated with Western Australian agriculture and related industries</w:t>
      </w:r>
      <w:r w:rsidR="00323D52" w:rsidRPr="00323D52">
        <w:rPr>
          <w:lang w:eastAsia="en-AU"/>
        </w:rPr>
        <w:t>, perennial draft, July 2010, Department of Agriculture and Food, Government of Western Australia.</w:t>
      </w:r>
    </w:p>
    <w:p w14:paraId="7F59CAA3" w14:textId="77777777" w:rsidR="00323D52" w:rsidRPr="00323D52" w:rsidRDefault="00323D52" w:rsidP="004105EC">
      <w:pPr>
        <w:pStyle w:val="EndnoteText"/>
        <w:rPr>
          <w:lang w:eastAsia="en-AU"/>
        </w:rPr>
      </w:pPr>
      <w:r w:rsidRPr="00323D52">
        <w:rPr>
          <w:lang w:eastAsia="en-AU"/>
        </w:rPr>
        <w:t>Pranamornkith, T 2009, ‘Effects of postharvest treatments on storage quality of lime (</w:t>
      </w:r>
      <w:r w:rsidRPr="009B250F">
        <w:rPr>
          <w:i/>
          <w:lang w:eastAsia="en-AU"/>
        </w:rPr>
        <w:t>Citrus latifolia</w:t>
      </w:r>
      <w:r w:rsidRPr="00323D52">
        <w:rPr>
          <w:lang w:eastAsia="en-AU"/>
        </w:rPr>
        <w:t xml:space="preserve"> Tanaka) fruit’, PhD thesis, Massey University, New Zealand.</w:t>
      </w:r>
    </w:p>
    <w:p w14:paraId="32BFC4EE" w14:textId="77777777" w:rsidR="004C2BAE" w:rsidRDefault="004C2BAE" w:rsidP="004105EC">
      <w:pPr>
        <w:pStyle w:val="EndnoteText"/>
        <w:rPr>
          <w:lang w:eastAsia="en-AU"/>
        </w:rPr>
      </w:pPr>
      <w:r>
        <w:rPr>
          <w:lang w:eastAsia="en-AU"/>
        </w:rPr>
        <w:t xml:space="preserve">QDAF 2016, ‘Cryptic mealybug’, Queensland </w:t>
      </w:r>
      <w:r w:rsidRPr="004C2BAE">
        <w:rPr>
          <w:lang w:eastAsia="en-AU"/>
        </w:rPr>
        <w:t>Department of Agriculture</w:t>
      </w:r>
      <w:r>
        <w:rPr>
          <w:lang w:eastAsia="en-AU"/>
        </w:rPr>
        <w:t xml:space="preserve"> and Fisheries, viewed July 2016, </w:t>
      </w:r>
      <w:hyperlink r:id="rId92" w:history="1">
        <w:r>
          <w:rPr>
            <w:rStyle w:val="Hyperlink"/>
            <w:rFonts w:eastAsia="Times New Roman"/>
            <w:lang w:eastAsia="en-AU"/>
          </w:rPr>
          <w:t>daf.qld.gov.au/plants/fruit-and-vegetables/a-z-list-of-horticultural-insect-pests/cryptic-mealybug</w:t>
        </w:r>
      </w:hyperlink>
      <w:r>
        <w:rPr>
          <w:lang w:eastAsia="en-AU"/>
        </w:rPr>
        <w:t xml:space="preserve"> </w:t>
      </w:r>
    </w:p>
    <w:p w14:paraId="01F29FBA" w14:textId="6647E100" w:rsidR="00F43BE0" w:rsidRDefault="00EF42B3" w:rsidP="004105EC">
      <w:pPr>
        <w:pStyle w:val="EndnoteText"/>
        <w:rPr>
          <w:lang w:eastAsia="en-AU"/>
        </w:rPr>
      </w:pPr>
      <w:r w:rsidRPr="00EF42B3">
        <w:rPr>
          <w:lang w:eastAsia="en-AU"/>
        </w:rPr>
        <w:t xml:space="preserve">Qin, TK &amp; Gullan, PJ 1994, ‘Taxonomy of the wax scales (Hemiptera: Coccidae: Ceroplastinae) in Australia’. </w:t>
      </w:r>
      <w:r w:rsidRPr="00EF42B3">
        <w:rPr>
          <w:i/>
          <w:lang w:eastAsia="en-AU"/>
        </w:rPr>
        <w:t>Invertebrate Taxonomy</w:t>
      </w:r>
      <w:r w:rsidRPr="00EF42B3">
        <w:rPr>
          <w:lang w:eastAsia="en-AU"/>
        </w:rPr>
        <w:t xml:space="preserve"> 8, pp. 923</w:t>
      </w:r>
      <w:r w:rsidR="00DB0B4C">
        <w:rPr>
          <w:lang w:eastAsia="en-AU"/>
        </w:rPr>
        <w:t>–</w:t>
      </w:r>
      <w:r w:rsidRPr="00EF42B3">
        <w:rPr>
          <w:lang w:eastAsia="en-AU"/>
        </w:rPr>
        <w:t>959.</w:t>
      </w:r>
    </w:p>
    <w:p w14:paraId="53E65E10" w14:textId="77777777" w:rsidR="00323D52" w:rsidRPr="00323D52" w:rsidRDefault="00323D52" w:rsidP="004105EC">
      <w:pPr>
        <w:pStyle w:val="EndnoteText"/>
        <w:rPr>
          <w:lang w:eastAsia="en-AU"/>
        </w:rPr>
      </w:pPr>
      <w:r w:rsidRPr="00323D52">
        <w:rPr>
          <w:lang w:eastAsia="en-AU"/>
        </w:rPr>
        <w:t xml:space="preserve">Ray, JD, McTaggart, AR &amp; Shivas RG 2008, ‘First record of </w:t>
      </w:r>
      <w:r w:rsidRPr="00323D52">
        <w:rPr>
          <w:i/>
          <w:lang w:eastAsia="en-AU"/>
        </w:rPr>
        <w:t>Cryptosporiopsis citri</w:t>
      </w:r>
      <w:r w:rsidRPr="00323D52">
        <w:rPr>
          <w:lang w:eastAsia="en-AU"/>
        </w:rPr>
        <w:t xml:space="preserve"> on lime in Australia’, </w:t>
      </w:r>
      <w:r w:rsidRPr="00323D52">
        <w:rPr>
          <w:i/>
          <w:lang w:eastAsia="en-AU"/>
        </w:rPr>
        <w:t>Australasian Plant Disease Notes</w:t>
      </w:r>
      <w:r w:rsidRPr="00323D52">
        <w:rPr>
          <w:lang w:eastAsia="en-AU"/>
        </w:rPr>
        <w:t>, 3, pp. 158–159.</w:t>
      </w:r>
    </w:p>
    <w:p w14:paraId="47B36E32" w14:textId="77777777" w:rsidR="00323D52" w:rsidRPr="00323D52" w:rsidRDefault="00323D52" w:rsidP="004105EC">
      <w:pPr>
        <w:pStyle w:val="EndnoteText"/>
        <w:rPr>
          <w:lang w:eastAsia="en-AU"/>
        </w:rPr>
      </w:pPr>
      <w:r w:rsidRPr="00323D52">
        <w:rPr>
          <w:lang w:eastAsia="en-AU"/>
        </w:rPr>
        <w:t xml:space="preserve">Sampson, PJ &amp; Walker, J 1982, </w:t>
      </w:r>
      <w:r w:rsidRPr="00323D52">
        <w:rPr>
          <w:i/>
          <w:lang w:eastAsia="en-AU"/>
        </w:rPr>
        <w:t>An annotated list of plant diseases in Tasmania</w:t>
      </w:r>
      <w:r w:rsidRPr="00323D52">
        <w:rPr>
          <w:lang w:eastAsia="en-AU"/>
        </w:rPr>
        <w:t>, Department of Agriculture Tasmania, Hobart, Australia.</w:t>
      </w:r>
    </w:p>
    <w:p w14:paraId="49975199" w14:textId="77777777" w:rsidR="00323D52" w:rsidRPr="00323D52" w:rsidRDefault="00323D52" w:rsidP="004105EC">
      <w:pPr>
        <w:pStyle w:val="EndnoteText"/>
        <w:rPr>
          <w:lang w:eastAsia="en-AU"/>
        </w:rPr>
      </w:pPr>
      <w:r w:rsidRPr="00323D52">
        <w:rPr>
          <w:lang w:eastAsia="en-AU"/>
        </w:rPr>
        <w:t xml:space="preserve">Shivas, RG 1989, Fungal and bacterial diseases of plants in Western Australia, </w:t>
      </w:r>
      <w:r w:rsidRPr="00323D52">
        <w:rPr>
          <w:i/>
          <w:lang w:eastAsia="en-AU"/>
        </w:rPr>
        <w:t>Journal of the Royal Society of Western Australia</w:t>
      </w:r>
      <w:r w:rsidRPr="00323D52">
        <w:rPr>
          <w:lang w:eastAsia="en-AU"/>
        </w:rPr>
        <w:t>, 72, pp. 1–62.</w:t>
      </w:r>
    </w:p>
    <w:p w14:paraId="4D2247D4" w14:textId="77777777" w:rsidR="001163A0" w:rsidRDefault="00EF42B3" w:rsidP="004105EC">
      <w:pPr>
        <w:pStyle w:val="EndnoteText"/>
        <w:rPr>
          <w:lang w:eastAsia="en-AU"/>
        </w:rPr>
      </w:pPr>
      <w:r w:rsidRPr="00EF42B3">
        <w:rPr>
          <w:lang w:eastAsia="en-AU"/>
        </w:rPr>
        <w:t xml:space="preserve">Silva, EB &amp; Mexia A 1999, The pest complex </w:t>
      </w:r>
      <w:r w:rsidRPr="00EF42B3">
        <w:rPr>
          <w:i/>
          <w:lang w:eastAsia="en-AU"/>
        </w:rPr>
        <w:t>Cryptoblabes gnidiella</w:t>
      </w:r>
      <w:r w:rsidRPr="00EF42B3">
        <w:rPr>
          <w:lang w:eastAsia="en-AU"/>
        </w:rPr>
        <w:t xml:space="preserve"> (Milliére) (Lepidoptera: Pyralidae) and </w:t>
      </w:r>
      <w:r w:rsidRPr="00EF42B3">
        <w:rPr>
          <w:i/>
          <w:lang w:eastAsia="en-AU"/>
        </w:rPr>
        <w:t>Planococcus citri</w:t>
      </w:r>
      <w:r w:rsidRPr="00EF42B3">
        <w:rPr>
          <w:lang w:eastAsia="en-AU"/>
        </w:rPr>
        <w:t xml:space="preserve"> (Risso) (Homoptera: Pseudococcidae) on sweet orange groves (</w:t>
      </w:r>
      <w:r w:rsidRPr="00EF42B3">
        <w:rPr>
          <w:i/>
          <w:lang w:eastAsia="en-AU"/>
        </w:rPr>
        <w:t>Citrus sinensis</w:t>
      </w:r>
      <w:r w:rsidRPr="00EF42B3">
        <w:rPr>
          <w:lang w:eastAsia="en-AU"/>
        </w:rPr>
        <w:t xml:space="preserve"> (L.) Osbeck) in Portugal: interspecific association, </w:t>
      </w:r>
      <w:r w:rsidRPr="00EF42B3">
        <w:rPr>
          <w:i/>
          <w:lang w:eastAsia="en-AU"/>
        </w:rPr>
        <w:t>Boletín de sanidad vegetal. Plagas</w:t>
      </w:r>
      <w:r w:rsidRPr="00EF42B3">
        <w:rPr>
          <w:lang w:eastAsia="en-AU"/>
        </w:rPr>
        <w:t>, 25, pp. 89–98.</w:t>
      </w:r>
    </w:p>
    <w:p w14:paraId="372A6369" w14:textId="77777777" w:rsidR="00323D52" w:rsidRPr="00323D52" w:rsidRDefault="00323D52" w:rsidP="004105EC">
      <w:pPr>
        <w:pStyle w:val="EndnoteText"/>
        <w:rPr>
          <w:lang w:eastAsia="en-AU"/>
        </w:rPr>
      </w:pPr>
      <w:r w:rsidRPr="00323D52">
        <w:rPr>
          <w:lang w:eastAsia="en-AU"/>
        </w:rPr>
        <w:t xml:space="preserve">Simmonds, JH 1966, </w:t>
      </w:r>
      <w:r w:rsidRPr="00323D52">
        <w:rPr>
          <w:i/>
          <w:lang w:eastAsia="en-AU"/>
        </w:rPr>
        <w:t>Host index of plant diseases in Queensland</w:t>
      </w:r>
      <w:r w:rsidRPr="00323D52">
        <w:rPr>
          <w:lang w:eastAsia="en-AU"/>
        </w:rPr>
        <w:t>, Department of Primary Industries, Brisbane, Australia.</w:t>
      </w:r>
    </w:p>
    <w:p w14:paraId="7034935A" w14:textId="7025D6A7" w:rsidR="00323D52" w:rsidRPr="00323D52" w:rsidRDefault="00323D52" w:rsidP="004105EC">
      <w:pPr>
        <w:pStyle w:val="EndnoteText"/>
        <w:rPr>
          <w:lang w:eastAsia="en-AU"/>
        </w:rPr>
      </w:pPr>
      <w:r w:rsidRPr="00221334">
        <w:rPr>
          <w:lang w:eastAsia="en-AU"/>
        </w:rPr>
        <w:t xml:space="preserve">Smith, D, Beattie, GAC &amp; Broadley R 1997, </w:t>
      </w:r>
      <w:r w:rsidRPr="00221334">
        <w:rPr>
          <w:i/>
          <w:lang w:eastAsia="en-AU"/>
        </w:rPr>
        <w:t>Citrus pests and their natural enemies: integrated pest</w:t>
      </w:r>
      <w:r w:rsidRPr="00323D52">
        <w:rPr>
          <w:i/>
          <w:lang w:eastAsia="en-AU"/>
        </w:rPr>
        <w:t xml:space="preserve"> management in Australia</w:t>
      </w:r>
      <w:r w:rsidRPr="00323D52">
        <w:rPr>
          <w:lang w:eastAsia="en-AU"/>
        </w:rPr>
        <w:t>, Department of Primary Industries, Brisbane / Horticultural Research and Development Corporation, Sydney.</w:t>
      </w:r>
    </w:p>
    <w:p w14:paraId="74927383" w14:textId="3FF21AA9" w:rsidR="00323D52" w:rsidRPr="00323D52" w:rsidRDefault="00323D52" w:rsidP="004105EC">
      <w:pPr>
        <w:pStyle w:val="EndnoteText"/>
        <w:rPr>
          <w:lang w:eastAsia="en-AU"/>
        </w:rPr>
      </w:pPr>
      <w:r w:rsidRPr="00221334">
        <w:rPr>
          <w:lang w:eastAsia="en-AU"/>
        </w:rPr>
        <w:t>Smith, IM, McNamara, DG, Scott, PR &amp; Holderness, M 1997,</w:t>
      </w:r>
      <w:r w:rsidRPr="00323D52">
        <w:rPr>
          <w:lang w:eastAsia="en-AU"/>
        </w:rPr>
        <w:t xml:space="preserve"> ‘</w:t>
      </w:r>
      <w:r w:rsidRPr="00C411C1">
        <w:rPr>
          <w:i/>
          <w:lang w:eastAsia="en-AU"/>
        </w:rPr>
        <w:t>Elsinoë fawcettii</w:t>
      </w:r>
      <w:r w:rsidRPr="00323D52">
        <w:rPr>
          <w:lang w:eastAsia="en-AU"/>
        </w:rPr>
        <w:t xml:space="preserve"> and </w:t>
      </w:r>
      <w:r w:rsidRPr="00C411C1">
        <w:rPr>
          <w:i/>
          <w:lang w:eastAsia="en-AU"/>
        </w:rPr>
        <w:t>E. australis</w:t>
      </w:r>
      <w:r w:rsidRPr="00323D52">
        <w:rPr>
          <w:lang w:eastAsia="en-AU"/>
        </w:rPr>
        <w:t xml:space="preserve">’, in </w:t>
      </w:r>
      <w:r w:rsidRPr="00323D52">
        <w:rPr>
          <w:i/>
          <w:lang w:eastAsia="en-AU"/>
        </w:rPr>
        <w:t>Quarantine pest for Europe. Second edition</w:t>
      </w:r>
      <w:r w:rsidRPr="00323D52">
        <w:rPr>
          <w:lang w:eastAsia="en-AU"/>
        </w:rPr>
        <w:t>. CAB International in association with the European and Mediterranean Plant Protection Organization (EPPO), Wallingford, UK.</w:t>
      </w:r>
    </w:p>
    <w:p w14:paraId="31665DA1" w14:textId="77777777" w:rsidR="00323D52" w:rsidRPr="00323D52" w:rsidRDefault="00323D52" w:rsidP="004105EC">
      <w:pPr>
        <w:pStyle w:val="EndnoteText"/>
        <w:rPr>
          <w:lang w:eastAsia="en-AU"/>
        </w:rPr>
      </w:pPr>
      <w:r w:rsidRPr="00323D52">
        <w:rPr>
          <w:lang w:eastAsia="en-AU"/>
        </w:rPr>
        <w:t xml:space="preserve">Sofy, AR, Mousa, AA, Fahmy, H, Ghazal, SA &amp; El-Dougdoug, KA 2007, ‘Anatomical and ultrastructural changes in citrus leaves infected with Citrus psorosis virus Egyptian isolate (CPsV-EG)’, </w:t>
      </w:r>
      <w:r w:rsidRPr="00323D52">
        <w:rPr>
          <w:i/>
          <w:lang w:eastAsia="en-AU"/>
        </w:rPr>
        <w:t>Journal of Applied Sciences Research</w:t>
      </w:r>
      <w:r w:rsidRPr="00323D52">
        <w:rPr>
          <w:lang w:eastAsia="en-AU"/>
        </w:rPr>
        <w:t>, 3, pp. 485–494.</w:t>
      </w:r>
    </w:p>
    <w:p w14:paraId="3F22B8D6" w14:textId="77777777" w:rsidR="00323D52" w:rsidRPr="00323D52" w:rsidRDefault="00323D52" w:rsidP="004105EC">
      <w:pPr>
        <w:pStyle w:val="EndnoteText"/>
        <w:rPr>
          <w:lang w:eastAsia="en-AU"/>
        </w:rPr>
      </w:pPr>
      <w:r w:rsidRPr="00323D52">
        <w:rPr>
          <w:lang w:eastAsia="en-AU"/>
        </w:rPr>
        <w:t xml:space="preserve">SPC 2013, </w:t>
      </w:r>
      <w:r w:rsidRPr="00323D52">
        <w:rPr>
          <w:i/>
          <w:lang w:eastAsia="en-AU"/>
        </w:rPr>
        <w:t>Incursion of Oriental fruit fly in to Cook Islands</w:t>
      </w:r>
      <w:r w:rsidRPr="00323D52">
        <w:rPr>
          <w:lang w:eastAsia="en-AU"/>
        </w:rPr>
        <w:t>, Pest Alert No. 47, July 2013, Plant Health, Land Resources Division, Secretariat of the Pacific Community.</w:t>
      </w:r>
    </w:p>
    <w:p w14:paraId="3219D14B" w14:textId="77777777" w:rsidR="00323D52" w:rsidRPr="00323D52" w:rsidRDefault="00323D52" w:rsidP="004105EC">
      <w:pPr>
        <w:pStyle w:val="EndnoteText"/>
        <w:rPr>
          <w:lang w:eastAsia="en-AU"/>
        </w:rPr>
      </w:pPr>
      <w:r w:rsidRPr="00323D52">
        <w:rPr>
          <w:lang w:eastAsia="en-AU"/>
        </w:rPr>
        <w:t>SPC 201</w:t>
      </w:r>
      <w:r w:rsidR="00D64194">
        <w:rPr>
          <w:lang w:eastAsia="en-AU"/>
        </w:rPr>
        <w:t>6</w:t>
      </w:r>
      <w:r w:rsidRPr="00323D52">
        <w:rPr>
          <w:lang w:eastAsia="en-AU"/>
        </w:rPr>
        <w:t xml:space="preserve">, Pacific Islands Pest List Database, </w:t>
      </w:r>
      <w:r w:rsidR="00C411C1">
        <w:rPr>
          <w:lang w:eastAsia="en-AU"/>
        </w:rPr>
        <w:t xml:space="preserve">Plant Protection Service, </w:t>
      </w:r>
      <w:r w:rsidRPr="00323D52">
        <w:rPr>
          <w:lang w:eastAsia="en-AU"/>
        </w:rPr>
        <w:t>Secretariat of the Pacific Community</w:t>
      </w:r>
      <w:r w:rsidR="00C411C1">
        <w:rPr>
          <w:lang w:eastAsia="en-AU"/>
        </w:rPr>
        <w:t xml:space="preserve">, Suva, Fiji Islands, viewed May 2016, </w:t>
      </w:r>
      <w:hyperlink r:id="rId93" w:history="1">
        <w:r w:rsidR="00C411C1">
          <w:rPr>
            <w:rStyle w:val="Hyperlink"/>
            <w:lang w:eastAsia="en-AU"/>
          </w:rPr>
          <w:t>pld.spc.int/pld/</w:t>
        </w:r>
      </w:hyperlink>
      <w:r w:rsidR="00C411C1">
        <w:rPr>
          <w:lang w:eastAsia="en-AU"/>
        </w:rPr>
        <w:t xml:space="preserve"> </w:t>
      </w:r>
    </w:p>
    <w:p w14:paraId="237F0523" w14:textId="77777777" w:rsidR="0019462A" w:rsidRDefault="0019462A" w:rsidP="004105EC">
      <w:pPr>
        <w:pStyle w:val="EndnoteText"/>
        <w:rPr>
          <w:lang w:eastAsia="en-AU"/>
        </w:rPr>
      </w:pPr>
      <w:r>
        <w:rPr>
          <w:lang w:eastAsia="en-AU"/>
        </w:rPr>
        <w:t>Stocks, IC 2015, ‘</w:t>
      </w:r>
      <w:r w:rsidRPr="0019462A">
        <w:rPr>
          <w:i/>
          <w:lang w:eastAsia="en-AU"/>
        </w:rPr>
        <w:t>Fiorinia proboscidaria</w:t>
      </w:r>
      <w:r>
        <w:rPr>
          <w:lang w:eastAsia="en-AU"/>
        </w:rPr>
        <w:t xml:space="preserve"> Green (Hemiptera: Diaspididae), a new armored scale pest of citrus in Florida’, Pest alert February 2015, Florida Department of Agriculture and Consumer Services, viewed June 2016, </w:t>
      </w:r>
      <w:hyperlink r:id="rId94" w:history="1">
        <w:r w:rsidR="000E00B3">
          <w:rPr>
            <w:rStyle w:val="Hyperlink"/>
            <w:rFonts w:eastAsia="Times New Roman"/>
            <w:lang w:eastAsia="en-AU"/>
          </w:rPr>
          <w:t>freshfromflorida.com/content/download/51395/1116140/PEST_ALERT_fiorinia_proboscidaria.pdf</w:t>
        </w:r>
      </w:hyperlink>
      <w:r>
        <w:rPr>
          <w:lang w:eastAsia="en-AU"/>
        </w:rPr>
        <w:t xml:space="preserve"> . </w:t>
      </w:r>
    </w:p>
    <w:p w14:paraId="5AF4CFDA" w14:textId="77777777" w:rsidR="00F867C0" w:rsidRDefault="00F867C0" w:rsidP="004105EC">
      <w:pPr>
        <w:pStyle w:val="EndnoteText"/>
        <w:rPr>
          <w:lang w:eastAsia="en-AU"/>
        </w:rPr>
      </w:pPr>
      <w:r w:rsidRPr="00F867C0">
        <w:rPr>
          <w:lang w:eastAsia="en-AU"/>
        </w:rPr>
        <w:t xml:space="preserve">Stocks, IC &amp; Roda A 2011, </w:t>
      </w:r>
      <w:r>
        <w:rPr>
          <w:lang w:eastAsia="en-AU"/>
        </w:rPr>
        <w:t>‘</w:t>
      </w:r>
      <w:r w:rsidRPr="00F867C0">
        <w:rPr>
          <w:lang w:eastAsia="en-AU"/>
        </w:rPr>
        <w:t xml:space="preserve">The Passionvine Mealybug, </w:t>
      </w:r>
      <w:r w:rsidRPr="00F867C0">
        <w:rPr>
          <w:i/>
          <w:lang w:eastAsia="en-AU"/>
        </w:rPr>
        <w:t>Planococcus minor</w:t>
      </w:r>
      <w:r w:rsidRPr="00F867C0">
        <w:rPr>
          <w:lang w:eastAsia="en-AU"/>
        </w:rPr>
        <w:t xml:space="preserve"> (Maskell), a new exotic mealybug in South Florida (Hemiptera: Pseudococcidae)</w:t>
      </w:r>
      <w:r>
        <w:rPr>
          <w:lang w:eastAsia="en-AU"/>
        </w:rPr>
        <w:t>’</w:t>
      </w:r>
      <w:r w:rsidRPr="00F867C0">
        <w:rPr>
          <w:lang w:eastAsia="en-AU"/>
        </w:rPr>
        <w:t>, Pest alert DACS-P-01769, Florida Department of Agriculture and Consumer Services, Division of Plant Industry.</w:t>
      </w:r>
    </w:p>
    <w:p w14:paraId="7CD6CA9D" w14:textId="77777777" w:rsidR="00323D52" w:rsidRPr="00323D52" w:rsidRDefault="00323D52" w:rsidP="004105EC">
      <w:pPr>
        <w:pStyle w:val="EndnoteText"/>
        <w:rPr>
          <w:lang w:eastAsia="en-AU"/>
        </w:rPr>
      </w:pPr>
      <w:r w:rsidRPr="00323D52">
        <w:rPr>
          <w:lang w:eastAsia="en-AU"/>
        </w:rPr>
        <w:t xml:space="preserve">Stout, OO 1982, </w:t>
      </w:r>
      <w:r w:rsidRPr="00323D52">
        <w:rPr>
          <w:i/>
          <w:lang w:eastAsia="en-AU"/>
        </w:rPr>
        <w:t>Plant quarantine guidelines for movement of selected commodities the Pacific</w:t>
      </w:r>
      <w:r w:rsidRPr="00323D52">
        <w:rPr>
          <w:lang w:eastAsia="en-AU"/>
        </w:rPr>
        <w:t xml:space="preserve">, UNDP/FAO –SPEC survey of agricultural pests and diseases in the South Pacific, South Pacific Bureau for Economic Cooperation. </w:t>
      </w:r>
    </w:p>
    <w:p w14:paraId="5727E2DE" w14:textId="77777777" w:rsidR="00323D52" w:rsidRPr="00323D52" w:rsidRDefault="00323D52" w:rsidP="004105EC">
      <w:pPr>
        <w:pStyle w:val="EndnoteText"/>
        <w:rPr>
          <w:lang w:eastAsia="en-AU"/>
        </w:rPr>
      </w:pPr>
      <w:r w:rsidRPr="00323D52">
        <w:rPr>
          <w:lang w:eastAsia="en-AU"/>
        </w:rPr>
        <w:t xml:space="preserve">Tau, D &amp; Berukilukilu, L 2000, </w:t>
      </w:r>
      <w:r w:rsidRPr="00323D52">
        <w:rPr>
          <w:i/>
          <w:lang w:eastAsia="en-AU"/>
        </w:rPr>
        <w:t>Determination of fruit fly host status for citrus lime (variety ‘Tahitian’)</w:t>
      </w:r>
      <w:r w:rsidRPr="00323D52">
        <w:rPr>
          <w:lang w:eastAsia="en-AU"/>
        </w:rPr>
        <w:t xml:space="preserve">, Report 5, Vanuatu Quarantine and Inspection Services and FAO/AusAID/UNDP/ SPC Project on Regional management of Fruit Flies in the Pacific: RAS/ 97 331, Secretariat of the Pacific Community, Suva, Fiji. </w:t>
      </w:r>
    </w:p>
    <w:p w14:paraId="303745FA" w14:textId="77777777" w:rsidR="00323D52" w:rsidRPr="00323D52" w:rsidRDefault="00323D52" w:rsidP="004105EC">
      <w:pPr>
        <w:pStyle w:val="EndnoteText"/>
        <w:rPr>
          <w:lang w:eastAsia="en-AU"/>
        </w:rPr>
      </w:pPr>
      <w:r w:rsidRPr="00323D52">
        <w:rPr>
          <w:lang w:eastAsia="en-AU"/>
        </w:rPr>
        <w:t xml:space="preserve">Timmer, LW, Priest, M, Broadbent, P &amp; Tan, MK 1996, ‘Morphological and pathological characterization of species of </w:t>
      </w:r>
      <w:r w:rsidRPr="00323D52">
        <w:rPr>
          <w:i/>
          <w:lang w:eastAsia="en-AU"/>
        </w:rPr>
        <w:t>Elsinoë</w:t>
      </w:r>
      <w:r w:rsidRPr="00323D52">
        <w:rPr>
          <w:lang w:eastAsia="en-AU"/>
        </w:rPr>
        <w:t xml:space="preserve"> causing scab diseases of citrus’, </w:t>
      </w:r>
      <w:r w:rsidRPr="00323D52">
        <w:rPr>
          <w:i/>
          <w:lang w:eastAsia="en-AU"/>
        </w:rPr>
        <w:t>Phytopathology</w:t>
      </w:r>
      <w:r w:rsidRPr="00323D52">
        <w:rPr>
          <w:lang w:eastAsia="en-AU"/>
        </w:rPr>
        <w:t>, 86, pp. 1032–1038.</w:t>
      </w:r>
    </w:p>
    <w:p w14:paraId="53844DCD" w14:textId="77777777" w:rsidR="00323D52" w:rsidRPr="00323D52" w:rsidRDefault="00323D52" w:rsidP="004105EC">
      <w:pPr>
        <w:pStyle w:val="EndnoteText"/>
        <w:rPr>
          <w:lang w:eastAsia="en-AU"/>
        </w:rPr>
      </w:pPr>
      <w:r w:rsidRPr="00323D52">
        <w:rPr>
          <w:lang w:eastAsia="en-AU"/>
        </w:rPr>
        <w:t xml:space="preserve">Timmer, LW 2000, ‘Scab diseases’, in LW Timmer, SM Garnsey &amp; JH Graham (eds) </w:t>
      </w:r>
      <w:r w:rsidRPr="00323D52">
        <w:rPr>
          <w:i/>
          <w:lang w:eastAsia="en-AU"/>
        </w:rPr>
        <w:t>Compendium of citrus diseases</w:t>
      </w:r>
      <w:r w:rsidRPr="00323D52">
        <w:rPr>
          <w:lang w:eastAsia="en-AU"/>
        </w:rPr>
        <w:t>, Second edition, pp. 31–32, American Phytopathological Society.</w:t>
      </w:r>
    </w:p>
    <w:p w14:paraId="51157D55" w14:textId="56055136" w:rsidR="003550EA" w:rsidRDefault="003550EA" w:rsidP="004105EC">
      <w:pPr>
        <w:pStyle w:val="EndnoteText"/>
        <w:rPr>
          <w:lang w:eastAsia="en-AU"/>
        </w:rPr>
      </w:pPr>
      <w:r>
        <w:rPr>
          <w:lang w:eastAsia="en-AU"/>
        </w:rPr>
        <w:t xml:space="preserve">Tsatsia, H &amp; Jackson, G 2017, ‘Citrus scab’, </w:t>
      </w:r>
      <w:r w:rsidRPr="003550EA">
        <w:rPr>
          <w:i/>
          <w:lang w:eastAsia="en-AU"/>
        </w:rPr>
        <w:t>Pacific Pests and Pathogens</w:t>
      </w:r>
      <w:r>
        <w:rPr>
          <w:lang w:eastAsia="en-AU"/>
        </w:rPr>
        <w:t xml:space="preserve"> fact sheet (048), viewed November 2017, </w:t>
      </w:r>
      <w:hyperlink r:id="rId95" w:history="1">
        <w:r w:rsidRPr="006602B1">
          <w:rPr>
            <w:rStyle w:val="Hyperlink"/>
            <w:lang w:eastAsia="en-AU"/>
          </w:rPr>
          <w:t>http://www.pestnet.org/fact_sheets/citrus_scab_048.pdf</w:t>
        </w:r>
      </w:hyperlink>
      <w:r>
        <w:rPr>
          <w:lang w:eastAsia="en-AU"/>
        </w:rPr>
        <w:t xml:space="preserve"> </w:t>
      </w:r>
    </w:p>
    <w:p w14:paraId="2812628B" w14:textId="77777777" w:rsidR="00323D52" w:rsidRPr="00323D52" w:rsidRDefault="00323D52" w:rsidP="004105EC">
      <w:pPr>
        <w:pStyle w:val="EndnoteText"/>
        <w:rPr>
          <w:lang w:eastAsia="en-AU"/>
        </w:rPr>
      </w:pPr>
      <w:r w:rsidRPr="00323D52">
        <w:rPr>
          <w:lang w:eastAsia="en-AU"/>
        </w:rPr>
        <w:t xml:space="preserve">Vargas, RI, Leblanc, L, Putoa, R &amp; Eitam, A 2007, ‘Impact of introduction of </w:t>
      </w:r>
      <w:r w:rsidRPr="00323D52">
        <w:rPr>
          <w:i/>
          <w:lang w:eastAsia="en-AU"/>
        </w:rPr>
        <w:t>Bactrocera dorsalis</w:t>
      </w:r>
      <w:r w:rsidRPr="00323D52">
        <w:rPr>
          <w:lang w:eastAsia="en-AU"/>
        </w:rPr>
        <w:t xml:space="preserve"> (Diptera: Tephritidae) and classical biological control releases of </w:t>
      </w:r>
      <w:r w:rsidRPr="00323D52">
        <w:rPr>
          <w:i/>
          <w:lang w:eastAsia="en-AU"/>
        </w:rPr>
        <w:t>Fopius arisanus</w:t>
      </w:r>
      <w:r w:rsidRPr="00323D52">
        <w:rPr>
          <w:lang w:eastAsia="en-AU"/>
        </w:rPr>
        <w:t xml:space="preserve"> (Hymenoptera: Braconidae) on economically important fruit flies in French Polynesia’, </w:t>
      </w:r>
      <w:r w:rsidRPr="00323D52">
        <w:rPr>
          <w:i/>
          <w:lang w:eastAsia="en-AU"/>
        </w:rPr>
        <w:t>Journal of Economic Entomology</w:t>
      </w:r>
      <w:r w:rsidRPr="00323D52">
        <w:rPr>
          <w:lang w:eastAsia="en-AU"/>
        </w:rPr>
        <w:t>, 100, pp. 670–679.</w:t>
      </w:r>
    </w:p>
    <w:p w14:paraId="645B262A" w14:textId="77777777" w:rsidR="00DD18FF" w:rsidRDefault="00DD18FF" w:rsidP="00DD18FF">
      <w:pPr>
        <w:pStyle w:val="EndnoteText"/>
        <w:rPr>
          <w:lang w:eastAsia="en-AU"/>
        </w:rPr>
      </w:pPr>
      <w:r>
        <w:rPr>
          <w:lang w:eastAsia="en-AU"/>
        </w:rPr>
        <w:t xml:space="preserve">Vargas, RI, Piñero, JC and Leblanc, L 2015, ‘An overview of pest species of </w:t>
      </w:r>
      <w:r w:rsidRPr="00DD18FF">
        <w:rPr>
          <w:i/>
          <w:lang w:eastAsia="en-AU"/>
        </w:rPr>
        <w:t>Bactrocera</w:t>
      </w:r>
      <w:r>
        <w:rPr>
          <w:lang w:eastAsia="en-AU"/>
        </w:rPr>
        <w:t xml:space="preserve"> fruit flies (Diptera: Tephritidae) and the integration of biopesticides with other biological approaches for their management with a focus on the Pacific region’, </w:t>
      </w:r>
      <w:r w:rsidRPr="00DD18FF">
        <w:rPr>
          <w:i/>
          <w:lang w:eastAsia="en-AU"/>
        </w:rPr>
        <w:t>Insects</w:t>
      </w:r>
      <w:r>
        <w:rPr>
          <w:lang w:eastAsia="en-AU"/>
        </w:rPr>
        <w:t>,</w:t>
      </w:r>
      <w:r w:rsidRPr="00DD18FF">
        <w:rPr>
          <w:lang w:eastAsia="en-AU"/>
        </w:rPr>
        <w:t xml:space="preserve"> 6, </w:t>
      </w:r>
      <w:r>
        <w:rPr>
          <w:lang w:eastAsia="en-AU"/>
        </w:rPr>
        <w:t>pp. 297–</w:t>
      </w:r>
      <w:r w:rsidRPr="00DD18FF">
        <w:rPr>
          <w:lang w:eastAsia="en-AU"/>
        </w:rPr>
        <w:t>318</w:t>
      </w:r>
      <w:r>
        <w:rPr>
          <w:lang w:eastAsia="en-AU"/>
        </w:rPr>
        <w:t>.</w:t>
      </w:r>
    </w:p>
    <w:p w14:paraId="17D417E4" w14:textId="77777777" w:rsidR="00323D52" w:rsidRPr="00323D52" w:rsidRDefault="00323D52" w:rsidP="004105EC">
      <w:pPr>
        <w:pStyle w:val="EndnoteText"/>
        <w:rPr>
          <w:lang w:eastAsia="en-AU"/>
        </w:rPr>
      </w:pPr>
      <w:r w:rsidRPr="00323D52">
        <w:rPr>
          <w:lang w:eastAsia="en-AU"/>
        </w:rPr>
        <w:t xml:space="preserve">Venette, RC &amp; Davis, EE 2004, </w:t>
      </w:r>
      <w:r w:rsidRPr="00323D52">
        <w:rPr>
          <w:i/>
          <w:lang w:eastAsia="en-AU"/>
        </w:rPr>
        <w:t>Mini risk assessment, passionvine mealybug: Planococcus minor (Maskell) (Pseudococcidae: Hemiptera)</w:t>
      </w:r>
      <w:r w:rsidRPr="00323D52">
        <w:rPr>
          <w:lang w:eastAsia="en-AU"/>
        </w:rPr>
        <w:t>, Animal &amp; Plant Health Inspection Service, United States Department of Agriculture.</w:t>
      </w:r>
    </w:p>
    <w:p w14:paraId="3EA53841" w14:textId="77777777" w:rsidR="00323D52" w:rsidRPr="00323D52" w:rsidRDefault="00323D52" w:rsidP="004105EC">
      <w:pPr>
        <w:pStyle w:val="EndnoteText"/>
        <w:rPr>
          <w:lang w:eastAsia="en-AU"/>
        </w:rPr>
      </w:pPr>
      <w:r w:rsidRPr="00323D52">
        <w:rPr>
          <w:lang w:eastAsia="en-AU"/>
        </w:rPr>
        <w:t xml:space="preserve">Vranjic, JA 1997, ‘Effects on host plant’, in Y Ben-Dov &amp; CJ Hodgson (eds), </w:t>
      </w:r>
      <w:r w:rsidRPr="00323D52">
        <w:rPr>
          <w:i/>
          <w:lang w:eastAsia="en-AU"/>
        </w:rPr>
        <w:t>Soft scale insects – their biology, natural enemies and control</w:t>
      </w:r>
      <w:r w:rsidRPr="00323D52">
        <w:rPr>
          <w:lang w:eastAsia="en-AU"/>
        </w:rPr>
        <w:t>, pp. 323–336, Elsevier Science, Amsterdam, Netherlands.</w:t>
      </w:r>
    </w:p>
    <w:p w14:paraId="636BF8D1" w14:textId="77777777" w:rsidR="00724D98" w:rsidRDefault="00724D98" w:rsidP="004105EC">
      <w:pPr>
        <w:pStyle w:val="EndnoteText"/>
        <w:rPr>
          <w:lang w:eastAsia="en-AU"/>
        </w:rPr>
      </w:pPr>
      <w:r>
        <w:rPr>
          <w:lang w:eastAsia="en-AU"/>
        </w:rPr>
        <w:t xml:space="preserve">Walker, AK &amp; Deitz, LL 1979, A review of entomophagous insects in the Cook Islands, </w:t>
      </w:r>
      <w:r w:rsidRPr="00724D98">
        <w:rPr>
          <w:i/>
          <w:lang w:eastAsia="en-AU"/>
        </w:rPr>
        <w:t>New Zealand Entomologist</w:t>
      </w:r>
      <w:r>
        <w:rPr>
          <w:lang w:eastAsia="en-AU"/>
        </w:rPr>
        <w:t>, 7, pp. 70–82.</w:t>
      </w:r>
    </w:p>
    <w:p w14:paraId="403556A6" w14:textId="77777777" w:rsidR="00CA28A8" w:rsidRPr="00CA28A8" w:rsidRDefault="00CA28A8" w:rsidP="004105EC">
      <w:pPr>
        <w:pStyle w:val="EndnoteText"/>
        <w:rPr>
          <w:lang w:eastAsia="en-AU"/>
        </w:rPr>
      </w:pPr>
      <w:r w:rsidRPr="00CA28A8">
        <w:rPr>
          <w:lang w:eastAsia="en-AU"/>
        </w:rPr>
        <w:t>Washington, WS &amp; Nancarrow</w:t>
      </w:r>
      <w:r w:rsidR="005F613A">
        <w:rPr>
          <w:lang w:eastAsia="en-AU"/>
        </w:rPr>
        <w:t xml:space="preserve">, </w:t>
      </w:r>
      <w:r w:rsidRPr="00CA28A8">
        <w:rPr>
          <w:lang w:eastAsia="en-AU"/>
        </w:rPr>
        <w:t>RJ 1980, Lists of diseases recorded on fruit and vegetable crops in Victoria before 30 June, 1980. Department of Agriculture, Victoria, technical report no. 66, Plant Research Institute, Burnley, Victoria, Australia.</w:t>
      </w:r>
    </w:p>
    <w:p w14:paraId="5949E749" w14:textId="77777777" w:rsidR="00323D52" w:rsidRPr="00323D52" w:rsidRDefault="00323D52" w:rsidP="004105EC">
      <w:pPr>
        <w:pStyle w:val="EndnoteText"/>
        <w:rPr>
          <w:lang w:eastAsia="en-AU"/>
        </w:rPr>
      </w:pPr>
      <w:r w:rsidRPr="00323D52">
        <w:rPr>
          <w:lang w:eastAsia="en-AU"/>
        </w:rPr>
        <w:t xml:space="preserve">Waterhouse, DF 1993, </w:t>
      </w:r>
      <w:r w:rsidRPr="00323D52">
        <w:rPr>
          <w:i/>
          <w:lang w:eastAsia="en-AU"/>
        </w:rPr>
        <w:t>Biological control: Pacific prospects – Supplement 2</w:t>
      </w:r>
      <w:r w:rsidRPr="00323D52">
        <w:rPr>
          <w:lang w:eastAsia="en-AU"/>
        </w:rPr>
        <w:t>, ACIAR monograph No. 20, Australian Centre for International Agricultural Research, Canberra.</w:t>
      </w:r>
    </w:p>
    <w:p w14:paraId="033AB237" w14:textId="77777777" w:rsidR="00323D52" w:rsidRPr="00323D52" w:rsidRDefault="00323D52" w:rsidP="004105EC">
      <w:pPr>
        <w:pStyle w:val="EndnoteText"/>
        <w:rPr>
          <w:lang w:eastAsia="en-AU"/>
        </w:rPr>
      </w:pPr>
      <w:r w:rsidRPr="00323D52">
        <w:rPr>
          <w:lang w:eastAsia="en-AU"/>
        </w:rPr>
        <w:t xml:space="preserve">Waterhouse, DF &amp; Norris, KR 1987, </w:t>
      </w:r>
      <w:r w:rsidRPr="00323D52">
        <w:rPr>
          <w:i/>
          <w:lang w:eastAsia="en-AU"/>
        </w:rPr>
        <w:t>Biological control: Pacific prospects</w:t>
      </w:r>
      <w:r w:rsidRPr="00323D52">
        <w:rPr>
          <w:lang w:eastAsia="en-AU"/>
        </w:rPr>
        <w:t>, Australian Centre for International Agricultural Research, Canberra.</w:t>
      </w:r>
    </w:p>
    <w:p w14:paraId="7DD3A186" w14:textId="77777777" w:rsidR="00323D52" w:rsidRPr="00323D52" w:rsidRDefault="00323D52" w:rsidP="004105EC">
      <w:pPr>
        <w:pStyle w:val="EndnoteText"/>
        <w:rPr>
          <w:lang w:eastAsia="en-AU"/>
        </w:rPr>
      </w:pPr>
      <w:r w:rsidRPr="00323D52">
        <w:rPr>
          <w:lang w:eastAsia="en-AU"/>
        </w:rPr>
        <w:t>Watson, GW 201</w:t>
      </w:r>
      <w:r w:rsidR="00C411C1">
        <w:rPr>
          <w:lang w:eastAsia="en-AU"/>
        </w:rPr>
        <w:t>6</w:t>
      </w:r>
      <w:r w:rsidRPr="00323D52">
        <w:rPr>
          <w:lang w:eastAsia="en-AU"/>
        </w:rPr>
        <w:t xml:space="preserve">, </w:t>
      </w:r>
      <w:r w:rsidR="00C411C1">
        <w:rPr>
          <w:lang w:eastAsia="en-AU"/>
        </w:rPr>
        <w:t>‘</w:t>
      </w:r>
      <w:r w:rsidRPr="00323D52">
        <w:rPr>
          <w:lang w:eastAsia="en-AU"/>
        </w:rPr>
        <w:t>Diaspididae of the World</w:t>
      </w:r>
      <w:r w:rsidR="00C411C1">
        <w:rPr>
          <w:lang w:eastAsia="en-AU"/>
        </w:rPr>
        <w:t>’</w:t>
      </w:r>
      <w:r w:rsidRPr="00323D52">
        <w:rPr>
          <w:lang w:eastAsia="en-AU"/>
        </w:rPr>
        <w:t xml:space="preserve">, in SA Ulenberg (ed), </w:t>
      </w:r>
      <w:r w:rsidRPr="00C411C1">
        <w:rPr>
          <w:i/>
          <w:lang w:eastAsia="en-AU"/>
        </w:rPr>
        <w:t>Arthropods of economic significance</w:t>
      </w:r>
      <w:r w:rsidRPr="00323D52">
        <w:rPr>
          <w:lang w:eastAsia="en-AU"/>
        </w:rPr>
        <w:t>, viewed March 201</w:t>
      </w:r>
      <w:r w:rsidR="00A23B9E">
        <w:rPr>
          <w:lang w:eastAsia="en-AU"/>
        </w:rPr>
        <w:t>6</w:t>
      </w:r>
      <w:r w:rsidRPr="00323D52">
        <w:rPr>
          <w:lang w:eastAsia="en-AU"/>
        </w:rPr>
        <w:t xml:space="preserve">, </w:t>
      </w:r>
      <w:hyperlink r:id="rId96" w:history="1">
        <w:r w:rsidRPr="00323D52">
          <w:rPr>
            <w:color w:val="165788"/>
            <w:u w:val="single"/>
            <w:lang w:eastAsia="en-AU"/>
          </w:rPr>
          <w:t>wbd.etibioinformatics.nl/bis/diaspididae.php?menuentry=inleiding</w:t>
        </w:r>
      </w:hyperlink>
    </w:p>
    <w:p w14:paraId="3AE87EB4" w14:textId="77777777" w:rsidR="00323D52" w:rsidRPr="00323D52" w:rsidRDefault="00323D52" w:rsidP="004105EC">
      <w:pPr>
        <w:pStyle w:val="EndnoteText"/>
        <w:rPr>
          <w:lang w:eastAsia="en-AU"/>
        </w:rPr>
      </w:pPr>
      <w:r w:rsidRPr="00323D52">
        <w:rPr>
          <w:lang w:eastAsia="en-AU"/>
        </w:rPr>
        <w:t xml:space="preserve">White, IM &amp; Elson-Harris, MM 1994, </w:t>
      </w:r>
      <w:r w:rsidRPr="00323D52">
        <w:rPr>
          <w:i/>
          <w:lang w:eastAsia="en-AU"/>
        </w:rPr>
        <w:t>Fruit flies of economic significance: their identification and bionomics</w:t>
      </w:r>
      <w:r w:rsidRPr="00323D52">
        <w:rPr>
          <w:lang w:eastAsia="en-AU"/>
        </w:rPr>
        <w:t>, CAB International, Wallingford, UK.</w:t>
      </w:r>
    </w:p>
    <w:p w14:paraId="045194E3" w14:textId="1B60054E" w:rsidR="00323D52" w:rsidRPr="00323D52" w:rsidRDefault="00323D52" w:rsidP="004105EC">
      <w:pPr>
        <w:pStyle w:val="EndnoteText"/>
        <w:rPr>
          <w:lang w:eastAsia="en-AU"/>
        </w:rPr>
      </w:pPr>
      <w:r w:rsidRPr="00323D52">
        <w:rPr>
          <w:lang w:eastAsia="en-AU"/>
        </w:rPr>
        <w:t xml:space="preserve">Whiteside, JO 1975, ‘Biological characteristics of </w:t>
      </w:r>
      <w:r w:rsidRPr="00323D52">
        <w:rPr>
          <w:i/>
          <w:lang w:eastAsia="en-AU"/>
        </w:rPr>
        <w:t>Elsino</w:t>
      </w:r>
      <w:r w:rsidR="00DB0B4C">
        <w:rPr>
          <w:i/>
          <w:lang w:eastAsia="en-AU"/>
        </w:rPr>
        <w:t>ë</w:t>
      </w:r>
      <w:r w:rsidRPr="00323D52">
        <w:rPr>
          <w:i/>
          <w:lang w:eastAsia="en-AU"/>
        </w:rPr>
        <w:t xml:space="preserve"> fawcettii</w:t>
      </w:r>
      <w:r w:rsidRPr="00323D52">
        <w:rPr>
          <w:lang w:eastAsia="en-AU"/>
        </w:rPr>
        <w:t xml:space="preserve"> pertaining to the epidemiology of sour orange scab’, </w:t>
      </w:r>
      <w:r w:rsidRPr="00323D52">
        <w:rPr>
          <w:i/>
          <w:lang w:eastAsia="en-AU"/>
        </w:rPr>
        <w:t>Phytopathology</w:t>
      </w:r>
      <w:r w:rsidRPr="00323D52">
        <w:rPr>
          <w:lang w:eastAsia="en-AU"/>
        </w:rPr>
        <w:t>, 65, pp. 1170–1175.</w:t>
      </w:r>
    </w:p>
    <w:p w14:paraId="48C9859B" w14:textId="2D02272B" w:rsidR="00323D52" w:rsidRPr="00323D52" w:rsidRDefault="009774F0" w:rsidP="004105EC">
      <w:pPr>
        <w:pStyle w:val="EndnoteText"/>
        <w:rPr>
          <w:lang w:eastAsia="en-AU"/>
        </w:rPr>
      </w:pPr>
      <w:r>
        <w:rPr>
          <w:lang w:eastAsia="en-AU"/>
        </w:rPr>
        <w:t>-- --</w:t>
      </w:r>
      <w:r w:rsidR="00323D52" w:rsidRPr="00323D52">
        <w:rPr>
          <w:lang w:eastAsia="en-AU"/>
        </w:rPr>
        <w:t xml:space="preserve"> 1980, ‘Detection of benomyl-tolerant strains of </w:t>
      </w:r>
      <w:r w:rsidR="00323D52" w:rsidRPr="00323D52">
        <w:rPr>
          <w:i/>
          <w:lang w:eastAsia="en-AU"/>
        </w:rPr>
        <w:t>Elsinoe fawcettii</w:t>
      </w:r>
      <w:r w:rsidR="00323D52" w:rsidRPr="00323D52">
        <w:rPr>
          <w:lang w:eastAsia="en-AU"/>
        </w:rPr>
        <w:t xml:space="preserve"> in Florida citrus groves and nurseries’, </w:t>
      </w:r>
      <w:r w:rsidR="00323D52" w:rsidRPr="00323D52">
        <w:rPr>
          <w:i/>
          <w:lang w:eastAsia="en-AU"/>
        </w:rPr>
        <w:t>Plant Disease</w:t>
      </w:r>
      <w:r w:rsidR="00323D52" w:rsidRPr="00323D52">
        <w:rPr>
          <w:lang w:eastAsia="en-AU"/>
        </w:rPr>
        <w:t>, 64, pp. 871–872.</w:t>
      </w:r>
    </w:p>
    <w:p w14:paraId="76176D89" w14:textId="77777777" w:rsidR="00323D52" w:rsidRPr="00323D52" w:rsidRDefault="00323D52" w:rsidP="004105EC">
      <w:pPr>
        <w:pStyle w:val="EndnoteText"/>
        <w:rPr>
          <w:lang w:eastAsia="en-AU"/>
        </w:rPr>
      </w:pPr>
      <w:r w:rsidRPr="00323D52">
        <w:rPr>
          <w:lang w:eastAsia="en-AU"/>
        </w:rPr>
        <w:t xml:space="preserve">Williams, DJ &amp; Butcher, CF 1987, ‘Scale insects (Hemiptera: Coccoidea) of Vanuatu’, </w:t>
      </w:r>
      <w:r w:rsidRPr="00323D52">
        <w:rPr>
          <w:i/>
          <w:lang w:eastAsia="en-AU"/>
        </w:rPr>
        <w:t>New Zealand Entomologist</w:t>
      </w:r>
      <w:r w:rsidRPr="00323D52">
        <w:rPr>
          <w:lang w:eastAsia="en-AU"/>
        </w:rPr>
        <w:t xml:space="preserve">, 9, pp. 88–99. </w:t>
      </w:r>
    </w:p>
    <w:p w14:paraId="7BD225FD" w14:textId="77777777" w:rsidR="00323D52" w:rsidRPr="00323D52" w:rsidRDefault="00323D52" w:rsidP="004105EC">
      <w:pPr>
        <w:pStyle w:val="EndnoteText"/>
        <w:rPr>
          <w:lang w:eastAsia="en-AU"/>
        </w:rPr>
      </w:pPr>
      <w:r w:rsidRPr="00323D52">
        <w:rPr>
          <w:lang w:eastAsia="en-AU"/>
        </w:rPr>
        <w:t xml:space="preserve">Williams, DJ &amp; Watson, GW 1988a, </w:t>
      </w:r>
      <w:r w:rsidRPr="00323D52">
        <w:rPr>
          <w:i/>
          <w:lang w:eastAsia="en-AU"/>
        </w:rPr>
        <w:t>The scale insects of the tropical South Pacific region: Part 1: The armoured scales (Diaspididae)</w:t>
      </w:r>
      <w:r w:rsidRPr="00323D52">
        <w:rPr>
          <w:lang w:eastAsia="en-AU"/>
        </w:rPr>
        <w:t>, CAB International, Wallingford, UK.</w:t>
      </w:r>
    </w:p>
    <w:p w14:paraId="4808599D" w14:textId="12FFDD6B" w:rsidR="00323D52" w:rsidRPr="00323D52" w:rsidRDefault="009774F0" w:rsidP="004105EC">
      <w:pPr>
        <w:pStyle w:val="EndnoteText"/>
        <w:rPr>
          <w:lang w:eastAsia="en-AU"/>
        </w:rPr>
      </w:pPr>
      <w:r>
        <w:rPr>
          <w:lang w:eastAsia="en-AU"/>
        </w:rPr>
        <w:t>-- --</w:t>
      </w:r>
      <w:r w:rsidR="00323D52" w:rsidRPr="00323D52">
        <w:rPr>
          <w:lang w:eastAsia="en-AU"/>
        </w:rPr>
        <w:t xml:space="preserve"> 1988b, </w:t>
      </w:r>
      <w:r w:rsidR="00323D52" w:rsidRPr="00323D52">
        <w:rPr>
          <w:i/>
          <w:lang w:eastAsia="en-AU"/>
        </w:rPr>
        <w:t>The scale insects of the tropical South Pacific region: Part 2: The mealybugs (Pseudococcidae)</w:t>
      </w:r>
      <w:r w:rsidR="00323D52" w:rsidRPr="00323D52">
        <w:rPr>
          <w:lang w:eastAsia="en-AU"/>
        </w:rPr>
        <w:t>, CAB International, Wallingford, UK.</w:t>
      </w:r>
    </w:p>
    <w:p w14:paraId="0362BBDF" w14:textId="7CDDFDED" w:rsidR="00323D52" w:rsidRPr="00323D52" w:rsidRDefault="009774F0" w:rsidP="004105EC">
      <w:pPr>
        <w:pStyle w:val="EndnoteText"/>
        <w:rPr>
          <w:lang w:eastAsia="en-AU"/>
        </w:rPr>
      </w:pPr>
      <w:r>
        <w:rPr>
          <w:lang w:eastAsia="en-AU"/>
        </w:rPr>
        <w:t>-- --</w:t>
      </w:r>
      <w:r w:rsidR="00323D52" w:rsidRPr="00323D52">
        <w:rPr>
          <w:lang w:eastAsia="en-AU"/>
        </w:rPr>
        <w:t xml:space="preserve"> 1990, </w:t>
      </w:r>
      <w:r w:rsidR="00323D52" w:rsidRPr="00323D52">
        <w:rPr>
          <w:i/>
          <w:lang w:eastAsia="en-AU"/>
        </w:rPr>
        <w:t>The scale insects of the tropical South Pacific region: Part 3: The soft scales (Coccidae) and other families</w:t>
      </w:r>
      <w:r w:rsidR="00323D52" w:rsidRPr="00323D52">
        <w:rPr>
          <w:lang w:eastAsia="en-AU"/>
        </w:rPr>
        <w:t>, CAB International, Wallingford, UK.</w:t>
      </w:r>
    </w:p>
    <w:p w14:paraId="7DCE19B3" w14:textId="77777777" w:rsidR="00323D52" w:rsidRPr="00323D52" w:rsidRDefault="00323D52" w:rsidP="004105EC">
      <w:pPr>
        <w:pStyle w:val="EndnoteText"/>
        <w:rPr>
          <w:lang w:eastAsia="en-AU"/>
        </w:rPr>
      </w:pPr>
      <w:r w:rsidRPr="00323D52">
        <w:rPr>
          <w:lang w:eastAsia="en-AU"/>
        </w:rPr>
        <w:t xml:space="preserve">Williams, ML 1997, ‘Morphology, systematics and phylogeny: the immature stages’, in Y Ben-Dov &amp; CJ Hodgson (eds) </w:t>
      </w:r>
      <w:r w:rsidRPr="00323D52">
        <w:rPr>
          <w:i/>
          <w:lang w:eastAsia="en-AU"/>
        </w:rPr>
        <w:t>Soft scale insects – their biology, natural enemies and control</w:t>
      </w:r>
      <w:r w:rsidRPr="00323D52">
        <w:rPr>
          <w:lang w:eastAsia="en-AU"/>
        </w:rPr>
        <w:t>, pp. 31–48, Elsevier Science, Amsterdam, Netherlands.</w:t>
      </w:r>
    </w:p>
    <w:p w14:paraId="66BCD100" w14:textId="77777777" w:rsidR="00146544" w:rsidRDefault="00323D52" w:rsidP="004105EC">
      <w:pPr>
        <w:pStyle w:val="EndnoteText"/>
        <w:rPr>
          <w:lang w:eastAsia="en-AU"/>
        </w:rPr>
      </w:pPr>
      <w:r w:rsidRPr="00323D52">
        <w:rPr>
          <w:lang w:eastAsia="en-AU"/>
        </w:rPr>
        <w:t xml:space="preserve">WTO 1995, </w:t>
      </w:r>
      <w:r w:rsidRPr="00323D52">
        <w:rPr>
          <w:i/>
          <w:lang w:eastAsia="en-AU"/>
        </w:rPr>
        <w:t>Agreement on the application of sanitary and phytosanitary measures</w:t>
      </w:r>
      <w:r w:rsidRPr="00323D52">
        <w:rPr>
          <w:lang w:eastAsia="en-AU"/>
        </w:rPr>
        <w:t>, World Trade Organization, Geneva.</w:t>
      </w:r>
    </w:p>
    <w:p w14:paraId="74AAD945" w14:textId="77777777" w:rsidR="00F43BE0" w:rsidRDefault="00EF42B3" w:rsidP="004105EC">
      <w:pPr>
        <w:pStyle w:val="EndnoteText"/>
        <w:rPr>
          <w:lang w:eastAsia="en-AU"/>
        </w:rPr>
      </w:pPr>
      <w:r w:rsidRPr="00EF42B3">
        <w:rPr>
          <w:lang w:eastAsia="en-AU"/>
        </w:rPr>
        <w:t>Zhang, L 2008, ‘Biology and pest management of spider mites’, Fact sheet ENT 4, Northern Territory Department of Regional Development, Primary Industry, Fisheries and Resources, Darwin.</w:t>
      </w:r>
    </w:p>
    <w:sectPr w:rsidR="00F43BE0" w:rsidSect="004B5839">
      <w:headerReference w:type="even" r:id="rId97"/>
      <w:headerReference w:type="default" r:id="rId98"/>
      <w:footerReference w:type="even" r:id="rId99"/>
      <w:footerReference w:type="default" r:id="rId10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BADAC" w14:textId="77777777" w:rsidR="00834068" w:rsidRDefault="00834068">
      <w:pPr>
        <w:spacing w:after="0" w:line="240" w:lineRule="auto"/>
      </w:pPr>
      <w:r>
        <w:separator/>
      </w:r>
    </w:p>
    <w:p w14:paraId="7F025026" w14:textId="77777777" w:rsidR="00834068" w:rsidRDefault="00834068"/>
  </w:endnote>
  <w:endnote w:type="continuationSeparator" w:id="0">
    <w:p w14:paraId="5220CB3C" w14:textId="77777777" w:rsidR="00834068" w:rsidRDefault="00834068">
      <w:pPr>
        <w:spacing w:after="0" w:line="240" w:lineRule="auto"/>
      </w:pPr>
      <w:r>
        <w:continuationSeparator/>
      </w:r>
    </w:p>
    <w:p w14:paraId="4F219A9B" w14:textId="77777777" w:rsidR="00834068" w:rsidRDefault="00834068"/>
  </w:endnote>
  <w:endnote w:type="continuationNotice" w:id="1">
    <w:p w14:paraId="2A9B1610" w14:textId="77777777" w:rsidR="00834068" w:rsidRDefault="00834068">
      <w:pPr>
        <w:pStyle w:val="Footer"/>
        <w:jc w:val="left"/>
      </w:pPr>
    </w:p>
    <w:p w14:paraId="1AAA1F88" w14:textId="77777777" w:rsidR="00834068" w:rsidRDefault="008340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7FF76" w14:textId="77777777" w:rsidR="00834068" w:rsidRDefault="00834068" w:rsidP="00C506D1">
    <w:pPr>
      <w:pStyle w:val="Footer"/>
      <w:tabs>
        <w:tab w:val="clear" w:pos="4536"/>
        <w:tab w:val="center" w:pos="0"/>
        <w:tab w:val="right" w:pos="9072"/>
        <w:tab w:val="right" w:pos="13608"/>
      </w:tabs>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4983A"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EB4542">
      <w:rPr>
        <w:noProof/>
      </w:rPr>
      <w:t>36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D5CC2" w14:textId="77777777" w:rsidR="00834068" w:rsidRDefault="00834068" w:rsidP="00C97E8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34</w:t>
    </w:r>
    <w:r>
      <w:rPr>
        <w:noProof/>
      </w:rPr>
      <w:fldChar w:fldCharType="end"/>
    </w:r>
    <w:r>
      <w:rPr>
        <w:noProof/>
      </w:rPr>
      <w:tab/>
      <w:t xml:space="preserve">Australian Government </w:t>
    </w:r>
    <w:r>
      <w:t>Department of Agriculture and Water Resources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0CFD8" w14:textId="77777777" w:rsidR="00834068" w:rsidRDefault="00834068"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36</w:t>
    </w:r>
    <w:r>
      <w:rPr>
        <w:noProof/>
      </w:rPr>
      <w:fldChar w:fldCharType="end"/>
    </w:r>
    <w:r>
      <w:rPr>
        <w:noProof/>
      </w:rPr>
      <w:tab/>
      <w:t xml:space="preserve">Australian Government </w:t>
    </w:r>
    <w:r>
      <w:t>Department of Agriculture and Water Resources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08A6C"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EB4542">
      <w:rPr>
        <w:noProof/>
      </w:rPr>
      <w:t>37</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84DB9" w14:textId="77777777" w:rsidR="00834068" w:rsidRDefault="00834068"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38</w:t>
    </w:r>
    <w:r>
      <w:rPr>
        <w:noProof/>
      </w:rPr>
      <w:fldChar w:fldCharType="end"/>
    </w:r>
    <w:r>
      <w:rPr>
        <w:noProof/>
      </w:rPr>
      <w:tab/>
      <w:t xml:space="preserve">Australian Government </w:t>
    </w:r>
    <w:r>
      <w:t>Department of Agriculture and Water Resources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B2D6A"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EB4542">
      <w:rPr>
        <w:noProof/>
      </w:rPr>
      <w:t>44</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553A4" w14:textId="77777777" w:rsidR="00834068" w:rsidRDefault="00834068"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40</w:t>
    </w:r>
    <w:r>
      <w:rPr>
        <w:noProof/>
      </w:rPr>
      <w:fldChar w:fldCharType="end"/>
    </w:r>
    <w:r>
      <w:rPr>
        <w:noProof/>
      </w:rPr>
      <w:tab/>
      <w:t xml:space="preserve">Australian Government </w:t>
    </w:r>
    <w:r>
      <w:t>Department of Agriculture and Water Resources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0FAC2" w14:textId="77777777" w:rsidR="00834068" w:rsidRDefault="00834068" w:rsidP="00D96E92">
    <w:pPr>
      <w:pStyle w:val="Footer"/>
      <w:tabs>
        <w:tab w:val="clear" w:pos="4536"/>
        <w:tab w:val="center" w:pos="0"/>
        <w:tab w:val="left" w:pos="7938"/>
        <w:tab w:val="right" w:pos="9072"/>
        <w:tab w:val="right" w:pos="13608"/>
      </w:tabs>
      <w:jc w:val="left"/>
    </w:pPr>
    <w:r>
      <w:fldChar w:fldCharType="begin"/>
    </w:r>
    <w:r>
      <w:instrText xml:space="preserve"> PAGE   \* MERGEFORMAT </w:instrText>
    </w:r>
    <w:r>
      <w:fldChar w:fldCharType="separate"/>
    </w:r>
    <w:r>
      <w:rPr>
        <w:noProof/>
      </w:rPr>
      <w:t>60</w:t>
    </w:r>
    <w:r>
      <w:rPr>
        <w:noProof/>
      </w:rPr>
      <w:fldChar w:fldCharType="end"/>
    </w:r>
    <w:r>
      <w:rPr>
        <w:noProof/>
      </w:rPr>
      <w:tab/>
    </w:r>
    <w:r>
      <w:rPr>
        <w:noProof/>
      </w:rPr>
      <w:tab/>
      <w:t xml:space="preserve">Australian Government </w:t>
    </w:r>
    <w:r>
      <w:t>Department of Agriculture and Water Resources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3EED0"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tab/>
    </w:r>
    <w:r>
      <w:fldChar w:fldCharType="begin"/>
    </w:r>
    <w:r>
      <w:instrText xml:space="preserve"> PAGE   \* MERGEFORMAT </w:instrText>
    </w:r>
    <w:r>
      <w:fldChar w:fldCharType="separate"/>
    </w:r>
    <w:r w:rsidR="00EB4542">
      <w:rPr>
        <w:noProof/>
      </w:rPr>
      <w:t>64</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34CDC"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EB4542">
      <w:rPr>
        <w:noProof/>
      </w:rPr>
      <w:t>70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E97E0" w14:textId="77777777" w:rsidR="00834068" w:rsidRDefault="00834068" w:rsidP="006C0D81">
    <w:pPr>
      <w:pStyle w:val="Footer"/>
      <w:tabs>
        <w:tab w:val="clear" w:pos="4536"/>
        <w:tab w:val="right" w:pos="9072"/>
        <w:tab w:val="right" w:pos="14034"/>
      </w:tabs>
      <w:spacing w:before="12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BEFA6" w14:textId="77777777" w:rsidR="00834068" w:rsidRDefault="00834068"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74</w:t>
    </w:r>
    <w:r>
      <w:rPr>
        <w:noProof/>
      </w:rPr>
      <w:fldChar w:fldCharType="end"/>
    </w:r>
    <w:r>
      <w:rPr>
        <w:noProof/>
      </w:rPr>
      <w:tab/>
      <w:t xml:space="preserve">Australian Government </w:t>
    </w:r>
    <w:r>
      <w:t>Department of Agriculture and Water Resources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D105E"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EB4542">
      <w:rPr>
        <w:noProof/>
      </w:rPr>
      <w:t>80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2BFFC" w14:textId="77777777" w:rsidR="00EB4542" w:rsidRDefault="00EB45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1CEA8"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EB4542">
      <w:rPr>
        <w:noProof/>
      </w:rPr>
      <w:t>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C9C16" w14:textId="77777777" w:rsidR="00834068" w:rsidRDefault="00834068"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4</w:t>
    </w:r>
    <w:r>
      <w:rPr>
        <w:noProof/>
      </w:rPr>
      <w:fldChar w:fldCharType="end"/>
    </w:r>
    <w:r>
      <w:rPr>
        <w:noProof/>
      </w:rPr>
      <w:tab/>
      <w:t xml:space="preserve">Australian Government </w:t>
    </w:r>
    <w:r>
      <w:t>Department of Agriculture and Water Resources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531E2" w14:textId="77777777" w:rsidR="00834068" w:rsidRDefault="00834068"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12</w:t>
    </w:r>
    <w:r>
      <w:rPr>
        <w:noProof/>
      </w:rPr>
      <w:fldChar w:fldCharType="end"/>
    </w:r>
    <w:r>
      <w:rPr>
        <w:noProof/>
      </w:rPr>
      <w:tab/>
      <w:t xml:space="preserve">Australian Government </w:t>
    </w:r>
    <w:r>
      <w:t>Department of Agriculture and Water Resources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D2492"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EB4542">
      <w:rPr>
        <w:noProof/>
      </w:rPr>
      <w:t>14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8ED58" w14:textId="77777777" w:rsidR="00834068" w:rsidRDefault="00834068" w:rsidP="00C506D1">
    <w:pPr>
      <w:pStyle w:val="Footer"/>
      <w:tabs>
        <w:tab w:val="clear" w:pos="4536"/>
        <w:tab w:val="center" w:pos="0"/>
        <w:tab w:val="right" w:pos="9072"/>
        <w:tab w:val="right" w:pos="13608"/>
      </w:tabs>
      <w:jc w:val="left"/>
    </w:pPr>
    <w:r>
      <w:fldChar w:fldCharType="begin"/>
    </w:r>
    <w:r>
      <w:instrText xml:space="preserve"> PAGE   \* MERGEFORMAT </w:instrText>
    </w:r>
    <w:r>
      <w:fldChar w:fldCharType="separate"/>
    </w:r>
    <w:r>
      <w:rPr>
        <w:noProof/>
      </w:rPr>
      <w:t>18</w:t>
    </w:r>
    <w:r>
      <w:rPr>
        <w:noProof/>
      </w:rPr>
      <w:fldChar w:fldCharType="end"/>
    </w:r>
    <w:r>
      <w:rPr>
        <w:noProof/>
      </w:rPr>
      <w:tab/>
      <w:t xml:space="preserve">Australian Government </w:t>
    </w:r>
    <w:r>
      <w:t>Department of Agriculture and Water Resources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D7A70" w14:textId="77777777" w:rsidR="00834068" w:rsidRDefault="00834068" w:rsidP="006C0D81">
    <w:pPr>
      <w:pStyle w:val="Footer"/>
      <w:tabs>
        <w:tab w:val="clear" w:pos="4536"/>
        <w:tab w:val="right" w:pos="9072"/>
        <w:tab w:val="righ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EB4542">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9C6EA" w14:textId="77777777" w:rsidR="00834068" w:rsidRDefault="00834068">
      <w:pPr>
        <w:spacing w:after="0" w:line="240" w:lineRule="auto"/>
      </w:pPr>
      <w:r>
        <w:separator/>
      </w:r>
    </w:p>
    <w:p w14:paraId="0040A3F4" w14:textId="77777777" w:rsidR="00834068" w:rsidRDefault="00834068"/>
  </w:footnote>
  <w:footnote w:type="continuationSeparator" w:id="0">
    <w:p w14:paraId="518DFD72" w14:textId="77777777" w:rsidR="00834068" w:rsidRDefault="00834068">
      <w:pPr>
        <w:spacing w:after="0" w:line="240" w:lineRule="auto"/>
      </w:pPr>
      <w:r>
        <w:continuationSeparator/>
      </w:r>
    </w:p>
    <w:p w14:paraId="4F40DF12" w14:textId="77777777" w:rsidR="00834068" w:rsidRDefault="00834068"/>
  </w:footnote>
  <w:footnote w:type="continuationNotice" w:id="1">
    <w:p w14:paraId="3FECF8F6" w14:textId="77777777" w:rsidR="00834068" w:rsidRDefault="00834068">
      <w:pPr>
        <w:pStyle w:val="Footer"/>
      </w:pPr>
    </w:p>
    <w:p w14:paraId="0117BF53" w14:textId="77777777" w:rsidR="00834068" w:rsidRDefault="008340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9F7F4" w14:textId="77777777" w:rsidR="00834068" w:rsidRPr="007B611B" w:rsidRDefault="00834068" w:rsidP="006F7A12">
    <w:pPr>
      <w:tabs>
        <w:tab w:val="center" w:pos="8505"/>
        <w:tab w:val="right" w:pos="13608"/>
      </w:tabs>
      <w:spacing w:line="240" w:lineRule="auto"/>
      <w:rPr>
        <w:rFonts w:ascii="Calibri" w:hAnsi="Calibri"/>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956AD"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Summary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CCC02" w14:textId="77777777" w:rsidR="00834068" w:rsidRDefault="00834068">
    <w:pPr>
      <w:pStyle w:val="Header"/>
      <w:tabs>
        <w:tab w:val="clear" w:pos="4820"/>
        <w:tab w:val="center" w:pos="8505"/>
        <w:tab w:val="center" w:pos="13041"/>
      </w:tabs>
      <w:jc w:val="left"/>
    </w:pPr>
    <w:r>
      <w:t>Review of biosecurity import requirements for Tahitian limes</w:t>
    </w:r>
    <w:r>
      <w:tab/>
      <w:t>Summary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7DB31"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Introduction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C4B6C" w14:textId="77777777" w:rsidR="00834068" w:rsidRDefault="00834068">
    <w:pPr>
      <w:pStyle w:val="Header"/>
      <w:tabs>
        <w:tab w:val="clear" w:pos="4820"/>
        <w:tab w:val="center" w:pos="8505"/>
        <w:tab w:val="center" w:pos="13041"/>
      </w:tabs>
      <w:jc w:val="left"/>
    </w:pPr>
    <w:r>
      <w:t>Review of biosecurity import requirements for Tahitian limes</w:t>
    </w:r>
    <w:r>
      <w:tab/>
      <w:t>Introduction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016EA"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Methods for pest risk analysis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072FF" w14:textId="77777777" w:rsidR="00834068" w:rsidRDefault="00834068">
    <w:pPr>
      <w:pStyle w:val="Header"/>
      <w:tabs>
        <w:tab w:val="clear" w:pos="4820"/>
        <w:tab w:val="center" w:pos="8505"/>
        <w:tab w:val="center" w:pos="13041"/>
      </w:tabs>
      <w:jc w:val="left"/>
    </w:pPr>
    <w:r>
      <w:t>Review of biosecurity import requirements for Tahitian limes</w:t>
    </w:r>
    <w:r>
      <w:tab/>
      <w:t>Method for pest risk analysis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85C83"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Commercial production practices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9C8E1" w14:textId="77777777" w:rsidR="00834068" w:rsidRDefault="00834068">
    <w:pPr>
      <w:pStyle w:val="Header"/>
      <w:tabs>
        <w:tab w:val="clear" w:pos="4820"/>
        <w:tab w:val="center" w:pos="8505"/>
        <w:tab w:val="center" w:pos="13041"/>
      </w:tabs>
      <w:jc w:val="left"/>
    </w:pPr>
    <w:r>
      <w:t>Review of biosecurity import requirements for Tahitian limes</w:t>
    </w:r>
    <w:r>
      <w:tab/>
      <w:t>Production practices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72B6"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assessment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3459C" w14:textId="77777777" w:rsidR="00834068" w:rsidRDefault="00834068">
    <w:pPr>
      <w:pStyle w:val="Header"/>
      <w:tabs>
        <w:tab w:val="clear" w:pos="4820"/>
        <w:tab w:val="center" w:pos="8505"/>
        <w:tab w:val="center" w:pos="13041"/>
      </w:tabs>
      <w:jc w:val="left"/>
    </w:pPr>
    <w:r>
      <w:t>Review of biosecurity import requirements for Tahitian limes</w:t>
    </w:r>
    <w:r>
      <w:tab/>
      <w:t>Pest risk assessments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CA2B4" w14:textId="77777777" w:rsidR="00834068" w:rsidRDefault="00834068">
    <w:pPr>
      <w:pStyle w:val="Header"/>
      <w:tabs>
        <w:tab w:val="clear" w:pos="4820"/>
        <w:tab w:val="center" w:pos="8505"/>
        <w:tab w:val="center" w:pos="13041"/>
      </w:tabs>
      <w:jc w:val="left"/>
    </w:pPr>
    <w:r w:rsidRPr="00A64842">
      <w:rPr>
        <w:rFonts w:ascii="Cambria" w:eastAsia="Calibri" w:hAnsi="Cambria" w:cs="Times New Roman"/>
        <w:noProof/>
        <w:sz w:val="22"/>
        <w:lang w:eastAsia="en-AU"/>
      </w:rPr>
      <w:drawing>
        <wp:inline distT="0" distB="0" distL="0" distR="0" wp14:anchorId="0C5BA501" wp14:editId="32D5BE41">
          <wp:extent cx="2316480" cy="741680"/>
          <wp:effectExtent l="0" t="0" r="7620" b="1270"/>
          <wp:docPr id="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A8F76"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assessment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EACE6" w14:textId="77777777" w:rsidR="00834068" w:rsidRDefault="00834068">
    <w:pPr>
      <w:pStyle w:val="Header"/>
      <w:tabs>
        <w:tab w:val="clear" w:pos="4820"/>
        <w:tab w:val="center" w:pos="8505"/>
        <w:tab w:val="center" w:pos="13041"/>
      </w:tabs>
      <w:jc w:val="left"/>
    </w:pPr>
    <w:r>
      <w:t>Review of biosecurity import requirements for Tahitian limes</w:t>
    </w:r>
    <w:r>
      <w:tab/>
      <w:t>Pest risk assessments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DE71"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Glossary</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2DA4" w14:textId="77777777" w:rsidR="00834068" w:rsidRDefault="00834068">
    <w:pPr>
      <w:pStyle w:val="Header"/>
      <w:tabs>
        <w:tab w:val="clear" w:pos="4820"/>
        <w:tab w:val="center" w:pos="8505"/>
        <w:tab w:val="center" w:pos="13041"/>
      </w:tabs>
      <w:jc w:val="left"/>
    </w:pPr>
    <w:r>
      <w:t>Review of biosecurity import requirements for Tahitian limes</w:t>
    </w:r>
    <w:r>
      <w:tab/>
    </w:r>
    <w:r>
      <w:tab/>
      <w:t>Pest risk assessments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32531"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risk management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7D80" w14:textId="77777777" w:rsidR="00834068" w:rsidRDefault="00834068">
    <w:pPr>
      <w:pStyle w:val="Header"/>
      <w:tabs>
        <w:tab w:val="clear" w:pos="4820"/>
        <w:tab w:val="center" w:pos="8505"/>
        <w:tab w:val="center" w:pos="13041"/>
      </w:tabs>
      <w:jc w:val="left"/>
    </w:pPr>
    <w:r>
      <w:t>Review of biosecurity import requirements for Tahitian limes</w:t>
    </w:r>
    <w:r>
      <w:tab/>
      <w:t>Pest risk management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76DCB"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Conclusion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096D6" w14:textId="77777777" w:rsidR="00834068" w:rsidRDefault="00834068">
    <w:pPr>
      <w:pStyle w:val="Header"/>
      <w:tabs>
        <w:tab w:val="clear" w:pos="4820"/>
        <w:tab w:val="center" w:pos="8505"/>
        <w:tab w:val="center" w:pos="13041"/>
      </w:tabs>
      <w:jc w:val="left"/>
    </w:pPr>
    <w:r>
      <w:t>Review of biosecurity import requirements for Tahitian limes</w:t>
    </w:r>
    <w:r>
      <w:tab/>
      <w:t>Conclusion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568DD"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Pest categorisation</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67430" w14:textId="77777777" w:rsidR="00834068" w:rsidRDefault="00834068">
    <w:pPr>
      <w:pStyle w:val="Header"/>
      <w:tabs>
        <w:tab w:val="clear" w:pos="4820"/>
        <w:tab w:val="center" w:pos="8505"/>
        <w:tab w:val="center" w:pos="13041"/>
      </w:tabs>
      <w:jc w:val="left"/>
    </w:pPr>
    <w:r>
      <w:t>Review of biosecurity import requirements for Tahitian limes</w:t>
    </w:r>
    <w:r>
      <w:tab/>
      <w:t>Pest categorisation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B0910" w14:textId="77777777" w:rsidR="00EB4542" w:rsidRDefault="00EB454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7F080"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Pr>
        <w:rFonts w:ascii="Calibri" w:hAnsi="Calibri"/>
        <w:sz w:val="20"/>
      </w:rPr>
      <w:tab/>
    </w:r>
    <w:r w:rsidRPr="007B611B">
      <w:rPr>
        <w:rFonts w:ascii="Calibri" w:hAnsi="Calibri"/>
        <w:sz w:val="20"/>
      </w:rPr>
      <w:tab/>
    </w:r>
    <w:r>
      <w:rPr>
        <w:rFonts w:ascii="Calibri" w:hAnsi="Calibri"/>
        <w:sz w:val="20"/>
      </w:rPr>
      <w:t>Pest categorisation</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41E0" w14:textId="77777777" w:rsidR="00834068" w:rsidRDefault="00834068">
    <w:pPr>
      <w:pStyle w:val="Header"/>
      <w:tabs>
        <w:tab w:val="clear" w:pos="4820"/>
        <w:tab w:val="center" w:pos="8505"/>
        <w:tab w:val="center" w:pos="13041"/>
      </w:tabs>
      <w:jc w:val="left"/>
    </w:pPr>
    <w:r>
      <w:t>Review of biosecurity import requirements for Tahitian limes</w:t>
    </w:r>
    <w:r>
      <w:tab/>
    </w:r>
    <w:r>
      <w:tab/>
      <w:t>Pest categorisation</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30082"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Glossary</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08033" w14:textId="3C934BE0" w:rsidR="00834068" w:rsidRDefault="00834068">
    <w:pPr>
      <w:pStyle w:val="Header"/>
      <w:tabs>
        <w:tab w:val="clear" w:pos="4820"/>
        <w:tab w:val="center" w:pos="8505"/>
        <w:tab w:val="center" w:pos="13041"/>
      </w:tabs>
      <w:jc w:val="left"/>
    </w:pPr>
    <w:r>
      <w:t>Review of biosecurity import requirements for Tahitian limes</w:t>
    </w:r>
    <w:r>
      <w:tab/>
      <w:t>Appendix B</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8555B" w14:textId="3F381AAF" w:rsidR="00834068" w:rsidRDefault="00834068">
    <w:pPr>
      <w:pStyle w:val="Header"/>
      <w:tabs>
        <w:tab w:val="clear" w:pos="4820"/>
        <w:tab w:val="center" w:pos="8505"/>
        <w:tab w:val="center" w:pos="13041"/>
      </w:tabs>
      <w:jc w:val="left"/>
    </w:pPr>
    <w:r>
      <w:t>Review of biosecurity import requirements for Tahitian limes</w:t>
    </w:r>
    <w:r>
      <w:tab/>
      <w:t>Glossary</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472C7"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References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3C07B" w14:textId="77777777" w:rsidR="00834068" w:rsidRDefault="00834068">
    <w:pPr>
      <w:pStyle w:val="Header"/>
      <w:tabs>
        <w:tab w:val="clear" w:pos="4820"/>
        <w:tab w:val="center" w:pos="8505"/>
        <w:tab w:val="center" w:pos="13041"/>
      </w:tabs>
      <w:jc w:val="left"/>
    </w:pPr>
    <w:r>
      <w:t>Review of biosecurity import requirements for Tahitian limes</w:t>
    </w:r>
    <w:r>
      <w:tab/>
      <w:t>References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F28A5" w14:textId="77777777" w:rsidR="00834068" w:rsidRPr="007B611B" w:rsidRDefault="00834068" w:rsidP="006F7A12">
    <w:pPr>
      <w:tabs>
        <w:tab w:val="center" w:pos="8505"/>
        <w:tab w:val="right" w:pos="13608"/>
      </w:tabs>
      <w:spacing w:line="240" w:lineRule="auto"/>
      <w:rPr>
        <w:rFonts w:ascii="Calibri" w:hAnsi="Calibri"/>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0F171" w14:textId="77777777" w:rsidR="00834068" w:rsidRDefault="00834068">
    <w:pPr>
      <w:pStyle w:val="Header"/>
      <w:tabs>
        <w:tab w:val="clear" w:pos="4820"/>
        <w:tab w:val="center" w:pos="8505"/>
        <w:tab w:val="center" w:pos="13041"/>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F02BF" w14:textId="77777777" w:rsidR="00834068" w:rsidRDefault="00834068">
    <w:pPr>
      <w:pStyle w:val="Header"/>
      <w:tabs>
        <w:tab w:val="clear" w:pos="4820"/>
        <w:tab w:val="center" w:pos="8505"/>
        <w:tab w:val="center" w:pos="13041"/>
      </w:tabs>
      <w:jc w:val="left"/>
    </w:pPr>
    <w:r>
      <w:t>Review of biosecurity import requirements for Tahitian limes</w:t>
    </w:r>
    <w:r>
      <w:tab/>
      <w:t>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AA408" w14:textId="77777777" w:rsidR="00834068" w:rsidRPr="007B611B" w:rsidRDefault="00834068" w:rsidP="006F7A12">
    <w:pPr>
      <w:tabs>
        <w:tab w:val="center" w:pos="8505"/>
        <w:tab w:val="right" w:pos="13608"/>
      </w:tabs>
      <w:spacing w:line="240" w:lineRule="auto"/>
      <w:rPr>
        <w:rFonts w:ascii="Calibri" w:hAnsi="Calibri"/>
        <w:sz w:val="20"/>
      </w:rPr>
    </w:pPr>
    <w:r>
      <w:rPr>
        <w:rFonts w:ascii="Calibri" w:hAnsi="Calibri"/>
        <w:sz w:val="20"/>
      </w:rPr>
      <w:t>R</w:t>
    </w:r>
    <w:r w:rsidRPr="005835E9">
      <w:rPr>
        <w:rFonts w:ascii="Calibri" w:hAnsi="Calibri"/>
        <w:sz w:val="20"/>
      </w:rPr>
      <w:t>eview of biosecurity import requirements for Tahitian limes</w:t>
    </w:r>
    <w:r w:rsidRPr="007B611B">
      <w:rPr>
        <w:rFonts w:ascii="Calibri" w:hAnsi="Calibri"/>
        <w:sz w:val="20"/>
      </w:rPr>
      <w:tab/>
    </w:r>
    <w:r>
      <w:rPr>
        <w:rFonts w:ascii="Calibri" w:hAnsi="Calibri"/>
        <w:sz w:val="20"/>
      </w:rPr>
      <w:t>Tables and figures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0B41" w14:textId="77777777" w:rsidR="00834068" w:rsidRDefault="00834068">
    <w:pPr>
      <w:pStyle w:val="Header"/>
      <w:tabs>
        <w:tab w:val="clear" w:pos="4820"/>
        <w:tab w:val="center" w:pos="8505"/>
        <w:tab w:val="center" w:pos="13041"/>
      </w:tabs>
      <w:jc w:val="left"/>
    </w:pPr>
    <w:r>
      <w:t>Review of biosecurity import requirements for Tahitian limes</w:t>
    </w:r>
    <w:r>
      <w:tab/>
      <w:t>Tables and figures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46DEE" w14:textId="77777777" w:rsidR="00834068" w:rsidRDefault="00834068">
    <w:pPr>
      <w:pStyle w:val="Header"/>
      <w:tabs>
        <w:tab w:val="clear" w:pos="4820"/>
        <w:tab w:val="center" w:pos="8505"/>
        <w:tab w:val="center" w:pos="13041"/>
      </w:tabs>
      <w:jc w:val="left"/>
    </w:pPr>
    <w:r>
      <w:t>Review of biosecurity import requirements for Tahitian limes</w:t>
    </w:r>
    <w:r>
      <w:tab/>
      <w:t>Acronyms and abbreviations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001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1263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060042"/>
    <w:lvl w:ilvl="0">
      <w:start w:val="1"/>
      <w:numFmt w:val="lowerRoman"/>
      <w:lvlText w:val="%1)"/>
      <w:lvlJc w:val="left"/>
      <w:pPr>
        <w:tabs>
          <w:tab w:val="num" w:pos="926"/>
        </w:tabs>
        <w:ind w:left="926" w:hanging="360"/>
      </w:pPr>
      <w:rPr>
        <w:rFonts w:hint="default"/>
      </w:rPr>
    </w:lvl>
  </w:abstractNum>
  <w:abstractNum w:abstractNumId="3" w15:restartNumberingAfterBreak="0">
    <w:nsid w:val="FFFFFF7F"/>
    <w:multiLevelType w:val="singleLevel"/>
    <w:tmpl w:val="E0F6EE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7457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FA47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A272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5A6F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2278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326B3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7E752D5"/>
    <w:multiLevelType w:val="singleLevel"/>
    <w:tmpl w:val="DE424BC0"/>
    <w:lvl w:ilvl="0">
      <w:start w:val="1"/>
      <w:numFmt w:val="bullet"/>
      <w:lvlText w:val=""/>
      <w:lvlJc w:val="left"/>
      <w:pPr>
        <w:tabs>
          <w:tab w:val="num" w:pos="360"/>
        </w:tabs>
        <w:ind w:left="360" w:hanging="360"/>
      </w:pPr>
      <w:rPr>
        <w:rFonts w:ascii="Symbol" w:hAnsi="Symbol" w:hint="default"/>
        <w:sz w:val="16"/>
      </w:rPr>
    </w:lvl>
  </w:abstractNum>
  <w:abstractNum w:abstractNumId="11"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280EDF"/>
    <w:multiLevelType w:val="hybridMultilevel"/>
    <w:tmpl w:val="546C2500"/>
    <w:lvl w:ilvl="0" w:tplc="9E14E58C">
      <w:start w:val="1"/>
      <w:numFmt w:val="bullet"/>
      <w:lvlText w:val=""/>
      <w:lvlJc w:val="left"/>
      <w:pPr>
        <w:ind w:left="720" w:hanging="360"/>
      </w:pPr>
      <w:rPr>
        <w:rFonts w:ascii="Symbol" w:hAnsi="Symbol" w:hint="default"/>
      </w:rPr>
    </w:lvl>
    <w:lvl w:ilvl="1" w:tplc="E058480A" w:tentative="1">
      <w:start w:val="1"/>
      <w:numFmt w:val="bullet"/>
      <w:lvlText w:val="o"/>
      <w:lvlJc w:val="left"/>
      <w:pPr>
        <w:ind w:left="1440" w:hanging="360"/>
      </w:pPr>
      <w:rPr>
        <w:rFonts w:ascii="Courier New" w:hAnsi="Courier New" w:cs="Courier New" w:hint="default"/>
      </w:rPr>
    </w:lvl>
    <w:lvl w:ilvl="2" w:tplc="3506A956" w:tentative="1">
      <w:start w:val="1"/>
      <w:numFmt w:val="bullet"/>
      <w:lvlText w:val=""/>
      <w:lvlJc w:val="left"/>
      <w:pPr>
        <w:ind w:left="2160" w:hanging="360"/>
      </w:pPr>
      <w:rPr>
        <w:rFonts w:ascii="Wingdings" w:hAnsi="Wingdings" w:hint="default"/>
      </w:rPr>
    </w:lvl>
    <w:lvl w:ilvl="3" w:tplc="C0065E62" w:tentative="1">
      <w:start w:val="1"/>
      <w:numFmt w:val="bullet"/>
      <w:lvlText w:val=""/>
      <w:lvlJc w:val="left"/>
      <w:pPr>
        <w:ind w:left="2880" w:hanging="360"/>
      </w:pPr>
      <w:rPr>
        <w:rFonts w:ascii="Symbol" w:hAnsi="Symbol" w:hint="default"/>
      </w:rPr>
    </w:lvl>
    <w:lvl w:ilvl="4" w:tplc="3190C836" w:tentative="1">
      <w:start w:val="1"/>
      <w:numFmt w:val="bullet"/>
      <w:lvlText w:val="o"/>
      <w:lvlJc w:val="left"/>
      <w:pPr>
        <w:ind w:left="3600" w:hanging="360"/>
      </w:pPr>
      <w:rPr>
        <w:rFonts w:ascii="Courier New" w:hAnsi="Courier New" w:cs="Courier New" w:hint="default"/>
      </w:rPr>
    </w:lvl>
    <w:lvl w:ilvl="5" w:tplc="5CA6EA66" w:tentative="1">
      <w:start w:val="1"/>
      <w:numFmt w:val="bullet"/>
      <w:lvlText w:val=""/>
      <w:lvlJc w:val="left"/>
      <w:pPr>
        <w:ind w:left="4320" w:hanging="360"/>
      </w:pPr>
      <w:rPr>
        <w:rFonts w:ascii="Wingdings" w:hAnsi="Wingdings" w:hint="default"/>
      </w:rPr>
    </w:lvl>
    <w:lvl w:ilvl="6" w:tplc="D090CBC8" w:tentative="1">
      <w:start w:val="1"/>
      <w:numFmt w:val="bullet"/>
      <w:lvlText w:val=""/>
      <w:lvlJc w:val="left"/>
      <w:pPr>
        <w:ind w:left="5040" w:hanging="360"/>
      </w:pPr>
      <w:rPr>
        <w:rFonts w:ascii="Symbol" w:hAnsi="Symbol" w:hint="default"/>
      </w:rPr>
    </w:lvl>
    <w:lvl w:ilvl="7" w:tplc="6464D524" w:tentative="1">
      <w:start w:val="1"/>
      <w:numFmt w:val="bullet"/>
      <w:lvlText w:val="o"/>
      <w:lvlJc w:val="left"/>
      <w:pPr>
        <w:ind w:left="5760" w:hanging="360"/>
      </w:pPr>
      <w:rPr>
        <w:rFonts w:ascii="Courier New" w:hAnsi="Courier New" w:cs="Courier New" w:hint="default"/>
      </w:rPr>
    </w:lvl>
    <w:lvl w:ilvl="8" w:tplc="5A68BE58" w:tentative="1">
      <w:start w:val="1"/>
      <w:numFmt w:val="bullet"/>
      <w:lvlText w:val=""/>
      <w:lvlJc w:val="left"/>
      <w:pPr>
        <w:ind w:left="6480" w:hanging="360"/>
      </w:pPr>
      <w:rPr>
        <w:rFonts w:ascii="Wingdings" w:hAnsi="Wingdings" w:hint="default"/>
      </w:rPr>
    </w:lvl>
  </w:abstractNum>
  <w:abstractNum w:abstractNumId="13" w15:restartNumberingAfterBreak="0">
    <w:nsid w:val="196B606F"/>
    <w:multiLevelType w:val="hybridMultilevel"/>
    <w:tmpl w:val="E0560262"/>
    <w:lvl w:ilvl="0" w:tplc="A98846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A7471F"/>
    <w:multiLevelType w:val="hybridMultilevel"/>
    <w:tmpl w:val="74DED1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093DDF"/>
    <w:multiLevelType w:val="hybridMultilevel"/>
    <w:tmpl w:val="87E879DC"/>
    <w:lvl w:ilvl="0" w:tplc="0DD857D2">
      <w:start w:val="1"/>
      <w:numFmt w:val="bullet"/>
      <w:lvlText w:val=""/>
      <w:lvlJc w:val="left"/>
      <w:pPr>
        <w:ind w:left="720" w:hanging="360"/>
      </w:pPr>
      <w:rPr>
        <w:rFonts w:ascii="Symbol" w:hAnsi="Symbol" w:hint="default"/>
      </w:rPr>
    </w:lvl>
    <w:lvl w:ilvl="1" w:tplc="70F4B754" w:tentative="1">
      <w:start w:val="1"/>
      <w:numFmt w:val="bullet"/>
      <w:lvlText w:val="o"/>
      <w:lvlJc w:val="left"/>
      <w:pPr>
        <w:ind w:left="1440" w:hanging="360"/>
      </w:pPr>
      <w:rPr>
        <w:rFonts w:ascii="Courier New" w:hAnsi="Courier New" w:cs="Courier New" w:hint="default"/>
      </w:rPr>
    </w:lvl>
    <w:lvl w:ilvl="2" w:tplc="B85A0944" w:tentative="1">
      <w:start w:val="1"/>
      <w:numFmt w:val="bullet"/>
      <w:lvlText w:val=""/>
      <w:lvlJc w:val="left"/>
      <w:pPr>
        <w:ind w:left="2160" w:hanging="360"/>
      </w:pPr>
      <w:rPr>
        <w:rFonts w:ascii="Wingdings" w:hAnsi="Wingdings" w:hint="default"/>
      </w:rPr>
    </w:lvl>
    <w:lvl w:ilvl="3" w:tplc="B7BAE1CA" w:tentative="1">
      <w:start w:val="1"/>
      <w:numFmt w:val="bullet"/>
      <w:lvlText w:val=""/>
      <w:lvlJc w:val="left"/>
      <w:pPr>
        <w:ind w:left="2880" w:hanging="360"/>
      </w:pPr>
      <w:rPr>
        <w:rFonts w:ascii="Symbol" w:hAnsi="Symbol" w:hint="default"/>
      </w:rPr>
    </w:lvl>
    <w:lvl w:ilvl="4" w:tplc="922C4828" w:tentative="1">
      <w:start w:val="1"/>
      <w:numFmt w:val="bullet"/>
      <w:lvlText w:val="o"/>
      <w:lvlJc w:val="left"/>
      <w:pPr>
        <w:ind w:left="3600" w:hanging="360"/>
      </w:pPr>
      <w:rPr>
        <w:rFonts w:ascii="Courier New" w:hAnsi="Courier New" w:cs="Courier New" w:hint="default"/>
      </w:rPr>
    </w:lvl>
    <w:lvl w:ilvl="5" w:tplc="8FB49A40" w:tentative="1">
      <w:start w:val="1"/>
      <w:numFmt w:val="bullet"/>
      <w:lvlText w:val=""/>
      <w:lvlJc w:val="left"/>
      <w:pPr>
        <w:ind w:left="4320" w:hanging="360"/>
      </w:pPr>
      <w:rPr>
        <w:rFonts w:ascii="Wingdings" w:hAnsi="Wingdings" w:hint="default"/>
      </w:rPr>
    </w:lvl>
    <w:lvl w:ilvl="6" w:tplc="1C5C7758" w:tentative="1">
      <w:start w:val="1"/>
      <w:numFmt w:val="bullet"/>
      <w:lvlText w:val=""/>
      <w:lvlJc w:val="left"/>
      <w:pPr>
        <w:ind w:left="5040" w:hanging="360"/>
      </w:pPr>
      <w:rPr>
        <w:rFonts w:ascii="Symbol" w:hAnsi="Symbol" w:hint="default"/>
      </w:rPr>
    </w:lvl>
    <w:lvl w:ilvl="7" w:tplc="DF0C7378" w:tentative="1">
      <w:start w:val="1"/>
      <w:numFmt w:val="bullet"/>
      <w:lvlText w:val="o"/>
      <w:lvlJc w:val="left"/>
      <w:pPr>
        <w:ind w:left="5760" w:hanging="360"/>
      </w:pPr>
      <w:rPr>
        <w:rFonts w:ascii="Courier New" w:hAnsi="Courier New" w:cs="Courier New" w:hint="default"/>
      </w:rPr>
    </w:lvl>
    <w:lvl w:ilvl="8" w:tplc="6756DB58" w:tentative="1">
      <w:start w:val="1"/>
      <w:numFmt w:val="bullet"/>
      <w:lvlText w:val=""/>
      <w:lvlJc w:val="left"/>
      <w:pPr>
        <w:ind w:left="6480" w:hanging="360"/>
      </w:pPr>
      <w:rPr>
        <w:rFonts w:ascii="Wingdings" w:hAnsi="Wingdings" w:hint="default"/>
      </w:rPr>
    </w:lvl>
  </w:abstractNum>
  <w:abstractNum w:abstractNumId="16" w15:restartNumberingAfterBreak="0">
    <w:nsid w:val="246C0A10"/>
    <w:multiLevelType w:val="hybridMultilevel"/>
    <w:tmpl w:val="74EABAA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7" w15:restartNumberingAfterBreak="0">
    <w:nsid w:val="27B345FD"/>
    <w:multiLevelType w:val="hybridMultilevel"/>
    <w:tmpl w:val="80DCE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636E79"/>
    <w:multiLevelType w:val="multilevel"/>
    <w:tmpl w:val="4344E3E6"/>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9" w15:restartNumberingAfterBreak="0">
    <w:nsid w:val="2B604A7C"/>
    <w:multiLevelType w:val="hybridMultilevel"/>
    <w:tmpl w:val="8A684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1" w15:restartNumberingAfterBreak="0">
    <w:nsid w:val="357F0D4F"/>
    <w:multiLevelType w:val="multilevel"/>
    <w:tmpl w:val="311EB4D2"/>
    <w:numStyleLink w:val="captions"/>
  </w:abstractNum>
  <w:abstractNum w:abstractNumId="22" w15:restartNumberingAfterBreak="0">
    <w:nsid w:val="37A45E51"/>
    <w:multiLevelType w:val="hybridMultilevel"/>
    <w:tmpl w:val="2FF6656E"/>
    <w:lvl w:ilvl="0" w:tplc="2F52CB8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A551C78"/>
    <w:multiLevelType w:val="hybridMultilevel"/>
    <w:tmpl w:val="A6AA52EC"/>
    <w:lvl w:ilvl="0" w:tplc="68C6DB6E">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2A3E94"/>
    <w:multiLevelType w:val="multilevel"/>
    <w:tmpl w:val="4344E3E6"/>
    <w:numStyleLink w:val="Headings"/>
  </w:abstractNum>
  <w:abstractNum w:abstractNumId="25" w15:restartNumberingAfterBreak="0">
    <w:nsid w:val="3FDD470D"/>
    <w:multiLevelType w:val="singleLevel"/>
    <w:tmpl w:val="B664CF16"/>
    <w:lvl w:ilvl="0">
      <w:start w:val="1"/>
      <w:numFmt w:val="decimal"/>
      <w:lvlText w:val="%1)"/>
      <w:lvlJc w:val="left"/>
      <w:pPr>
        <w:ind w:left="360" w:hanging="360"/>
      </w:pPr>
      <w:rPr>
        <w:color w:val="auto"/>
      </w:rPr>
    </w:lvl>
  </w:abstractNum>
  <w:abstractNum w:abstractNumId="26" w15:restartNumberingAfterBreak="0">
    <w:nsid w:val="42783688"/>
    <w:multiLevelType w:val="hybridMultilevel"/>
    <w:tmpl w:val="97CE3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C964B7"/>
    <w:multiLevelType w:val="multilevel"/>
    <w:tmpl w:val="DFB0EE8A"/>
    <w:lvl w:ilvl="0">
      <w:start w:val="1"/>
      <w:numFmt w:val="upperLette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ED13EEF"/>
    <w:multiLevelType w:val="multilevel"/>
    <w:tmpl w:val="4344E3E6"/>
    <w:numStyleLink w:val="Headings"/>
  </w:abstractNum>
  <w:abstractNum w:abstractNumId="33" w15:restartNumberingAfterBreak="0">
    <w:nsid w:val="600A3463"/>
    <w:multiLevelType w:val="hybridMultilevel"/>
    <w:tmpl w:val="01DEE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BB0D36"/>
    <w:multiLevelType w:val="hybridMultilevel"/>
    <w:tmpl w:val="252EA4FE"/>
    <w:lvl w:ilvl="0" w:tplc="2F52CB8C">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65397D79"/>
    <w:multiLevelType w:val="hybridMultilevel"/>
    <w:tmpl w:val="A1B2A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A812E3"/>
    <w:multiLevelType w:val="hybridMultilevel"/>
    <w:tmpl w:val="85C436D6"/>
    <w:lvl w:ilvl="0" w:tplc="28408E28">
      <w:start w:val="1"/>
      <w:numFmt w:val="bullet"/>
      <w:lvlText w:val=""/>
      <w:lvlJc w:val="left"/>
      <w:pPr>
        <w:tabs>
          <w:tab w:val="num" w:pos="-360"/>
        </w:tabs>
        <w:ind w:left="360" w:hanging="360"/>
      </w:pPr>
      <w:rPr>
        <w:rFonts w:ascii="Symbol" w:hAnsi="Symbol" w:hint="default"/>
        <w:color w:val="auto"/>
        <w:sz w:val="16"/>
        <w:szCs w:val="16"/>
      </w:rPr>
    </w:lvl>
    <w:lvl w:ilvl="1" w:tplc="927413D6" w:tentative="1">
      <w:start w:val="1"/>
      <w:numFmt w:val="bullet"/>
      <w:lvlText w:val="o"/>
      <w:lvlJc w:val="left"/>
      <w:pPr>
        <w:ind w:left="1440" w:hanging="360"/>
      </w:pPr>
      <w:rPr>
        <w:rFonts w:ascii="Courier New" w:hAnsi="Courier New" w:cs="Courier New" w:hint="default"/>
      </w:rPr>
    </w:lvl>
    <w:lvl w:ilvl="2" w:tplc="5198990E" w:tentative="1">
      <w:start w:val="1"/>
      <w:numFmt w:val="bullet"/>
      <w:lvlText w:val=""/>
      <w:lvlJc w:val="left"/>
      <w:pPr>
        <w:ind w:left="2160" w:hanging="360"/>
      </w:pPr>
      <w:rPr>
        <w:rFonts w:ascii="Wingdings" w:hAnsi="Wingdings" w:hint="default"/>
      </w:rPr>
    </w:lvl>
    <w:lvl w:ilvl="3" w:tplc="1A9A0798" w:tentative="1">
      <w:start w:val="1"/>
      <w:numFmt w:val="bullet"/>
      <w:lvlText w:val=""/>
      <w:lvlJc w:val="left"/>
      <w:pPr>
        <w:ind w:left="2880" w:hanging="360"/>
      </w:pPr>
      <w:rPr>
        <w:rFonts w:ascii="Symbol" w:hAnsi="Symbol" w:hint="default"/>
      </w:rPr>
    </w:lvl>
    <w:lvl w:ilvl="4" w:tplc="AD36A5EC" w:tentative="1">
      <w:start w:val="1"/>
      <w:numFmt w:val="bullet"/>
      <w:lvlText w:val="o"/>
      <w:lvlJc w:val="left"/>
      <w:pPr>
        <w:ind w:left="3600" w:hanging="360"/>
      </w:pPr>
      <w:rPr>
        <w:rFonts w:ascii="Courier New" w:hAnsi="Courier New" w:cs="Courier New" w:hint="default"/>
      </w:rPr>
    </w:lvl>
    <w:lvl w:ilvl="5" w:tplc="F61898EE" w:tentative="1">
      <w:start w:val="1"/>
      <w:numFmt w:val="bullet"/>
      <w:lvlText w:val=""/>
      <w:lvlJc w:val="left"/>
      <w:pPr>
        <w:ind w:left="4320" w:hanging="360"/>
      </w:pPr>
      <w:rPr>
        <w:rFonts w:ascii="Wingdings" w:hAnsi="Wingdings" w:hint="default"/>
      </w:rPr>
    </w:lvl>
    <w:lvl w:ilvl="6" w:tplc="693E039A" w:tentative="1">
      <w:start w:val="1"/>
      <w:numFmt w:val="bullet"/>
      <w:lvlText w:val=""/>
      <w:lvlJc w:val="left"/>
      <w:pPr>
        <w:ind w:left="5040" w:hanging="360"/>
      </w:pPr>
      <w:rPr>
        <w:rFonts w:ascii="Symbol" w:hAnsi="Symbol" w:hint="default"/>
      </w:rPr>
    </w:lvl>
    <w:lvl w:ilvl="7" w:tplc="7F5C6086" w:tentative="1">
      <w:start w:val="1"/>
      <w:numFmt w:val="bullet"/>
      <w:lvlText w:val="o"/>
      <w:lvlJc w:val="left"/>
      <w:pPr>
        <w:ind w:left="5760" w:hanging="360"/>
      </w:pPr>
      <w:rPr>
        <w:rFonts w:ascii="Courier New" w:hAnsi="Courier New" w:cs="Courier New" w:hint="default"/>
      </w:rPr>
    </w:lvl>
    <w:lvl w:ilvl="8" w:tplc="92D22A94" w:tentative="1">
      <w:start w:val="1"/>
      <w:numFmt w:val="bullet"/>
      <w:lvlText w:val=""/>
      <w:lvlJc w:val="left"/>
      <w:pPr>
        <w:ind w:left="6480" w:hanging="360"/>
      </w:pPr>
      <w:rPr>
        <w:rFonts w:ascii="Wingdings" w:hAnsi="Wingdings" w:hint="default"/>
      </w:rPr>
    </w:lvl>
  </w:abstractNum>
  <w:abstractNum w:abstractNumId="37" w15:restartNumberingAfterBreak="0">
    <w:nsid w:val="70D330FE"/>
    <w:multiLevelType w:val="singleLevel"/>
    <w:tmpl w:val="05420F66"/>
    <w:lvl w:ilvl="0">
      <w:start w:val="1"/>
      <w:numFmt w:val="lowerLetter"/>
      <w:lvlText w:val="%1)"/>
      <w:lvlJc w:val="left"/>
      <w:pPr>
        <w:ind w:left="709" w:hanging="426"/>
      </w:pPr>
      <w:rPr>
        <w:rFonts w:hint="default"/>
      </w:rPr>
    </w:lvl>
  </w:abstractNum>
  <w:abstractNum w:abstractNumId="38" w15:restartNumberingAfterBreak="0">
    <w:nsid w:val="73A26058"/>
    <w:multiLevelType w:val="hybridMultilevel"/>
    <w:tmpl w:val="B72ED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00363E"/>
    <w:multiLevelType w:val="multilevel"/>
    <w:tmpl w:val="4344E3E6"/>
    <w:numStyleLink w:val="Headings"/>
  </w:abstractNum>
  <w:abstractNum w:abstractNumId="40" w15:restartNumberingAfterBreak="0">
    <w:nsid w:val="7D615283"/>
    <w:multiLevelType w:val="hybridMultilevel"/>
    <w:tmpl w:val="4058C106"/>
    <w:lvl w:ilvl="0" w:tplc="4DF66210">
      <w:start w:val="1"/>
      <w:numFmt w:val="bullet"/>
      <w:lvlText w:val=""/>
      <w:lvlJc w:val="left"/>
      <w:pPr>
        <w:ind w:left="765" w:hanging="360"/>
      </w:pPr>
      <w:rPr>
        <w:rFonts w:ascii="Symbol" w:hAnsi="Symbol" w:hint="default"/>
      </w:rPr>
    </w:lvl>
    <w:lvl w:ilvl="1" w:tplc="8C9E1850" w:tentative="1">
      <w:start w:val="1"/>
      <w:numFmt w:val="bullet"/>
      <w:lvlText w:val="o"/>
      <w:lvlJc w:val="left"/>
      <w:pPr>
        <w:ind w:left="1485" w:hanging="360"/>
      </w:pPr>
      <w:rPr>
        <w:rFonts w:ascii="Courier New" w:hAnsi="Courier New" w:cs="Courier New" w:hint="default"/>
      </w:rPr>
    </w:lvl>
    <w:lvl w:ilvl="2" w:tplc="1C902744" w:tentative="1">
      <w:start w:val="1"/>
      <w:numFmt w:val="bullet"/>
      <w:lvlText w:val=""/>
      <w:lvlJc w:val="left"/>
      <w:pPr>
        <w:ind w:left="2205" w:hanging="360"/>
      </w:pPr>
      <w:rPr>
        <w:rFonts w:ascii="Wingdings" w:hAnsi="Wingdings" w:hint="default"/>
      </w:rPr>
    </w:lvl>
    <w:lvl w:ilvl="3" w:tplc="D86AFA24" w:tentative="1">
      <w:start w:val="1"/>
      <w:numFmt w:val="bullet"/>
      <w:lvlText w:val=""/>
      <w:lvlJc w:val="left"/>
      <w:pPr>
        <w:ind w:left="2925" w:hanging="360"/>
      </w:pPr>
      <w:rPr>
        <w:rFonts w:ascii="Symbol" w:hAnsi="Symbol" w:hint="default"/>
      </w:rPr>
    </w:lvl>
    <w:lvl w:ilvl="4" w:tplc="D24C4ACA" w:tentative="1">
      <w:start w:val="1"/>
      <w:numFmt w:val="bullet"/>
      <w:lvlText w:val="o"/>
      <w:lvlJc w:val="left"/>
      <w:pPr>
        <w:ind w:left="3645" w:hanging="360"/>
      </w:pPr>
      <w:rPr>
        <w:rFonts w:ascii="Courier New" w:hAnsi="Courier New" w:cs="Courier New" w:hint="default"/>
      </w:rPr>
    </w:lvl>
    <w:lvl w:ilvl="5" w:tplc="A9325C94" w:tentative="1">
      <w:start w:val="1"/>
      <w:numFmt w:val="bullet"/>
      <w:lvlText w:val=""/>
      <w:lvlJc w:val="left"/>
      <w:pPr>
        <w:ind w:left="4365" w:hanging="360"/>
      </w:pPr>
      <w:rPr>
        <w:rFonts w:ascii="Wingdings" w:hAnsi="Wingdings" w:hint="default"/>
      </w:rPr>
    </w:lvl>
    <w:lvl w:ilvl="6" w:tplc="114E371E" w:tentative="1">
      <w:start w:val="1"/>
      <w:numFmt w:val="bullet"/>
      <w:lvlText w:val=""/>
      <w:lvlJc w:val="left"/>
      <w:pPr>
        <w:ind w:left="5085" w:hanging="360"/>
      </w:pPr>
      <w:rPr>
        <w:rFonts w:ascii="Symbol" w:hAnsi="Symbol" w:hint="default"/>
      </w:rPr>
    </w:lvl>
    <w:lvl w:ilvl="7" w:tplc="FC96B126" w:tentative="1">
      <w:start w:val="1"/>
      <w:numFmt w:val="bullet"/>
      <w:lvlText w:val="o"/>
      <w:lvlJc w:val="left"/>
      <w:pPr>
        <w:ind w:left="5805" w:hanging="360"/>
      </w:pPr>
      <w:rPr>
        <w:rFonts w:ascii="Courier New" w:hAnsi="Courier New" w:cs="Courier New" w:hint="default"/>
      </w:rPr>
    </w:lvl>
    <w:lvl w:ilvl="8" w:tplc="7C8A338E" w:tentative="1">
      <w:start w:val="1"/>
      <w:numFmt w:val="bullet"/>
      <w:lvlText w:val=""/>
      <w:lvlJc w:val="left"/>
      <w:pPr>
        <w:ind w:left="6525" w:hanging="360"/>
      </w:pPr>
      <w:rPr>
        <w:rFonts w:ascii="Wingdings" w:hAnsi="Wingdings" w:hint="default"/>
      </w:rPr>
    </w:lvl>
  </w:abstractNum>
  <w:abstractNum w:abstractNumId="41" w15:restartNumberingAfterBreak="0">
    <w:nsid w:val="7FE65FBF"/>
    <w:multiLevelType w:val="multilevel"/>
    <w:tmpl w:val="C9963DF4"/>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25"/>
  </w:num>
  <w:num w:numId="4">
    <w:abstractNumId w:val="37"/>
  </w:num>
  <w:num w:numId="5">
    <w:abstractNumId w:val="2"/>
    <w:lvlOverride w:ilvl="0">
      <w:startOverride w:val="1"/>
    </w:lvlOverride>
  </w:num>
  <w:num w:numId="6">
    <w:abstractNumId w:val="27"/>
  </w:num>
  <w:num w:numId="7">
    <w:abstractNumId w:val="13"/>
  </w:num>
  <w:num w:numId="8">
    <w:abstractNumId w:val="23"/>
  </w:num>
  <w:num w:numId="9">
    <w:abstractNumId w:val="10"/>
  </w:num>
  <w:num w:numId="10">
    <w:abstractNumId w:val="29"/>
  </w:num>
  <w:num w:numId="11">
    <w:abstractNumId w:val="11"/>
  </w:num>
  <w:num w:numId="12">
    <w:abstractNumId w:val="18"/>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1"/>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32"/>
  </w:num>
  <w:num w:numId="20">
    <w:abstractNumId w:val="32"/>
    <w:lvlOverride w:ilvl="0">
      <w:startOverride w:val="1"/>
    </w:lvlOverride>
  </w:num>
  <w:num w:numId="21">
    <w:abstractNumId w:val="24"/>
  </w:num>
  <w:num w:numId="22">
    <w:abstractNumId w:val="9"/>
  </w:num>
  <w:num w:numId="23">
    <w:abstractNumId w:val="24"/>
  </w:num>
  <w:num w:numId="24">
    <w:abstractNumId w:val="24"/>
  </w:num>
  <w:num w:numId="25">
    <w:abstractNumId w:val="24"/>
  </w:num>
  <w:num w:numId="26">
    <w:abstractNumId w:val="9"/>
  </w:num>
  <w:num w:numId="27">
    <w:abstractNumId w:val="25"/>
  </w:num>
  <w:num w:numId="28">
    <w:abstractNumId w:val="7"/>
  </w:num>
  <w:num w:numId="29">
    <w:abstractNumId w:val="37"/>
  </w:num>
  <w:num w:numId="30">
    <w:abstractNumId w:val="2"/>
    <w:lvlOverride w:ilvl="0">
      <w:startOverride w:val="1"/>
    </w:lvlOverride>
  </w:num>
  <w:num w:numId="31">
    <w:abstractNumId w:val="27"/>
  </w:num>
  <w:num w:numId="32">
    <w:abstractNumId w:val="13"/>
  </w:num>
  <w:num w:numId="33">
    <w:abstractNumId w:val="40"/>
  </w:num>
  <w:num w:numId="34">
    <w:abstractNumId w:val="28"/>
  </w:num>
  <w:num w:numId="35">
    <w:abstractNumId w:val="36"/>
  </w:num>
  <w:num w:numId="36">
    <w:abstractNumId w:val="12"/>
  </w:num>
  <w:num w:numId="37">
    <w:abstractNumId w:val="15"/>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6"/>
  </w:num>
  <w:num w:numId="46">
    <w:abstractNumId w:val="30"/>
  </w:num>
  <w:num w:numId="47">
    <w:abstractNumId w:val="35"/>
  </w:num>
  <w:num w:numId="48">
    <w:abstractNumId w:val="41"/>
  </w:num>
  <w:num w:numId="49">
    <w:abstractNumId w:val="19"/>
  </w:num>
  <w:num w:numId="50">
    <w:abstractNumId w:val="33"/>
  </w:num>
  <w:num w:numId="51">
    <w:abstractNumId w:val="38"/>
  </w:num>
  <w:num w:numId="52">
    <w:abstractNumId w:val="14"/>
  </w:num>
  <w:num w:numId="53">
    <w:abstractNumId w:val="17"/>
  </w:num>
  <w:num w:numId="54">
    <w:abstractNumId w:val="26"/>
  </w:num>
  <w:num w:numId="55">
    <w:abstractNumId w:val="31"/>
  </w:num>
  <w:num w:numId="56">
    <w:abstractNumId w:val="16"/>
  </w:num>
  <w:num w:numId="57">
    <w:abstractNumId w:val="22"/>
  </w:num>
  <w:num w:numId="58">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2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DBA"/>
    <w:rsid w:val="0000001D"/>
    <w:rsid w:val="0000067B"/>
    <w:rsid w:val="00002543"/>
    <w:rsid w:val="000029A2"/>
    <w:rsid w:val="0000345F"/>
    <w:rsid w:val="00003B7E"/>
    <w:rsid w:val="0000573A"/>
    <w:rsid w:val="00011737"/>
    <w:rsid w:val="00016125"/>
    <w:rsid w:val="00016137"/>
    <w:rsid w:val="00020490"/>
    <w:rsid w:val="00020BBB"/>
    <w:rsid w:val="00024083"/>
    <w:rsid w:val="000249A4"/>
    <w:rsid w:val="00030A40"/>
    <w:rsid w:val="000332AE"/>
    <w:rsid w:val="000349C1"/>
    <w:rsid w:val="00040F49"/>
    <w:rsid w:val="0004116B"/>
    <w:rsid w:val="00041B2B"/>
    <w:rsid w:val="00041DD7"/>
    <w:rsid w:val="000420D3"/>
    <w:rsid w:val="00044B90"/>
    <w:rsid w:val="00045150"/>
    <w:rsid w:val="00046DF4"/>
    <w:rsid w:val="00047228"/>
    <w:rsid w:val="000474A2"/>
    <w:rsid w:val="00051223"/>
    <w:rsid w:val="000518A0"/>
    <w:rsid w:val="000535F4"/>
    <w:rsid w:val="00054634"/>
    <w:rsid w:val="00057CE2"/>
    <w:rsid w:val="0006105C"/>
    <w:rsid w:val="0006311D"/>
    <w:rsid w:val="00063347"/>
    <w:rsid w:val="00065B0C"/>
    <w:rsid w:val="00070BC0"/>
    <w:rsid w:val="00070CD4"/>
    <w:rsid w:val="000714EA"/>
    <w:rsid w:val="00072EAC"/>
    <w:rsid w:val="000733FA"/>
    <w:rsid w:val="00076032"/>
    <w:rsid w:val="00076ACC"/>
    <w:rsid w:val="00077006"/>
    <w:rsid w:val="00077E7B"/>
    <w:rsid w:val="00081EFC"/>
    <w:rsid w:val="00083046"/>
    <w:rsid w:val="00084438"/>
    <w:rsid w:val="000861FB"/>
    <w:rsid w:val="0008776E"/>
    <w:rsid w:val="00090ED7"/>
    <w:rsid w:val="000911AD"/>
    <w:rsid w:val="00092D2C"/>
    <w:rsid w:val="00095782"/>
    <w:rsid w:val="00095917"/>
    <w:rsid w:val="00095BFE"/>
    <w:rsid w:val="000A00F5"/>
    <w:rsid w:val="000A0E18"/>
    <w:rsid w:val="000A43C2"/>
    <w:rsid w:val="000A7DB9"/>
    <w:rsid w:val="000A7F0C"/>
    <w:rsid w:val="000B03D2"/>
    <w:rsid w:val="000B13FC"/>
    <w:rsid w:val="000B2D85"/>
    <w:rsid w:val="000B389B"/>
    <w:rsid w:val="000B5174"/>
    <w:rsid w:val="000B6425"/>
    <w:rsid w:val="000C0DF1"/>
    <w:rsid w:val="000C0EB5"/>
    <w:rsid w:val="000C36A8"/>
    <w:rsid w:val="000C3786"/>
    <w:rsid w:val="000C4539"/>
    <w:rsid w:val="000C4DB1"/>
    <w:rsid w:val="000C531F"/>
    <w:rsid w:val="000D7D22"/>
    <w:rsid w:val="000E00B3"/>
    <w:rsid w:val="000E2D3C"/>
    <w:rsid w:val="000E329C"/>
    <w:rsid w:val="000E37D4"/>
    <w:rsid w:val="000E4D78"/>
    <w:rsid w:val="000E6B76"/>
    <w:rsid w:val="000F127E"/>
    <w:rsid w:val="000F2124"/>
    <w:rsid w:val="000F3A12"/>
    <w:rsid w:val="000F4D6D"/>
    <w:rsid w:val="000F5E8D"/>
    <w:rsid w:val="000F7235"/>
    <w:rsid w:val="000F74CC"/>
    <w:rsid w:val="0010095A"/>
    <w:rsid w:val="001009FB"/>
    <w:rsid w:val="00101ECD"/>
    <w:rsid w:val="00102CD5"/>
    <w:rsid w:val="0010366D"/>
    <w:rsid w:val="001068CE"/>
    <w:rsid w:val="00107C48"/>
    <w:rsid w:val="00107EB7"/>
    <w:rsid w:val="00111986"/>
    <w:rsid w:val="001138C2"/>
    <w:rsid w:val="00113AB1"/>
    <w:rsid w:val="00115E8D"/>
    <w:rsid w:val="001163A0"/>
    <w:rsid w:val="0012350A"/>
    <w:rsid w:val="001241EF"/>
    <w:rsid w:val="00125ED1"/>
    <w:rsid w:val="0012621D"/>
    <w:rsid w:val="00126D21"/>
    <w:rsid w:val="00132921"/>
    <w:rsid w:val="00132A6F"/>
    <w:rsid w:val="00133CDA"/>
    <w:rsid w:val="00134AE8"/>
    <w:rsid w:val="00135E1C"/>
    <w:rsid w:val="00135ED3"/>
    <w:rsid w:val="001375FA"/>
    <w:rsid w:val="00142137"/>
    <w:rsid w:val="00142493"/>
    <w:rsid w:val="00144DEA"/>
    <w:rsid w:val="00145DCA"/>
    <w:rsid w:val="00146544"/>
    <w:rsid w:val="001476F8"/>
    <w:rsid w:val="00147701"/>
    <w:rsid w:val="00156635"/>
    <w:rsid w:val="001606C1"/>
    <w:rsid w:val="001609E1"/>
    <w:rsid w:val="00161B43"/>
    <w:rsid w:val="001649E7"/>
    <w:rsid w:val="00164BCC"/>
    <w:rsid w:val="00165B8A"/>
    <w:rsid w:val="00171E86"/>
    <w:rsid w:val="00172B05"/>
    <w:rsid w:val="00172E50"/>
    <w:rsid w:val="00173FDE"/>
    <w:rsid w:val="001749D9"/>
    <w:rsid w:val="001759C2"/>
    <w:rsid w:val="00176108"/>
    <w:rsid w:val="0017635A"/>
    <w:rsid w:val="001800A1"/>
    <w:rsid w:val="0018043B"/>
    <w:rsid w:val="00182A71"/>
    <w:rsid w:val="00183B71"/>
    <w:rsid w:val="0018436D"/>
    <w:rsid w:val="00187190"/>
    <w:rsid w:val="00190454"/>
    <w:rsid w:val="0019058A"/>
    <w:rsid w:val="001917F1"/>
    <w:rsid w:val="0019462A"/>
    <w:rsid w:val="0019537D"/>
    <w:rsid w:val="00195670"/>
    <w:rsid w:val="00197577"/>
    <w:rsid w:val="001A05BD"/>
    <w:rsid w:val="001A33B9"/>
    <w:rsid w:val="001A4B67"/>
    <w:rsid w:val="001A6452"/>
    <w:rsid w:val="001A6F7C"/>
    <w:rsid w:val="001B0AE1"/>
    <w:rsid w:val="001B1519"/>
    <w:rsid w:val="001B335B"/>
    <w:rsid w:val="001B46F8"/>
    <w:rsid w:val="001B63BB"/>
    <w:rsid w:val="001C07D3"/>
    <w:rsid w:val="001C10B8"/>
    <w:rsid w:val="001C16DE"/>
    <w:rsid w:val="001C1ECC"/>
    <w:rsid w:val="001C2704"/>
    <w:rsid w:val="001C46DC"/>
    <w:rsid w:val="001C4900"/>
    <w:rsid w:val="001C63AC"/>
    <w:rsid w:val="001C6CCE"/>
    <w:rsid w:val="001C7980"/>
    <w:rsid w:val="001D16A3"/>
    <w:rsid w:val="001D4F52"/>
    <w:rsid w:val="001D5C7A"/>
    <w:rsid w:val="001D5CF2"/>
    <w:rsid w:val="001D6FE6"/>
    <w:rsid w:val="001E37BB"/>
    <w:rsid w:val="001E6649"/>
    <w:rsid w:val="001E699F"/>
    <w:rsid w:val="001E7DF1"/>
    <w:rsid w:val="001F121B"/>
    <w:rsid w:val="001F2240"/>
    <w:rsid w:val="001F3F02"/>
    <w:rsid w:val="001F7386"/>
    <w:rsid w:val="001F79E4"/>
    <w:rsid w:val="00200B8D"/>
    <w:rsid w:val="002030BB"/>
    <w:rsid w:val="00207E42"/>
    <w:rsid w:val="00210BE4"/>
    <w:rsid w:val="002119BC"/>
    <w:rsid w:val="00211A93"/>
    <w:rsid w:val="00211BE4"/>
    <w:rsid w:val="00213376"/>
    <w:rsid w:val="00213483"/>
    <w:rsid w:val="0021396E"/>
    <w:rsid w:val="00213C98"/>
    <w:rsid w:val="00215529"/>
    <w:rsid w:val="0021768C"/>
    <w:rsid w:val="00217896"/>
    <w:rsid w:val="00220E06"/>
    <w:rsid w:val="00221334"/>
    <w:rsid w:val="00221AFF"/>
    <w:rsid w:val="00221D39"/>
    <w:rsid w:val="00222128"/>
    <w:rsid w:val="0022314E"/>
    <w:rsid w:val="002234AA"/>
    <w:rsid w:val="002248D2"/>
    <w:rsid w:val="00225083"/>
    <w:rsid w:val="002257C6"/>
    <w:rsid w:val="00225981"/>
    <w:rsid w:val="00225BD0"/>
    <w:rsid w:val="002270A1"/>
    <w:rsid w:val="00231B42"/>
    <w:rsid w:val="00232F0B"/>
    <w:rsid w:val="00235FC7"/>
    <w:rsid w:val="00236319"/>
    <w:rsid w:val="0024093F"/>
    <w:rsid w:val="00240E90"/>
    <w:rsid w:val="002413C3"/>
    <w:rsid w:val="00241867"/>
    <w:rsid w:val="00242B68"/>
    <w:rsid w:val="002453C3"/>
    <w:rsid w:val="002508E1"/>
    <w:rsid w:val="00250A97"/>
    <w:rsid w:val="00257A35"/>
    <w:rsid w:val="002622A0"/>
    <w:rsid w:val="00264355"/>
    <w:rsid w:val="002646BF"/>
    <w:rsid w:val="00274036"/>
    <w:rsid w:val="002748C9"/>
    <w:rsid w:val="00277B98"/>
    <w:rsid w:val="00281997"/>
    <w:rsid w:val="002838C9"/>
    <w:rsid w:val="00283990"/>
    <w:rsid w:val="00283C6B"/>
    <w:rsid w:val="00284FDE"/>
    <w:rsid w:val="002866A9"/>
    <w:rsid w:val="00286BDB"/>
    <w:rsid w:val="00287A64"/>
    <w:rsid w:val="00290C69"/>
    <w:rsid w:val="00291E82"/>
    <w:rsid w:val="002934C7"/>
    <w:rsid w:val="002939D0"/>
    <w:rsid w:val="0029423B"/>
    <w:rsid w:val="00295803"/>
    <w:rsid w:val="00296FF2"/>
    <w:rsid w:val="00297EDE"/>
    <w:rsid w:val="002A43AF"/>
    <w:rsid w:val="002A46EA"/>
    <w:rsid w:val="002A47D8"/>
    <w:rsid w:val="002A5B28"/>
    <w:rsid w:val="002A5DA6"/>
    <w:rsid w:val="002A6D9C"/>
    <w:rsid w:val="002A7691"/>
    <w:rsid w:val="002B0DC7"/>
    <w:rsid w:val="002B1576"/>
    <w:rsid w:val="002B1BD3"/>
    <w:rsid w:val="002B6114"/>
    <w:rsid w:val="002B7B28"/>
    <w:rsid w:val="002C15B9"/>
    <w:rsid w:val="002C17AA"/>
    <w:rsid w:val="002C22E0"/>
    <w:rsid w:val="002C2BF2"/>
    <w:rsid w:val="002C2F14"/>
    <w:rsid w:val="002C3233"/>
    <w:rsid w:val="002C4132"/>
    <w:rsid w:val="002C4400"/>
    <w:rsid w:val="002C46AE"/>
    <w:rsid w:val="002C50F4"/>
    <w:rsid w:val="002C57E8"/>
    <w:rsid w:val="002C5A10"/>
    <w:rsid w:val="002C6B9C"/>
    <w:rsid w:val="002D0D24"/>
    <w:rsid w:val="002D13CA"/>
    <w:rsid w:val="002D14B8"/>
    <w:rsid w:val="002D32A8"/>
    <w:rsid w:val="002D5D0E"/>
    <w:rsid w:val="002D7A14"/>
    <w:rsid w:val="002D7ADB"/>
    <w:rsid w:val="002E0E83"/>
    <w:rsid w:val="002E3317"/>
    <w:rsid w:val="002E3D0B"/>
    <w:rsid w:val="002E4B63"/>
    <w:rsid w:val="002E4FD5"/>
    <w:rsid w:val="002E5504"/>
    <w:rsid w:val="002E5551"/>
    <w:rsid w:val="002E6E64"/>
    <w:rsid w:val="002F0473"/>
    <w:rsid w:val="002F16F4"/>
    <w:rsid w:val="002F2A25"/>
    <w:rsid w:val="002F64BD"/>
    <w:rsid w:val="002F7B3E"/>
    <w:rsid w:val="002F7C75"/>
    <w:rsid w:val="00301511"/>
    <w:rsid w:val="003022BD"/>
    <w:rsid w:val="0030374E"/>
    <w:rsid w:val="003038DF"/>
    <w:rsid w:val="00305E9C"/>
    <w:rsid w:val="003078B5"/>
    <w:rsid w:val="003112D8"/>
    <w:rsid w:val="0031131A"/>
    <w:rsid w:val="00312DFC"/>
    <w:rsid w:val="0031527E"/>
    <w:rsid w:val="00315C2F"/>
    <w:rsid w:val="00316F54"/>
    <w:rsid w:val="00320046"/>
    <w:rsid w:val="00320BCF"/>
    <w:rsid w:val="00323D52"/>
    <w:rsid w:val="00331570"/>
    <w:rsid w:val="003319C9"/>
    <w:rsid w:val="003321BE"/>
    <w:rsid w:val="003326EE"/>
    <w:rsid w:val="00332D0B"/>
    <w:rsid w:val="003331D3"/>
    <w:rsid w:val="00333A95"/>
    <w:rsid w:val="00336ABB"/>
    <w:rsid w:val="00336F74"/>
    <w:rsid w:val="00337611"/>
    <w:rsid w:val="00341A3A"/>
    <w:rsid w:val="00343B6D"/>
    <w:rsid w:val="00344624"/>
    <w:rsid w:val="00345E06"/>
    <w:rsid w:val="003461AD"/>
    <w:rsid w:val="00346483"/>
    <w:rsid w:val="00347588"/>
    <w:rsid w:val="0034763E"/>
    <w:rsid w:val="0035003D"/>
    <w:rsid w:val="003510A9"/>
    <w:rsid w:val="0035230F"/>
    <w:rsid w:val="00353158"/>
    <w:rsid w:val="00354375"/>
    <w:rsid w:val="003550EA"/>
    <w:rsid w:val="00360033"/>
    <w:rsid w:val="00360C7D"/>
    <w:rsid w:val="00362840"/>
    <w:rsid w:val="00363534"/>
    <w:rsid w:val="00363C67"/>
    <w:rsid w:val="003641D6"/>
    <w:rsid w:val="003642F6"/>
    <w:rsid w:val="003644E1"/>
    <w:rsid w:val="00365A1D"/>
    <w:rsid w:val="00370582"/>
    <w:rsid w:val="00370651"/>
    <w:rsid w:val="00371682"/>
    <w:rsid w:val="00371C8E"/>
    <w:rsid w:val="00372752"/>
    <w:rsid w:val="00372AB9"/>
    <w:rsid w:val="003758B8"/>
    <w:rsid w:val="00377386"/>
    <w:rsid w:val="003804C5"/>
    <w:rsid w:val="00380963"/>
    <w:rsid w:val="0038161D"/>
    <w:rsid w:val="00382BE6"/>
    <w:rsid w:val="00384087"/>
    <w:rsid w:val="0038555E"/>
    <w:rsid w:val="0038647D"/>
    <w:rsid w:val="00386AFB"/>
    <w:rsid w:val="00387BAE"/>
    <w:rsid w:val="00390DAC"/>
    <w:rsid w:val="00393214"/>
    <w:rsid w:val="003A1B6D"/>
    <w:rsid w:val="003A6BAC"/>
    <w:rsid w:val="003A7055"/>
    <w:rsid w:val="003A7985"/>
    <w:rsid w:val="003A7DEF"/>
    <w:rsid w:val="003B0DD5"/>
    <w:rsid w:val="003B218C"/>
    <w:rsid w:val="003B3B65"/>
    <w:rsid w:val="003B5306"/>
    <w:rsid w:val="003B5959"/>
    <w:rsid w:val="003B5AB2"/>
    <w:rsid w:val="003B6945"/>
    <w:rsid w:val="003B6AE4"/>
    <w:rsid w:val="003B7A73"/>
    <w:rsid w:val="003C41A5"/>
    <w:rsid w:val="003C41E5"/>
    <w:rsid w:val="003C54B1"/>
    <w:rsid w:val="003C60AB"/>
    <w:rsid w:val="003C6573"/>
    <w:rsid w:val="003C7803"/>
    <w:rsid w:val="003D0CDA"/>
    <w:rsid w:val="003D2E56"/>
    <w:rsid w:val="003D7F94"/>
    <w:rsid w:val="003E3D69"/>
    <w:rsid w:val="003E4FF0"/>
    <w:rsid w:val="003F0A53"/>
    <w:rsid w:val="003F1B82"/>
    <w:rsid w:val="003F5923"/>
    <w:rsid w:val="003F78DA"/>
    <w:rsid w:val="003F7BCB"/>
    <w:rsid w:val="004003BD"/>
    <w:rsid w:val="00403225"/>
    <w:rsid w:val="004048A3"/>
    <w:rsid w:val="004049D6"/>
    <w:rsid w:val="00406A17"/>
    <w:rsid w:val="00407D34"/>
    <w:rsid w:val="004105EC"/>
    <w:rsid w:val="00410AB9"/>
    <w:rsid w:val="004120B4"/>
    <w:rsid w:val="00412EA6"/>
    <w:rsid w:val="00415E70"/>
    <w:rsid w:val="00417106"/>
    <w:rsid w:val="00420115"/>
    <w:rsid w:val="00421627"/>
    <w:rsid w:val="004244BF"/>
    <w:rsid w:val="00426893"/>
    <w:rsid w:val="00434F58"/>
    <w:rsid w:val="004369A2"/>
    <w:rsid w:val="00437BC8"/>
    <w:rsid w:val="004427D5"/>
    <w:rsid w:val="004458F9"/>
    <w:rsid w:val="00446138"/>
    <w:rsid w:val="00452195"/>
    <w:rsid w:val="00453B25"/>
    <w:rsid w:val="00454E20"/>
    <w:rsid w:val="00455184"/>
    <w:rsid w:val="00455970"/>
    <w:rsid w:val="004569AA"/>
    <w:rsid w:val="00457072"/>
    <w:rsid w:val="00457136"/>
    <w:rsid w:val="0046104D"/>
    <w:rsid w:val="00461AA1"/>
    <w:rsid w:val="0046427E"/>
    <w:rsid w:val="004651E9"/>
    <w:rsid w:val="004672D1"/>
    <w:rsid w:val="00473959"/>
    <w:rsid w:val="004743E3"/>
    <w:rsid w:val="004744F9"/>
    <w:rsid w:val="00477EE0"/>
    <w:rsid w:val="00481623"/>
    <w:rsid w:val="00484CF4"/>
    <w:rsid w:val="0049070E"/>
    <w:rsid w:val="004921CD"/>
    <w:rsid w:val="00492287"/>
    <w:rsid w:val="00492AA1"/>
    <w:rsid w:val="00497698"/>
    <w:rsid w:val="004A2E13"/>
    <w:rsid w:val="004A4E4B"/>
    <w:rsid w:val="004B1E6A"/>
    <w:rsid w:val="004B4DEC"/>
    <w:rsid w:val="004B5839"/>
    <w:rsid w:val="004B58B6"/>
    <w:rsid w:val="004C0FEF"/>
    <w:rsid w:val="004C2BAE"/>
    <w:rsid w:val="004C4760"/>
    <w:rsid w:val="004C489F"/>
    <w:rsid w:val="004D2B92"/>
    <w:rsid w:val="004D4955"/>
    <w:rsid w:val="004D6DA5"/>
    <w:rsid w:val="004D7C7A"/>
    <w:rsid w:val="004E020D"/>
    <w:rsid w:val="004E0514"/>
    <w:rsid w:val="004E1F4E"/>
    <w:rsid w:val="004E4787"/>
    <w:rsid w:val="004E60CB"/>
    <w:rsid w:val="004F1764"/>
    <w:rsid w:val="004F35D8"/>
    <w:rsid w:val="004F6B9C"/>
    <w:rsid w:val="005049FC"/>
    <w:rsid w:val="00504B2A"/>
    <w:rsid w:val="005079EE"/>
    <w:rsid w:val="0051050A"/>
    <w:rsid w:val="00512AF4"/>
    <w:rsid w:val="00514387"/>
    <w:rsid w:val="00515BBC"/>
    <w:rsid w:val="00516B33"/>
    <w:rsid w:val="00516E7E"/>
    <w:rsid w:val="005177B2"/>
    <w:rsid w:val="00520D2B"/>
    <w:rsid w:val="00522F17"/>
    <w:rsid w:val="00523DAD"/>
    <w:rsid w:val="005310D6"/>
    <w:rsid w:val="00533865"/>
    <w:rsid w:val="00533B9D"/>
    <w:rsid w:val="005344D1"/>
    <w:rsid w:val="00535E4C"/>
    <w:rsid w:val="005362BC"/>
    <w:rsid w:val="00537063"/>
    <w:rsid w:val="0054022C"/>
    <w:rsid w:val="0054024C"/>
    <w:rsid w:val="00540E25"/>
    <w:rsid w:val="00543CEF"/>
    <w:rsid w:val="005443D8"/>
    <w:rsid w:val="005453A2"/>
    <w:rsid w:val="00546083"/>
    <w:rsid w:val="0054796C"/>
    <w:rsid w:val="00553135"/>
    <w:rsid w:val="00553E74"/>
    <w:rsid w:val="00554B34"/>
    <w:rsid w:val="005563C1"/>
    <w:rsid w:val="005615B7"/>
    <w:rsid w:val="0057016A"/>
    <w:rsid w:val="00572787"/>
    <w:rsid w:val="00576DA3"/>
    <w:rsid w:val="00581847"/>
    <w:rsid w:val="00582755"/>
    <w:rsid w:val="005835E9"/>
    <w:rsid w:val="00583DDB"/>
    <w:rsid w:val="00585806"/>
    <w:rsid w:val="005879F9"/>
    <w:rsid w:val="0059654E"/>
    <w:rsid w:val="0059766F"/>
    <w:rsid w:val="0059794F"/>
    <w:rsid w:val="005A1727"/>
    <w:rsid w:val="005B10AD"/>
    <w:rsid w:val="005B194E"/>
    <w:rsid w:val="005B19B1"/>
    <w:rsid w:val="005B2934"/>
    <w:rsid w:val="005B5121"/>
    <w:rsid w:val="005B563D"/>
    <w:rsid w:val="005B5886"/>
    <w:rsid w:val="005B5AFE"/>
    <w:rsid w:val="005B5DA0"/>
    <w:rsid w:val="005B6514"/>
    <w:rsid w:val="005B6AC9"/>
    <w:rsid w:val="005B6DB2"/>
    <w:rsid w:val="005B7D46"/>
    <w:rsid w:val="005C2395"/>
    <w:rsid w:val="005C5420"/>
    <w:rsid w:val="005C7CA6"/>
    <w:rsid w:val="005D1D94"/>
    <w:rsid w:val="005D4E8E"/>
    <w:rsid w:val="005D5860"/>
    <w:rsid w:val="005D6B61"/>
    <w:rsid w:val="005E3794"/>
    <w:rsid w:val="005E3FD0"/>
    <w:rsid w:val="005F0EA9"/>
    <w:rsid w:val="005F225E"/>
    <w:rsid w:val="005F613A"/>
    <w:rsid w:val="005F658F"/>
    <w:rsid w:val="005F6605"/>
    <w:rsid w:val="005F76E2"/>
    <w:rsid w:val="00600E7E"/>
    <w:rsid w:val="00602FD6"/>
    <w:rsid w:val="00604E2A"/>
    <w:rsid w:val="00606388"/>
    <w:rsid w:val="00607789"/>
    <w:rsid w:val="00611369"/>
    <w:rsid w:val="006131A1"/>
    <w:rsid w:val="0061376B"/>
    <w:rsid w:val="006152A2"/>
    <w:rsid w:val="00621EC2"/>
    <w:rsid w:val="006241CC"/>
    <w:rsid w:val="00624C00"/>
    <w:rsid w:val="0062504A"/>
    <w:rsid w:val="00626B12"/>
    <w:rsid w:val="00627DFB"/>
    <w:rsid w:val="0063386F"/>
    <w:rsid w:val="00634DF8"/>
    <w:rsid w:val="0064145D"/>
    <w:rsid w:val="0064171D"/>
    <w:rsid w:val="0064392E"/>
    <w:rsid w:val="00644573"/>
    <w:rsid w:val="00645643"/>
    <w:rsid w:val="00645EF3"/>
    <w:rsid w:val="00646540"/>
    <w:rsid w:val="0065001F"/>
    <w:rsid w:val="00651DC2"/>
    <w:rsid w:val="00653EDE"/>
    <w:rsid w:val="00654ABC"/>
    <w:rsid w:val="0065551F"/>
    <w:rsid w:val="0066077E"/>
    <w:rsid w:val="00660E0D"/>
    <w:rsid w:val="0066108A"/>
    <w:rsid w:val="00661B54"/>
    <w:rsid w:val="00665653"/>
    <w:rsid w:val="00672C63"/>
    <w:rsid w:val="00677C01"/>
    <w:rsid w:val="006808F6"/>
    <w:rsid w:val="00681F25"/>
    <w:rsid w:val="00682557"/>
    <w:rsid w:val="00682791"/>
    <w:rsid w:val="00682B92"/>
    <w:rsid w:val="00684455"/>
    <w:rsid w:val="0068757B"/>
    <w:rsid w:val="006876FA"/>
    <w:rsid w:val="006901DF"/>
    <w:rsid w:val="00696C81"/>
    <w:rsid w:val="006A16D1"/>
    <w:rsid w:val="006A1D4E"/>
    <w:rsid w:val="006A3769"/>
    <w:rsid w:val="006A3B6F"/>
    <w:rsid w:val="006A45EB"/>
    <w:rsid w:val="006A6B7E"/>
    <w:rsid w:val="006A70BD"/>
    <w:rsid w:val="006A7954"/>
    <w:rsid w:val="006B1396"/>
    <w:rsid w:val="006B16C2"/>
    <w:rsid w:val="006C0D81"/>
    <w:rsid w:val="006C161D"/>
    <w:rsid w:val="006C3239"/>
    <w:rsid w:val="006C6311"/>
    <w:rsid w:val="006C6ED5"/>
    <w:rsid w:val="006D0548"/>
    <w:rsid w:val="006D08B0"/>
    <w:rsid w:val="006D124D"/>
    <w:rsid w:val="006D167E"/>
    <w:rsid w:val="006D1A2B"/>
    <w:rsid w:val="006D373C"/>
    <w:rsid w:val="006D5260"/>
    <w:rsid w:val="006D7700"/>
    <w:rsid w:val="006E55B0"/>
    <w:rsid w:val="006E591E"/>
    <w:rsid w:val="006E5A96"/>
    <w:rsid w:val="006E6B97"/>
    <w:rsid w:val="006E7AEA"/>
    <w:rsid w:val="006F1C5F"/>
    <w:rsid w:val="006F41E9"/>
    <w:rsid w:val="006F506F"/>
    <w:rsid w:val="006F5D80"/>
    <w:rsid w:val="006F65BC"/>
    <w:rsid w:val="006F69F5"/>
    <w:rsid w:val="006F7A12"/>
    <w:rsid w:val="006F7FC7"/>
    <w:rsid w:val="00702AB0"/>
    <w:rsid w:val="00702F6F"/>
    <w:rsid w:val="007033AE"/>
    <w:rsid w:val="00703DEF"/>
    <w:rsid w:val="0070514B"/>
    <w:rsid w:val="00706CB9"/>
    <w:rsid w:val="00712475"/>
    <w:rsid w:val="00721608"/>
    <w:rsid w:val="00724A9A"/>
    <w:rsid w:val="00724D98"/>
    <w:rsid w:val="00727792"/>
    <w:rsid w:val="0073028F"/>
    <w:rsid w:val="0073283D"/>
    <w:rsid w:val="0073381F"/>
    <w:rsid w:val="00736901"/>
    <w:rsid w:val="0073774E"/>
    <w:rsid w:val="00737B15"/>
    <w:rsid w:val="00737D6B"/>
    <w:rsid w:val="00744ACA"/>
    <w:rsid w:val="00745397"/>
    <w:rsid w:val="007457F9"/>
    <w:rsid w:val="0074633A"/>
    <w:rsid w:val="00746578"/>
    <w:rsid w:val="007468E2"/>
    <w:rsid w:val="00750DE8"/>
    <w:rsid w:val="0075575F"/>
    <w:rsid w:val="0075794C"/>
    <w:rsid w:val="007607BD"/>
    <w:rsid w:val="0076232B"/>
    <w:rsid w:val="0076431E"/>
    <w:rsid w:val="00765C24"/>
    <w:rsid w:val="00767F92"/>
    <w:rsid w:val="007701DE"/>
    <w:rsid w:val="007718B7"/>
    <w:rsid w:val="00771AF2"/>
    <w:rsid w:val="00774D7F"/>
    <w:rsid w:val="00774F9B"/>
    <w:rsid w:val="00780956"/>
    <w:rsid w:val="00781890"/>
    <w:rsid w:val="00781EF0"/>
    <w:rsid w:val="0078245A"/>
    <w:rsid w:val="00783EFF"/>
    <w:rsid w:val="007906E5"/>
    <w:rsid w:val="0079745B"/>
    <w:rsid w:val="00797FB2"/>
    <w:rsid w:val="007A16B4"/>
    <w:rsid w:val="007A37D2"/>
    <w:rsid w:val="007A520B"/>
    <w:rsid w:val="007A5329"/>
    <w:rsid w:val="007A6BF6"/>
    <w:rsid w:val="007B044D"/>
    <w:rsid w:val="007B0CC6"/>
    <w:rsid w:val="007B0EEB"/>
    <w:rsid w:val="007B5115"/>
    <w:rsid w:val="007B611B"/>
    <w:rsid w:val="007C1612"/>
    <w:rsid w:val="007C1986"/>
    <w:rsid w:val="007C1EAA"/>
    <w:rsid w:val="007C24EA"/>
    <w:rsid w:val="007C5BFB"/>
    <w:rsid w:val="007C5FCC"/>
    <w:rsid w:val="007C6B12"/>
    <w:rsid w:val="007D0494"/>
    <w:rsid w:val="007D5556"/>
    <w:rsid w:val="007D594B"/>
    <w:rsid w:val="007D6C63"/>
    <w:rsid w:val="007E1E88"/>
    <w:rsid w:val="007E2037"/>
    <w:rsid w:val="007E27C6"/>
    <w:rsid w:val="007E38F3"/>
    <w:rsid w:val="007E42E5"/>
    <w:rsid w:val="007E576A"/>
    <w:rsid w:val="007E6458"/>
    <w:rsid w:val="007E7893"/>
    <w:rsid w:val="007F01A3"/>
    <w:rsid w:val="007F1411"/>
    <w:rsid w:val="007F1F22"/>
    <w:rsid w:val="007F3F53"/>
    <w:rsid w:val="007F5886"/>
    <w:rsid w:val="007F72E8"/>
    <w:rsid w:val="007F7EBF"/>
    <w:rsid w:val="00800B18"/>
    <w:rsid w:val="00802087"/>
    <w:rsid w:val="00804297"/>
    <w:rsid w:val="008055E5"/>
    <w:rsid w:val="00806452"/>
    <w:rsid w:val="00806D50"/>
    <w:rsid w:val="00811945"/>
    <w:rsid w:val="00812265"/>
    <w:rsid w:val="008130BE"/>
    <w:rsid w:val="008139D6"/>
    <w:rsid w:val="00814F1F"/>
    <w:rsid w:val="008168BE"/>
    <w:rsid w:val="00817848"/>
    <w:rsid w:val="00817F44"/>
    <w:rsid w:val="00822414"/>
    <w:rsid w:val="00825228"/>
    <w:rsid w:val="00826494"/>
    <w:rsid w:val="00827BFA"/>
    <w:rsid w:val="00827E1C"/>
    <w:rsid w:val="0083024B"/>
    <w:rsid w:val="008302FB"/>
    <w:rsid w:val="00830900"/>
    <w:rsid w:val="008317D6"/>
    <w:rsid w:val="00831850"/>
    <w:rsid w:val="00834068"/>
    <w:rsid w:val="00842CD3"/>
    <w:rsid w:val="0084396D"/>
    <w:rsid w:val="008463E1"/>
    <w:rsid w:val="008552DA"/>
    <w:rsid w:val="00855C43"/>
    <w:rsid w:val="008567D4"/>
    <w:rsid w:val="00856D09"/>
    <w:rsid w:val="00863212"/>
    <w:rsid w:val="008633E6"/>
    <w:rsid w:val="00865353"/>
    <w:rsid w:val="00866690"/>
    <w:rsid w:val="0086675E"/>
    <w:rsid w:val="00870267"/>
    <w:rsid w:val="00871107"/>
    <w:rsid w:val="008714BE"/>
    <w:rsid w:val="008727B3"/>
    <w:rsid w:val="00874297"/>
    <w:rsid w:val="008744BB"/>
    <w:rsid w:val="00874B2E"/>
    <w:rsid w:val="0087630D"/>
    <w:rsid w:val="0087647F"/>
    <w:rsid w:val="008803EA"/>
    <w:rsid w:val="00880F82"/>
    <w:rsid w:val="00884AE9"/>
    <w:rsid w:val="00885190"/>
    <w:rsid w:val="008873F6"/>
    <w:rsid w:val="00887FF3"/>
    <w:rsid w:val="00890863"/>
    <w:rsid w:val="008935E9"/>
    <w:rsid w:val="008A0687"/>
    <w:rsid w:val="008A28DB"/>
    <w:rsid w:val="008A2F7D"/>
    <w:rsid w:val="008A30A7"/>
    <w:rsid w:val="008A3E13"/>
    <w:rsid w:val="008A567C"/>
    <w:rsid w:val="008A61A5"/>
    <w:rsid w:val="008A67B1"/>
    <w:rsid w:val="008B0B53"/>
    <w:rsid w:val="008B1D8D"/>
    <w:rsid w:val="008B5249"/>
    <w:rsid w:val="008B7372"/>
    <w:rsid w:val="008B7FBB"/>
    <w:rsid w:val="008C1E09"/>
    <w:rsid w:val="008C29D7"/>
    <w:rsid w:val="008C559A"/>
    <w:rsid w:val="008C6F99"/>
    <w:rsid w:val="008D2B22"/>
    <w:rsid w:val="008D410A"/>
    <w:rsid w:val="008E0C81"/>
    <w:rsid w:val="008E489E"/>
    <w:rsid w:val="008E5092"/>
    <w:rsid w:val="008E51D5"/>
    <w:rsid w:val="008E5973"/>
    <w:rsid w:val="008E5D05"/>
    <w:rsid w:val="008E5D7F"/>
    <w:rsid w:val="008E6097"/>
    <w:rsid w:val="008E651E"/>
    <w:rsid w:val="008E7912"/>
    <w:rsid w:val="008F032E"/>
    <w:rsid w:val="008F1A4F"/>
    <w:rsid w:val="008F276A"/>
    <w:rsid w:val="008F286A"/>
    <w:rsid w:val="008F357F"/>
    <w:rsid w:val="008F4F65"/>
    <w:rsid w:val="008F6ED9"/>
    <w:rsid w:val="009019A9"/>
    <w:rsid w:val="00902210"/>
    <w:rsid w:val="00902A90"/>
    <w:rsid w:val="00902BA5"/>
    <w:rsid w:val="00905366"/>
    <w:rsid w:val="009055BE"/>
    <w:rsid w:val="00907287"/>
    <w:rsid w:val="00907342"/>
    <w:rsid w:val="00907F46"/>
    <w:rsid w:val="0091455B"/>
    <w:rsid w:val="00915B15"/>
    <w:rsid w:val="009173CA"/>
    <w:rsid w:val="00920F81"/>
    <w:rsid w:val="009265C4"/>
    <w:rsid w:val="00933AA7"/>
    <w:rsid w:val="009376A9"/>
    <w:rsid w:val="00940799"/>
    <w:rsid w:val="00940A5D"/>
    <w:rsid w:val="009438BE"/>
    <w:rsid w:val="0094705B"/>
    <w:rsid w:val="00950136"/>
    <w:rsid w:val="00950EC5"/>
    <w:rsid w:val="00951580"/>
    <w:rsid w:val="00953388"/>
    <w:rsid w:val="00954238"/>
    <w:rsid w:val="009603DF"/>
    <w:rsid w:val="00962213"/>
    <w:rsid w:val="009649E1"/>
    <w:rsid w:val="009656CF"/>
    <w:rsid w:val="0096770E"/>
    <w:rsid w:val="00970B00"/>
    <w:rsid w:val="00971957"/>
    <w:rsid w:val="009724D6"/>
    <w:rsid w:val="009734C1"/>
    <w:rsid w:val="00973534"/>
    <w:rsid w:val="009736B4"/>
    <w:rsid w:val="009742AF"/>
    <w:rsid w:val="009754AA"/>
    <w:rsid w:val="00976C8D"/>
    <w:rsid w:val="009774F0"/>
    <w:rsid w:val="00980559"/>
    <w:rsid w:val="00981CFA"/>
    <w:rsid w:val="009848DE"/>
    <w:rsid w:val="00986C86"/>
    <w:rsid w:val="0099067B"/>
    <w:rsid w:val="009910FF"/>
    <w:rsid w:val="00992076"/>
    <w:rsid w:val="00994BF8"/>
    <w:rsid w:val="00997489"/>
    <w:rsid w:val="009A07EE"/>
    <w:rsid w:val="009A0DF3"/>
    <w:rsid w:val="009A3523"/>
    <w:rsid w:val="009A6893"/>
    <w:rsid w:val="009A6B8B"/>
    <w:rsid w:val="009A6D16"/>
    <w:rsid w:val="009B04DC"/>
    <w:rsid w:val="009B05D0"/>
    <w:rsid w:val="009B250F"/>
    <w:rsid w:val="009B30B9"/>
    <w:rsid w:val="009B3CF6"/>
    <w:rsid w:val="009B4DE8"/>
    <w:rsid w:val="009C02B7"/>
    <w:rsid w:val="009C035D"/>
    <w:rsid w:val="009C09A6"/>
    <w:rsid w:val="009C1251"/>
    <w:rsid w:val="009C23A8"/>
    <w:rsid w:val="009C5224"/>
    <w:rsid w:val="009C5F2B"/>
    <w:rsid w:val="009C64C2"/>
    <w:rsid w:val="009C6CC3"/>
    <w:rsid w:val="009D0F3D"/>
    <w:rsid w:val="009D31DE"/>
    <w:rsid w:val="009D43CA"/>
    <w:rsid w:val="009D4420"/>
    <w:rsid w:val="009D5EB9"/>
    <w:rsid w:val="009D6D5D"/>
    <w:rsid w:val="009E0554"/>
    <w:rsid w:val="009E253B"/>
    <w:rsid w:val="009E3387"/>
    <w:rsid w:val="009F00EE"/>
    <w:rsid w:val="009F021F"/>
    <w:rsid w:val="009F0AF3"/>
    <w:rsid w:val="009F11D6"/>
    <w:rsid w:val="009F2182"/>
    <w:rsid w:val="009F23A9"/>
    <w:rsid w:val="009F244D"/>
    <w:rsid w:val="009F6C72"/>
    <w:rsid w:val="009F743C"/>
    <w:rsid w:val="009F7BA9"/>
    <w:rsid w:val="009F7D3D"/>
    <w:rsid w:val="00A055F2"/>
    <w:rsid w:val="00A073FA"/>
    <w:rsid w:val="00A109AD"/>
    <w:rsid w:val="00A159E7"/>
    <w:rsid w:val="00A15B82"/>
    <w:rsid w:val="00A175E3"/>
    <w:rsid w:val="00A20BDB"/>
    <w:rsid w:val="00A22121"/>
    <w:rsid w:val="00A23A6C"/>
    <w:rsid w:val="00A23B9E"/>
    <w:rsid w:val="00A26949"/>
    <w:rsid w:val="00A30351"/>
    <w:rsid w:val="00A317E2"/>
    <w:rsid w:val="00A322E5"/>
    <w:rsid w:val="00A343D2"/>
    <w:rsid w:val="00A348AE"/>
    <w:rsid w:val="00A34A49"/>
    <w:rsid w:val="00A377EE"/>
    <w:rsid w:val="00A37F60"/>
    <w:rsid w:val="00A42CD7"/>
    <w:rsid w:val="00A43AEB"/>
    <w:rsid w:val="00A520BD"/>
    <w:rsid w:val="00A52353"/>
    <w:rsid w:val="00A53245"/>
    <w:rsid w:val="00A547DC"/>
    <w:rsid w:val="00A54D0F"/>
    <w:rsid w:val="00A5627C"/>
    <w:rsid w:val="00A612C3"/>
    <w:rsid w:val="00A616E1"/>
    <w:rsid w:val="00A62343"/>
    <w:rsid w:val="00A62B8F"/>
    <w:rsid w:val="00A64842"/>
    <w:rsid w:val="00A6599C"/>
    <w:rsid w:val="00A66765"/>
    <w:rsid w:val="00A721AF"/>
    <w:rsid w:val="00A7271D"/>
    <w:rsid w:val="00A747B6"/>
    <w:rsid w:val="00A77613"/>
    <w:rsid w:val="00A77C0E"/>
    <w:rsid w:val="00A801D7"/>
    <w:rsid w:val="00A80762"/>
    <w:rsid w:val="00A82294"/>
    <w:rsid w:val="00A843FD"/>
    <w:rsid w:val="00A851CF"/>
    <w:rsid w:val="00A85665"/>
    <w:rsid w:val="00A858C4"/>
    <w:rsid w:val="00A86A46"/>
    <w:rsid w:val="00A87459"/>
    <w:rsid w:val="00A9200F"/>
    <w:rsid w:val="00A93036"/>
    <w:rsid w:val="00A93608"/>
    <w:rsid w:val="00A950F8"/>
    <w:rsid w:val="00A95408"/>
    <w:rsid w:val="00A966B8"/>
    <w:rsid w:val="00AA1A5F"/>
    <w:rsid w:val="00AA1D55"/>
    <w:rsid w:val="00AA6E30"/>
    <w:rsid w:val="00AA7C0C"/>
    <w:rsid w:val="00AB21E9"/>
    <w:rsid w:val="00AB2935"/>
    <w:rsid w:val="00AB3F6E"/>
    <w:rsid w:val="00AB460D"/>
    <w:rsid w:val="00AB49A6"/>
    <w:rsid w:val="00AC09E6"/>
    <w:rsid w:val="00AC10D1"/>
    <w:rsid w:val="00AC3B02"/>
    <w:rsid w:val="00AD0232"/>
    <w:rsid w:val="00AD1618"/>
    <w:rsid w:val="00AD2DBA"/>
    <w:rsid w:val="00AD41B6"/>
    <w:rsid w:val="00AD59AD"/>
    <w:rsid w:val="00AD61AF"/>
    <w:rsid w:val="00AD64EE"/>
    <w:rsid w:val="00AD7546"/>
    <w:rsid w:val="00AE1FC6"/>
    <w:rsid w:val="00AE26BD"/>
    <w:rsid w:val="00AE2972"/>
    <w:rsid w:val="00AE4642"/>
    <w:rsid w:val="00AE59B5"/>
    <w:rsid w:val="00AE784D"/>
    <w:rsid w:val="00AF1CFC"/>
    <w:rsid w:val="00AF344D"/>
    <w:rsid w:val="00AF7967"/>
    <w:rsid w:val="00B00210"/>
    <w:rsid w:val="00B006AE"/>
    <w:rsid w:val="00B013EE"/>
    <w:rsid w:val="00B01DFA"/>
    <w:rsid w:val="00B027EE"/>
    <w:rsid w:val="00B02A90"/>
    <w:rsid w:val="00B02CC2"/>
    <w:rsid w:val="00B04447"/>
    <w:rsid w:val="00B045B2"/>
    <w:rsid w:val="00B049A4"/>
    <w:rsid w:val="00B05D67"/>
    <w:rsid w:val="00B070DF"/>
    <w:rsid w:val="00B10DF3"/>
    <w:rsid w:val="00B11B48"/>
    <w:rsid w:val="00B12D64"/>
    <w:rsid w:val="00B14467"/>
    <w:rsid w:val="00B14DCA"/>
    <w:rsid w:val="00B15949"/>
    <w:rsid w:val="00B21052"/>
    <w:rsid w:val="00B2141F"/>
    <w:rsid w:val="00B21527"/>
    <w:rsid w:val="00B2341E"/>
    <w:rsid w:val="00B23D7C"/>
    <w:rsid w:val="00B2579E"/>
    <w:rsid w:val="00B270BA"/>
    <w:rsid w:val="00B310B3"/>
    <w:rsid w:val="00B329A2"/>
    <w:rsid w:val="00B33F8E"/>
    <w:rsid w:val="00B33FE8"/>
    <w:rsid w:val="00B34C6B"/>
    <w:rsid w:val="00B37D8E"/>
    <w:rsid w:val="00B37E6E"/>
    <w:rsid w:val="00B404F5"/>
    <w:rsid w:val="00B412FC"/>
    <w:rsid w:val="00B439D8"/>
    <w:rsid w:val="00B447EE"/>
    <w:rsid w:val="00B44F41"/>
    <w:rsid w:val="00B460DB"/>
    <w:rsid w:val="00B52A0F"/>
    <w:rsid w:val="00B5348A"/>
    <w:rsid w:val="00B6026C"/>
    <w:rsid w:val="00B654D9"/>
    <w:rsid w:val="00B655A3"/>
    <w:rsid w:val="00B655DF"/>
    <w:rsid w:val="00B705C8"/>
    <w:rsid w:val="00B71CDB"/>
    <w:rsid w:val="00B74C80"/>
    <w:rsid w:val="00B758E3"/>
    <w:rsid w:val="00B75CC2"/>
    <w:rsid w:val="00B7657F"/>
    <w:rsid w:val="00B87B42"/>
    <w:rsid w:val="00B9112A"/>
    <w:rsid w:val="00B93834"/>
    <w:rsid w:val="00B93975"/>
    <w:rsid w:val="00B955F1"/>
    <w:rsid w:val="00B969F4"/>
    <w:rsid w:val="00BA006D"/>
    <w:rsid w:val="00BA037A"/>
    <w:rsid w:val="00BA126C"/>
    <w:rsid w:val="00BA1EF9"/>
    <w:rsid w:val="00BA2F6E"/>
    <w:rsid w:val="00BA313E"/>
    <w:rsid w:val="00BA320D"/>
    <w:rsid w:val="00BA3320"/>
    <w:rsid w:val="00BA3A52"/>
    <w:rsid w:val="00BA5160"/>
    <w:rsid w:val="00BB0A0A"/>
    <w:rsid w:val="00BB0EDE"/>
    <w:rsid w:val="00BB1740"/>
    <w:rsid w:val="00BB1FE4"/>
    <w:rsid w:val="00BB202C"/>
    <w:rsid w:val="00BB3BD0"/>
    <w:rsid w:val="00BB43BC"/>
    <w:rsid w:val="00BB7AEA"/>
    <w:rsid w:val="00BC06DF"/>
    <w:rsid w:val="00BC4722"/>
    <w:rsid w:val="00BC6BF7"/>
    <w:rsid w:val="00BD4F8D"/>
    <w:rsid w:val="00BD52EE"/>
    <w:rsid w:val="00BD593B"/>
    <w:rsid w:val="00BD7455"/>
    <w:rsid w:val="00BE0076"/>
    <w:rsid w:val="00BE0515"/>
    <w:rsid w:val="00BE37CC"/>
    <w:rsid w:val="00BE641D"/>
    <w:rsid w:val="00BE6E07"/>
    <w:rsid w:val="00BF030B"/>
    <w:rsid w:val="00BF08A4"/>
    <w:rsid w:val="00BF08B5"/>
    <w:rsid w:val="00BF1A38"/>
    <w:rsid w:val="00BF1EAA"/>
    <w:rsid w:val="00BF24C9"/>
    <w:rsid w:val="00BF2693"/>
    <w:rsid w:val="00BF27AF"/>
    <w:rsid w:val="00BF3BFE"/>
    <w:rsid w:val="00BF5108"/>
    <w:rsid w:val="00C007CC"/>
    <w:rsid w:val="00C03089"/>
    <w:rsid w:val="00C03E27"/>
    <w:rsid w:val="00C0537C"/>
    <w:rsid w:val="00C05F5E"/>
    <w:rsid w:val="00C07C89"/>
    <w:rsid w:val="00C10617"/>
    <w:rsid w:val="00C12F46"/>
    <w:rsid w:val="00C133AB"/>
    <w:rsid w:val="00C1658E"/>
    <w:rsid w:val="00C17DEA"/>
    <w:rsid w:val="00C21CB2"/>
    <w:rsid w:val="00C220EB"/>
    <w:rsid w:val="00C22B62"/>
    <w:rsid w:val="00C22EB2"/>
    <w:rsid w:val="00C23CB8"/>
    <w:rsid w:val="00C26089"/>
    <w:rsid w:val="00C2751A"/>
    <w:rsid w:val="00C32005"/>
    <w:rsid w:val="00C327F2"/>
    <w:rsid w:val="00C34B04"/>
    <w:rsid w:val="00C351E9"/>
    <w:rsid w:val="00C35C60"/>
    <w:rsid w:val="00C373F6"/>
    <w:rsid w:val="00C411C1"/>
    <w:rsid w:val="00C41C91"/>
    <w:rsid w:val="00C4319E"/>
    <w:rsid w:val="00C465FE"/>
    <w:rsid w:val="00C47747"/>
    <w:rsid w:val="00C506D1"/>
    <w:rsid w:val="00C51502"/>
    <w:rsid w:val="00C544CA"/>
    <w:rsid w:val="00C62128"/>
    <w:rsid w:val="00C656E3"/>
    <w:rsid w:val="00C666A6"/>
    <w:rsid w:val="00C71578"/>
    <w:rsid w:val="00C722C5"/>
    <w:rsid w:val="00C736E9"/>
    <w:rsid w:val="00C74D81"/>
    <w:rsid w:val="00C7656B"/>
    <w:rsid w:val="00C81C26"/>
    <w:rsid w:val="00C834D0"/>
    <w:rsid w:val="00C83D0C"/>
    <w:rsid w:val="00C84178"/>
    <w:rsid w:val="00C854BE"/>
    <w:rsid w:val="00C86B5B"/>
    <w:rsid w:val="00C87F2D"/>
    <w:rsid w:val="00C91322"/>
    <w:rsid w:val="00C922CF"/>
    <w:rsid w:val="00C93BDC"/>
    <w:rsid w:val="00C96BE9"/>
    <w:rsid w:val="00C97E81"/>
    <w:rsid w:val="00CA1474"/>
    <w:rsid w:val="00CA18A2"/>
    <w:rsid w:val="00CA28A8"/>
    <w:rsid w:val="00CA2AE2"/>
    <w:rsid w:val="00CA5B85"/>
    <w:rsid w:val="00CA7580"/>
    <w:rsid w:val="00CB0DE3"/>
    <w:rsid w:val="00CB2491"/>
    <w:rsid w:val="00CB3354"/>
    <w:rsid w:val="00CB49D6"/>
    <w:rsid w:val="00CB5D78"/>
    <w:rsid w:val="00CB73A7"/>
    <w:rsid w:val="00CC1E5B"/>
    <w:rsid w:val="00CC2310"/>
    <w:rsid w:val="00CC28E0"/>
    <w:rsid w:val="00CD05B9"/>
    <w:rsid w:val="00CD4A73"/>
    <w:rsid w:val="00CD6AC1"/>
    <w:rsid w:val="00CD7BEF"/>
    <w:rsid w:val="00CE1C88"/>
    <w:rsid w:val="00CE4E00"/>
    <w:rsid w:val="00CF0EF9"/>
    <w:rsid w:val="00CF4B34"/>
    <w:rsid w:val="00CF6334"/>
    <w:rsid w:val="00CF75F3"/>
    <w:rsid w:val="00CF7DF3"/>
    <w:rsid w:val="00D00199"/>
    <w:rsid w:val="00D00AA2"/>
    <w:rsid w:val="00D01D1D"/>
    <w:rsid w:val="00D02AD9"/>
    <w:rsid w:val="00D03577"/>
    <w:rsid w:val="00D0482E"/>
    <w:rsid w:val="00D07D48"/>
    <w:rsid w:val="00D10006"/>
    <w:rsid w:val="00D10CCF"/>
    <w:rsid w:val="00D1198B"/>
    <w:rsid w:val="00D17187"/>
    <w:rsid w:val="00D17834"/>
    <w:rsid w:val="00D2060F"/>
    <w:rsid w:val="00D212A8"/>
    <w:rsid w:val="00D21B8E"/>
    <w:rsid w:val="00D21E32"/>
    <w:rsid w:val="00D23043"/>
    <w:rsid w:val="00D23626"/>
    <w:rsid w:val="00D23A5D"/>
    <w:rsid w:val="00D271BA"/>
    <w:rsid w:val="00D27626"/>
    <w:rsid w:val="00D30808"/>
    <w:rsid w:val="00D30A1A"/>
    <w:rsid w:val="00D31179"/>
    <w:rsid w:val="00D33208"/>
    <w:rsid w:val="00D345D9"/>
    <w:rsid w:val="00D346F0"/>
    <w:rsid w:val="00D42124"/>
    <w:rsid w:val="00D42428"/>
    <w:rsid w:val="00D424A7"/>
    <w:rsid w:val="00D42E92"/>
    <w:rsid w:val="00D45FBC"/>
    <w:rsid w:val="00D57BBD"/>
    <w:rsid w:val="00D60896"/>
    <w:rsid w:val="00D6358C"/>
    <w:rsid w:val="00D64194"/>
    <w:rsid w:val="00D64406"/>
    <w:rsid w:val="00D70A28"/>
    <w:rsid w:val="00D72989"/>
    <w:rsid w:val="00D73C82"/>
    <w:rsid w:val="00D762B7"/>
    <w:rsid w:val="00D76AC6"/>
    <w:rsid w:val="00D77F4F"/>
    <w:rsid w:val="00D802EF"/>
    <w:rsid w:val="00D8044C"/>
    <w:rsid w:val="00D9189E"/>
    <w:rsid w:val="00D92833"/>
    <w:rsid w:val="00D965AB"/>
    <w:rsid w:val="00D96E92"/>
    <w:rsid w:val="00D9707E"/>
    <w:rsid w:val="00D9740D"/>
    <w:rsid w:val="00D97588"/>
    <w:rsid w:val="00DA194F"/>
    <w:rsid w:val="00DA1ADC"/>
    <w:rsid w:val="00DA251F"/>
    <w:rsid w:val="00DA3787"/>
    <w:rsid w:val="00DA3AB2"/>
    <w:rsid w:val="00DA5D2B"/>
    <w:rsid w:val="00DA76E5"/>
    <w:rsid w:val="00DA7B74"/>
    <w:rsid w:val="00DB03F8"/>
    <w:rsid w:val="00DB0B4C"/>
    <w:rsid w:val="00DB0E70"/>
    <w:rsid w:val="00DB2256"/>
    <w:rsid w:val="00DB4E82"/>
    <w:rsid w:val="00DC0BCF"/>
    <w:rsid w:val="00DC2A75"/>
    <w:rsid w:val="00DC2BB3"/>
    <w:rsid w:val="00DC58D9"/>
    <w:rsid w:val="00DC60EC"/>
    <w:rsid w:val="00DC6663"/>
    <w:rsid w:val="00DC6CF8"/>
    <w:rsid w:val="00DC6FB8"/>
    <w:rsid w:val="00DD114D"/>
    <w:rsid w:val="00DD18FF"/>
    <w:rsid w:val="00DD5CB0"/>
    <w:rsid w:val="00DD5CC1"/>
    <w:rsid w:val="00DD629A"/>
    <w:rsid w:val="00DD63CC"/>
    <w:rsid w:val="00DD6BEE"/>
    <w:rsid w:val="00DD73D4"/>
    <w:rsid w:val="00DD74C5"/>
    <w:rsid w:val="00DE05BB"/>
    <w:rsid w:val="00DE0708"/>
    <w:rsid w:val="00DE7E10"/>
    <w:rsid w:val="00DE7EF8"/>
    <w:rsid w:val="00DF0167"/>
    <w:rsid w:val="00DF0755"/>
    <w:rsid w:val="00DF101C"/>
    <w:rsid w:val="00DF217D"/>
    <w:rsid w:val="00DF29D7"/>
    <w:rsid w:val="00DF7E22"/>
    <w:rsid w:val="00DF7FA9"/>
    <w:rsid w:val="00E00721"/>
    <w:rsid w:val="00E028B3"/>
    <w:rsid w:val="00E03B6F"/>
    <w:rsid w:val="00E076DA"/>
    <w:rsid w:val="00E07B28"/>
    <w:rsid w:val="00E11AFF"/>
    <w:rsid w:val="00E11F51"/>
    <w:rsid w:val="00E120CA"/>
    <w:rsid w:val="00E1280C"/>
    <w:rsid w:val="00E13633"/>
    <w:rsid w:val="00E14149"/>
    <w:rsid w:val="00E1491A"/>
    <w:rsid w:val="00E15219"/>
    <w:rsid w:val="00E170AD"/>
    <w:rsid w:val="00E17E11"/>
    <w:rsid w:val="00E22049"/>
    <w:rsid w:val="00E22433"/>
    <w:rsid w:val="00E24959"/>
    <w:rsid w:val="00E30C15"/>
    <w:rsid w:val="00E316D1"/>
    <w:rsid w:val="00E33599"/>
    <w:rsid w:val="00E3490E"/>
    <w:rsid w:val="00E34DF5"/>
    <w:rsid w:val="00E362DF"/>
    <w:rsid w:val="00E37D03"/>
    <w:rsid w:val="00E37DE9"/>
    <w:rsid w:val="00E37FA1"/>
    <w:rsid w:val="00E41203"/>
    <w:rsid w:val="00E41A42"/>
    <w:rsid w:val="00E41F4A"/>
    <w:rsid w:val="00E42B09"/>
    <w:rsid w:val="00E435A2"/>
    <w:rsid w:val="00E447B8"/>
    <w:rsid w:val="00E44D0E"/>
    <w:rsid w:val="00E50DAF"/>
    <w:rsid w:val="00E52C58"/>
    <w:rsid w:val="00E53A8F"/>
    <w:rsid w:val="00E56B9D"/>
    <w:rsid w:val="00E5763A"/>
    <w:rsid w:val="00E57A40"/>
    <w:rsid w:val="00E57C2F"/>
    <w:rsid w:val="00E60CD9"/>
    <w:rsid w:val="00E61D3E"/>
    <w:rsid w:val="00E62BA1"/>
    <w:rsid w:val="00E63845"/>
    <w:rsid w:val="00E66461"/>
    <w:rsid w:val="00E66A5D"/>
    <w:rsid w:val="00E703D5"/>
    <w:rsid w:val="00E722A3"/>
    <w:rsid w:val="00E72AEF"/>
    <w:rsid w:val="00E732FC"/>
    <w:rsid w:val="00E735F3"/>
    <w:rsid w:val="00E74FF8"/>
    <w:rsid w:val="00E755AD"/>
    <w:rsid w:val="00E756A5"/>
    <w:rsid w:val="00E76E4A"/>
    <w:rsid w:val="00E80119"/>
    <w:rsid w:val="00E818B8"/>
    <w:rsid w:val="00E81A07"/>
    <w:rsid w:val="00E874BE"/>
    <w:rsid w:val="00E90CAE"/>
    <w:rsid w:val="00E92789"/>
    <w:rsid w:val="00E9281D"/>
    <w:rsid w:val="00E94328"/>
    <w:rsid w:val="00E95941"/>
    <w:rsid w:val="00E95BE7"/>
    <w:rsid w:val="00E96AFA"/>
    <w:rsid w:val="00E972B3"/>
    <w:rsid w:val="00E97D9D"/>
    <w:rsid w:val="00EA0931"/>
    <w:rsid w:val="00EA09AE"/>
    <w:rsid w:val="00EA5344"/>
    <w:rsid w:val="00EA6D7C"/>
    <w:rsid w:val="00EB254C"/>
    <w:rsid w:val="00EB2655"/>
    <w:rsid w:val="00EB3489"/>
    <w:rsid w:val="00EB3BA4"/>
    <w:rsid w:val="00EB4542"/>
    <w:rsid w:val="00EB5423"/>
    <w:rsid w:val="00EB7896"/>
    <w:rsid w:val="00EC104B"/>
    <w:rsid w:val="00EC12F7"/>
    <w:rsid w:val="00EC24DD"/>
    <w:rsid w:val="00EC51E2"/>
    <w:rsid w:val="00EC5AB2"/>
    <w:rsid w:val="00EC6387"/>
    <w:rsid w:val="00EC6C18"/>
    <w:rsid w:val="00EC751F"/>
    <w:rsid w:val="00ED007C"/>
    <w:rsid w:val="00ED1566"/>
    <w:rsid w:val="00ED21F6"/>
    <w:rsid w:val="00ED44FF"/>
    <w:rsid w:val="00ED510F"/>
    <w:rsid w:val="00EE0E0E"/>
    <w:rsid w:val="00EE1F38"/>
    <w:rsid w:val="00EE548E"/>
    <w:rsid w:val="00EE6030"/>
    <w:rsid w:val="00EF0223"/>
    <w:rsid w:val="00EF0621"/>
    <w:rsid w:val="00EF0792"/>
    <w:rsid w:val="00EF08F7"/>
    <w:rsid w:val="00EF15EF"/>
    <w:rsid w:val="00EF42B3"/>
    <w:rsid w:val="00EF4674"/>
    <w:rsid w:val="00EF4C4C"/>
    <w:rsid w:val="00EF4D90"/>
    <w:rsid w:val="00EF7C3F"/>
    <w:rsid w:val="00F00E16"/>
    <w:rsid w:val="00F01F92"/>
    <w:rsid w:val="00F03DB3"/>
    <w:rsid w:val="00F056E0"/>
    <w:rsid w:val="00F1201D"/>
    <w:rsid w:val="00F134C7"/>
    <w:rsid w:val="00F14039"/>
    <w:rsid w:val="00F1438D"/>
    <w:rsid w:val="00F149B9"/>
    <w:rsid w:val="00F14CAD"/>
    <w:rsid w:val="00F209D3"/>
    <w:rsid w:val="00F21089"/>
    <w:rsid w:val="00F219F0"/>
    <w:rsid w:val="00F22A62"/>
    <w:rsid w:val="00F234D3"/>
    <w:rsid w:val="00F252E9"/>
    <w:rsid w:val="00F3070F"/>
    <w:rsid w:val="00F30907"/>
    <w:rsid w:val="00F32058"/>
    <w:rsid w:val="00F320F5"/>
    <w:rsid w:val="00F321F0"/>
    <w:rsid w:val="00F34EB5"/>
    <w:rsid w:val="00F3509E"/>
    <w:rsid w:val="00F367BE"/>
    <w:rsid w:val="00F42C42"/>
    <w:rsid w:val="00F430FF"/>
    <w:rsid w:val="00F43A26"/>
    <w:rsid w:val="00F43BE0"/>
    <w:rsid w:val="00F45943"/>
    <w:rsid w:val="00F46407"/>
    <w:rsid w:val="00F47B6B"/>
    <w:rsid w:val="00F47DB5"/>
    <w:rsid w:val="00F51E18"/>
    <w:rsid w:val="00F61434"/>
    <w:rsid w:val="00F61981"/>
    <w:rsid w:val="00F623C7"/>
    <w:rsid w:val="00F63521"/>
    <w:rsid w:val="00F6362B"/>
    <w:rsid w:val="00F65B86"/>
    <w:rsid w:val="00F675AA"/>
    <w:rsid w:val="00F67A47"/>
    <w:rsid w:val="00F67F65"/>
    <w:rsid w:val="00F77D96"/>
    <w:rsid w:val="00F77E52"/>
    <w:rsid w:val="00F8142D"/>
    <w:rsid w:val="00F81711"/>
    <w:rsid w:val="00F826D1"/>
    <w:rsid w:val="00F8405A"/>
    <w:rsid w:val="00F84C6D"/>
    <w:rsid w:val="00F867C0"/>
    <w:rsid w:val="00F86E61"/>
    <w:rsid w:val="00F91F0B"/>
    <w:rsid w:val="00F920B4"/>
    <w:rsid w:val="00F92A86"/>
    <w:rsid w:val="00F93782"/>
    <w:rsid w:val="00F93809"/>
    <w:rsid w:val="00F93939"/>
    <w:rsid w:val="00F94B9A"/>
    <w:rsid w:val="00F94E1E"/>
    <w:rsid w:val="00F9588C"/>
    <w:rsid w:val="00F95F35"/>
    <w:rsid w:val="00FA343B"/>
    <w:rsid w:val="00FA45A5"/>
    <w:rsid w:val="00FA4645"/>
    <w:rsid w:val="00FA5464"/>
    <w:rsid w:val="00FA6201"/>
    <w:rsid w:val="00FA7C0B"/>
    <w:rsid w:val="00FB2C87"/>
    <w:rsid w:val="00FB330E"/>
    <w:rsid w:val="00FB3A87"/>
    <w:rsid w:val="00FB6660"/>
    <w:rsid w:val="00FB74D8"/>
    <w:rsid w:val="00FC0F4D"/>
    <w:rsid w:val="00FC28A3"/>
    <w:rsid w:val="00FC34EA"/>
    <w:rsid w:val="00FC43B0"/>
    <w:rsid w:val="00FC5582"/>
    <w:rsid w:val="00FC63E4"/>
    <w:rsid w:val="00FC7E54"/>
    <w:rsid w:val="00FD048F"/>
    <w:rsid w:val="00FD4160"/>
    <w:rsid w:val="00FD4217"/>
    <w:rsid w:val="00FD4C86"/>
    <w:rsid w:val="00FD4CDE"/>
    <w:rsid w:val="00FD6CC0"/>
    <w:rsid w:val="00FE0B09"/>
    <w:rsid w:val="00FE10F5"/>
    <w:rsid w:val="00FE379A"/>
    <w:rsid w:val="00FE560A"/>
    <w:rsid w:val="00FE6A9F"/>
    <w:rsid w:val="00FF170E"/>
    <w:rsid w:val="00FF2073"/>
    <w:rsid w:val="00FF2171"/>
    <w:rsid w:val="00FF25DA"/>
    <w:rsid w:val="00FF2886"/>
    <w:rsid w:val="00FF2966"/>
    <w:rsid w:val="00FF34FA"/>
    <w:rsid w:val="00FF476C"/>
    <w:rsid w:val="00FF4BF1"/>
    <w:rsid w:val="00FF4C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14:docId w14:val="03B6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0" w:qFormat="1"/>
    <w:lsdException w:name="heading 7" w:semiHidden="1" w:uiPriority="0" w:qFormat="1"/>
    <w:lsdException w:name="heading 8" w:semiHidden="1" w:uiPriority="0" w:qFormat="1"/>
    <w:lsdException w:name="heading 9" w:semiHidden="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B7E"/>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uiPriority w:val="9"/>
    <w:qFormat/>
    <w:pPr>
      <w:keepNext/>
      <w:keepLines/>
      <w:numPr>
        <w:numId w:val="25"/>
      </w:numPr>
      <w:spacing w:before="480" w:after="120"/>
      <w:outlineLvl w:val="0"/>
    </w:pPr>
    <w:rPr>
      <w:rFonts w:ascii="Calibri" w:eastAsia="Times New Roman" w:hAnsi="Calibri"/>
      <w:b/>
      <w:bCs/>
      <w:color w:val="D52B1E"/>
      <w:sz w:val="34"/>
      <w:szCs w:val="28"/>
    </w:rPr>
  </w:style>
  <w:style w:type="paragraph" w:styleId="Heading2">
    <w:name w:val="heading 2"/>
    <w:basedOn w:val="Normal"/>
    <w:next w:val="Normal"/>
    <w:link w:val="Heading2Char"/>
    <w:uiPriority w:val="9"/>
    <w:unhideWhenUsed/>
    <w:qFormat/>
    <w:pPr>
      <w:keepNext/>
      <w:keepLines/>
      <w:numPr>
        <w:ilvl w:val="1"/>
        <w:numId w:val="25"/>
      </w:numPr>
      <w:spacing w:after="120"/>
      <w:outlineLvl w:val="1"/>
    </w:pPr>
    <w:rPr>
      <w:rFonts w:ascii="Calibri" w:eastAsia="Times New Roman" w:hAnsi="Calibri"/>
      <w:b/>
      <w:bCs/>
      <w:color w:val="773141"/>
      <w:sz w:val="28"/>
      <w:szCs w:val="26"/>
    </w:rPr>
  </w:style>
  <w:style w:type="paragraph" w:styleId="Heading3">
    <w:name w:val="heading 3"/>
    <w:basedOn w:val="Normal"/>
    <w:next w:val="Normal"/>
    <w:link w:val="Heading3Char"/>
    <w:uiPriority w:val="4"/>
    <w:qFormat/>
    <w:rsid w:val="00387BAE"/>
    <w:pPr>
      <w:keepNext/>
      <w:keepLines/>
      <w:numPr>
        <w:ilvl w:val="2"/>
        <w:numId w:val="25"/>
      </w:numPr>
      <w:spacing w:before="120" w:after="120" w:line="240" w:lineRule="auto"/>
      <w:outlineLvl w:val="2"/>
    </w:pPr>
    <w:rPr>
      <w:rFonts w:ascii="Calibri" w:hAnsi="Calibri"/>
      <w:b/>
      <w:bCs/>
      <w:sz w:val="24"/>
    </w:rPr>
  </w:style>
  <w:style w:type="paragraph" w:styleId="Heading4">
    <w:name w:val="heading 4"/>
    <w:basedOn w:val="Normal"/>
    <w:next w:val="Normal"/>
    <w:link w:val="Heading4Char"/>
    <w:uiPriority w:val="5"/>
    <w:qFormat/>
    <w:rsid w:val="00B14467"/>
    <w:pPr>
      <w:keepNext/>
      <w:keepLines/>
      <w:spacing w:before="200" w:after="120" w:line="240" w:lineRule="auto"/>
      <w:outlineLvl w:val="3"/>
    </w:pPr>
    <w:rPr>
      <w:rFonts w:ascii="Calibri" w:hAnsi="Calibri"/>
      <w:b/>
      <w:bCs/>
      <w:iCs/>
    </w:rPr>
  </w:style>
  <w:style w:type="paragraph" w:styleId="Heading5">
    <w:name w:val="heading 5"/>
    <w:basedOn w:val="Normal"/>
    <w:next w:val="Normal"/>
    <w:link w:val="Heading5Char"/>
    <w:uiPriority w:val="6"/>
    <w:qFormat/>
    <w:rsid w:val="00387BAE"/>
    <w:pPr>
      <w:keepNext/>
      <w:keepLines/>
      <w:spacing w:before="200" w:after="120" w:line="240" w:lineRule="auto"/>
      <w:outlineLvl w:val="4"/>
    </w:pPr>
    <w:rPr>
      <w:rFonts w:ascii="Calibri" w:hAnsi="Calibri"/>
      <w:b/>
    </w:rPr>
  </w:style>
  <w:style w:type="paragraph" w:styleId="Heading6">
    <w:name w:val="heading 6"/>
    <w:basedOn w:val="Normal"/>
    <w:next w:val="Normal"/>
    <w:link w:val="Heading6Char"/>
    <w:unhideWhenUsed/>
    <w:qFormat/>
    <w:rsid w:val="00825228"/>
    <w:pPr>
      <w:keepNext/>
      <w:keepLines/>
      <w:tabs>
        <w:tab w:val="num" w:pos="1152"/>
      </w:tabs>
      <w:spacing w:after="0" w:line="259" w:lineRule="auto"/>
      <w:ind w:left="1152" w:hanging="1152"/>
      <w:outlineLvl w:val="5"/>
    </w:pPr>
    <w:rPr>
      <w:rFonts w:ascii="Arial" w:eastAsia="Times New Roman" w:hAnsi="Arial"/>
      <w:i/>
      <w:iCs/>
      <w:color w:val="243F60"/>
      <w:szCs w:val="24"/>
      <w:lang w:eastAsia="en-AU"/>
    </w:rPr>
  </w:style>
  <w:style w:type="paragraph" w:styleId="Heading7">
    <w:name w:val="heading 7"/>
    <w:basedOn w:val="Normal"/>
    <w:next w:val="Normal"/>
    <w:link w:val="Heading7Char"/>
    <w:unhideWhenUsed/>
    <w:qFormat/>
    <w:rsid w:val="00825228"/>
    <w:pPr>
      <w:keepNext/>
      <w:keepLines/>
      <w:tabs>
        <w:tab w:val="num" w:pos="1296"/>
      </w:tabs>
      <w:spacing w:after="0" w:line="259" w:lineRule="auto"/>
      <w:ind w:left="1296" w:hanging="1296"/>
      <w:outlineLvl w:val="6"/>
    </w:pPr>
    <w:rPr>
      <w:rFonts w:ascii="Arial" w:eastAsia="Times New Roman" w:hAnsi="Arial"/>
      <w:i/>
      <w:iCs/>
      <w:color w:val="404040"/>
      <w:szCs w:val="24"/>
      <w:lang w:eastAsia="en-AU"/>
    </w:rPr>
  </w:style>
  <w:style w:type="paragraph" w:styleId="Heading8">
    <w:name w:val="heading 8"/>
    <w:basedOn w:val="Normal"/>
    <w:next w:val="Normal"/>
    <w:link w:val="Heading8Char"/>
    <w:unhideWhenUsed/>
    <w:qFormat/>
    <w:rsid w:val="00825228"/>
    <w:pPr>
      <w:keepNext/>
      <w:keepLines/>
      <w:tabs>
        <w:tab w:val="num" w:pos="1440"/>
      </w:tabs>
      <w:spacing w:after="0" w:line="259" w:lineRule="auto"/>
      <w:ind w:left="1440" w:hanging="1440"/>
      <w:outlineLvl w:val="7"/>
    </w:pPr>
    <w:rPr>
      <w:rFonts w:ascii="Arial" w:eastAsia="Times New Roman" w:hAnsi="Arial"/>
      <w:color w:val="404040"/>
      <w:sz w:val="20"/>
      <w:szCs w:val="20"/>
      <w:lang w:eastAsia="en-AU"/>
    </w:rPr>
  </w:style>
  <w:style w:type="paragraph" w:styleId="Heading9">
    <w:name w:val="heading 9"/>
    <w:basedOn w:val="Normal"/>
    <w:next w:val="Normal"/>
    <w:link w:val="Heading9Char"/>
    <w:unhideWhenUsed/>
    <w:rsid w:val="00825228"/>
    <w:pPr>
      <w:keepNext/>
      <w:keepLines/>
      <w:tabs>
        <w:tab w:val="num" w:pos="1584"/>
      </w:tabs>
      <w:spacing w:after="0" w:line="259" w:lineRule="auto"/>
      <w:ind w:left="1584" w:hanging="1584"/>
      <w:outlineLvl w:val="8"/>
    </w:pPr>
    <w:rPr>
      <w:rFonts w:ascii="Arial" w:eastAsia="Times New Roman" w:hAnsi="Arial"/>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link w:val="Footer"/>
    <w:uiPriority w:val="99"/>
    <w:rPr>
      <w:rFonts w:ascii="Calibri" w:eastAsia="Times New Roman" w:hAnsi="Calibri"/>
      <w:sz w:val="20"/>
      <w:szCs w:val="24"/>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12"/>
      </w:numPr>
    </w:pPr>
  </w:style>
  <w:style w:type="character" w:customStyle="1" w:styleId="Heading1Char">
    <w:name w:val="Heading 1 Char"/>
    <w:link w:val="Heading1"/>
    <w:uiPriority w:val="9"/>
    <w:rPr>
      <w:rFonts w:ascii="Calibri" w:eastAsia="Times New Roman" w:hAnsi="Calibri" w:cs="Times New Roman"/>
      <w:b/>
      <w:bCs/>
      <w:color w:val="D52B1E"/>
      <w:sz w:val="34"/>
      <w:szCs w:val="28"/>
      <w:lang w:eastAsia="en-US"/>
    </w:rPr>
  </w:style>
  <w:style w:type="character" w:customStyle="1" w:styleId="Heading2Char">
    <w:name w:val="Heading 2 Char"/>
    <w:link w:val="Heading2"/>
    <w:uiPriority w:val="9"/>
    <w:rPr>
      <w:rFonts w:ascii="Calibri" w:eastAsia="Times New Roman" w:hAnsi="Calibri" w:cs="Times New Roman"/>
      <w:b/>
      <w:bCs/>
      <w:color w:val="773141"/>
      <w:sz w:val="28"/>
      <w:szCs w:val="26"/>
      <w:lang w:eastAsia="en-US"/>
    </w:rPr>
  </w:style>
  <w:style w:type="character" w:customStyle="1" w:styleId="Heading3Char">
    <w:name w:val="Heading 3 Char"/>
    <w:link w:val="Heading3"/>
    <w:uiPriority w:val="4"/>
    <w:rsid w:val="00387BAE"/>
    <w:rPr>
      <w:rFonts w:ascii="Calibri" w:eastAsiaTheme="minorHAnsi" w:hAnsi="Calibri" w:cstheme="minorBidi"/>
      <w:b/>
      <w:bCs/>
      <w:sz w:val="24"/>
      <w:szCs w:val="22"/>
      <w:lang w:eastAsia="en-US"/>
    </w:rPr>
  </w:style>
  <w:style w:type="character" w:customStyle="1" w:styleId="Heading4Char">
    <w:name w:val="Heading 4 Char"/>
    <w:link w:val="Heading4"/>
    <w:uiPriority w:val="5"/>
    <w:rsid w:val="00B14467"/>
    <w:rPr>
      <w:rFonts w:ascii="Calibri" w:eastAsiaTheme="minorHAnsi" w:hAnsi="Calibri" w:cstheme="minorBidi"/>
      <w:b/>
      <w:bCs/>
      <w:iCs/>
      <w:sz w:val="22"/>
      <w:szCs w:val="22"/>
      <w:lang w:eastAsia="en-US"/>
    </w:rPr>
  </w:style>
  <w:style w:type="character" w:customStyle="1" w:styleId="Heading5Char">
    <w:name w:val="Heading 5 Char"/>
    <w:link w:val="Heading5"/>
    <w:uiPriority w:val="6"/>
    <w:rsid w:val="00387BAE"/>
    <w:rPr>
      <w:rFonts w:ascii="Calibri" w:eastAsiaTheme="minorHAnsi" w:hAnsi="Calibri" w:cstheme="minorBidi"/>
      <w:b/>
      <w:sz w:val="22"/>
      <w:szCs w:val="22"/>
      <w:lang w:eastAsia="en-US"/>
    </w:rPr>
  </w:style>
  <w:style w:type="paragraph" w:styleId="Caption">
    <w:name w:val="caption"/>
    <w:next w:val="Normal"/>
    <w:link w:val="CaptionChar"/>
    <w:uiPriority w:val="12"/>
    <w:qFormat/>
    <w:rsid w:val="00BB0A0A"/>
    <w:pPr>
      <w:spacing w:after="120"/>
    </w:pPr>
    <w:rPr>
      <w:rFonts w:eastAsia="Times New Roman"/>
      <w:b/>
      <w:bCs/>
      <w:color w:val="595959"/>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itle">
    <w:name w:val="Title"/>
    <w:basedOn w:val="Normal"/>
    <w:next w:val="Normal"/>
    <w:link w:val="TitleChar"/>
    <w:uiPriority w:val="22"/>
    <w:qFormat/>
    <w:rsid w:val="005835E9"/>
    <w:pPr>
      <w:spacing w:before="240" w:after="120" w:line="240" w:lineRule="auto"/>
    </w:pPr>
    <w:rPr>
      <w:rFonts w:ascii="Calibri" w:hAnsi="Calibri"/>
      <w:b/>
      <w:sz w:val="56"/>
      <w:szCs w:val="72"/>
    </w:rPr>
  </w:style>
  <w:style w:type="character" w:customStyle="1" w:styleId="TitleChar">
    <w:name w:val="Title Char"/>
    <w:link w:val="Title"/>
    <w:uiPriority w:val="22"/>
    <w:rsid w:val="005835E9"/>
    <w:rPr>
      <w:rFonts w:ascii="Calibri" w:eastAsia="Calibri" w:hAnsi="Calibri"/>
      <w:b/>
      <w:sz w:val="56"/>
      <w:szCs w:val="72"/>
      <w:lang w:eastAsia="en-US"/>
    </w:rPr>
  </w:style>
  <w:style w:type="paragraph" w:styleId="TOCHeading">
    <w:name w:val="TOC Heading"/>
    <w:basedOn w:val="Heading1"/>
    <w:next w:val="Normal"/>
    <w:uiPriority w:val="39"/>
    <w:qFormat/>
    <w:pPr>
      <w:numPr>
        <w:numId w:val="0"/>
      </w:numPr>
      <w:outlineLvl w:val="9"/>
    </w:pPr>
    <w:rPr>
      <w:lang w:val="en-US"/>
    </w:rPr>
  </w:style>
  <w:style w:type="paragraph" w:styleId="TOC1">
    <w:name w:val="toc 1"/>
    <w:basedOn w:val="Normal"/>
    <w:next w:val="Normal"/>
    <w:uiPriority w:val="39"/>
    <w:unhideWhenUse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uiPriority w:val="99"/>
    <w:qFormat/>
    <w:rPr>
      <w:color w:val="165788"/>
      <w:u w:val="single"/>
    </w:rPr>
  </w:style>
  <w:style w:type="paragraph" w:styleId="ListBullet">
    <w:name w:val="List Bullet"/>
    <w:basedOn w:val="Normal"/>
    <w:uiPriority w:val="7"/>
    <w:qFormat/>
    <w:rsid w:val="00DC6663"/>
    <w:pPr>
      <w:numPr>
        <w:numId w:val="26"/>
      </w:numPr>
      <w:spacing w:before="120" w:after="120"/>
      <w:ind w:left="357" w:hanging="357"/>
    </w:pPr>
  </w:style>
  <w:style w:type="paragraph" w:styleId="TableofFigures">
    <w:name w:val="table of figures"/>
    <w:basedOn w:val="Normal"/>
    <w:next w:val="Normal"/>
    <w:uiPriority w:val="99"/>
    <w:pPr>
      <w:spacing w:before="120" w:after="120" w:line="240" w:lineRule="auto"/>
    </w:p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pPr>
      <w:spacing w:before="60" w:after="60" w:line="240" w:lineRule="auto"/>
    </w:pPr>
    <w:rPr>
      <w:sz w:val="18"/>
    </w:rPr>
  </w:style>
  <w:style w:type="table" w:styleId="TableGrid1">
    <w:name w:val="Table Grid 1"/>
    <w:basedOn w:val="TableNormal"/>
    <w:uiPriority w:val="99"/>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uiPriority w:val="99"/>
    <w:semiHidden/>
    <w:rPr>
      <w:color w:val="808080"/>
    </w:rPr>
  </w:style>
  <w:style w:type="paragraph" w:customStyle="1" w:styleId="Glossary">
    <w:name w:val="Glossary"/>
    <w:basedOn w:val="Normal"/>
    <w:link w:val="GlossaryChar"/>
    <w:uiPriority w:val="28"/>
    <w:qFormat/>
    <w:pPr>
      <w:spacing w:before="120" w:after="120"/>
      <w:ind w:left="2126" w:hanging="2126"/>
    </w:pPr>
    <w:rPr>
      <w:color w:val="000000"/>
    </w:rPr>
  </w:style>
  <w:style w:type="character" w:customStyle="1" w:styleId="GlossaryChar">
    <w:name w:val="Glossary Char"/>
    <w:link w:val="Glossary"/>
    <w:uiPriority w:val="28"/>
    <w:rPr>
      <w:rFonts w:eastAsia="Calibri" w:cs="Times New Roman"/>
      <w:color w:val="000000"/>
      <w:sz w:val="22"/>
      <w:szCs w:val="22"/>
      <w:lang w:eastAsia="en-US"/>
    </w:rPr>
  </w:style>
  <w:style w:type="paragraph" w:customStyle="1" w:styleId="Picture">
    <w:name w:val="Picture"/>
    <w:basedOn w:val="Normal"/>
    <w:uiPriority w:val="17"/>
    <w:qFormat/>
    <w:pPr>
      <w:spacing w:before="120" w:after="120" w:line="240" w:lineRule="auto"/>
    </w:pPr>
    <w:rPr>
      <w:noProof/>
      <w:lang w:eastAsia="en-AU"/>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link w:val="FootnoteText"/>
    <w:uiPriority w:val="99"/>
    <w:rPr>
      <w:rFonts w:eastAsia="Times New Roman"/>
      <w:sz w:val="20"/>
      <w:szCs w:val="20"/>
    </w:rPr>
  </w:style>
  <w:style w:type="paragraph" w:styleId="EndnoteText">
    <w:name w:val="endnote text"/>
    <w:basedOn w:val="Normal"/>
    <w:link w:val="EndnoteTextChar"/>
    <w:uiPriority w:val="99"/>
    <w:unhideWhenUsed/>
    <w:rsid w:val="004105EC"/>
    <w:rPr>
      <w:szCs w:val="20"/>
    </w:rPr>
  </w:style>
  <w:style w:type="character" w:customStyle="1" w:styleId="EndnoteTextChar">
    <w:name w:val="Endnote Text Char"/>
    <w:link w:val="EndnoteText"/>
    <w:uiPriority w:val="99"/>
    <w:rsid w:val="004105EC"/>
    <w:rPr>
      <w:rFonts w:eastAsiaTheme="minorHAnsi" w:cstheme="minorBidi"/>
      <w:sz w:val="22"/>
      <w:lang w:eastAsia="en-US"/>
    </w:rPr>
  </w:style>
  <w:style w:type="character" w:styleId="EndnoteReference">
    <w:name w:val="endnote reference"/>
    <w:uiPriority w:val="99"/>
    <w:unhideWhenUsed/>
    <w:rPr>
      <w:vertAlign w:val="superscript"/>
    </w:rPr>
  </w:style>
  <w:style w:type="paragraph" w:customStyle="1" w:styleId="Heading1nonumbers">
    <w:name w:val="Heading 1 (no numbers)"/>
    <w:basedOn w:val="Heading1"/>
    <w:qFormat/>
    <w:pPr>
      <w:numPr>
        <w:numId w:val="0"/>
      </w:numPr>
    </w:pPr>
    <w:rPr>
      <w:lang w:val="en-US"/>
    </w:rPr>
  </w:style>
  <w:style w:type="numbering" w:customStyle="1" w:styleId="captions">
    <w:name w:val="captions"/>
    <w:uiPriority w:val="99"/>
    <w:pPr>
      <w:numPr>
        <w:numId w:val="15"/>
      </w:numPr>
    </w:pPr>
  </w:style>
  <w:style w:type="character" w:customStyle="1" w:styleId="Heading6Char">
    <w:name w:val="Heading 6 Char"/>
    <w:link w:val="Heading6"/>
    <w:rsid w:val="00825228"/>
    <w:rPr>
      <w:rFonts w:ascii="Arial" w:eastAsia="Times New Roman" w:hAnsi="Arial"/>
      <w:i/>
      <w:iCs/>
      <w:color w:val="243F60"/>
      <w:sz w:val="22"/>
      <w:szCs w:val="24"/>
    </w:rPr>
  </w:style>
  <w:style w:type="character" w:customStyle="1" w:styleId="Heading7Char">
    <w:name w:val="Heading 7 Char"/>
    <w:link w:val="Heading7"/>
    <w:rsid w:val="00825228"/>
    <w:rPr>
      <w:rFonts w:ascii="Arial" w:eastAsia="Times New Roman" w:hAnsi="Arial"/>
      <w:i/>
      <w:iCs/>
      <w:color w:val="404040"/>
      <w:sz w:val="22"/>
      <w:szCs w:val="24"/>
    </w:rPr>
  </w:style>
  <w:style w:type="character" w:customStyle="1" w:styleId="Heading8Char">
    <w:name w:val="Heading 8 Char"/>
    <w:link w:val="Heading8"/>
    <w:rsid w:val="00825228"/>
    <w:rPr>
      <w:rFonts w:ascii="Arial" w:eastAsia="Times New Roman" w:hAnsi="Arial"/>
      <w:color w:val="404040"/>
    </w:rPr>
  </w:style>
  <w:style w:type="character" w:customStyle="1" w:styleId="TableTextChar">
    <w:name w:val="Table Text Char"/>
    <w:link w:val="TableText"/>
    <w:rPr>
      <w:rFonts w:eastAsia="Calibri" w:cs="Times New Roman"/>
      <w:sz w:val="18"/>
      <w:szCs w:val="22"/>
      <w:lang w:eastAsia="en-US"/>
    </w:rPr>
  </w:style>
  <w:style w:type="character" w:customStyle="1" w:styleId="Heading9Char">
    <w:name w:val="Heading 9 Char"/>
    <w:link w:val="Heading9"/>
    <w:rsid w:val="00825228"/>
    <w:rPr>
      <w:rFonts w:ascii="Arial" w:eastAsia="Times New Roman" w:hAnsi="Arial"/>
      <w:i/>
      <w:iCs/>
      <w:color w:val="404040"/>
    </w:rPr>
  </w:style>
  <w:style w:type="numbering" w:customStyle="1" w:styleId="List1">
    <w:name w:val="List1"/>
    <w:basedOn w:val="NoList"/>
    <w:uiPriority w:val="99"/>
    <w:pPr>
      <w:numPr>
        <w:numId w:val="10"/>
      </w:numPr>
    </w:pPr>
  </w:style>
  <w:style w:type="character" w:customStyle="1" w:styleId="CaptionChar">
    <w:name w:val="Caption Char"/>
    <w:link w:val="Caption"/>
    <w:uiPriority w:val="12"/>
    <w:rsid w:val="00BB0A0A"/>
    <w:rPr>
      <w:rFonts w:eastAsia="Times New Roman"/>
      <w:b/>
      <w:bCs/>
      <w:color w:val="595959"/>
      <w:szCs w:val="18"/>
      <w:lang w:eastAsia="en-US"/>
    </w:rPr>
  </w:style>
  <w:style w:type="paragraph" w:customStyle="1" w:styleId="Titlenobold">
    <w:name w:val="Title (no bold)"/>
    <w:basedOn w:val="Title"/>
    <w:qFormat/>
    <w:rsid w:val="005835E9"/>
    <w:pPr>
      <w:pBdr>
        <w:bottom w:val="single" w:sz="4" w:space="1" w:color="auto"/>
      </w:pBdr>
    </w:pPr>
    <w:rPr>
      <w:b w:val="0"/>
      <w:sz w:val="46"/>
    </w:rPr>
  </w:style>
  <w:style w:type="numbering" w:styleId="111111">
    <w:name w:val="Outline List 2"/>
    <w:aliases w:val="1 / 1.7 / 1.7.1"/>
    <w:basedOn w:val="NoList"/>
    <w:rsid w:val="00825228"/>
    <w:pPr>
      <w:numPr>
        <w:numId w:val="34"/>
      </w:numPr>
    </w:pPr>
  </w:style>
  <w:style w:type="paragraph" w:styleId="Revision">
    <w:name w:val="Revision"/>
    <w:hidden/>
    <w:uiPriority w:val="99"/>
    <w:semiHidden/>
    <w:rsid w:val="00907F46"/>
    <w:rPr>
      <w:rFonts w:eastAsia="Calibri"/>
      <w:sz w:val="22"/>
      <w:szCs w:val="22"/>
      <w:lang w:eastAsia="en-US"/>
    </w:rPr>
  </w:style>
  <w:style w:type="numbering" w:customStyle="1" w:styleId="NoList1">
    <w:name w:val="No List1"/>
    <w:next w:val="NoList"/>
    <w:uiPriority w:val="99"/>
    <w:semiHidden/>
    <w:unhideWhenUsed/>
    <w:rsid w:val="00CA28A8"/>
  </w:style>
  <w:style w:type="numbering" w:customStyle="1" w:styleId="Headings1">
    <w:name w:val="Headings1"/>
    <w:uiPriority w:val="99"/>
    <w:rsid w:val="00CA28A8"/>
  </w:style>
  <w:style w:type="numbering" w:customStyle="1" w:styleId="captions1">
    <w:name w:val="captions1"/>
    <w:uiPriority w:val="99"/>
    <w:rsid w:val="00CA28A8"/>
  </w:style>
  <w:style w:type="numbering" w:customStyle="1" w:styleId="List11">
    <w:name w:val="List11"/>
    <w:basedOn w:val="NoList"/>
    <w:uiPriority w:val="99"/>
    <w:rsid w:val="00CA28A8"/>
  </w:style>
  <w:style w:type="numbering" w:customStyle="1" w:styleId="1171711">
    <w:name w:val="1 / 1.7 / 1.7.11"/>
    <w:basedOn w:val="NoList"/>
    <w:next w:val="111111"/>
    <w:rsid w:val="00CA28A8"/>
  </w:style>
  <w:style w:type="numbering" w:customStyle="1" w:styleId="NoList11">
    <w:name w:val="No List11"/>
    <w:next w:val="NoList"/>
    <w:uiPriority w:val="99"/>
    <w:semiHidden/>
    <w:unhideWhenUsed/>
    <w:rsid w:val="00CA28A8"/>
  </w:style>
  <w:style w:type="table" w:customStyle="1" w:styleId="TableGrid10">
    <w:name w:val="Table Grid1"/>
    <w:basedOn w:val="TableNormal"/>
    <w:next w:val="TableGrid"/>
    <w:uiPriority w:val="59"/>
    <w:rsid w:val="00CA28A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11"/>
    <w:uiPriority w:val="99"/>
    <w:rsid w:val="00CA28A8"/>
  </w:style>
  <w:style w:type="table" w:customStyle="1" w:styleId="LightShading11">
    <w:name w:val="Light Shading11"/>
    <w:basedOn w:val="TableNormal"/>
    <w:uiPriority w:val="60"/>
    <w:rsid w:val="00CA28A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CA28A8"/>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CA28A8"/>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11">
    <w:name w:val="captions11"/>
    <w:uiPriority w:val="99"/>
    <w:rsid w:val="00CA28A8"/>
  </w:style>
  <w:style w:type="numbering" w:customStyle="1" w:styleId="List111">
    <w:name w:val="List111"/>
    <w:basedOn w:val="NoList"/>
    <w:uiPriority w:val="99"/>
    <w:rsid w:val="00CA28A8"/>
  </w:style>
  <w:style w:type="numbering" w:customStyle="1" w:styleId="11717111">
    <w:name w:val="1 / 1.7 / 1.7.111"/>
    <w:basedOn w:val="NoList"/>
    <w:next w:val="111111"/>
    <w:rsid w:val="00CA28A8"/>
  </w:style>
  <w:style w:type="numbering" w:customStyle="1" w:styleId="NoList2">
    <w:name w:val="No List2"/>
    <w:next w:val="NoList"/>
    <w:uiPriority w:val="99"/>
    <w:semiHidden/>
    <w:unhideWhenUsed/>
    <w:rsid w:val="00E735F3"/>
  </w:style>
  <w:style w:type="table" w:customStyle="1" w:styleId="TableGrid2">
    <w:name w:val="Table Grid2"/>
    <w:basedOn w:val="TableNormal"/>
    <w:next w:val="TableGrid"/>
    <w:uiPriority w:val="59"/>
    <w:rsid w:val="00E735F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uiPriority w:val="99"/>
    <w:rsid w:val="00E735F3"/>
  </w:style>
  <w:style w:type="table" w:customStyle="1" w:styleId="LightShading12">
    <w:name w:val="Light Shading12"/>
    <w:basedOn w:val="TableNormal"/>
    <w:uiPriority w:val="60"/>
    <w:rsid w:val="00E735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Grid1"/>
    <w:next w:val="LightShading-Accent6"/>
    <w:uiPriority w:val="60"/>
    <w:rsid w:val="00E735F3"/>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2">
    <w:name w:val="Table Grid 12"/>
    <w:basedOn w:val="TableNormal"/>
    <w:next w:val="TableGrid1"/>
    <w:uiPriority w:val="99"/>
    <w:unhideWhenUsed/>
    <w:rsid w:val="00E735F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2">
    <w:name w:val="captions2"/>
    <w:uiPriority w:val="99"/>
    <w:rsid w:val="00E735F3"/>
  </w:style>
  <w:style w:type="numbering" w:customStyle="1" w:styleId="List12">
    <w:name w:val="List12"/>
    <w:basedOn w:val="NoList"/>
    <w:uiPriority w:val="99"/>
    <w:rsid w:val="00E735F3"/>
  </w:style>
  <w:style w:type="numbering" w:customStyle="1" w:styleId="1171712">
    <w:name w:val="1 / 1.7 / 1.7.12"/>
    <w:basedOn w:val="NoList"/>
    <w:next w:val="111111"/>
    <w:rsid w:val="00E735F3"/>
  </w:style>
  <w:style w:type="numbering" w:customStyle="1" w:styleId="NoList12">
    <w:name w:val="No List12"/>
    <w:next w:val="NoList"/>
    <w:uiPriority w:val="99"/>
    <w:semiHidden/>
    <w:unhideWhenUsed/>
    <w:rsid w:val="00E735F3"/>
  </w:style>
  <w:style w:type="table" w:customStyle="1" w:styleId="TableGrid110">
    <w:name w:val="Table Grid11"/>
    <w:basedOn w:val="TableNormal"/>
    <w:next w:val="TableGrid"/>
    <w:uiPriority w:val="59"/>
    <w:rsid w:val="00E735F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2">
    <w:name w:val="Headings12"/>
    <w:uiPriority w:val="99"/>
    <w:rsid w:val="00E735F3"/>
  </w:style>
  <w:style w:type="table" w:customStyle="1" w:styleId="LightShading111">
    <w:name w:val="Light Shading111"/>
    <w:basedOn w:val="TableNormal"/>
    <w:uiPriority w:val="60"/>
    <w:rsid w:val="00E735F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1">
    <w:name w:val="Light Shading - Accent 611"/>
    <w:basedOn w:val="TableGrid1"/>
    <w:next w:val="LightShading-Accent6"/>
    <w:uiPriority w:val="60"/>
    <w:rsid w:val="00E735F3"/>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1">
    <w:name w:val="Table Grid 111"/>
    <w:basedOn w:val="TableNormal"/>
    <w:next w:val="TableGrid1"/>
    <w:uiPriority w:val="99"/>
    <w:semiHidden/>
    <w:unhideWhenUsed/>
    <w:rsid w:val="00E735F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12">
    <w:name w:val="captions12"/>
    <w:uiPriority w:val="99"/>
    <w:rsid w:val="00E735F3"/>
  </w:style>
  <w:style w:type="numbering" w:customStyle="1" w:styleId="List112">
    <w:name w:val="List112"/>
    <w:basedOn w:val="NoList"/>
    <w:uiPriority w:val="99"/>
    <w:rsid w:val="00E735F3"/>
  </w:style>
  <w:style w:type="numbering" w:customStyle="1" w:styleId="11717112">
    <w:name w:val="1 / 1.7 / 1.7.112"/>
    <w:basedOn w:val="NoList"/>
    <w:next w:val="111111"/>
    <w:rsid w:val="00E735F3"/>
  </w:style>
  <w:style w:type="character" w:styleId="FollowedHyperlink">
    <w:name w:val="FollowedHyperlink"/>
    <w:basedOn w:val="DefaultParagraphFont"/>
    <w:uiPriority w:val="99"/>
    <w:semiHidden/>
    <w:unhideWhenUsed/>
    <w:rsid w:val="007C1EAA"/>
    <w:rPr>
      <w:color w:val="954F72" w:themeColor="followedHyperlink"/>
      <w:u w:val="single"/>
    </w:rPr>
  </w:style>
  <w:style w:type="paragraph" w:styleId="BalloonText">
    <w:name w:val="Balloon Text"/>
    <w:basedOn w:val="Normal"/>
    <w:link w:val="BalloonTextChar"/>
    <w:uiPriority w:val="99"/>
    <w:semiHidden/>
    <w:unhideWhenUsed/>
    <w:rsid w:val="00303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4E"/>
    <w:rPr>
      <w:rFonts w:ascii="Segoe UI" w:eastAsiaTheme="minorHAnsi" w:hAnsi="Segoe UI" w:cs="Segoe UI"/>
      <w:sz w:val="18"/>
      <w:szCs w:val="18"/>
      <w:lang w:eastAsia="en-US"/>
    </w:rPr>
  </w:style>
  <w:style w:type="paragraph" w:styleId="BodyText">
    <w:name w:val="Body Text"/>
    <w:basedOn w:val="Normal"/>
    <w:link w:val="BodyTextChar"/>
    <w:uiPriority w:val="99"/>
    <w:unhideWhenUsed/>
    <w:qFormat/>
    <w:rsid w:val="00533B9D"/>
    <w:pPr>
      <w:spacing w:before="120" w:after="120" w:line="240" w:lineRule="auto"/>
    </w:pPr>
    <w:rPr>
      <w:rFonts w:ascii="Times New Roman" w:eastAsia="Calibri" w:hAnsi="Times New Roman" w:cs="Times New Roman"/>
      <w:sz w:val="24"/>
    </w:rPr>
  </w:style>
  <w:style w:type="character" w:customStyle="1" w:styleId="BodyTextChar">
    <w:name w:val="Body Text Char"/>
    <w:basedOn w:val="DefaultParagraphFont"/>
    <w:link w:val="BodyText"/>
    <w:uiPriority w:val="99"/>
    <w:rsid w:val="00533B9D"/>
    <w:rPr>
      <w:rFonts w:ascii="Times New Roman" w:eastAsia="Calibri" w:hAnsi="Times New Roman"/>
      <w:sz w:val="24"/>
      <w:szCs w:val="22"/>
      <w:lang w:eastAsia="en-US"/>
    </w:rPr>
  </w:style>
  <w:style w:type="character" w:styleId="CommentReference">
    <w:name w:val="annotation reference"/>
    <w:basedOn w:val="DefaultParagraphFont"/>
    <w:uiPriority w:val="99"/>
    <w:semiHidden/>
    <w:unhideWhenUsed/>
    <w:rsid w:val="00EA09AE"/>
    <w:rPr>
      <w:sz w:val="16"/>
      <w:szCs w:val="16"/>
    </w:rPr>
  </w:style>
  <w:style w:type="paragraph" w:styleId="CommentText">
    <w:name w:val="annotation text"/>
    <w:basedOn w:val="Normal"/>
    <w:link w:val="CommentTextChar"/>
    <w:uiPriority w:val="99"/>
    <w:semiHidden/>
    <w:unhideWhenUsed/>
    <w:rsid w:val="00EA09AE"/>
    <w:pPr>
      <w:spacing w:line="240" w:lineRule="auto"/>
    </w:pPr>
    <w:rPr>
      <w:sz w:val="20"/>
      <w:szCs w:val="20"/>
    </w:rPr>
  </w:style>
  <w:style w:type="character" w:customStyle="1" w:styleId="CommentTextChar">
    <w:name w:val="Comment Text Char"/>
    <w:basedOn w:val="DefaultParagraphFont"/>
    <w:link w:val="CommentText"/>
    <w:uiPriority w:val="99"/>
    <w:semiHidden/>
    <w:rsid w:val="00EA09AE"/>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EA09AE"/>
    <w:rPr>
      <w:b/>
      <w:bCs/>
    </w:rPr>
  </w:style>
  <w:style w:type="character" w:customStyle="1" w:styleId="CommentSubjectChar">
    <w:name w:val="Comment Subject Char"/>
    <w:basedOn w:val="CommentTextChar"/>
    <w:link w:val="CommentSubject"/>
    <w:uiPriority w:val="99"/>
    <w:semiHidden/>
    <w:rsid w:val="00EA09AE"/>
    <w:rPr>
      <w:rFonts w:eastAsiaTheme="minorHAnsi" w:cstheme="minorBidi"/>
      <w:b/>
      <w:bCs/>
      <w:lang w:eastAsia="en-US"/>
    </w:rPr>
  </w:style>
  <w:style w:type="numbering" w:customStyle="1" w:styleId="Headings3">
    <w:name w:val="Headings3"/>
    <w:uiPriority w:val="99"/>
    <w:rsid w:val="00EA09AE"/>
  </w:style>
  <w:style w:type="numbering" w:customStyle="1" w:styleId="List13">
    <w:name w:val="List13"/>
    <w:basedOn w:val="NoList"/>
    <w:uiPriority w:val="99"/>
    <w:rsid w:val="00EA09AE"/>
  </w:style>
  <w:style w:type="numbering" w:customStyle="1" w:styleId="Headings4">
    <w:name w:val="Headings4"/>
    <w:uiPriority w:val="99"/>
    <w:rsid w:val="006B16C2"/>
  </w:style>
  <w:style w:type="numbering" w:customStyle="1" w:styleId="List14">
    <w:name w:val="List14"/>
    <w:basedOn w:val="NoList"/>
    <w:uiPriority w:val="99"/>
    <w:rsid w:val="006B16C2"/>
  </w:style>
  <w:style w:type="numbering" w:customStyle="1" w:styleId="List15">
    <w:name w:val="List15"/>
    <w:basedOn w:val="NoList"/>
    <w:uiPriority w:val="99"/>
    <w:rsid w:val="003804C5"/>
  </w:style>
  <w:style w:type="numbering" w:customStyle="1" w:styleId="captions3">
    <w:name w:val="captions3"/>
    <w:uiPriority w:val="99"/>
    <w:rsid w:val="00D45FBC"/>
  </w:style>
  <w:style w:type="paragraph" w:styleId="ListParagraph">
    <w:name w:val="List Paragraph"/>
    <w:basedOn w:val="Normal"/>
    <w:uiPriority w:val="99"/>
    <w:qFormat/>
    <w:rsid w:val="00232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674717">
      <w:bodyDiv w:val="1"/>
      <w:marLeft w:val="0"/>
      <w:marRight w:val="0"/>
      <w:marTop w:val="0"/>
      <w:marBottom w:val="0"/>
      <w:divBdr>
        <w:top w:val="none" w:sz="0" w:space="0" w:color="auto"/>
        <w:left w:val="none" w:sz="0" w:space="0" w:color="auto"/>
        <w:bottom w:val="none" w:sz="0" w:space="0" w:color="auto"/>
        <w:right w:val="none" w:sz="0" w:space="0" w:color="auto"/>
      </w:divBdr>
      <w:divsChild>
        <w:div w:id="1931890241">
          <w:marLeft w:val="0"/>
          <w:marRight w:val="0"/>
          <w:marTop w:val="0"/>
          <w:marBottom w:val="0"/>
          <w:divBdr>
            <w:top w:val="none" w:sz="0" w:space="0" w:color="auto"/>
            <w:left w:val="none" w:sz="0" w:space="0" w:color="auto"/>
            <w:bottom w:val="none" w:sz="0" w:space="0" w:color="auto"/>
            <w:right w:val="none" w:sz="0" w:space="0" w:color="auto"/>
          </w:divBdr>
          <w:divsChild>
            <w:div w:id="788157949">
              <w:marLeft w:val="0"/>
              <w:marRight w:val="0"/>
              <w:marTop w:val="0"/>
              <w:marBottom w:val="0"/>
              <w:divBdr>
                <w:top w:val="none" w:sz="0" w:space="0" w:color="auto"/>
                <w:left w:val="none" w:sz="0" w:space="0" w:color="auto"/>
                <w:bottom w:val="none" w:sz="0" w:space="0" w:color="auto"/>
                <w:right w:val="none" w:sz="0" w:space="0" w:color="auto"/>
              </w:divBdr>
              <w:divsChild>
                <w:div w:id="1739554559">
                  <w:marLeft w:val="0"/>
                  <w:marRight w:val="0"/>
                  <w:marTop w:val="0"/>
                  <w:marBottom w:val="0"/>
                  <w:divBdr>
                    <w:top w:val="none" w:sz="0" w:space="0" w:color="auto"/>
                    <w:left w:val="none" w:sz="0" w:space="0" w:color="auto"/>
                    <w:bottom w:val="none" w:sz="0" w:space="0" w:color="auto"/>
                    <w:right w:val="none" w:sz="0" w:space="0" w:color="auto"/>
                  </w:divBdr>
                  <w:divsChild>
                    <w:div w:id="1598753061">
                      <w:marLeft w:val="0"/>
                      <w:marRight w:val="0"/>
                      <w:marTop w:val="0"/>
                      <w:marBottom w:val="0"/>
                      <w:divBdr>
                        <w:top w:val="none" w:sz="0" w:space="0" w:color="auto"/>
                        <w:left w:val="none" w:sz="0" w:space="0" w:color="auto"/>
                        <w:bottom w:val="none" w:sz="0" w:space="0" w:color="auto"/>
                        <w:right w:val="none" w:sz="0" w:space="0" w:color="auto"/>
                      </w:divBdr>
                      <w:divsChild>
                        <w:div w:id="242228035">
                          <w:marLeft w:val="0"/>
                          <w:marRight w:val="0"/>
                          <w:marTop w:val="45"/>
                          <w:marBottom w:val="0"/>
                          <w:divBdr>
                            <w:top w:val="none" w:sz="0" w:space="0" w:color="auto"/>
                            <w:left w:val="none" w:sz="0" w:space="0" w:color="auto"/>
                            <w:bottom w:val="none" w:sz="0" w:space="0" w:color="auto"/>
                            <w:right w:val="none" w:sz="0" w:space="0" w:color="auto"/>
                          </w:divBdr>
                          <w:divsChild>
                            <w:div w:id="2119637878">
                              <w:marLeft w:val="0"/>
                              <w:marRight w:val="0"/>
                              <w:marTop w:val="0"/>
                              <w:marBottom w:val="0"/>
                              <w:divBdr>
                                <w:top w:val="none" w:sz="0" w:space="0" w:color="auto"/>
                                <w:left w:val="none" w:sz="0" w:space="0" w:color="auto"/>
                                <w:bottom w:val="none" w:sz="0" w:space="0" w:color="auto"/>
                                <w:right w:val="none" w:sz="0" w:space="0" w:color="auto"/>
                              </w:divBdr>
                              <w:divsChild>
                                <w:div w:id="1461453697">
                                  <w:marLeft w:val="2070"/>
                                  <w:marRight w:val="3810"/>
                                  <w:marTop w:val="0"/>
                                  <w:marBottom w:val="0"/>
                                  <w:divBdr>
                                    <w:top w:val="none" w:sz="0" w:space="0" w:color="auto"/>
                                    <w:left w:val="none" w:sz="0" w:space="0" w:color="auto"/>
                                    <w:bottom w:val="none" w:sz="0" w:space="0" w:color="auto"/>
                                    <w:right w:val="none" w:sz="0" w:space="0" w:color="auto"/>
                                  </w:divBdr>
                                  <w:divsChild>
                                    <w:div w:id="493497716">
                                      <w:marLeft w:val="0"/>
                                      <w:marRight w:val="0"/>
                                      <w:marTop w:val="0"/>
                                      <w:marBottom w:val="0"/>
                                      <w:divBdr>
                                        <w:top w:val="none" w:sz="0" w:space="0" w:color="auto"/>
                                        <w:left w:val="none" w:sz="0" w:space="0" w:color="auto"/>
                                        <w:bottom w:val="none" w:sz="0" w:space="0" w:color="auto"/>
                                        <w:right w:val="none" w:sz="0" w:space="0" w:color="auto"/>
                                      </w:divBdr>
                                      <w:divsChild>
                                        <w:div w:id="847796965">
                                          <w:marLeft w:val="0"/>
                                          <w:marRight w:val="0"/>
                                          <w:marTop w:val="0"/>
                                          <w:marBottom w:val="0"/>
                                          <w:divBdr>
                                            <w:top w:val="none" w:sz="0" w:space="0" w:color="auto"/>
                                            <w:left w:val="none" w:sz="0" w:space="0" w:color="auto"/>
                                            <w:bottom w:val="none" w:sz="0" w:space="0" w:color="auto"/>
                                            <w:right w:val="none" w:sz="0" w:space="0" w:color="auto"/>
                                          </w:divBdr>
                                          <w:divsChild>
                                            <w:div w:id="2063676988">
                                              <w:marLeft w:val="0"/>
                                              <w:marRight w:val="0"/>
                                              <w:marTop w:val="0"/>
                                              <w:marBottom w:val="0"/>
                                              <w:divBdr>
                                                <w:top w:val="none" w:sz="0" w:space="0" w:color="auto"/>
                                                <w:left w:val="none" w:sz="0" w:space="0" w:color="auto"/>
                                                <w:bottom w:val="none" w:sz="0" w:space="0" w:color="auto"/>
                                                <w:right w:val="none" w:sz="0" w:space="0" w:color="auto"/>
                                              </w:divBdr>
                                              <w:divsChild>
                                                <w:div w:id="1122580741">
                                                  <w:marLeft w:val="0"/>
                                                  <w:marRight w:val="0"/>
                                                  <w:marTop w:val="0"/>
                                                  <w:marBottom w:val="0"/>
                                                  <w:divBdr>
                                                    <w:top w:val="none" w:sz="0" w:space="0" w:color="auto"/>
                                                    <w:left w:val="none" w:sz="0" w:space="0" w:color="auto"/>
                                                    <w:bottom w:val="none" w:sz="0" w:space="0" w:color="auto"/>
                                                    <w:right w:val="none" w:sz="0" w:space="0" w:color="auto"/>
                                                  </w:divBdr>
                                                  <w:divsChild>
                                                    <w:div w:id="683290802">
                                                      <w:marLeft w:val="0"/>
                                                      <w:marRight w:val="0"/>
                                                      <w:marTop w:val="0"/>
                                                      <w:marBottom w:val="0"/>
                                                      <w:divBdr>
                                                        <w:top w:val="none" w:sz="0" w:space="0" w:color="auto"/>
                                                        <w:left w:val="none" w:sz="0" w:space="0" w:color="auto"/>
                                                        <w:bottom w:val="none" w:sz="0" w:space="0" w:color="auto"/>
                                                        <w:right w:val="none" w:sz="0" w:space="0" w:color="auto"/>
                                                      </w:divBdr>
                                                      <w:divsChild>
                                                        <w:div w:id="338001860">
                                                          <w:marLeft w:val="0"/>
                                                          <w:marRight w:val="0"/>
                                                          <w:marTop w:val="0"/>
                                                          <w:marBottom w:val="0"/>
                                                          <w:divBdr>
                                                            <w:top w:val="none" w:sz="0" w:space="0" w:color="auto"/>
                                                            <w:left w:val="none" w:sz="0" w:space="0" w:color="auto"/>
                                                            <w:bottom w:val="none" w:sz="0" w:space="0" w:color="auto"/>
                                                            <w:right w:val="none" w:sz="0" w:space="0" w:color="auto"/>
                                                          </w:divBdr>
                                                          <w:divsChild>
                                                            <w:div w:id="1880975935">
                                                              <w:marLeft w:val="0"/>
                                                              <w:marRight w:val="0"/>
                                                              <w:marTop w:val="0"/>
                                                              <w:marBottom w:val="345"/>
                                                              <w:divBdr>
                                                                <w:top w:val="none" w:sz="0" w:space="0" w:color="auto"/>
                                                                <w:left w:val="none" w:sz="0" w:space="0" w:color="auto"/>
                                                                <w:bottom w:val="none" w:sz="0" w:space="0" w:color="auto"/>
                                                                <w:right w:val="none" w:sz="0" w:space="0" w:color="auto"/>
                                                              </w:divBdr>
                                                              <w:divsChild>
                                                                <w:div w:id="1656300206">
                                                                  <w:marLeft w:val="0"/>
                                                                  <w:marRight w:val="0"/>
                                                                  <w:marTop w:val="0"/>
                                                                  <w:marBottom w:val="0"/>
                                                                  <w:divBdr>
                                                                    <w:top w:val="none" w:sz="0" w:space="0" w:color="auto"/>
                                                                    <w:left w:val="none" w:sz="0" w:space="0" w:color="auto"/>
                                                                    <w:bottom w:val="none" w:sz="0" w:space="0" w:color="auto"/>
                                                                    <w:right w:val="none" w:sz="0" w:space="0" w:color="auto"/>
                                                                  </w:divBdr>
                                                                  <w:divsChild>
                                                                    <w:div w:id="1060909546">
                                                                      <w:marLeft w:val="0"/>
                                                                      <w:marRight w:val="0"/>
                                                                      <w:marTop w:val="0"/>
                                                                      <w:marBottom w:val="0"/>
                                                                      <w:divBdr>
                                                                        <w:top w:val="none" w:sz="0" w:space="0" w:color="auto"/>
                                                                        <w:left w:val="none" w:sz="0" w:space="0" w:color="auto"/>
                                                                        <w:bottom w:val="none" w:sz="0" w:space="0" w:color="auto"/>
                                                                        <w:right w:val="none" w:sz="0" w:space="0" w:color="auto"/>
                                                                      </w:divBdr>
                                                                      <w:divsChild>
                                                                        <w:div w:id="143930797">
                                                                          <w:marLeft w:val="0"/>
                                                                          <w:marRight w:val="0"/>
                                                                          <w:marTop w:val="0"/>
                                                                          <w:marBottom w:val="0"/>
                                                                          <w:divBdr>
                                                                            <w:top w:val="none" w:sz="0" w:space="0" w:color="auto"/>
                                                                            <w:left w:val="none" w:sz="0" w:space="0" w:color="auto"/>
                                                                            <w:bottom w:val="none" w:sz="0" w:space="0" w:color="auto"/>
                                                                            <w:right w:val="none" w:sz="0" w:space="0" w:color="auto"/>
                                                                          </w:divBdr>
                                                                          <w:divsChild>
                                                                            <w:div w:id="11026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0796982">
      <w:bodyDiv w:val="1"/>
      <w:marLeft w:val="0"/>
      <w:marRight w:val="0"/>
      <w:marTop w:val="0"/>
      <w:marBottom w:val="0"/>
      <w:divBdr>
        <w:top w:val="none" w:sz="0" w:space="0" w:color="auto"/>
        <w:left w:val="none" w:sz="0" w:space="0" w:color="auto"/>
        <w:bottom w:val="none" w:sz="0" w:space="0" w:color="auto"/>
        <w:right w:val="none" w:sz="0" w:space="0" w:color="auto"/>
      </w:divBdr>
      <w:divsChild>
        <w:div w:id="361052092">
          <w:marLeft w:val="0"/>
          <w:marRight w:val="0"/>
          <w:marTop w:val="0"/>
          <w:marBottom w:val="0"/>
          <w:divBdr>
            <w:top w:val="none" w:sz="0" w:space="0" w:color="auto"/>
            <w:left w:val="none" w:sz="0" w:space="0" w:color="auto"/>
            <w:bottom w:val="none" w:sz="0" w:space="0" w:color="auto"/>
            <w:right w:val="none" w:sz="0" w:space="0" w:color="auto"/>
          </w:divBdr>
          <w:divsChild>
            <w:div w:id="438137414">
              <w:marLeft w:val="0"/>
              <w:marRight w:val="0"/>
              <w:marTop w:val="0"/>
              <w:marBottom w:val="0"/>
              <w:divBdr>
                <w:top w:val="none" w:sz="0" w:space="0" w:color="auto"/>
                <w:left w:val="none" w:sz="0" w:space="0" w:color="auto"/>
                <w:bottom w:val="none" w:sz="0" w:space="0" w:color="auto"/>
                <w:right w:val="none" w:sz="0" w:space="0" w:color="auto"/>
              </w:divBdr>
              <w:divsChild>
                <w:div w:id="1619142983">
                  <w:marLeft w:val="0"/>
                  <w:marRight w:val="0"/>
                  <w:marTop w:val="0"/>
                  <w:marBottom w:val="0"/>
                  <w:divBdr>
                    <w:top w:val="none" w:sz="0" w:space="0" w:color="auto"/>
                    <w:left w:val="none" w:sz="0" w:space="0" w:color="auto"/>
                    <w:bottom w:val="none" w:sz="0" w:space="0" w:color="auto"/>
                    <w:right w:val="none" w:sz="0" w:space="0" w:color="auto"/>
                  </w:divBdr>
                  <w:divsChild>
                    <w:div w:id="571162718">
                      <w:marLeft w:val="0"/>
                      <w:marRight w:val="0"/>
                      <w:marTop w:val="0"/>
                      <w:marBottom w:val="0"/>
                      <w:divBdr>
                        <w:top w:val="none" w:sz="0" w:space="0" w:color="auto"/>
                        <w:left w:val="none" w:sz="0" w:space="0" w:color="auto"/>
                        <w:bottom w:val="none" w:sz="0" w:space="0" w:color="auto"/>
                        <w:right w:val="none" w:sz="0" w:space="0" w:color="auto"/>
                      </w:divBdr>
                      <w:divsChild>
                        <w:div w:id="1805585309">
                          <w:marLeft w:val="0"/>
                          <w:marRight w:val="0"/>
                          <w:marTop w:val="45"/>
                          <w:marBottom w:val="0"/>
                          <w:divBdr>
                            <w:top w:val="none" w:sz="0" w:space="0" w:color="auto"/>
                            <w:left w:val="none" w:sz="0" w:space="0" w:color="auto"/>
                            <w:bottom w:val="none" w:sz="0" w:space="0" w:color="auto"/>
                            <w:right w:val="none" w:sz="0" w:space="0" w:color="auto"/>
                          </w:divBdr>
                          <w:divsChild>
                            <w:div w:id="97339984">
                              <w:marLeft w:val="0"/>
                              <w:marRight w:val="0"/>
                              <w:marTop w:val="0"/>
                              <w:marBottom w:val="0"/>
                              <w:divBdr>
                                <w:top w:val="none" w:sz="0" w:space="0" w:color="auto"/>
                                <w:left w:val="none" w:sz="0" w:space="0" w:color="auto"/>
                                <w:bottom w:val="none" w:sz="0" w:space="0" w:color="auto"/>
                                <w:right w:val="none" w:sz="0" w:space="0" w:color="auto"/>
                              </w:divBdr>
                              <w:divsChild>
                                <w:div w:id="2146657394">
                                  <w:marLeft w:val="2070"/>
                                  <w:marRight w:val="3810"/>
                                  <w:marTop w:val="0"/>
                                  <w:marBottom w:val="0"/>
                                  <w:divBdr>
                                    <w:top w:val="none" w:sz="0" w:space="0" w:color="auto"/>
                                    <w:left w:val="none" w:sz="0" w:space="0" w:color="auto"/>
                                    <w:bottom w:val="none" w:sz="0" w:space="0" w:color="auto"/>
                                    <w:right w:val="none" w:sz="0" w:space="0" w:color="auto"/>
                                  </w:divBdr>
                                  <w:divsChild>
                                    <w:div w:id="1669867713">
                                      <w:marLeft w:val="0"/>
                                      <w:marRight w:val="0"/>
                                      <w:marTop w:val="0"/>
                                      <w:marBottom w:val="0"/>
                                      <w:divBdr>
                                        <w:top w:val="none" w:sz="0" w:space="0" w:color="auto"/>
                                        <w:left w:val="none" w:sz="0" w:space="0" w:color="auto"/>
                                        <w:bottom w:val="none" w:sz="0" w:space="0" w:color="auto"/>
                                        <w:right w:val="none" w:sz="0" w:space="0" w:color="auto"/>
                                      </w:divBdr>
                                      <w:divsChild>
                                        <w:div w:id="1768430456">
                                          <w:marLeft w:val="0"/>
                                          <w:marRight w:val="0"/>
                                          <w:marTop w:val="0"/>
                                          <w:marBottom w:val="0"/>
                                          <w:divBdr>
                                            <w:top w:val="none" w:sz="0" w:space="0" w:color="auto"/>
                                            <w:left w:val="none" w:sz="0" w:space="0" w:color="auto"/>
                                            <w:bottom w:val="none" w:sz="0" w:space="0" w:color="auto"/>
                                            <w:right w:val="none" w:sz="0" w:space="0" w:color="auto"/>
                                          </w:divBdr>
                                          <w:divsChild>
                                            <w:div w:id="1139222647">
                                              <w:marLeft w:val="0"/>
                                              <w:marRight w:val="0"/>
                                              <w:marTop w:val="0"/>
                                              <w:marBottom w:val="0"/>
                                              <w:divBdr>
                                                <w:top w:val="none" w:sz="0" w:space="0" w:color="auto"/>
                                                <w:left w:val="none" w:sz="0" w:space="0" w:color="auto"/>
                                                <w:bottom w:val="none" w:sz="0" w:space="0" w:color="auto"/>
                                                <w:right w:val="none" w:sz="0" w:space="0" w:color="auto"/>
                                              </w:divBdr>
                                              <w:divsChild>
                                                <w:div w:id="1679962547">
                                                  <w:marLeft w:val="0"/>
                                                  <w:marRight w:val="0"/>
                                                  <w:marTop w:val="0"/>
                                                  <w:marBottom w:val="0"/>
                                                  <w:divBdr>
                                                    <w:top w:val="none" w:sz="0" w:space="0" w:color="auto"/>
                                                    <w:left w:val="none" w:sz="0" w:space="0" w:color="auto"/>
                                                    <w:bottom w:val="none" w:sz="0" w:space="0" w:color="auto"/>
                                                    <w:right w:val="none" w:sz="0" w:space="0" w:color="auto"/>
                                                  </w:divBdr>
                                                  <w:divsChild>
                                                    <w:div w:id="356467726">
                                                      <w:marLeft w:val="0"/>
                                                      <w:marRight w:val="0"/>
                                                      <w:marTop w:val="0"/>
                                                      <w:marBottom w:val="0"/>
                                                      <w:divBdr>
                                                        <w:top w:val="none" w:sz="0" w:space="0" w:color="auto"/>
                                                        <w:left w:val="none" w:sz="0" w:space="0" w:color="auto"/>
                                                        <w:bottom w:val="none" w:sz="0" w:space="0" w:color="auto"/>
                                                        <w:right w:val="none" w:sz="0" w:space="0" w:color="auto"/>
                                                      </w:divBdr>
                                                      <w:divsChild>
                                                        <w:div w:id="1701739109">
                                                          <w:marLeft w:val="0"/>
                                                          <w:marRight w:val="0"/>
                                                          <w:marTop w:val="0"/>
                                                          <w:marBottom w:val="0"/>
                                                          <w:divBdr>
                                                            <w:top w:val="none" w:sz="0" w:space="0" w:color="auto"/>
                                                            <w:left w:val="none" w:sz="0" w:space="0" w:color="auto"/>
                                                            <w:bottom w:val="none" w:sz="0" w:space="0" w:color="auto"/>
                                                            <w:right w:val="none" w:sz="0" w:space="0" w:color="auto"/>
                                                          </w:divBdr>
                                                          <w:divsChild>
                                                            <w:div w:id="1617179120">
                                                              <w:marLeft w:val="0"/>
                                                              <w:marRight w:val="0"/>
                                                              <w:marTop w:val="0"/>
                                                              <w:marBottom w:val="345"/>
                                                              <w:divBdr>
                                                                <w:top w:val="none" w:sz="0" w:space="0" w:color="auto"/>
                                                                <w:left w:val="none" w:sz="0" w:space="0" w:color="auto"/>
                                                                <w:bottom w:val="none" w:sz="0" w:space="0" w:color="auto"/>
                                                                <w:right w:val="none" w:sz="0" w:space="0" w:color="auto"/>
                                                              </w:divBdr>
                                                              <w:divsChild>
                                                                <w:div w:id="1450854221">
                                                                  <w:marLeft w:val="0"/>
                                                                  <w:marRight w:val="0"/>
                                                                  <w:marTop w:val="0"/>
                                                                  <w:marBottom w:val="0"/>
                                                                  <w:divBdr>
                                                                    <w:top w:val="none" w:sz="0" w:space="0" w:color="auto"/>
                                                                    <w:left w:val="none" w:sz="0" w:space="0" w:color="auto"/>
                                                                    <w:bottom w:val="none" w:sz="0" w:space="0" w:color="auto"/>
                                                                    <w:right w:val="none" w:sz="0" w:space="0" w:color="auto"/>
                                                                  </w:divBdr>
                                                                  <w:divsChild>
                                                                    <w:div w:id="1884899682">
                                                                      <w:marLeft w:val="0"/>
                                                                      <w:marRight w:val="0"/>
                                                                      <w:marTop w:val="0"/>
                                                                      <w:marBottom w:val="0"/>
                                                                      <w:divBdr>
                                                                        <w:top w:val="none" w:sz="0" w:space="0" w:color="auto"/>
                                                                        <w:left w:val="none" w:sz="0" w:space="0" w:color="auto"/>
                                                                        <w:bottom w:val="none" w:sz="0" w:space="0" w:color="auto"/>
                                                                        <w:right w:val="none" w:sz="0" w:space="0" w:color="auto"/>
                                                                      </w:divBdr>
                                                                      <w:divsChild>
                                                                        <w:div w:id="1253583928">
                                                                          <w:marLeft w:val="0"/>
                                                                          <w:marRight w:val="0"/>
                                                                          <w:marTop w:val="0"/>
                                                                          <w:marBottom w:val="0"/>
                                                                          <w:divBdr>
                                                                            <w:top w:val="none" w:sz="0" w:space="0" w:color="auto"/>
                                                                            <w:left w:val="none" w:sz="0" w:space="0" w:color="auto"/>
                                                                            <w:bottom w:val="none" w:sz="0" w:space="0" w:color="auto"/>
                                                                            <w:right w:val="none" w:sz="0" w:space="0" w:color="auto"/>
                                                                          </w:divBdr>
                                                                          <w:divsChild>
                                                                            <w:div w:id="3842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92705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8919452">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4">
          <w:marLeft w:val="0"/>
          <w:marRight w:val="0"/>
          <w:marTop w:val="0"/>
          <w:marBottom w:val="0"/>
          <w:divBdr>
            <w:top w:val="none" w:sz="0" w:space="0" w:color="auto"/>
            <w:left w:val="none" w:sz="0" w:space="0" w:color="auto"/>
            <w:bottom w:val="none" w:sz="0" w:space="0" w:color="auto"/>
            <w:right w:val="none" w:sz="0" w:space="0" w:color="auto"/>
          </w:divBdr>
          <w:divsChild>
            <w:div w:id="1328289870">
              <w:marLeft w:val="0"/>
              <w:marRight w:val="0"/>
              <w:marTop w:val="0"/>
              <w:marBottom w:val="0"/>
              <w:divBdr>
                <w:top w:val="none" w:sz="0" w:space="0" w:color="auto"/>
                <w:left w:val="none" w:sz="0" w:space="0" w:color="auto"/>
                <w:bottom w:val="none" w:sz="0" w:space="0" w:color="auto"/>
                <w:right w:val="none" w:sz="0" w:space="0" w:color="auto"/>
              </w:divBdr>
              <w:divsChild>
                <w:div w:id="466440293">
                  <w:marLeft w:val="0"/>
                  <w:marRight w:val="0"/>
                  <w:marTop w:val="0"/>
                  <w:marBottom w:val="0"/>
                  <w:divBdr>
                    <w:top w:val="none" w:sz="0" w:space="0" w:color="auto"/>
                    <w:left w:val="none" w:sz="0" w:space="0" w:color="auto"/>
                    <w:bottom w:val="none" w:sz="0" w:space="0" w:color="auto"/>
                    <w:right w:val="none" w:sz="0" w:space="0" w:color="auto"/>
                  </w:divBdr>
                  <w:divsChild>
                    <w:div w:id="17629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102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058619">
      <w:bodyDiv w:val="1"/>
      <w:marLeft w:val="0"/>
      <w:marRight w:val="0"/>
      <w:marTop w:val="0"/>
      <w:marBottom w:val="0"/>
      <w:divBdr>
        <w:top w:val="none" w:sz="0" w:space="0" w:color="auto"/>
        <w:left w:val="none" w:sz="0" w:space="0" w:color="auto"/>
        <w:bottom w:val="none" w:sz="0" w:space="0" w:color="auto"/>
        <w:right w:val="none" w:sz="0" w:space="0" w:color="auto"/>
      </w:divBdr>
      <w:divsChild>
        <w:div w:id="835607965">
          <w:marLeft w:val="0"/>
          <w:marRight w:val="0"/>
          <w:marTop w:val="0"/>
          <w:marBottom w:val="0"/>
          <w:divBdr>
            <w:top w:val="none" w:sz="0" w:space="0" w:color="auto"/>
            <w:left w:val="none" w:sz="0" w:space="0" w:color="auto"/>
            <w:bottom w:val="none" w:sz="0" w:space="0" w:color="auto"/>
            <w:right w:val="none" w:sz="0" w:space="0" w:color="auto"/>
          </w:divBdr>
          <w:divsChild>
            <w:div w:id="817038808">
              <w:marLeft w:val="0"/>
              <w:marRight w:val="0"/>
              <w:marTop w:val="0"/>
              <w:marBottom w:val="0"/>
              <w:divBdr>
                <w:top w:val="none" w:sz="0" w:space="0" w:color="auto"/>
                <w:left w:val="none" w:sz="0" w:space="0" w:color="auto"/>
                <w:bottom w:val="none" w:sz="0" w:space="0" w:color="auto"/>
                <w:right w:val="none" w:sz="0" w:space="0" w:color="auto"/>
              </w:divBdr>
              <w:divsChild>
                <w:div w:id="1810201843">
                  <w:marLeft w:val="0"/>
                  <w:marRight w:val="0"/>
                  <w:marTop w:val="0"/>
                  <w:marBottom w:val="0"/>
                  <w:divBdr>
                    <w:top w:val="none" w:sz="0" w:space="0" w:color="auto"/>
                    <w:left w:val="none" w:sz="0" w:space="0" w:color="auto"/>
                    <w:bottom w:val="none" w:sz="0" w:space="0" w:color="auto"/>
                    <w:right w:val="none" w:sz="0" w:space="0" w:color="auto"/>
                  </w:divBdr>
                  <w:divsChild>
                    <w:div w:id="1143157102">
                      <w:marLeft w:val="0"/>
                      <w:marRight w:val="0"/>
                      <w:marTop w:val="0"/>
                      <w:marBottom w:val="0"/>
                      <w:divBdr>
                        <w:top w:val="none" w:sz="0" w:space="0" w:color="auto"/>
                        <w:left w:val="none" w:sz="0" w:space="0" w:color="auto"/>
                        <w:bottom w:val="none" w:sz="0" w:space="0" w:color="auto"/>
                        <w:right w:val="none" w:sz="0" w:space="0" w:color="auto"/>
                      </w:divBdr>
                      <w:divsChild>
                        <w:div w:id="1030381289">
                          <w:marLeft w:val="0"/>
                          <w:marRight w:val="0"/>
                          <w:marTop w:val="45"/>
                          <w:marBottom w:val="0"/>
                          <w:divBdr>
                            <w:top w:val="none" w:sz="0" w:space="0" w:color="auto"/>
                            <w:left w:val="none" w:sz="0" w:space="0" w:color="auto"/>
                            <w:bottom w:val="none" w:sz="0" w:space="0" w:color="auto"/>
                            <w:right w:val="none" w:sz="0" w:space="0" w:color="auto"/>
                          </w:divBdr>
                          <w:divsChild>
                            <w:div w:id="1169247552">
                              <w:marLeft w:val="0"/>
                              <w:marRight w:val="0"/>
                              <w:marTop w:val="0"/>
                              <w:marBottom w:val="0"/>
                              <w:divBdr>
                                <w:top w:val="none" w:sz="0" w:space="0" w:color="auto"/>
                                <w:left w:val="none" w:sz="0" w:space="0" w:color="auto"/>
                                <w:bottom w:val="none" w:sz="0" w:space="0" w:color="auto"/>
                                <w:right w:val="none" w:sz="0" w:space="0" w:color="auto"/>
                              </w:divBdr>
                              <w:divsChild>
                                <w:div w:id="194394855">
                                  <w:marLeft w:val="2070"/>
                                  <w:marRight w:val="3810"/>
                                  <w:marTop w:val="0"/>
                                  <w:marBottom w:val="0"/>
                                  <w:divBdr>
                                    <w:top w:val="none" w:sz="0" w:space="0" w:color="auto"/>
                                    <w:left w:val="none" w:sz="0" w:space="0" w:color="auto"/>
                                    <w:bottom w:val="none" w:sz="0" w:space="0" w:color="auto"/>
                                    <w:right w:val="none" w:sz="0" w:space="0" w:color="auto"/>
                                  </w:divBdr>
                                  <w:divsChild>
                                    <w:div w:id="1196583113">
                                      <w:marLeft w:val="0"/>
                                      <w:marRight w:val="0"/>
                                      <w:marTop w:val="0"/>
                                      <w:marBottom w:val="0"/>
                                      <w:divBdr>
                                        <w:top w:val="none" w:sz="0" w:space="0" w:color="auto"/>
                                        <w:left w:val="none" w:sz="0" w:space="0" w:color="auto"/>
                                        <w:bottom w:val="none" w:sz="0" w:space="0" w:color="auto"/>
                                        <w:right w:val="none" w:sz="0" w:space="0" w:color="auto"/>
                                      </w:divBdr>
                                      <w:divsChild>
                                        <w:div w:id="544411287">
                                          <w:marLeft w:val="0"/>
                                          <w:marRight w:val="0"/>
                                          <w:marTop w:val="0"/>
                                          <w:marBottom w:val="0"/>
                                          <w:divBdr>
                                            <w:top w:val="none" w:sz="0" w:space="0" w:color="auto"/>
                                            <w:left w:val="none" w:sz="0" w:space="0" w:color="auto"/>
                                            <w:bottom w:val="none" w:sz="0" w:space="0" w:color="auto"/>
                                            <w:right w:val="none" w:sz="0" w:space="0" w:color="auto"/>
                                          </w:divBdr>
                                          <w:divsChild>
                                            <w:div w:id="1187984422">
                                              <w:marLeft w:val="0"/>
                                              <w:marRight w:val="0"/>
                                              <w:marTop w:val="0"/>
                                              <w:marBottom w:val="0"/>
                                              <w:divBdr>
                                                <w:top w:val="none" w:sz="0" w:space="0" w:color="auto"/>
                                                <w:left w:val="none" w:sz="0" w:space="0" w:color="auto"/>
                                                <w:bottom w:val="none" w:sz="0" w:space="0" w:color="auto"/>
                                                <w:right w:val="none" w:sz="0" w:space="0" w:color="auto"/>
                                              </w:divBdr>
                                              <w:divsChild>
                                                <w:div w:id="1417823332">
                                                  <w:marLeft w:val="0"/>
                                                  <w:marRight w:val="0"/>
                                                  <w:marTop w:val="0"/>
                                                  <w:marBottom w:val="0"/>
                                                  <w:divBdr>
                                                    <w:top w:val="none" w:sz="0" w:space="0" w:color="auto"/>
                                                    <w:left w:val="none" w:sz="0" w:space="0" w:color="auto"/>
                                                    <w:bottom w:val="none" w:sz="0" w:space="0" w:color="auto"/>
                                                    <w:right w:val="none" w:sz="0" w:space="0" w:color="auto"/>
                                                  </w:divBdr>
                                                  <w:divsChild>
                                                    <w:div w:id="1987199293">
                                                      <w:marLeft w:val="0"/>
                                                      <w:marRight w:val="0"/>
                                                      <w:marTop w:val="0"/>
                                                      <w:marBottom w:val="0"/>
                                                      <w:divBdr>
                                                        <w:top w:val="none" w:sz="0" w:space="0" w:color="auto"/>
                                                        <w:left w:val="none" w:sz="0" w:space="0" w:color="auto"/>
                                                        <w:bottom w:val="none" w:sz="0" w:space="0" w:color="auto"/>
                                                        <w:right w:val="none" w:sz="0" w:space="0" w:color="auto"/>
                                                      </w:divBdr>
                                                      <w:divsChild>
                                                        <w:div w:id="1802723621">
                                                          <w:marLeft w:val="0"/>
                                                          <w:marRight w:val="0"/>
                                                          <w:marTop w:val="0"/>
                                                          <w:marBottom w:val="0"/>
                                                          <w:divBdr>
                                                            <w:top w:val="none" w:sz="0" w:space="0" w:color="auto"/>
                                                            <w:left w:val="none" w:sz="0" w:space="0" w:color="auto"/>
                                                            <w:bottom w:val="none" w:sz="0" w:space="0" w:color="auto"/>
                                                            <w:right w:val="none" w:sz="0" w:space="0" w:color="auto"/>
                                                          </w:divBdr>
                                                          <w:divsChild>
                                                            <w:div w:id="1840080202">
                                                              <w:marLeft w:val="0"/>
                                                              <w:marRight w:val="0"/>
                                                              <w:marTop w:val="0"/>
                                                              <w:marBottom w:val="345"/>
                                                              <w:divBdr>
                                                                <w:top w:val="none" w:sz="0" w:space="0" w:color="auto"/>
                                                                <w:left w:val="none" w:sz="0" w:space="0" w:color="auto"/>
                                                                <w:bottom w:val="none" w:sz="0" w:space="0" w:color="auto"/>
                                                                <w:right w:val="none" w:sz="0" w:space="0" w:color="auto"/>
                                                              </w:divBdr>
                                                              <w:divsChild>
                                                                <w:div w:id="1090202406">
                                                                  <w:marLeft w:val="0"/>
                                                                  <w:marRight w:val="0"/>
                                                                  <w:marTop w:val="0"/>
                                                                  <w:marBottom w:val="0"/>
                                                                  <w:divBdr>
                                                                    <w:top w:val="none" w:sz="0" w:space="0" w:color="auto"/>
                                                                    <w:left w:val="none" w:sz="0" w:space="0" w:color="auto"/>
                                                                    <w:bottom w:val="none" w:sz="0" w:space="0" w:color="auto"/>
                                                                    <w:right w:val="none" w:sz="0" w:space="0" w:color="auto"/>
                                                                  </w:divBdr>
                                                                  <w:divsChild>
                                                                    <w:div w:id="1768771398">
                                                                      <w:marLeft w:val="0"/>
                                                                      <w:marRight w:val="0"/>
                                                                      <w:marTop w:val="0"/>
                                                                      <w:marBottom w:val="0"/>
                                                                      <w:divBdr>
                                                                        <w:top w:val="none" w:sz="0" w:space="0" w:color="auto"/>
                                                                        <w:left w:val="none" w:sz="0" w:space="0" w:color="auto"/>
                                                                        <w:bottom w:val="none" w:sz="0" w:space="0" w:color="auto"/>
                                                                        <w:right w:val="none" w:sz="0" w:space="0" w:color="auto"/>
                                                                      </w:divBdr>
                                                                      <w:divsChild>
                                                                        <w:div w:id="756832255">
                                                                          <w:marLeft w:val="0"/>
                                                                          <w:marRight w:val="0"/>
                                                                          <w:marTop w:val="0"/>
                                                                          <w:marBottom w:val="0"/>
                                                                          <w:divBdr>
                                                                            <w:top w:val="none" w:sz="0" w:space="0" w:color="auto"/>
                                                                            <w:left w:val="none" w:sz="0" w:space="0" w:color="auto"/>
                                                                            <w:bottom w:val="none" w:sz="0" w:space="0" w:color="auto"/>
                                                                            <w:right w:val="none" w:sz="0" w:space="0" w:color="auto"/>
                                                                          </w:divBdr>
                                                                          <w:divsChild>
                                                                            <w:div w:id="17214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5.xml"/><Relationship Id="rId42" Type="http://schemas.openxmlformats.org/officeDocument/2006/relationships/footer" Target="footer8.xml"/><Relationship Id="rId47" Type="http://schemas.openxmlformats.org/officeDocument/2006/relationships/header" Target="header20.xml"/><Relationship Id="rId63" Type="http://schemas.openxmlformats.org/officeDocument/2006/relationships/header" Target="header27.xml"/><Relationship Id="rId68" Type="http://schemas.openxmlformats.org/officeDocument/2006/relationships/header" Target="header31.xml"/><Relationship Id="rId84" Type="http://schemas.openxmlformats.org/officeDocument/2006/relationships/hyperlink" Target="https://www.agric.wa.gov.au/bam/western-australian-organism-list-waol" TargetMode="External"/><Relationship Id="rId89" Type="http://schemas.openxmlformats.org/officeDocument/2006/relationships/hyperlink" Target="http://www.cabi.org/dfb/FullTextPDF/2006/20063129257.pdf" TargetMode="External"/><Relationship Id="rId16" Type="http://schemas.openxmlformats.org/officeDocument/2006/relationships/hyperlink" Target="http://creativecommons.org/licenses/by/3.0/au/legalcode" TargetMode="External"/><Relationship Id="rId11" Type="http://schemas.openxmlformats.org/officeDocument/2006/relationships/footer" Target="footer1.xml"/><Relationship Id="rId32" Type="http://schemas.openxmlformats.org/officeDocument/2006/relationships/hyperlink" Target="https://bicon.agriculture.gov.au/BiconWeb4.0/" TargetMode="External"/><Relationship Id="rId37" Type="http://schemas.openxmlformats.org/officeDocument/2006/relationships/footer" Target="footer6.xml"/><Relationship Id="rId53" Type="http://schemas.openxmlformats.org/officeDocument/2006/relationships/footer" Target="footer12.xml"/><Relationship Id="rId58" Type="http://schemas.openxmlformats.org/officeDocument/2006/relationships/header" Target="header24.xml"/><Relationship Id="rId74" Type="http://schemas.openxmlformats.org/officeDocument/2006/relationships/header" Target="header34.xml"/><Relationship Id="rId79" Type="http://schemas.openxmlformats.org/officeDocument/2006/relationships/hyperlink" Target="http://www.ces.csiro.au/aicn/name_s/b_1.htm"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planthealthaustralia.com.au/wp-content/uploads/2015/01/Citrus-tristeza-virus-Mandarin-stem-pitting-strain-FS.pdf" TargetMode="External"/><Relationship Id="rId95" Type="http://schemas.openxmlformats.org/officeDocument/2006/relationships/hyperlink" Target="http://www.pestnet.org/fact_sheets/citrus_scab_048.pdf" TargetMode="Externa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footer" Target="footer9.xml"/><Relationship Id="rId48" Type="http://schemas.openxmlformats.org/officeDocument/2006/relationships/header" Target="header21.xml"/><Relationship Id="rId64" Type="http://schemas.openxmlformats.org/officeDocument/2006/relationships/header" Target="header28.xml"/><Relationship Id="rId69" Type="http://schemas.openxmlformats.org/officeDocument/2006/relationships/footer" Target="footer17.xml"/><Relationship Id="rId80" Type="http://schemas.openxmlformats.org/officeDocument/2006/relationships/hyperlink" Target="https://www.eppo.int/QUARANTINE/data_sheets/insects/BEMITA_ds.pdf" TargetMode="External"/><Relationship Id="rId85" Type="http://schemas.openxmlformats.org/officeDocument/2006/relationships/hyperlink" Target="http://www.extento.hawaii.edu/kbase/Crop/Type/a_cyanop.htm" TargetMode="External"/><Relationship Id="rId12" Type="http://schemas.openxmlformats.org/officeDocument/2006/relationships/footer" Target="footer2.xml"/><Relationship Id="rId17" Type="http://schemas.openxmlformats.org/officeDocument/2006/relationships/hyperlink" Target="mailto:copyright@agriculture.gov.au" TargetMode="External"/><Relationship Id="rId33" Type="http://schemas.openxmlformats.org/officeDocument/2006/relationships/header" Target="header12.xml"/><Relationship Id="rId38" Type="http://schemas.openxmlformats.org/officeDocument/2006/relationships/footer" Target="footer7.xml"/><Relationship Id="rId59" Type="http://schemas.openxmlformats.org/officeDocument/2006/relationships/header" Target="header25.xml"/><Relationship Id="rId103" Type="http://schemas.openxmlformats.org/officeDocument/2006/relationships/customXml" Target="../customXml/item2.xml"/><Relationship Id="rId20" Type="http://schemas.openxmlformats.org/officeDocument/2006/relationships/header" Target="header4.xml"/><Relationship Id="rId41" Type="http://schemas.openxmlformats.org/officeDocument/2006/relationships/header" Target="header17.xml"/><Relationship Id="rId54" Type="http://schemas.openxmlformats.org/officeDocument/2006/relationships/footer" Target="footer13.xml"/><Relationship Id="rId62" Type="http://schemas.openxmlformats.org/officeDocument/2006/relationships/header" Target="header26.xml"/><Relationship Id="rId70" Type="http://schemas.openxmlformats.org/officeDocument/2006/relationships/footer" Target="footer18.xml"/><Relationship Id="rId75" Type="http://schemas.openxmlformats.org/officeDocument/2006/relationships/hyperlink" Target="http://www.ala.org.au/" TargetMode="External"/><Relationship Id="rId83" Type="http://schemas.openxmlformats.org/officeDocument/2006/relationships/hyperlink" Target="http://scalenet.info/" TargetMode="External"/><Relationship Id="rId88" Type="http://schemas.openxmlformats.org/officeDocument/2006/relationships/hyperlink" Target="http://idtools.org/id/scales/" TargetMode="External"/><Relationship Id="rId91" Type="http://schemas.openxmlformats.org/officeDocument/2006/relationships/hyperlink" Target="http://www.citrusaustralia.com.au/_literature_47827/Green_coffee_scale" TargetMode="External"/><Relationship Id="rId96" Type="http://schemas.openxmlformats.org/officeDocument/2006/relationships/hyperlink" Target="http://wbd.etibioinformatics.nl/bis/diaspididae.php?menuentry=inleid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deed.en" TargetMode="Externa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footer" Target="footer11.xml"/><Relationship Id="rId57" Type="http://schemas.openxmlformats.org/officeDocument/2006/relationships/hyperlink" Target="http://www.foodstandards.gov.au/code/Pages/default.aspx" TargetMode="External"/><Relationship Id="rId10" Type="http://schemas.openxmlformats.org/officeDocument/2006/relationships/header" Target="header2.xml"/><Relationship Id="rId31" Type="http://schemas.openxmlformats.org/officeDocument/2006/relationships/image" Target="media/image3.jpeg"/><Relationship Id="rId44" Type="http://schemas.openxmlformats.org/officeDocument/2006/relationships/header" Target="header18.xml"/><Relationship Id="rId52" Type="http://schemas.openxmlformats.org/officeDocument/2006/relationships/header" Target="header23.xml"/><Relationship Id="rId60" Type="http://schemas.openxmlformats.org/officeDocument/2006/relationships/footer" Target="footer14.xml"/><Relationship Id="rId65" Type="http://schemas.openxmlformats.org/officeDocument/2006/relationships/header" Target="header29.xml"/><Relationship Id="rId73" Type="http://schemas.openxmlformats.org/officeDocument/2006/relationships/footer" Target="footer19.xml"/><Relationship Id="rId78" Type="http://schemas.openxmlformats.org/officeDocument/2006/relationships/hyperlink" Target="http://www.cabi.org/cpc/" TargetMode="External"/><Relationship Id="rId81" Type="http://schemas.openxmlformats.org/officeDocument/2006/relationships/hyperlink" Target="http://nt.ars-grin.gov/fungaldatabases/index.cfm" TargetMode="External"/><Relationship Id="rId86" Type="http://schemas.openxmlformats.org/officeDocument/2006/relationships/hyperlink" Target="http://www.extento.hawaii.edu/kbase/crop/type/a_destru.htm" TargetMode="External"/><Relationship Id="rId94" Type="http://schemas.openxmlformats.org/officeDocument/2006/relationships/hyperlink" Target="http://www.freshfromflorida.com/content/download/51395/1116140/PEST_ALERT_fiorinia_proboscidaria.pdf" TargetMode="External"/><Relationship Id="rId99" Type="http://schemas.openxmlformats.org/officeDocument/2006/relationships/footer" Target="footer2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agriculture.gov.au/" TargetMode="External"/><Relationship Id="rId39" Type="http://schemas.openxmlformats.org/officeDocument/2006/relationships/image" Target="media/image4.jpeg"/><Relationship Id="rId34" Type="http://schemas.openxmlformats.org/officeDocument/2006/relationships/header" Target="header13.xml"/><Relationship Id="rId50" Type="http://schemas.openxmlformats.org/officeDocument/2006/relationships/image" Target="media/image5.JPG"/><Relationship Id="rId55" Type="http://schemas.openxmlformats.org/officeDocument/2006/relationships/hyperlink" Target="http://agriculture.gov.au/import/goods/food/inspection-compliance/inspection-scheme" TargetMode="External"/><Relationship Id="rId76" Type="http://schemas.openxmlformats.org/officeDocument/2006/relationships/hyperlink" Target="http://www.pacifichorticulture.org/articles/orchard-trees-of-rancho-los-cerritos-lemon-lime-mandarin/" TargetMode="External"/><Relationship Id="rId97" Type="http://schemas.openxmlformats.org/officeDocument/2006/relationships/header" Target="header35.xml"/><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hyperlink" Target="https://www.daf.qld.gov.au/plants/fruit-and-vegetables/a-z-list-of-horticultural-insect-pests/cryptic-mealybug"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eader" Target="header16.xml"/><Relationship Id="rId45" Type="http://schemas.openxmlformats.org/officeDocument/2006/relationships/header" Target="header19.xml"/><Relationship Id="rId66" Type="http://schemas.openxmlformats.org/officeDocument/2006/relationships/footer" Target="footer16.xml"/><Relationship Id="rId87" Type="http://schemas.openxmlformats.org/officeDocument/2006/relationships/hyperlink" Target="http://www.extento.hawaii.edu/kbase/crop/type/d_neobre.htm" TargetMode="External"/><Relationship Id="rId61" Type="http://schemas.openxmlformats.org/officeDocument/2006/relationships/footer" Target="footer15.xml"/><Relationship Id="rId82" Type="http://schemas.openxmlformats.org/officeDocument/2006/relationships/hyperlink" Target="http://edis.ifas.ufl.edu/pdffiles/CH/CH05900.pdf" TargetMode="External"/><Relationship Id="rId19" Type="http://schemas.openxmlformats.org/officeDocument/2006/relationships/hyperlink" Target="mailto:plant@agriculture.gov.au" TargetMode="External"/><Relationship Id="rId14" Type="http://schemas.openxmlformats.org/officeDocument/2006/relationships/footer" Target="footer3.xml"/><Relationship Id="rId30" Type="http://schemas.openxmlformats.org/officeDocument/2006/relationships/hyperlink" Target="http://www.agriculture.gov.au/biosecurity/risk-analysis/guidelines" TargetMode="External"/><Relationship Id="rId35" Type="http://schemas.openxmlformats.org/officeDocument/2006/relationships/header" Target="header14.xml"/><Relationship Id="rId56" Type="http://schemas.openxmlformats.org/officeDocument/2006/relationships/hyperlink" Target="https://www.legislation.gov.au/" TargetMode="External"/><Relationship Id="rId77" Type="http://schemas.openxmlformats.org/officeDocument/2006/relationships/hyperlink" Target="https://www.agric.wa.gov.au/plant-biosecurity/spider-mite-pests-western-australian-plants" TargetMode="External"/><Relationship Id="rId100" Type="http://schemas.openxmlformats.org/officeDocument/2006/relationships/footer" Target="footer21.xml"/><Relationship Id="rId105"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hyperlink" Target="http://pld.spc.int/pld/" TargetMode="External"/><Relationship Id="rId98" Type="http://schemas.openxmlformats.org/officeDocument/2006/relationships/header" Target="header36.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10.xml"/><Relationship Id="rId67" Type="http://schemas.openxmlformats.org/officeDocument/2006/relationships/header" Target="header30.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7CA9A26-DAAB-4511-A454-BE12AB7D86D3}"/>
</file>

<file path=customXml/itemProps2.xml><?xml version="1.0" encoding="utf-8"?>
<ds:datastoreItem xmlns:ds="http://schemas.openxmlformats.org/officeDocument/2006/customXml" ds:itemID="{5F668B54-4C5B-4FE2-B586-E18D494BD170}"/>
</file>

<file path=customXml/itemProps3.xml><?xml version="1.0" encoding="utf-8"?>
<ds:datastoreItem xmlns:ds="http://schemas.openxmlformats.org/officeDocument/2006/customXml" ds:itemID="{06CA8810-2ABE-48C0-A5FC-EC497E8B91A5}"/>
</file>

<file path=customXml/itemProps4.xml><?xml version="1.0" encoding="utf-8"?>
<ds:datastoreItem xmlns:ds="http://schemas.openxmlformats.org/officeDocument/2006/customXml" ds:itemID="{4927E336-BB7B-48DF-82CF-F5FD9AFFEE7E}"/>
</file>

<file path=docProps/app.xml><?xml version="1.0" encoding="utf-8"?>
<Properties xmlns="http://schemas.openxmlformats.org/officeDocument/2006/extended-properties" xmlns:vt="http://schemas.openxmlformats.org/officeDocument/2006/docPropsVTypes">
  <Template>Normal</Template>
  <TotalTime>0</TotalTime>
  <Pages>3</Pages>
  <Words>30075</Words>
  <Characters>170230</Characters>
  <Application>Microsoft Office Word</Application>
  <DocSecurity>0</DocSecurity>
  <Lines>4600</Lines>
  <Paragraphs>2302</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198003</CharactersWithSpaces>
  <SharedDoc>false</SharedDoc>
  <HLinks>
    <vt:vector size="198" baseType="variant">
      <vt:variant>
        <vt:i4>7209066</vt:i4>
      </vt:variant>
      <vt:variant>
        <vt:i4>255</vt:i4>
      </vt:variant>
      <vt:variant>
        <vt:i4>0</vt:i4>
      </vt:variant>
      <vt:variant>
        <vt:i4>5</vt:i4>
      </vt:variant>
      <vt:variant>
        <vt:lpwstr>http://wbd.etibioinformatics.nl/bis/diaspididae.php?menuentry=inleiding</vt:lpwstr>
      </vt:variant>
      <vt:variant>
        <vt:lpwstr/>
      </vt:variant>
      <vt:variant>
        <vt:i4>5374014</vt:i4>
      </vt:variant>
      <vt:variant>
        <vt:i4>252</vt:i4>
      </vt:variant>
      <vt:variant>
        <vt:i4>0</vt:i4>
      </vt:variant>
      <vt:variant>
        <vt:i4>5</vt:i4>
      </vt:variant>
      <vt:variant>
        <vt:lpwstr>http://www.freshfromflorida.com/content/download/51395/1116140/PEST_ALERT_fiorinia_proboscidaria.pdf</vt:lpwstr>
      </vt:variant>
      <vt:variant>
        <vt:lpwstr/>
      </vt:variant>
      <vt:variant>
        <vt:i4>4522010</vt:i4>
      </vt:variant>
      <vt:variant>
        <vt:i4>249</vt:i4>
      </vt:variant>
      <vt:variant>
        <vt:i4>0</vt:i4>
      </vt:variant>
      <vt:variant>
        <vt:i4>5</vt:i4>
      </vt:variant>
      <vt:variant>
        <vt:lpwstr>http://www.cabi.org/dfb/FullTextPDF/2006/20063129257.pdf</vt:lpwstr>
      </vt:variant>
      <vt:variant>
        <vt:lpwstr/>
      </vt:variant>
      <vt:variant>
        <vt:i4>1769572</vt:i4>
      </vt:variant>
      <vt:variant>
        <vt:i4>246</vt:i4>
      </vt:variant>
      <vt:variant>
        <vt:i4>0</vt:i4>
      </vt:variant>
      <vt:variant>
        <vt:i4>5</vt:i4>
      </vt:variant>
      <vt:variant>
        <vt:lpwstr>http://www.extento.hawaii.edu/kbase/crop/Type/p_psidii.htm</vt:lpwstr>
      </vt:variant>
      <vt:variant>
        <vt:lpwstr/>
      </vt:variant>
      <vt:variant>
        <vt:i4>65648</vt:i4>
      </vt:variant>
      <vt:variant>
        <vt:i4>243</vt:i4>
      </vt:variant>
      <vt:variant>
        <vt:i4>0</vt:i4>
      </vt:variant>
      <vt:variant>
        <vt:i4>5</vt:i4>
      </vt:variant>
      <vt:variant>
        <vt:lpwstr>http://www.extento.hawaii.edu/kbase/crop/Type/c_longul.htm</vt:lpwstr>
      </vt:variant>
      <vt:variant>
        <vt:lpwstr/>
      </vt:variant>
      <vt:variant>
        <vt:i4>458867</vt:i4>
      </vt:variant>
      <vt:variant>
        <vt:i4>240</vt:i4>
      </vt:variant>
      <vt:variant>
        <vt:i4>0</vt:i4>
      </vt:variant>
      <vt:variant>
        <vt:i4>5</vt:i4>
      </vt:variant>
      <vt:variant>
        <vt:lpwstr>http://www.extento.hawaii.edu/kbase/crop/type/d_neobre.htm</vt:lpwstr>
      </vt:variant>
      <vt:variant>
        <vt:lpwstr/>
      </vt:variant>
      <vt:variant>
        <vt:i4>65632</vt:i4>
      </vt:variant>
      <vt:variant>
        <vt:i4>237</vt:i4>
      </vt:variant>
      <vt:variant>
        <vt:i4>0</vt:i4>
      </vt:variant>
      <vt:variant>
        <vt:i4>5</vt:i4>
      </vt:variant>
      <vt:variant>
        <vt:lpwstr>http://www.extento.hawaii.edu/kbase/crop/type/a_destru.htm</vt:lpwstr>
      </vt:variant>
      <vt:variant>
        <vt:lpwstr/>
      </vt:variant>
      <vt:variant>
        <vt:i4>131176</vt:i4>
      </vt:variant>
      <vt:variant>
        <vt:i4>234</vt:i4>
      </vt:variant>
      <vt:variant>
        <vt:i4>0</vt:i4>
      </vt:variant>
      <vt:variant>
        <vt:i4>5</vt:i4>
      </vt:variant>
      <vt:variant>
        <vt:lpwstr>http://www.extento.hawaii.edu/kbase/Crop/Type/a_cyanop.htm</vt:lpwstr>
      </vt:variant>
      <vt:variant>
        <vt:lpwstr/>
      </vt:variant>
      <vt:variant>
        <vt:i4>5898310</vt:i4>
      </vt:variant>
      <vt:variant>
        <vt:i4>231</vt:i4>
      </vt:variant>
      <vt:variant>
        <vt:i4>0</vt:i4>
      </vt:variant>
      <vt:variant>
        <vt:i4>5</vt:i4>
      </vt:variant>
      <vt:variant>
        <vt:lpwstr>http://ufdcimages.uflib.ufl.edu/IR/00/00/46/44/00001/CH08700.pdf</vt:lpwstr>
      </vt:variant>
      <vt:variant>
        <vt:lpwstr/>
      </vt:variant>
      <vt:variant>
        <vt:i4>1441811</vt:i4>
      </vt:variant>
      <vt:variant>
        <vt:i4>228</vt:i4>
      </vt:variant>
      <vt:variant>
        <vt:i4>0</vt:i4>
      </vt:variant>
      <vt:variant>
        <vt:i4>5</vt:i4>
      </vt:variant>
      <vt:variant>
        <vt:lpwstr>http://scalenet.info/</vt:lpwstr>
      </vt:variant>
      <vt:variant>
        <vt:lpwstr/>
      </vt:variant>
      <vt:variant>
        <vt:i4>262221</vt:i4>
      </vt:variant>
      <vt:variant>
        <vt:i4>225</vt:i4>
      </vt:variant>
      <vt:variant>
        <vt:i4>0</vt:i4>
      </vt:variant>
      <vt:variant>
        <vt:i4>5</vt:i4>
      </vt:variant>
      <vt:variant>
        <vt:lpwstr>http://edis.ifas.ufl.edu/pdffiles/CH/CH05900.pdf</vt:lpwstr>
      </vt:variant>
      <vt:variant>
        <vt:lpwstr/>
      </vt:variant>
      <vt:variant>
        <vt:i4>5832729</vt:i4>
      </vt:variant>
      <vt:variant>
        <vt:i4>222</vt:i4>
      </vt:variant>
      <vt:variant>
        <vt:i4>0</vt:i4>
      </vt:variant>
      <vt:variant>
        <vt:i4>5</vt:i4>
      </vt:variant>
      <vt:variant>
        <vt:lpwstr>http://nt.ars-grin.gov/fungaldatabases/index.cfm</vt:lpwstr>
      </vt:variant>
      <vt:variant>
        <vt:lpwstr/>
      </vt:variant>
      <vt:variant>
        <vt:i4>1703939</vt:i4>
      </vt:variant>
      <vt:variant>
        <vt:i4>219</vt:i4>
      </vt:variant>
      <vt:variant>
        <vt:i4>0</vt:i4>
      </vt:variant>
      <vt:variant>
        <vt:i4>5</vt:i4>
      </vt:variant>
      <vt:variant>
        <vt:lpwstr>http://www.eppo.int/QUARANTINE/insects/Unaspis_citri/UNASCI_ds.pdf</vt:lpwstr>
      </vt:variant>
      <vt:variant>
        <vt:lpwstr/>
      </vt:variant>
      <vt:variant>
        <vt:i4>4784207</vt:i4>
      </vt:variant>
      <vt:variant>
        <vt:i4>216</vt:i4>
      </vt:variant>
      <vt:variant>
        <vt:i4>0</vt:i4>
      </vt:variant>
      <vt:variant>
        <vt:i4>5</vt:i4>
      </vt:variant>
      <vt:variant>
        <vt:lpwstr>https://www.eppo.int/QUARANTINE/data_sheets/insects/UNASCI_ds.pdf</vt:lpwstr>
      </vt:variant>
      <vt:variant>
        <vt:lpwstr/>
      </vt:variant>
      <vt:variant>
        <vt:i4>4587596</vt:i4>
      </vt:variant>
      <vt:variant>
        <vt:i4>213</vt:i4>
      </vt:variant>
      <vt:variant>
        <vt:i4>0</vt:i4>
      </vt:variant>
      <vt:variant>
        <vt:i4>5</vt:i4>
      </vt:variant>
      <vt:variant>
        <vt:lpwstr>https://www.eppo.int/QUARANTINE/data_sheets/insects/SAISNI_ds.pdf</vt:lpwstr>
      </vt:variant>
      <vt:variant>
        <vt:lpwstr/>
      </vt:variant>
      <vt:variant>
        <vt:i4>5242947</vt:i4>
      </vt:variant>
      <vt:variant>
        <vt:i4>210</vt:i4>
      </vt:variant>
      <vt:variant>
        <vt:i4>0</vt:i4>
      </vt:variant>
      <vt:variant>
        <vt:i4>5</vt:i4>
      </vt:variant>
      <vt:variant>
        <vt:lpwstr>https://www.eppo.int/QUARANTINE/data_sheets/insects/BEMITA_ds.pdf</vt:lpwstr>
      </vt:variant>
      <vt:variant>
        <vt:lpwstr/>
      </vt:variant>
      <vt:variant>
        <vt:i4>3276852</vt:i4>
      </vt:variant>
      <vt:variant>
        <vt:i4>207</vt:i4>
      </vt:variant>
      <vt:variant>
        <vt:i4>0</vt:i4>
      </vt:variant>
      <vt:variant>
        <vt:i4>5</vt:i4>
      </vt:variant>
      <vt:variant>
        <vt:lpwstr>http://ecoport.org/</vt:lpwstr>
      </vt:variant>
      <vt:variant>
        <vt:lpwstr/>
      </vt:variant>
      <vt:variant>
        <vt:i4>6357024</vt:i4>
      </vt:variant>
      <vt:variant>
        <vt:i4>204</vt:i4>
      </vt:variant>
      <vt:variant>
        <vt:i4>0</vt:i4>
      </vt:variant>
      <vt:variant>
        <vt:i4>5</vt:i4>
      </vt:variant>
      <vt:variant>
        <vt:lpwstr>http://www.ces.csiro.au/aicn/name_s/b_1.htm</vt:lpwstr>
      </vt:variant>
      <vt:variant>
        <vt:lpwstr/>
      </vt:variant>
      <vt:variant>
        <vt:i4>393296</vt:i4>
      </vt:variant>
      <vt:variant>
        <vt:i4>201</vt:i4>
      </vt:variant>
      <vt:variant>
        <vt:i4>0</vt:i4>
      </vt:variant>
      <vt:variant>
        <vt:i4>5</vt:i4>
      </vt:variant>
      <vt:variant>
        <vt:lpwstr>http://www.cabi.org/cpc/</vt:lpwstr>
      </vt:variant>
      <vt:variant>
        <vt:lpwstr/>
      </vt:variant>
      <vt:variant>
        <vt:i4>6881398</vt:i4>
      </vt:variant>
      <vt:variant>
        <vt:i4>198</vt:i4>
      </vt:variant>
      <vt:variant>
        <vt:i4>0</vt:i4>
      </vt:variant>
      <vt:variant>
        <vt:i4>5</vt:i4>
      </vt:variant>
      <vt:variant>
        <vt:lpwstr>http://www.sel.barc.usda.gov/scalenet/query.htm</vt:lpwstr>
      </vt:variant>
      <vt:variant>
        <vt:lpwstr/>
      </vt:variant>
      <vt:variant>
        <vt:i4>7143483</vt:i4>
      </vt:variant>
      <vt:variant>
        <vt:i4>195</vt:i4>
      </vt:variant>
      <vt:variant>
        <vt:i4>0</vt:i4>
      </vt:variant>
      <vt:variant>
        <vt:i4>5</vt:i4>
      </vt:variant>
      <vt:variant>
        <vt:lpwstr>http://www.ala.org.au/</vt:lpwstr>
      </vt:variant>
      <vt:variant>
        <vt:lpwstr/>
      </vt:variant>
      <vt:variant>
        <vt:i4>6291492</vt:i4>
      </vt:variant>
      <vt:variant>
        <vt:i4>192</vt:i4>
      </vt:variant>
      <vt:variant>
        <vt:i4>0</vt:i4>
      </vt:variant>
      <vt:variant>
        <vt:i4>5</vt:i4>
      </vt:variant>
      <vt:variant>
        <vt:lpwstr>http://www.foodstandards.gov.au/code/changes/pages/default.aspx</vt:lpwstr>
      </vt:variant>
      <vt:variant>
        <vt:lpwstr/>
      </vt:variant>
      <vt:variant>
        <vt:i4>7733352</vt:i4>
      </vt:variant>
      <vt:variant>
        <vt:i4>189</vt:i4>
      </vt:variant>
      <vt:variant>
        <vt:i4>0</vt:i4>
      </vt:variant>
      <vt:variant>
        <vt:i4>5</vt:i4>
      </vt:variant>
      <vt:variant>
        <vt:lpwstr>http://www.foodstandards.gov.au/code/Pages/default.aspx</vt:lpwstr>
      </vt:variant>
      <vt:variant>
        <vt:lpwstr/>
      </vt:variant>
      <vt:variant>
        <vt:i4>2687022</vt:i4>
      </vt:variant>
      <vt:variant>
        <vt:i4>186</vt:i4>
      </vt:variant>
      <vt:variant>
        <vt:i4>0</vt:i4>
      </vt:variant>
      <vt:variant>
        <vt:i4>5</vt:i4>
      </vt:variant>
      <vt:variant>
        <vt:lpwstr>https://www.legislation.gov.au/</vt:lpwstr>
      </vt:variant>
      <vt:variant>
        <vt:lpwstr/>
      </vt:variant>
      <vt:variant>
        <vt:i4>6946942</vt:i4>
      </vt:variant>
      <vt:variant>
        <vt:i4>183</vt:i4>
      </vt:variant>
      <vt:variant>
        <vt:i4>0</vt:i4>
      </vt:variant>
      <vt:variant>
        <vt:i4>5</vt:i4>
      </vt:variant>
      <vt:variant>
        <vt:lpwstr>http://agriculture.gov.au/import/goods/food/inspection-compliance/inspection-scheme</vt:lpwstr>
      </vt:variant>
      <vt:variant>
        <vt:lpwstr/>
      </vt:variant>
      <vt:variant>
        <vt:i4>5242945</vt:i4>
      </vt:variant>
      <vt:variant>
        <vt:i4>153</vt:i4>
      </vt:variant>
      <vt:variant>
        <vt:i4>0</vt:i4>
      </vt:variant>
      <vt:variant>
        <vt:i4>5</vt:i4>
      </vt:variant>
      <vt:variant>
        <vt:lpwstr>https://bicon.agriculture.gov.au/BiconWeb4.0/</vt:lpwstr>
      </vt:variant>
      <vt:variant>
        <vt:lpwstr/>
      </vt:variant>
      <vt:variant>
        <vt:i4>7667827</vt:i4>
      </vt:variant>
      <vt:variant>
        <vt:i4>150</vt:i4>
      </vt:variant>
      <vt:variant>
        <vt:i4>0</vt:i4>
      </vt:variant>
      <vt:variant>
        <vt:i4>5</vt:i4>
      </vt:variant>
      <vt:variant>
        <vt:lpwstr>http://www.agriculture.gov.au/biosecurity/risk-analysis/guidelines</vt:lpwstr>
      </vt:variant>
      <vt:variant>
        <vt:lpwstr/>
      </vt:variant>
      <vt:variant>
        <vt:i4>6946928</vt:i4>
      </vt:variant>
      <vt:variant>
        <vt:i4>15</vt:i4>
      </vt:variant>
      <vt:variant>
        <vt:i4>0</vt:i4>
      </vt:variant>
      <vt:variant>
        <vt:i4>5</vt:i4>
      </vt:variant>
      <vt:variant>
        <vt:lpwstr>http://www.agriculture.gov.au/ba/memos</vt:lpwstr>
      </vt:variant>
      <vt:variant>
        <vt:lpwstr/>
      </vt:variant>
      <vt:variant>
        <vt:i4>8060954</vt:i4>
      </vt:variant>
      <vt:variant>
        <vt:i4>12</vt:i4>
      </vt:variant>
      <vt:variant>
        <vt:i4>0</vt:i4>
      </vt:variant>
      <vt:variant>
        <vt:i4>5</vt:i4>
      </vt:variant>
      <vt:variant>
        <vt:lpwstr>mailto:plant@agriculture.gov.au</vt:lpwstr>
      </vt:variant>
      <vt:variant>
        <vt:lpwstr/>
      </vt:variant>
      <vt:variant>
        <vt:i4>3342462</vt:i4>
      </vt:variant>
      <vt:variant>
        <vt:i4>9</vt:i4>
      </vt:variant>
      <vt:variant>
        <vt:i4>0</vt:i4>
      </vt:variant>
      <vt:variant>
        <vt:i4>5</vt:i4>
      </vt:variant>
      <vt:variant>
        <vt:lpwstr>http://daff.gov.au/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dc:creator>
  <cp:keywords>
  </cp:keywords>
  <dc:description>
  </dc:description>
  <cp:lastModifiedBy>
  </cp:lastModifiedBy>
  <cp:revision>1</cp:revision>
  <cp:lastPrinted>2018-03-26T23:50:26Z</cp:lastPrinted>
  <dcterms:created xsi:type="dcterms:W3CDTF">2018-03-26T23:50:26Z</dcterms:created>
  <dcterms:modified xsi:type="dcterms:W3CDTF">2018-03-26T23:50:26Z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