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1.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5.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4.xml" ContentType="application/vnd.openxmlformats-officedocument.wordprocessingml.header+xml"/>
  <Override PartName="/word/header12.xml" ContentType="application/vnd.openxmlformats-officedocument.wordprocessingml.header+xml"/>
  <Override PartName="/word/header15.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0.xml" ContentType="application/vnd.openxmlformats-officedocument.wordprocessingml.header+xml"/>
  <Override PartName="/word/header19.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8.xml" ContentType="application/vnd.openxmlformats-officedocument.wordprocessingml.header+xml"/>
  <Override PartName="/word/header1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32F" w:rsidRDefault="0085332F">
      <w:pPr>
        <w:pStyle w:val="Title"/>
        <w:pBdr>
          <w:bottom w:val="single" w:sz="4" w:space="1" w:color="auto"/>
        </w:pBdr>
        <w:spacing w:before="480"/>
        <w:rPr>
          <w:sz w:val="56"/>
          <w:szCs w:val="56"/>
        </w:rPr>
      </w:pPr>
      <w:r>
        <w:rPr>
          <w:noProof/>
          <w:sz w:val="56"/>
          <w:szCs w:val="56"/>
          <w:lang w:eastAsia="en-AU"/>
        </w:rPr>
        <w:drawing>
          <wp:anchor distT="0" distB="0" distL="114300" distR="114300" simplePos="0" relativeHeight="251658240" behindDoc="0" locked="0" layoutInCell="1" allowOverlap="1">
            <wp:simplePos x="0" y="0"/>
            <wp:positionH relativeFrom="column">
              <wp:posOffset>-163830</wp:posOffset>
            </wp:positionH>
            <wp:positionV relativeFrom="paragraph">
              <wp:posOffset>-227330</wp:posOffset>
            </wp:positionV>
            <wp:extent cx="2501900" cy="806450"/>
            <wp:effectExtent l="19050" t="0" r="0" b="0"/>
            <wp:wrapNone/>
            <wp:docPr id="5" name="Picture 1" descr="C:\Users\villinger vera\AppData\Local\Microsoft\Windows\Temporary Internet Files\Content.Word\Master%20Brandmark%20Inline%20-%20TIF[1].tiff"/>
            <wp:cNvGraphicFramePr/>
            <a:graphic xmlns:a="http://schemas.openxmlformats.org/drawingml/2006/main">
              <a:graphicData uri="http://schemas.openxmlformats.org/drawingml/2006/picture">
                <pic:pic xmlns:pic="http://schemas.openxmlformats.org/drawingml/2006/picture">
                  <pic:nvPicPr>
                    <pic:cNvPr id="0" name="Picture 1" descr="C:\Users\villinger vera\AppData\Local\Microsoft\Windows\Temporary Internet Files\Content.Word\Master%20Brandmark%20Inline%20-%20TIF[1].tiff"/>
                    <pic:cNvPicPr>
                      <a:picLocks noChangeAspect="1" noChangeArrowheads="1"/>
                    </pic:cNvPicPr>
                  </pic:nvPicPr>
                  <pic:blipFill>
                    <a:blip r:embed="rId8" cstate="print"/>
                    <a:stretch>
                      <a:fillRect/>
                    </a:stretch>
                  </pic:blipFill>
                  <pic:spPr bwMode="auto">
                    <a:xfrm>
                      <a:off x="0" y="0"/>
                      <a:ext cx="2501900" cy="806450"/>
                    </a:xfrm>
                    <a:prstGeom prst="rect">
                      <a:avLst/>
                    </a:prstGeom>
                    <a:noFill/>
                    <a:ln w="9525">
                      <a:noFill/>
                      <a:miter lim="800000"/>
                      <a:headEnd/>
                      <a:tailEnd/>
                    </a:ln>
                  </pic:spPr>
                </pic:pic>
              </a:graphicData>
            </a:graphic>
          </wp:anchor>
        </w:drawing>
      </w:r>
    </w:p>
    <w:p w:rsidR="00C74066" w:rsidRDefault="00F10705">
      <w:pPr>
        <w:pStyle w:val="Title"/>
        <w:pBdr>
          <w:bottom w:val="single" w:sz="4" w:space="1" w:color="auto"/>
        </w:pBdr>
        <w:spacing w:before="480"/>
        <w:rPr>
          <w:sz w:val="56"/>
          <w:szCs w:val="56"/>
        </w:rPr>
      </w:pPr>
      <w:r>
        <w:rPr>
          <w:sz w:val="56"/>
          <w:szCs w:val="56"/>
        </w:rPr>
        <w:t xml:space="preserve">Final review of policy: importation of </w:t>
      </w:r>
      <w:r>
        <w:rPr>
          <w:i/>
          <w:iCs/>
          <w:sz w:val="56"/>
          <w:szCs w:val="56"/>
        </w:rPr>
        <w:t xml:space="preserve">Phytophthora ramorum </w:t>
      </w:r>
      <w:r>
        <w:rPr>
          <w:sz w:val="56"/>
          <w:szCs w:val="56"/>
        </w:rPr>
        <w:t>host propagative material into Australia</w:t>
      </w:r>
    </w:p>
    <w:p w:rsidR="00C74066" w:rsidRDefault="00F10705">
      <w:pPr>
        <w:jc w:val="right"/>
      </w:pPr>
      <w:r>
        <w:t>November 2015</w:t>
      </w:r>
    </w:p>
    <w:p w:rsidR="00C74066" w:rsidRDefault="00F10705">
      <w:pPr>
        <w:pStyle w:val="Picture"/>
        <w:jc w:val="center"/>
      </w:pPr>
      <w:r>
        <w:rPr>
          <w:noProof/>
          <w:lang w:eastAsia="en-AU"/>
        </w:rPr>
        <w:drawing>
          <wp:inline distT="0" distB="0" distL="0" distR="0">
            <wp:extent cx="5342991" cy="5289386"/>
            <wp:effectExtent l="19050" t="0" r="0" b="0"/>
            <wp:docPr id="9" name="Picture 1" descr="The Australian Government Department of Agriculture Biosecurity Bi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ustralian Government Department of Agriculture Biosecurity Biosphere"/>
                    <pic:cNvPicPr>
                      <a:picLocks noChangeAspect="1" noChangeArrowheads="1"/>
                    </pic:cNvPicPr>
                  </pic:nvPicPr>
                  <pic:blipFill>
                    <a:blip r:embed="rId9" cstate="print"/>
                    <a:srcRect/>
                    <a:stretch>
                      <a:fillRect/>
                    </a:stretch>
                  </pic:blipFill>
                  <pic:spPr bwMode="auto">
                    <a:xfrm>
                      <a:off x="0" y="0"/>
                      <a:ext cx="5345893" cy="5292259"/>
                    </a:xfrm>
                    <a:prstGeom prst="rect">
                      <a:avLst/>
                    </a:prstGeom>
                    <a:noFill/>
                    <a:ln w="9525">
                      <a:noFill/>
                      <a:miter lim="800000"/>
                      <a:headEnd/>
                      <a:tailEnd/>
                    </a:ln>
                  </pic:spPr>
                </pic:pic>
              </a:graphicData>
            </a:graphic>
          </wp:inline>
        </w:drawing>
      </w:r>
    </w:p>
    <w:p w:rsidR="00C74066" w:rsidRDefault="00C74066">
      <w:pPr>
        <w:pStyle w:val="Picture"/>
      </w:pPr>
    </w:p>
    <w:p w:rsidR="00C74066" w:rsidRDefault="00C74066">
      <w:pPr>
        <w:pStyle w:val="Picture"/>
        <w:jc w:val="center"/>
      </w:pPr>
    </w:p>
    <w:p w:rsidR="00910023" w:rsidRDefault="00910023">
      <w:pPr>
        <w:pStyle w:val="Picture"/>
        <w:jc w:val="center"/>
        <w:sectPr w:rsidR="00910023">
          <w:headerReference w:type="default" r:id="rId10"/>
          <w:footerReference w:type="default" r:id="rId11"/>
          <w:headerReference w:type="first" r:id="rId12"/>
          <w:type w:val="oddPage"/>
          <w:pgSz w:w="11906" w:h="16838"/>
          <w:pgMar w:top="1418" w:right="1418" w:bottom="1418" w:left="1418" w:header="567" w:footer="283" w:gutter="0"/>
          <w:pgNumType w:fmt="lowerRoman" w:start="1"/>
          <w:cols w:space="708"/>
          <w:titlePg/>
          <w:docGrid w:linePitch="360"/>
        </w:sectPr>
      </w:pPr>
    </w:p>
    <w:p w:rsidR="00C74066" w:rsidRPr="008C146D" w:rsidRDefault="00F10705">
      <w:pPr>
        <w:pStyle w:val="Picture"/>
        <w:rPr>
          <w:rFonts w:asciiTheme="majorHAnsi" w:hAnsiTheme="majorHAnsi"/>
          <w:sz w:val="18"/>
          <w:szCs w:val="18"/>
        </w:rPr>
      </w:pPr>
      <w:r w:rsidRPr="008C146D">
        <w:rPr>
          <w:rFonts w:asciiTheme="majorHAnsi" w:hAnsiTheme="majorHAnsi"/>
          <w:sz w:val="18"/>
          <w:szCs w:val="18"/>
        </w:rPr>
        <w:lastRenderedPageBreak/>
        <w:t>© Commonwealth of Australia</w:t>
      </w:r>
      <w:r w:rsidR="00EF450D" w:rsidRPr="008C146D">
        <w:rPr>
          <w:rFonts w:asciiTheme="majorHAnsi" w:hAnsiTheme="majorHAnsi"/>
          <w:sz w:val="18"/>
          <w:szCs w:val="18"/>
        </w:rPr>
        <w:t xml:space="preserve"> 2015</w:t>
      </w:r>
    </w:p>
    <w:p w:rsidR="00C74066" w:rsidRPr="008C146D" w:rsidRDefault="00F10705">
      <w:pPr>
        <w:pStyle w:val="TableText"/>
        <w:rPr>
          <w:rFonts w:asciiTheme="majorHAnsi" w:hAnsiTheme="majorHAnsi"/>
          <w:b/>
          <w:szCs w:val="18"/>
        </w:rPr>
      </w:pPr>
      <w:r w:rsidRPr="008C146D">
        <w:rPr>
          <w:rFonts w:asciiTheme="majorHAnsi" w:hAnsiTheme="majorHAnsi"/>
          <w:b/>
          <w:szCs w:val="18"/>
        </w:rPr>
        <w:t>Ownership of intellectual property rights</w:t>
      </w:r>
    </w:p>
    <w:p w:rsidR="00C74066" w:rsidRPr="008C146D" w:rsidRDefault="00F10705">
      <w:pPr>
        <w:pStyle w:val="TableText"/>
        <w:spacing w:after="240"/>
        <w:rPr>
          <w:rFonts w:asciiTheme="majorHAnsi" w:hAnsiTheme="majorHAnsi"/>
          <w:szCs w:val="18"/>
        </w:rPr>
      </w:pPr>
      <w:r w:rsidRPr="008C146D">
        <w:rPr>
          <w:rFonts w:asciiTheme="majorHAnsi" w:hAnsiTheme="majorHAnsi"/>
        </w:rPr>
        <w:t>Unless otherwise noted, copyright (and any other intellectual property rights, if any) in this publication is owned by the Commonwealth of Australia (referred to as the Commonwealth</w:t>
      </w:r>
      <w:r w:rsidRPr="008C146D">
        <w:rPr>
          <w:rFonts w:asciiTheme="majorHAnsi" w:hAnsiTheme="majorHAnsi"/>
          <w:szCs w:val="18"/>
        </w:rPr>
        <w:t>).</w:t>
      </w:r>
    </w:p>
    <w:p w:rsidR="00C74066" w:rsidRPr="008C146D" w:rsidRDefault="00F10705">
      <w:pPr>
        <w:pStyle w:val="TableText"/>
        <w:rPr>
          <w:rFonts w:asciiTheme="majorHAnsi" w:hAnsiTheme="majorHAnsi"/>
          <w:b/>
          <w:szCs w:val="18"/>
        </w:rPr>
      </w:pPr>
      <w:r w:rsidRPr="008C146D">
        <w:rPr>
          <w:rFonts w:asciiTheme="majorHAnsi" w:hAnsiTheme="majorHAnsi"/>
          <w:b/>
          <w:szCs w:val="18"/>
        </w:rPr>
        <w:t>Creative Commons licence</w:t>
      </w:r>
    </w:p>
    <w:p w:rsidR="00C74066" w:rsidRPr="008C146D" w:rsidRDefault="00F10705">
      <w:pPr>
        <w:pStyle w:val="TableText"/>
        <w:spacing w:after="240"/>
        <w:rPr>
          <w:rFonts w:asciiTheme="majorHAnsi" w:hAnsiTheme="majorHAnsi"/>
          <w:szCs w:val="18"/>
        </w:rPr>
      </w:pPr>
      <w:r w:rsidRPr="008C146D">
        <w:rPr>
          <w:rFonts w:asciiTheme="majorHAnsi" w:hAnsiTheme="majorHAnsi"/>
          <w:szCs w:val="18"/>
        </w:rPr>
        <w:t>All material in this publication is licensed under a Creative Commons Attribution 3.0 Australia Licence, save for content supplied by third parties, photographic images, logos and the Commonwealth Coat of Arms.</w:t>
      </w:r>
    </w:p>
    <w:p w:rsidR="00C74066" w:rsidRPr="008C146D" w:rsidRDefault="00F10705">
      <w:pPr>
        <w:pStyle w:val="TableText"/>
        <w:spacing w:after="240"/>
        <w:rPr>
          <w:rFonts w:asciiTheme="majorHAnsi" w:hAnsiTheme="majorHAnsi"/>
          <w:szCs w:val="18"/>
        </w:rPr>
      </w:pPr>
      <w:r w:rsidRPr="008C146D">
        <w:rPr>
          <w:rFonts w:asciiTheme="majorHAnsi" w:hAnsiTheme="majorHAnsi"/>
          <w:noProof/>
          <w:szCs w:val="18"/>
          <w:lang w:eastAsia="en-AU"/>
        </w:rPr>
        <w:drawing>
          <wp:inline distT="0" distB="0" distL="0" distR="0">
            <wp:extent cx="724535" cy="260985"/>
            <wp:effectExtent l="19050" t="0" r="0" b="0"/>
            <wp:docPr id="1"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3" cstate="print"/>
                    <a:srcRect/>
                    <a:stretch>
                      <a:fillRect/>
                    </a:stretch>
                  </pic:blipFill>
                  <pic:spPr bwMode="auto">
                    <a:xfrm>
                      <a:off x="0" y="0"/>
                      <a:ext cx="724535" cy="260985"/>
                    </a:xfrm>
                    <a:prstGeom prst="rect">
                      <a:avLst/>
                    </a:prstGeom>
                    <a:noFill/>
                    <a:ln w="9525">
                      <a:noFill/>
                      <a:miter lim="800000"/>
                      <a:headEnd/>
                      <a:tailEnd/>
                    </a:ln>
                  </pic:spPr>
                </pic:pic>
              </a:graphicData>
            </a:graphic>
          </wp:inline>
        </w:drawing>
      </w:r>
    </w:p>
    <w:p w:rsidR="00C74066" w:rsidRPr="008C146D" w:rsidRDefault="00F10705">
      <w:pPr>
        <w:pStyle w:val="TableText"/>
        <w:spacing w:after="180"/>
        <w:rPr>
          <w:rFonts w:asciiTheme="majorHAnsi" w:hAnsiTheme="majorHAnsi"/>
          <w:szCs w:val="18"/>
        </w:rPr>
      </w:pPr>
      <w:r w:rsidRPr="008C146D">
        <w:rPr>
          <w:rFonts w:asciiTheme="majorHAnsi" w:hAnsiTheme="majorHAnsi"/>
          <w:szCs w:val="18"/>
        </w:rPr>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4" w:history="1">
        <w:r w:rsidRPr="008C146D">
          <w:rPr>
            <w:rStyle w:val="Hyperlink"/>
            <w:rFonts w:asciiTheme="majorHAnsi" w:hAnsiTheme="majorHAnsi"/>
          </w:rPr>
          <w:t>creativecommons.org/licenses/by/3.0/au/deed.en</w:t>
        </w:r>
      </w:hyperlink>
      <w:r w:rsidRPr="008C146D">
        <w:rPr>
          <w:rFonts w:asciiTheme="majorHAnsi" w:hAnsiTheme="majorHAnsi"/>
          <w:szCs w:val="18"/>
        </w:rPr>
        <w:t xml:space="preserve">. The full licence terms are available from </w:t>
      </w:r>
      <w:hyperlink r:id="rId15" w:history="1">
        <w:r w:rsidRPr="008C146D">
          <w:rPr>
            <w:rStyle w:val="Hyperlink"/>
            <w:rFonts w:asciiTheme="majorHAnsi" w:hAnsiTheme="majorHAnsi"/>
          </w:rPr>
          <w:t>creativecommons.org/licenses/by/3.0/au/legalcode</w:t>
        </w:r>
      </w:hyperlink>
      <w:r w:rsidRPr="008C146D">
        <w:rPr>
          <w:rFonts w:asciiTheme="majorHAnsi" w:hAnsiTheme="majorHAnsi"/>
          <w:szCs w:val="18"/>
        </w:rPr>
        <w:t>.</w:t>
      </w:r>
    </w:p>
    <w:p w:rsidR="00C74066" w:rsidRPr="008C146D" w:rsidRDefault="00F10705">
      <w:pPr>
        <w:pStyle w:val="TableText"/>
        <w:spacing w:after="180"/>
        <w:rPr>
          <w:rFonts w:asciiTheme="majorHAnsi" w:hAnsiTheme="majorHAnsi"/>
          <w:szCs w:val="18"/>
        </w:rPr>
      </w:pPr>
      <w:r w:rsidRPr="008C146D">
        <w:rPr>
          <w:rFonts w:asciiTheme="majorHAnsi" w:hAnsiTheme="majorHAnsi"/>
          <w:szCs w:val="18"/>
        </w:rPr>
        <w:t xml:space="preserve">Inquiries about the licence and any use of this document should be sent to </w:t>
      </w:r>
      <w:hyperlink r:id="rId16" w:history="1">
        <w:r w:rsidRPr="008C146D">
          <w:rPr>
            <w:rStyle w:val="Hyperlink"/>
            <w:rFonts w:asciiTheme="majorHAnsi" w:hAnsiTheme="majorHAnsi"/>
          </w:rPr>
          <w:t>copyright@agriculture.gov.au</w:t>
        </w:r>
      </w:hyperlink>
      <w:r w:rsidRPr="008C146D">
        <w:rPr>
          <w:rFonts w:asciiTheme="majorHAnsi" w:hAnsiTheme="majorHAnsi"/>
          <w:szCs w:val="18"/>
        </w:rPr>
        <w:t>.</w:t>
      </w:r>
    </w:p>
    <w:p w:rsidR="00C74066" w:rsidRPr="008C146D" w:rsidRDefault="00F10705">
      <w:pPr>
        <w:pStyle w:val="TableText"/>
        <w:spacing w:after="120"/>
        <w:rPr>
          <w:rFonts w:asciiTheme="majorHAnsi" w:hAnsiTheme="majorHAnsi" w:cs="Cambria"/>
          <w:szCs w:val="18"/>
        </w:rPr>
      </w:pPr>
      <w:r w:rsidRPr="008C146D">
        <w:rPr>
          <w:rFonts w:asciiTheme="majorHAnsi" w:hAnsiTheme="majorHAnsi"/>
          <w:szCs w:val="18"/>
        </w:rPr>
        <w:t xml:space="preserve">This publication (and any material sourced from it) should be attributed as: Australian Department of Agriculture and Water Resources </w:t>
      </w:r>
      <w:r w:rsidRPr="008C146D">
        <w:rPr>
          <w:rFonts w:asciiTheme="majorHAnsi" w:hAnsiTheme="majorHAnsi" w:cs="Cambria"/>
          <w:szCs w:val="18"/>
        </w:rPr>
        <w:t>2015</w:t>
      </w:r>
      <w:r w:rsidR="00EF450D" w:rsidRPr="008C146D">
        <w:rPr>
          <w:rFonts w:asciiTheme="majorHAnsi" w:hAnsiTheme="majorHAnsi" w:cs="Cambria"/>
          <w:szCs w:val="18"/>
        </w:rPr>
        <w:t xml:space="preserve">, </w:t>
      </w:r>
      <w:r w:rsidRPr="008C146D">
        <w:rPr>
          <w:rFonts w:asciiTheme="majorHAnsi" w:hAnsiTheme="majorHAnsi" w:cs="Cambria"/>
          <w:i/>
          <w:szCs w:val="18"/>
        </w:rPr>
        <w:t>Final review of policy: importation of</w:t>
      </w:r>
      <w:r w:rsidRPr="008C146D">
        <w:rPr>
          <w:rFonts w:asciiTheme="majorHAnsi" w:hAnsiTheme="majorHAnsi" w:cs="Cambria"/>
          <w:szCs w:val="18"/>
        </w:rPr>
        <w:t xml:space="preserve"> Phytophthora ramorum </w:t>
      </w:r>
      <w:r w:rsidRPr="008C146D">
        <w:rPr>
          <w:rFonts w:asciiTheme="majorHAnsi" w:hAnsiTheme="majorHAnsi" w:cs="Cambria"/>
          <w:i/>
          <w:szCs w:val="18"/>
        </w:rPr>
        <w:t>host propagative material into Australia</w:t>
      </w:r>
      <w:r w:rsidRPr="008C146D">
        <w:rPr>
          <w:rFonts w:asciiTheme="majorHAnsi" w:hAnsiTheme="majorHAnsi"/>
          <w:i/>
          <w:szCs w:val="18"/>
        </w:rPr>
        <w:t>.</w:t>
      </w:r>
      <w:r w:rsidRPr="008C146D">
        <w:rPr>
          <w:rFonts w:asciiTheme="majorHAnsi" w:hAnsiTheme="majorHAnsi"/>
          <w:szCs w:val="18"/>
        </w:rPr>
        <w:t xml:space="preserve"> CC BY 3.0. </w:t>
      </w:r>
    </w:p>
    <w:p w:rsidR="00C74066" w:rsidRPr="008C146D" w:rsidRDefault="00F10705">
      <w:pPr>
        <w:rPr>
          <w:rFonts w:asciiTheme="majorHAnsi" w:hAnsiTheme="majorHAnsi" w:cs="Cambria"/>
          <w:b/>
          <w:bCs/>
          <w:sz w:val="18"/>
          <w:szCs w:val="18"/>
        </w:rPr>
      </w:pPr>
      <w:r w:rsidRPr="008C146D">
        <w:rPr>
          <w:rFonts w:asciiTheme="majorHAnsi" w:hAnsiTheme="majorHAnsi" w:cs="Cambria"/>
          <w:b/>
          <w:bCs/>
          <w:sz w:val="18"/>
          <w:szCs w:val="18"/>
        </w:rPr>
        <w:t>Cataloguing data</w:t>
      </w:r>
    </w:p>
    <w:p w:rsidR="00C74066" w:rsidRPr="008C146D" w:rsidRDefault="00F10705">
      <w:pPr>
        <w:pStyle w:val="TableText"/>
        <w:spacing w:after="180"/>
        <w:rPr>
          <w:rFonts w:asciiTheme="majorHAnsi" w:hAnsiTheme="majorHAnsi" w:cs="Cambria"/>
          <w:szCs w:val="18"/>
        </w:rPr>
      </w:pPr>
      <w:r w:rsidRPr="008C146D">
        <w:rPr>
          <w:rFonts w:asciiTheme="majorHAnsi" w:hAnsiTheme="majorHAnsi" w:cs="Cambria"/>
          <w:szCs w:val="18"/>
        </w:rPr>
        <w:t>Department of A</w:t>
      </w:r>
      <w:r w:rsidR="00EF450D" w:rsidRPr="008C146D">
        <w:rPr>
          <w:rFonts w:asciiTheme="majorHAnsi" w:hAnsiTheme="majorHAnsi" w:cs="Cambria"/>
          <w:szCs w:val="18"/>
        </w:rPr>
        <w:t xml:space="preserve">griculture and Water Resources </w:t>
      </w:r>
      <w:r w:rsidRPr="008C146D">
        <w:rPr>
          <w:rFonts w:asciiTheme="majorHAnsi" w:hAnsiTheme="majorHAnsi" w:cs="Cambria"/>
          <w:szCs w:val="18"/>
        </w:rPr>
        <w:t>2015</w:t>
      </w:r>
      <w:r w:rsidR="00EF450D" w:rsidRPr="008C146D">
        <w:rPr>
          <w:rFonts w:asciiTheme="majorHAnsi" w:hAnsiTheme="majorHAnsi" w:cs="Cambria"/>
          <w:szCs w:val="18"/>
        </w:rPr>
        <w:t>,</w:t>
      </w:r>
      <w:r w:rsidRPr="008C146D">
        <w:rPr>
          <w:rFonts w:asciiTheme="majorHAnsi" w:hAnsiTheme="majorHAnsi" w:cs="Cambria"/>
          <w:szCs w:val="18"/>
        </w:rPr>
        <w:t xml:space="preserve"> Final review of policy: importation of </w:t>
      </w:r>
      <w:r w:rsidRPr="008C146D">
        <w:rPr>
          <w:rFonts w:asciiTheme="majorHAnsi" w:hAnsiTheme="majorHAnsi" w:cs="Cambria"/>
          <w:i/>
          <w:szCs w:val="18"/>
        </w:rPr>
        <w:t>Phytophthora ramorum</w:t>
      </w:r>
      <w:r w:rsidRPr="008C146D">
        <w:rPr>
          <w:rFonts w:asciiTheme="majorHAnsi" w:hAnsiTheme="majorHAnsi" w:cs="Cambria"/>
          <w:szCs w:val="18"/>
        </w:rPr>
        <w:t xml:space="preserve"> host propagative material into Australia. Department of Agriculture and Water Resources, Canberra.</w:t>
      </w:r>
    </w:p>
    <w:p w:rsidR="00C74066" w:rsidRPr="008C146D" w:rsidRDefault="00F10705">
      <w:pPr>
        <w:pStyle w:val="TableText"/>
        <w:spacing w:after="120"/>
        <w:rPr>
          <w:rFonts w:asciiTheme="majorHAnsi" w:hAnsiTheme="majorHAnsi"/>
          <w:szCs w:val="18"/>
        </w:rPr>
      </w:pPr>
      <w:r w:rsidRPr="008C146D">
        <w:rPr>
          <w:rFonts w:asciiTheme="majorHAnsi" w:hAnsiTheme="majorHAnsi"/>
          <w:szCs w:val="18"/>
        </w:rPr>
        <w:t xml:space="preserve">This publication is available at </w:t>
      </w:r>
      <w:hyperlink r:id="rId17" w:history="1">
        <w:r w:rsidRPr="008C146D">
          <w:rPr>
            <w:rStyle w:val="Hyperlink"/>
            <w:rFonts w:asciiTheme="majorHAnsi" w:hAnsiTheme="majorHAnsi"/>
          </w:rPr>
          <w:t>agriculture.gov.au</w:t>
        </w:r>
      </w:hyperlink>
      <w:r w:rsidRPr="008C146D">
        <w:rPr>
          <w:rFonts w:asciiTheme="majorHAnsi" w:hAnsiTheme="majorHAnsi"/>
          <w:szCs w:val="18"/>
        </w:rPr>
        <w:t>.</w:t>
      </w:r>
    </w:p>
    <w:p w:rsidR="00C74066" w:rsidRPr="008C146D" w:rsidRDefault="00F10705">
      <w:pPr>
        <w:pStyle w:val="TableText"/>
        <w:rPr>
          <w:rFonts w:asciiTheme="majorHAnsi" w:hAnsiTheme="majorHAnsi"/>
          <w:szCs w:val="18"/>
        </w:rPr>
      </w:pPr>
      <w:r w:rsidRPr="008C146D">
        <w:rPr>
          <w:rFonts w:asciiTheme="majorHAnsi" w:hAnsiTheme="majorHAnsi"/>
          <w:szCs w:val="18"/>
        </w:rPr>
        <w:t>Australian Department of Agriculture and Water Resources</w:t>
      </w:r>
    </w:p>
    <w:p w:rsidR="00C74066" w:rsidRPr="008C146D" w:rsidRDefault="00F10705">
      <w:pPr>
        <w:pStyle w:val="TableText"/>
        <w:tabs>
          <w:tab w:val="center" w:pos="4535"/>
        </w:tabs>
        <w:rPr>
          <w:rFonts w:asciiTheme="majorHAnsi" w:hAnsiTheme="majorHAnsi"/>
          <w:szCs w:val="18"/>
        </w:rPr>
      </w:pPr>
      <w:r w:rsidRPr="008C146D">
        <w:rPr>
          <w:rFonts w:asciiTheme="majorHAnsi" w:hAnsiTheme="majorHAnsi"/>
          <w:szCs w:val="18"/>
        </w:rPr>
        <w:t>Postal address: GPO Box 858 Canberra ACT 2601</w:t>
      </w:r>
    </w:p>
    <w:p w:rsidR="00C74066" w:rsidRPr="008C146D" w:rsidRDefault="00F10705">
      <w:pPr>
        <w:pStyle w:val="TableText"/>
        <w:rPr>
          <w:rFonts w:asciiTheme="majorHAnsi" w:hAnsiTheme="majorHAnsi"/>
          <w:szCs w:val="18"/>
        </w:rPr>
      </w:pPr>
      <w:r w:rsidRPr="008C146D">
        <w:rPr>
          <w:rFonts w:asciiTheme="majorHAnsi" w:hAnsiTheme="majorHAnsi"/>
          <w:szCs w:val="18"/>
        </w:rPr>
        <w:t>Switchboard:</w:t>
      </w:r>
      <w:r w:rsidRPr="008C146D">
        <w:rPr>
          <w:rFonts w:asciiTheme="majorHAnsi" w:hAnsiTheme="majorHAnsi"/>
          <w:szCs w:val="18"/>
        </w:rPr>
        <w:tab/>
        <w:t xml:space="preserve"> </w:t>
      </w:r>
      <w:r w:rsidR="00EF450D" w:rsidRPr="008C146D">
        <w:rPr>
          <w:rFonts w:asciiTheme="majorHAnsi" w:hAnsiTheme="majorHAnsi"/>
          <w:szCs w:val="18"/>
        </w:rPr>
        <w:t>+61 2 6272 3933 or 1800 900 090</w:t>
      </w:r>
    </w:p>
    <w:p w:rsidR="00C74066" w:rsidRPr="008C146D" w:rsidRDefault="00F10705">
      <w:pPr>
        <w:pStyle w:val="TableText"/>
        <w:rPr>
          <w:rFonts w:asciiTheme="majorHAnsi" w:hAnsiTheme="majorHAnsi"/>
          <w:szCs w:val="18"/>
        </w:rPr>
      </w:pPr>
      <w:r w:rsidRPr="008C146D">
        <w:rPr>
          <w:rFonts w:asciiTheme="majorHAnsi" w:hAnsiTheme="majorHAnsi"/>
          <w:szCs w:val="18"/>
        </w:rPr>
        <w:t>Facsimile:</w:t>
      </w:r>
      <w:r w:rsidRPr="008C146D">
        <w:rPr>
          <w:rFonts w:asciiTheme="majorHAnsi" w:hAnsiTheme="majorHAnsi"/>
          <w:szCs w:val="18"/>
        </w:rPr>
        <w:tab/>
        <w:t xml:space="preserve"> </w:t>
      </w:r>
      <w:r w:rsidR="008C146D" w:rsidRPr="008C146D">
        <w:rPr>
          <w:rFonts w:asciiTheme="majorHAnsi" w:hAnsiTheme="majorHAnsi"/>
          <w:szCs w:val="18"/>
        </w:rPr>
        <w:t>+61 2 6272 3307</w:t>
      </w:r>
    </w:p>
    <w:p w:rsidR="008C146D" w:rsidRPr="008C146D" w:rsidRDefault="008C146D" w:rsidP="008C146D">
      <w:pPr>
        <w:pStyle w:val="TableText"/>
        <w:tabs>
          <w:tab w:val="left" w:pos="1134"/>
        </w:tabs>
        <w:spacing w:after="240"/>
        <w:rPr>
          <w:rFonts w:asciiTheme="majorHAnsi" w:hAnsiTheme="majorHAnsi"/>
        </w:rPr>
      </w:pPr>
      <w:r w:rsidRPr="008C146D">
        <w:rPr>
          <w:rFonts w:asciiTheme="majorHAnsi" w:hAnsiTheme="majorHAnsi"/>
        </w:rPr>
        <w:t>Email:</w:t>
      </w:r>
      <w:r w:rsidRPr="008C146D">
        <w:rPr>
          <w:rFonts w:asciiTheme="majorHAnsi" w:hAnsiTheme="majorHAnsi"/>
        </w:rPr>
        <w:tab/>
      </w:r>
      <w:r w:rsidRPr="008C146D">
        <w:rPr>
          <w:rFonts w:asciiTheme="majorHAnsi" w:hAnsiTheme="majorHAnsi"/>
        </w:rPr>
        <w:tab/>
      </w:r>
      <w:hyperlink r:id="rId18" w:history="1">
        <w:r w:rsidRPr="008C146D">
          <w:rPr>
            <w:rStyle w:val="Hyperlink"/>
            <w:rFonts w:asciiTheme="majorHAnsi" w:hAnsiTheme="majorHAnsi"/>
          </w:rPr>
          <w:t>plant@agriculture.gov.au</w:t>
        </w:r>
      </w:hyperlink>
    </w:p>
    <w:p w:rsidR="008C146D" w:rsidRPr="008C146D" w:rsidRDefault="008C146D" w:rsidP="008C146D">
      <w:pPr>
        <w:pStyle w:val="TableText"/>
        <w:rPr>
          <w:rFonts w:asciiTheme="majorHAnsi" w:hAnsiTheme="majorHAnsi"/>
          <w:b/>
        </w:rPr>
      </w:pPr>
      <w:r w:rsidRPr="008C146D">
        <w:rPr>
          <w:rFonts w:asciiTheme="majorHAnsi" w:hAnsiTheme="majorHAnsi"/>
          <w:b/>
        </w:rPr>
        <w:t>Liability</w:t>
      </w:r>
    </w:p>
    <w:p w:rsidR="008C146D" w:rsidRPr="008C146D" w:rsidRDefault="008C146D" w:rsidP="008C146D">
      <w:pPr>
        <w:pStyle w:val="TableText"/>
        <w:spacing w:after="240"/>
        <w:rPr>
          <w:rFonts w:asciiTheme="majorHAnsi" w:hAnsiTheme="majorHAnsi"/>
        </w:rPr>
      </w:pPr>
      <w:r w:rsidRPr="008C146D">
        <w:rPr>
          <w:rFonts w:asciiTheme="majorHAnsi" w:hAnsiTheme="majorHAnsi"/>
        </w:rPr>
        <w:t>The Australian Government acting through the Department of Agriculture and Water Resources has exercised due care and skill in preparing and compiling the information in this publication. Notwithstanding, the Australian Government Department of Agriculture and Water Resources,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rsidR="00C74066" w:rsidRDefault="00C74066">
      <w:pPr>
        <w:pStyle w:val="TableText"/>
        <w:spacing w:after="120"/>
        <w:rPr>
          <w:rFonts w:ascii="Cambria" w:hAnsi="Cambria"/>
          <w:szCs w:val="18"/>
        </w:rPr>
      </w:pPr>
    </w:p>
    <w:p w:rsidR="00C74066" w:rsidRDefault="00C74066">
      <w:pPr>
        <w:pStyle w:val="TableText"/>
        <w:spacing w:after="120"/>
        <w:rPr>
          <w:rFonts w:ascii="Cambria" w:hAnsi="Cambria"/>
          <w:szCs w:val="18"/>
        </w:rPr>
        <w:sectPr w:rsidR="00C74066">
          <w:headerReference w:type="default" r:id="rId19"/>
          <w:headerReference w:type="first" r:id="rId20"/>
          <w:footerReference w:type="first" r:id="rId21"/>
          <w:pgSz w:w="11906" w:h="16838"/>
          <w:pgMar w:top="1418" w:right="1418" w:bottom="1418" w:left="1418" w:header="567" w:footer="283" w:gutter="0"/>
          <w:pgNumType w:fmt="lowerRoman"/>
          <w:cols w:space="708"/>
          <w:titlePg/>
          <w:docGrid w:linePitch="360"/>
        </w:sectPr>
      </w:pPr>
    </w:p>
    <w:p w:rsidR="00C74066" w:rsidRDefault="00F10705">
      <w:pPr>
        <w:pStyle w:val="TOCHeading"/>
        <w:pageBreakBefore w:val="0"/>
        <w:spacing w:before="0" w:after="120"/>
        <w:rPr>
          <w:rFonts w:eastAsiaTheme="majorEastAsia" w:cstheme="majorBidi"/>
          <w:b/>
          <w:color w:val="D52B1E"/>
          <w:sz w:val="34"/>
          <w:lang w:val="en-AU"/>
        </w:rPr>
      </w:pPr>
      <w:r>
        <w:rPr>
          <w:rFonts w:eastAsiaTheme="majorEastAsia" w:cstheme="majorBidi"/>
          <w:b/>
          <w:color w:val="D52B1E"/>
          <w:sz w:val="34"/>
          <w:lang w:val="en-AU"/>
        </w:rPr>
        <w:lastRenderedPageBreak/>
        <w:t>Contents</w:t>
      </w:r>
    </w:p>
    <w:p w:rsidR="00314517" w:rsidRDefault="00C57DCF">
      <w:pPr>
        <w:pStyle w:val="TOC1"/>
        <w:rPr>
          <w:rFonts w:eastAsiaTheme="minorEastAsia"/>
          <w:b w:val="0"/>
          <w:noProof/>
          <w:lang w:eastAsia="en-AU"/>
        </w:rPr>
      </w:pPr>
      <w:r w:rsidRPr="00C57DCF">
        <w:rPr>
          <w:rFonts w:asciiTheme="majorHAnsi" w:hAnsiTheme="majorHAnsi"/>
          <w:b w:val="0"/>
          <w:bCs/>
          <w:sz w:val="20"/>
          <w:szCs w:val="20"/>
        </w:rPr>
        <w:fldChar w:fldCharType="begin"/>
      </w:r>
      <w:r w:rsidR="00F10705">
        <w:rPr>
          <w:rFonts w:asciiTheme="majorHAnsi" w:hAnsiTheme="majorHAnsi"/>
          <w:b w:val="0"/>
          <w:bCs/>
          <w:sz w:val="20"/>
          <w:szCs w:val="20"/>
        </w:rPr>
        <w:instrText xml:space="preserve"> TOC \o "1-2" </w:instrText>
      </w:r>
      <w:r w:rsidRPr="00C57DCF">
        <w:rPr>
          <w:rFonts w:asciiTheme="majorHAnsi" w:hAnsiTheme="majorHAnsi"/>
          <w:b w:val="0"/>
          <w:bCs/>
          <w:sz w:val="20"/>
          <w:szCs w:val="20"/>
        </w:rPr>
        <w:fldChar w:fldCharType="separate"/>
      </w:r>
      <w:r w:rsidR="00314517" w:rsidRPr="00861CDE">
        <w:rPr>
          <w:noProof/>
        </w:rPr>
        <w:t>Acronyms and abbreviations</w:t>
      </w:r>
      <w:r w:rsidR="00314517">
        <w:rPr>
          <w:noProof/>
        </w:rPr>
        <w:tab/>
      </w:r>
      <w:r>
        <w:rPr>
          <w:noProof/>
        </w:rPr>
        <w:fldChar w:fldCharType="begin"/>
      </w:r>
      <w:r w:rsidR="00314517">
        <w:rPr>
          <w:noProof/>
        </w:rPr>
        <w:instrText xml:space="preserve"> PAGEREF _Toc434247460 \h </w:instrText>
      </w:r>
      <w:r>
        <w:rPr>
          <w:noProof/>
        </w:rPr>
      </w:r>
      <w:r>
        <w:rPr>
          <w:noProof/>
        </w:rPr>
        <w:fldChar w:fldCharType="separate"/>
      </w:r>
      <w:r w:rsidR="00AF2121">
        <w:rPr>
          <w:noProof/>
        </w:rPr>
        <w:t>vi</w:t>
      </w:r>
      <w:r>
        <w:rPr>
          <w:noProof/>
        </w:rPr>
        <w:fldChar w:fldCharType="end"/>
      </w:r>
    </w:p>
    <w:p w:rsidR="00314517" w:rsidRDefault="00314517">
      <w:pPr>
        <w:pStyle w:val="TOC1"/>
        <w:rPr>
          <w:rFonts w:eastAsiaTheme="minorEastAsia"/>
          <w:b w:val="0"/>
          <w:noProof/>
          <w:lang w:eastAsia="en-AU"/>
        </w:rPr>
      </w:pPr>
      <w:r w:rsidRPr="00861CDE">
        <w:rPr>
          <w:noProof/>
        </w:rPr>
        <w:t>Summary</w:t>
      </w:r>
      <w:r>
        <w:rPr>
          <w:noProof/>
        </w:rPr>
        <w:tab/>
      </w:r>
      <w:r w:rsidR="00C57DCF">
        <w:rPr>
          <w:noProof/>
        </w:rPr>
        <w:fldChar w:fldCharType="begin"/>
      </w:r>
      <w:r>
        <w:rPr>
          <w:noProof/>
        </w:rPr>
        <w:instrText xml:space="preserve"> PAGEREF _Toc434247461 \h </w:instrText>
      </w:r>
      <w:r w:rsidR="00C57DCF">
        <w:rPr>
          <w:noProof/>
        </w:rPr>
      </w:r>
      <w:r w:rsidR="00C57DCF">
        <w:rPr>
          <w:noProof/>
        </w:rPr>
        <w:fldChar w:fldCharType="separate"/>
      </w:r>
      <w:r w:rsidR="00AF2121">
        <w:rPr>
          <w:noProof/>
        </w:rPr>
        <w:t>1</w:t>
      </w:r>
      <w:r w:rsidR="00C57DCF">
        <w:rPr>
          <w:noProof/>
        </w:rPr>
        <w:fldChar w:fldCharType="end"/>
      </w:r>
    </w:p>
    <w:p w:rsidR="00314517" w:rsidRDefault="00314517">
      <w:pPr>
        <w:pStyle w:val="TOC1"/>
        <w:rPr>
          <w:rFonts w:eastAsiaTheme="minorEastAsia"/>
          <w:b w:val="0"/>
          <w:noProof/>
          <w:lang w:eastAsia="en-AU"/>
        </w:rPr>
      </w:pPr>
      <w:r w:rsidRPr="00861CDE">
        <w:rPr>
          <w:rFonts w:ascii="Arial" w:eastAsiaTheme="majorEastAsia" w:hAnsi="Arial" w:cstheme="majorBidi"/>
          <w:noProof/>
          <w:color w:val="D52B1E"/>
        </w:rPr>
        <w:t>1.</w:t>
      </w:r>
      <w:r>
        <w:rPr>
          <w:rFonts w:eastAsiaTheme="minorEastAsia"/>
          <w:b w:val="0"/>
          <w:noProof/>
          <w:lang w:eastAsia="en-AU"/>
        </w:rPr>
        <w:tab/>
      </w:r>
      <w:r w:rsidRPr="00861CDE">
        <w:rPr>
          <w:rFonts w:eastAsiaTheme="majorEastAsia" w:cstheme="majorBidi"/>
          <w:noProof/>
          <w:color w:val="D52B1E"/>
        </w:rPr>
        <w:t>Introduction</w:t>
      </w:r>
      <w:r>
        <w:rPr>
          <w:noProof/>
        </w:rPr>
        <w:tab/>
      </w:r>
      <w:r w:rsidR="00C57DCF">
        <w:rPr>
          <w:noProof/>
        </w:rPr>
        <w:fldChar w:fldCharType="begin"/>
      </w:r>
      <w:r>
        <w:rPr>
          <w:noProof/>
        </w:rPr>
        <w:instrText xml:space="preserve"> PAGEREF _Toc434247462 \h </w:instrText>
      </w:r>
      <w:r w:rsidR="00C57DCF">
        <w:rPr>
          <w:noProof/>
        </w:rPr>
      </w:r>
      <w:r w:rsidR="00C57DCF">
        <w:rPr>
          <w:noProof/>
        </w:rPr>
        <w:fldChar w:fldCharType="separate"/>
      </w:r>
      <w:r w:rsidR="00AF2121">
        <w:rPr>
          <w:noProof/>
        </w:rPr>
        <w:t>3</w:t>
      </w:r>
      <w:r w:rsidR="00C57DCF">
        <w:rPr>
          <w:noProof/>
        </w:rPr>
        <w:fldChar w:fldCharType="end"/>
      </w:r>
    </w:p>
    <w:p w:rsidR="00314517" w:rsidRDefault="00314517">
      <w:pPr>
        <w:pStyle w:val="TOC2"/>
        <w:tabs>
          <w:tab w:val="left" w:pos="1800"/>
        </w:tabs>
        <w:rPr>
          <w:rFonts w:eastAsiaTheme="minorEastAsia"/>
          <w:noProof/>
          <w:lang w:eastAsia="en-AU"/>
        </w:rPr>
      </w:pPr>
      <w:r w:rsidRPr="00861CDE">
        <w:rPr>
          <w:rFonts w:eastAsiaTheme="majorEastAsia" w:cstheme="majorBidi"/>
          <w:noProof/>
          <w:color w:val="773141"/>
        </w:rPr>
        <w:t>1.1</w:t>
      </w:r>
      <w:r>
        <w:rPr>
          <w:rFonts w:eastAsiaTheme="minorEastAsia"/>
          <w:noProof/>
          <w:lang w:eastAsia="en-AU"/>
        </w:rPr>
        <w:tab/>
      </w:r>
      <w:r w:rsidRPr="00861CDE">
        <w:rPr>
          <w:rFonts w:eastAsiaTheme="majorEastAsia" w:cstheme="majorBidi"/>
          <w:noProof/>
          <w:color w:val="773141"/>
        </w:rPr>
        <w:t>Australia’s biosecurity policy framework</w:t>
      </w:r>
      <w:r>
        <w:rPr>
          <w:noProof/>
        </w:rPr>
        <w:tab/>
      </w:r>
      <w:r w:rsidR="00C57DCF">
        <w:rPr>
          <w:noProof/>
        </w:rPr>
        <w:fldChar w:fldCharType="begin"/>
      </w:r>
      <w:r>
        <w:rPr>
          <w:noProof/>
        </w:rPr>
        <w:instrText xml:space="preserve"> PAGEREF _Toc434247463 \h </w:instrText>
      </w:r>
      <w:r w:rsidR="00C57DCF">
        <w:rPr>
          <w:noProof/>
        </w:rPr>
      </w:r>
      <w:r w:rsidR="00C57DCF">
        <w:rPr>
          <w:noProof/>
        </w:rPr>
        <w:fldChar w:fldCharType="separate"/>
      </w:r>
      <w:r w:rsidR="00AF2121">
        <w:rPr>
          <w:noProof/>
        </w:rPr>
        <w:t>3</w:t>
      </w:r>
      <w:r w:rsidR="00C57DCF">
        <w:rPr>
          <w:noProof/>
        </w:rPr>
        <w:fldChar w:fldCharType="end"/>
      </w:r>
    </w:p>
    <w:p w:rsidR="00314517" w:rsidRDefault="00314517">
      <w:pPr>
        <w:pStyle w:val="TOC2"/>
        <w:tabs>
          <w:tab w:val="left" w:pos="1800"/>
        </w:tabs>
        <w:rPr>
          <w:rFonts w:eastAsiaTheme="minorEastAsia"/>
          <w:noProof/>
          <w:lang w:eastAsia="en-AU"/>
        </w:rPr>
      </w:pPr>
      <w:r w:rsidRPr="00861CDE">
        <w:rPr>
          <w:rFonts w:eastAsiaTheme="majorEastAsia" w:cstheme="majorBidi"/>
          <w:noProof/>
          <w:color w:val="773141"/>
        </w:rPr>
        <w:t>1.2</w:t>
      </w:r>
      <w:r>
        <w:rPr>
          <w:rFonts w:eastAsiaTheme="minorEastAsia"/>
          <w:noProof/>
          <w:lang w:eastAsia="en-AU"/>
        </w:rPr>
        <w:tab/>
      </w:r>
      <w:r w:rsidRPr="00861CDE">
        <w:rPr>
          <w:rFonts w:eastAsiaTheme="majorEastAsia" w:cstheme="majorBidi"/>
          <w:noProof/>
          <w:color w:val="773141"/>
        </w:rPr>
        <w:t>This review of policy</w:t>
      </w:r>
      <w:r>
        <w:rPr>
          <w:noProof/>
        </w:rPr>
        <w:tab/>
      </w:r>
      <w:r w:rsidR="00C57DCF">
        <w:rPr>
          <w:noProof/>
        </w:rPr>
        <w:fldChar w:fldCharType="begin"/>
      </w:r>
      <w:r>
        <w:rPr>
          <w:noProof/>
        </w:rPr>
        <w:instrText xml:space="preserve"> PAGEREF _Toc434247464 \h </w:instrText>
      </w:r>
      <w:r w:rsidR="00C57DCF">
        <w:rPr>
          <w:noProof/>
        </w:rPr>
      </w:r>
      <w:r w:rsidR="00C57DCF">
        <w:rPr>
          <w:noProof/>
        </w:rPr>
        <w:fldChar w:fldCharType="separate"/>
      </w:r>
      <w:r w:rsidR="00AF2121">
        <w:rPr>
          <w:noProof/>
        </w:rPr>
        <w:t>3</w:t>
      </w:r>
      <w:r w:rsidR="00C57DCF">
        <w:rPr>
          <w:noProof/>
        </w:rPr>
        <w:fldChar w:fldCharType="end"/>
      </w:r>
    </w:p>
    <w:p w:rsidR="00314517" w:rsidRDefault="00314517">
      <w:pPr>
        <w:pStyle w:val="TOC1"/>
        <w:rPr>
          <w:rFonts w:eastAsiaTheme="minorEastAsia"/>
          <w:b w:val="0"/>
          <w:noProof/>
          <w:lang w:eastAsia="en-AU"/>
        </w:rPr>
      </w:pPr>
      <w:r w:rsidRPr="00861CDE">
        <w:rPr>
          <w:rFonts w:eastAsiaTheme="majorEastAsia" w:cstheme="majorBidi"/>
          <w:noProof/>
          <w:color w:val="D52B1E"/>
        </w:rPr>
        <w:t>2</w:t>
      </w:r>
      <w:r>
        <w:rPr>
          <w:rFonts w:eastAsiaTheme="minorEastAsia"/>
          <w:b w:val="0"/>
          <w:noProof/>
          <w:lang w:eastAsia="en-AU"/>
        </w:rPr>
        <w:tab/>
      </w:r>
      <w:r w:rsidRPr="00861CDE">
        <w:rPr>
          <w:rFonts w:eastAsiaTheme="majorEastAsia" w:cstheme="majorBidi"/>
          <w:noProof/>
          <w:color w:val="D52B1E"/>
        </w:rPr>
        <w:t>Method for pest risk analysis</w:t>
      </w:r>
      <w:r>
        <w:rPr>
          <w:noProof/>
        </w:rPr>
        <w:tab/>
      </w:r>
      <w:r w:rsidR="00C57DCF">
        <w:rPr>
          <w:noProof/>
        </w:rPr>
        <w:fldChar w:fldCharType="begin"/>
      </w:r>
      <w:r>
        <w:rPr>
          <w:noProof/>
        </w:rPr>
        <w:instrText xml:space="preserve"> PAGEREF _Toc434247465 \h </w:instrText>
      </w:r>
      <w:r w:rsidR="00C57DCF">
        <w:rPr>
          <w:noProof/>
        </w:rPr>
      </w:r>
      <w:r w:rsidR="00C57DCF">
        <w:rPr>
          <w:noProof/>
        </w:rPr>
        <w:fldChar w:fldCharType="separate"/>
      </w:r>
      <w:r w:rsidR="00AF2121">
        <w:rPr>
          <w:noProof/>
        </w:rPr>
        <w:t>5</w:t>
      </w:r>
      <w:r w:rsidR="00C57DCF">
        <w:rPr>
          <w:noProof/>
        </w:rPr>
        <w:fldChar w:fldCharType="end"/>
      </w:r>
    </w:p>
    <w:p w:rsidR="00314517" w:rsidRDefault="00314517">
      <w:pPr>
        <w:pStyle w:val="TOC2"/>
        <w:tabs>
          <w:tab w:val="left" w:pos="1800"/>
        </w:tabs>
        <w:rPr>
          <w:rFonts w:eastAsiaTheme="minorEastAsia"/>
          <w:noProof/>
          <w:lang w:eastAsia="en-AU"/>
        </w:rPr>
      </w:pPr>
      <w:r w:rsidRPr="00861CDE">
        <w:rPr>
          <w:rFonts w:eastAsiaTheme="majorEastAsia" w:cstheme="majorBidi"/>
          <w:noProof/>
          <w:color w:val="773141"/>
        </w:rPr>
        <w:t>2.1</w:t>
      </w:r>
      <w:r>
        <w:rPr>
          <w:rFonts w:eastAsiaTheme="minorEastAsia"/>
          <w:noProof/>
          <w:lang w:eastAsia="en-AU"/>
        </w:rPr>
        <w:tab/>
      </w:r>
      <w:r w:rsidRPr="00861CDE">
        <w:rPr>
          <w:rFonts w:eastAsiaTheme="majorEastAsia" w:cstheme="majorBidi"/>
          <w:noProof/>
          <w:color w:val="773141"/>
        </w:rPr>
        <w:t>Stage 1: Initiation</w:t>
      </w:r>
      <w:r>
        <w:rPr>
          <w:noProof/>
        </w:rPr>
        <w:tab/>
      </w:r>
      <w:r w:rsidR="00C57DCF">
        <w:rPr>
          <w:noProof/>
        </w:rPr>
        <w:fldChar w:fldCharType="begin"/>
      </w:r>
      <w:r>
        <w:rPr>
          <w:noProof/>
        </w:rPr>
        <w:instrText xml:space="preserve"> PAGEREF _Toc434247466 \h </w:instrText>
      </w:r>
      <w:r w:rsidR="00C57DCF">
        <w:rPr>
          <w:noProof/>
        </w:rPr>
      </w:r>
      <w:r w:rsidR="00C57DCF">
        <w:rPr>
          <w:noProof/>
        </w:rPr>
        <w:fldChar w:fldCharType="separate"/>
      </w:r>
      <w:r w:rsidR="00AF2121">
        <w:rPr>
          <w:noProof/>
        </w:rPr>
        <w:t>5</w:t>
      </w:r>
      <w:r w:rsidR="00C57DCF">
        <w:rPr>
          <w:noProof/>
        </w:rPr>
        <w:fldChar w:fldCharType="end"/>
      </w:r>
    </w:p>
    <w:p w:rsidR="00314517" w:rsidRDefault="00314517">
      <w:pPr>
        <w:pStyle w:val="TOC2"/>
        <w:tabs>
          <w:tab w:val="left" w:pos="1800"/>
        </w:tabs>
        <w:rPr>
          <w:rFonts w:eastAsiaTheme="minorEastAsia"/>
          <w:noProof/>
          <w:lang w:eastAsia="en-AU"/>
        </w:rPr>
      </w:pPr>
      <w:r w:rsidRPr="00861CDE">
        <w:rPr>
          <w:rFonts w:eastAsiaTheme="majorEastAsia" w:cstheme="majorBidi"/>
          <w:noProof/>
          <w:color w:val="773141"/>
        </w:rPr>
        <w:t>2.2</w:t>
      </w:r>
      <w:r>
        <w:rPr>
          <w:rFonts w:eastAsiaTheme="minorEastAsia"/>
          <w:noProof/>
          <w:lang w:eastAsia="en-AU"/>
        </w:rPr>
        <w:tab/>
      </w:r>
      <w:r w:rsidRPr="00861CDE">
        <w:rPr>
          <w:rFonts w:eastAsiaTheme="majorEastAsia" w:cstheme="majorBidi"/>
          <w:noProof/>
          <w:color w:val="773141"/>
        </w:rPr>
        <w:t>Stage 2: Pest risk assessment</w:t>
      </w:r>
      <w:r>
        <w:rPr>
          <w:noProof/>
        </w:rPr>
        <w:tab/>
      </w:r>
      <w:r w:rsidR="00C57DCF">
        <w:rPr>
          <w:noProof/>
        </w:rPr>
        <w:fldChar w:fldCharType="begin"/>
      </w:r>
      <w:r>
        <w:rPr>
          <w:noProof/>
        </w:rPr>
        <w:instrText xml:space="preserve"> PAGEREF _Toc434247467 \h </w:instrText>
      </w:r>
      <w:r w:rsidR="00C57DCF">
        <w:rPr>
          <w:noProof/>
        </w:rPr>
      </w:r>
      <w:r w:rsidR="00C57DCF">
        <w:rPr>
          <w:noProof/>
        </w:rPr>
        <w:fldChar w:fldCharType="separate"/>
      </w:r>
      <w:r w:rsidR="00AF2121">
        <w:rPr>
          <w:noProof/>
        </w:rPr>
        <w:t>5</w:t>
      </w:r>
      <w:r w:rsidR="00C57DCF">
        <w:rPr>
          <w:noProof/>
        </w:rPr>
        <w:fldChar w:fldCharType="end"/>
      </w:r>
    </w:p>
    <w:p w:rsidR="00314517" w:rsidRDefault="00314517">
      <w:pPr>
        <w:pStyle w:val="TOC2"/>
        <w:tabs>
          <w:tab w:val="left" w:pos="1800"/>
        </w:tabs>
        <w:rPr>
          <w:rFonts w:eastAsiaTheme="minorEastAsia"/>
          <w:noProof/>
          <w:lang w:eastAsia="en-AU"/>
        </w:rPr>
      </w:pPr>
      <w:r w:rsidRPr="00861CDE">
        <w:rPr>
          <w:rFonts w:eastAsiaTheme="majorEastAsia" w:cstheme="majorBidi"/>
          <w:noProof/>
          <w:color w:val="773141"/>
        </w:rPr>
        <w:t>2.3</w:t>
      </w:r>
      <w:r>
        <w:rPr>
          <w:rFonts w:eastAsiaTheme="minorEastAsia"/>
          <w:noProof/>
          <w:lang w:eastAsia="en-AU"/>
        </w:rPr>
        <w:tab/>
      </w:r>
      <w:r w:rsidRPr="00861CDE">
        <w:rPr>
          <w:rFonts w:eastAsiaTheme="majorEastAsia" w:cstheme="majorBidi"/>
          <w:noProof/>
          <w:color w:val="773141"/>
        </w:rPr>
        <w:t>Stage 3: Pest risk management</w:t>
      </w:r>
      <w:r>
        <w:rPr>
          <w:noProof/>
        </w:rPr>
        <w:tab/>
      </w:r>
      <w:r w:rsidR="00C57DCF">
        <w:rPr>
          <w:noProof/>
        </w:rPr>
        <w:fldChar w:fldCharType="begin"/>
      </w:r>
      <w:r>
        <w:rPr>
          <w:noProof/>
        </w:rPr>
        <w:instrText xml:space="preserve"> PAGEREF _Toc434247468 \h </w:instrText>
      </w:r>
      <w:r w:rsidR="00C57DCF">
        <w:rPr>
          <w:noProof/>
        </w:rPr>
      </w:r>
      <w:r w:rsidR="00C57DCF">
        <w:rPr>
          <w:noProof/>
        </w:rPr>
        <w:fldChar w:fldCharType="separate"/>
      </w:r>
      <w:r w:rsidR="00AF2121">
        <w:rPr>
          <w:noProof/>
        </w:rPr>
        <w:t>12</w:t>
      </w:r>
      <w:r w:rsidR="00C57DCF">
        <w:rPr>
          <w:noProof/>
        </w:rPr>
        <w:fldChar w:fldCharType="end"/>
      </w:r>
    </w:p>
    <w:p w:rsidR="00314517" w:rsidRDefault="00314517">
      <w:pPr>
        <w:pStyle w:val="TOC1"/>
        <w:rPr>
          <w:rFonts w:eastAsiaTheme="minorEastAsia"/>
          <w:b w:val="0"/>
          <w:noProof/>
          <w:lang w:eastAsia="en-AU"/>
        </w:rPr>
      </w:pPr>
      <w:r w:rsidRPr="00861CDE">
        <w:rPr>
          <w:rFonts w:eastAsiaTheme="majorEastAsia" w:cstheme="majorBidi"/>
          <w:noProof/>
          <w:color w:val="D52B1E"/>
        </w:rPr>
        <w:t>3</w:t>
      </w:r>
      <w:r>
        <w:rPr>
          <w:rFonts w:eastAsiaTheme="minorEastAsia"/>
          <w:b w:val="0"/>
          <w:noProof/>
          <w:lang w:eastAsia="en-AU"/>
        </w:rPr>
        <w:tab/>
      </w:r>
      <w:r w:rsidRPr="00861CDE">
        <w:rPr>
          <w:rFonts w:eastAsiaTheme="majorEastAsia" w:cstheme="majorBidi"/>
          <w:noProof/>
          <w:color w:val="D52B1E"/>
        </w:rPr>
        <w:t>The pathogens</w:t>
      </w:r>
      <w:r>
        <w:rPr>
          <w:noProof/>
        </w:rPr>
        <w:tab/>
      </w:r>
      <w:r w:rsidR="00C57DCF">
        <w:rPr>
          <w:noProof/>
        </w:rPr>
        <w:fldChar w:fldCharType="begin"/>
      </w:r>
      <w:r>
        <w:rPr>
          <w:noProof/>
        </w:rPr>
        <w:instrText xml:space="preserve"> PAGEREF _Toc434247469 \h </w:instrText>
      </w:r>
      <w:r w:rsidR="00C57DCF">
        <w:rPr>
          <w:noProof/>
        </w:rPr>
      </w:r>
      <w:r w:rsidR="00C57DCF">
        <w:rPr>
          <w:noProof/>
        </w:rPr>
        <w:fldChar w:fldCharType="separate"/>
      </w:r>
      <w:r w:rsidR="00AF2121">
        <w:rPr>
          <w:noProof/>
        </w:rPr>
        <w:t>14</w:t>
      </w:r>
      <w:r w:rsidR="00C57DCF">
        <w:rPr>
          <w:noProof/>
        </w:rPr>
        <w:fldChar w:fldCharType="end"/>
      </w:r>
    </w:p>
    <w:p w:rsidR="00314517" w:rsidRDefault="00314517">
      <w:pPr>
        <w:pStyle w:val="TOC2"/>
        <w:tabs>
          <w:tab w:val="left" w:pos="1800"/>
        </w:tabs>
        <w:rPr>
          <w:rFonts w:eastAsiaTheme="minorEastAsia"/>
          <w:noProof/>
          <w:lang w:eastAsia="en-AU"/>
        </w:rPr>
      </w:pPr>
      <w:r w:rsidRPr="00861CDE">
        <w:rPr>
          <w:rFonts w:eastAsiaTheme="majorEastAsia" w:cstheme="majorBidi"/>
          <w:noProof/>
          <w:color w:val="773141"/>
        </w:rPr>
        <w:t>3.1</w:t>
      </w:r>
      <w:r>
        <w:rPr>
          <w:rFonts w:eastAsiaTheme="minorEastAsia"/>
          <w:noProof/>
          <w:lang w:eastAsia="en-AU"/>
        </w:rPr>
        <w:tab/>
      </w:r>
      <w:r w:rsidRPr="00861CDE">
        <w:rPr>
          <w:rFonts w:eastAsiaTheme="majorEastAsia" w:cstheme="majorBidi"/>
          <w:noProof/>
          <w:color w:val="773141"/>
        </w:rPr>
        <w:t xml:space="preserve">Symptoms produced by the </w:t>
      </w:r>
      <w:r w:rsidRPr="00861CDE">
        <w:rPr>
          <w:rFonts w:eastAsiaTheme="majorEastAsia" w:cstheme="majorBidi"/>
          <w:i/>
          <w:noProof/>
          <w:color w:val="773141"/>
        </w:rPr>
        <w:t>Phytophthora</w:t>
      </w:r>
      <w:r w:rsidRPr="00861CDE">
        <w:rPr>
          <w:rFonts w:eastAsiaTheme="majorEastAsia" w:cstheme="majorBidi"/>
          <w:noProof/>
          <w:color w:val="773141"/>
        </w:rPr>
        <w:t xml:space="preserve"> species</w:t>
      </w:r>
      <w:r>
        <w:rPr>
          <w:noProof/>
        </w:rPr>
        <w:tab/>
      </w:r>
      <w:r w:rsidR="00C57DCF">
        <w:rPr>
          <w:noProof/>
        </w:rPr>
        <w:fldChar w:fldCharType="begin"/>
      </w:r>
      <w:r>
        <w:rPr>
          <w:noProof/>
        </w:rPr>
        <w:instrText xml:space="preserve"> PAGEREF _Toc434247470 \h </w:instrText>
      </w:r>
      <w:r w:rsidR="00C57DCF">
        <w:rPr>
          <w:noProof/>
        </w:rPr>
      </w:r>
      <w:r w:rsidR="00C57DCF">
        <w:rPr>
          <w:noProof/>
        </w:rPr>
        <w:fldChar w:fldCharType="separate"/>
      </w:r>
      <w:r w:rsidR="00AF2121">
        <w:rPr>
          <w:noProof/>
        </w:rPr>
        <w:t>15</w:t>
      </w:r>
      <w:r w:rsidR="00C57DCF">
        <w:rPr>
          <w:noProof/>
        </w:rPr>
        <w:fldChar w:fldCharType="end"/>
      </w:r>
    </w:p>
    <w:p w:rsidR="00314517" w:rsidRDefault="00314517">
      <w:pPr>
        <w:pStyle w:val="TOC2"/>
        <w:tabs>
          <w:tab w:val="left" w:pos="1800"/>
        </w:tabs>
        <w:rPr>
          <w:rFonts w:eastAsiaTheme="minorEastAsia"/>
          <w:noProof/>
          <w:lang w:eastAsia="en-AU"/>
        </w:rPr>
      </w:pPr>
      <w:r w:rsidRPr="00861CDE">
        <w:rPr>
          <w:rFonts w:eastAsiaTheme="majorEastAsia" w:cstheme="majorBidi"/>
          <w:noProof/>
          <w:color w:val="773141"/>
        </w:rPr>
        <w:t>3.2</w:t>
      </w:r>
      <w:r>
        <w:rPr>
          <w:rFonts w:eastAsiaTheme="minorEastAsia"/>
          <w:noProof/>
          <w:lang w:eastAsia="en-AU"/>
        </w:rPr>
        <w:tab/>
      </w:r>
      <w:r w:rsidRPr="00861CDE">
        <w:rPr>
          <w:rFonts w:eastAsiaTheme="majorEastAsia" w:cstheme="majorBidi"/>
          <w:noProof/>
          <w:color w:val="773141"/>
        </w:rPr>
        <w:t xml:space="preserve">Biology of the </w:t>
      </w:r>
      <w:r w:rsidRPr="00861CDE">
        <w:rPr>
          <w:rFonts w:eastAsiaTheme="majorEastAsia" w:cstheme="majorBidi"/>
          <w:i/>
          <w:noProof/>
          <w:color w:val="773141"/>
        </w:rPr>
        <w:t>Phytophthora</w:t>
      </w:r>
      <w:r w:rsidRPr="00861CDE">
        <w:rPr>
          <w:rFonts w:eastAsiaTheme="majorEastAsia" w:cstheme="majorBidi"/>
          <w:noProof/>
          <w:color w:val="773141"/>
        </w:rPr>
        <w:t xml:space="preserve"> species</w:t>
      </w:r>
      <w:r>
        <w:rPr>
          <w:noProof/>
        </w:rPr>
        <w:tab/>
      </w:r>
      <w:r w:rsidR="00C57DCF">
        <w:rPr>
          <w:noProof/>
        </w:rPr>
        <w:fldChar w:fldCharType="begin"/>
      </w:r>
      <w:r>
        <w:rPr>
          <w:noProof/>
        </w:rPr>
        <w:instrText xml:space="preserve"> PAGEREF _Toc434247471 \h </w:instrText>
      </w:r>
      <w:r w:rsidR="00C57DCF">
        <w:rPr>
          <w:noProof/>
        </w:rPr>
      </w:r>
      <w:r w:rsidR="00C57DCF">
        <w:rPr>
          <w:noProof/>
        </w:rPr>
        <w:fldChar w:fldCharType="separate"/>
      </w:r>
      <w:r w:rsidR="00AF2121">
        <w:rPr>
          <w:noProof/>
        </w:rPr>
        <w:t>15</w:t>
      </w:r>
      <w:r w:rsidR="00C57DCF">
        <w:rPr>
          <w:noProof/>
        </w:rPr>
        <w:fldChar w:fldCharType="end"/>
      </w:r>
    </w:p>
    <w:p w:rsidR="00314517" w:rsidRDefault="00314517">
      <w:pPr>
        <w:pStyle w:val="TOC2"/>
        <w:tabs>
          <w:tab w:val="left" w:pos="1800"/>
        </w:tabs>
        <w:rPr>
          <w:rFonts w:eastAsiaTheme="minorEastAsia"/>
          <w:noProof/>
          <w:lang w:eastAsia="en-AU"/>
        </w:rPr>
      </w:pPr>
      <w:r w:rsidRPr="00861CDE">
        <w:rPr>
          <w:rFonts w:eastAsiaTheme="majorEastAsia" w:cstheme="majorBidi"/>
          <w:noProof/>
          <w:color w:val="773141"/>
        </w:rPr>
        <w:t>3.3</w:t>
      </w:r>
      <w:r>
        <w:rPr>
          <w:rFonts w:eastAsiaTheme="minorEastAsia"/>
          <w:noProof/>
          <w:lang w:eastAsia="en-AU"/>
        </w:rPr>
        <w:tab/>
      </w:r>
      <w:r w:rsidRPr="00861CDE">
        <w:rPr>
          <w:rFonts w:eastAsiaTheme="majorEastAsia" w:cstheme="majorBidi"/>
          <w:noProof/>
          <w:color w:val="773141"/>
        </w:rPr>
        <w:t xml:space="preserve">Global occurrence of the </w:t>
      </w:r>
      <w:r w:rsidRPr="00861CDE">
        <w:rPr>
          <w:rFonts w:eastAsiaTheme="majorEastAsia" w:cstheme="majorBidi"/>
          <w:i/>
          <w:noProof/>
          <w:color w:val="773141"/>
        </w:rPr>
        <w:t>Phytophthora</w:t>
      </w:r>
      <w:r w:rsidRPr="00861CDE">
        <w:rPr>
          <w:rFonts w:eastAsiaTheme="majorEastAsia" w:cstheme="majorBidi"/>
          <w:noProof/>
          <w:color w:val="773141"/>
        </w:rPr>
        <w:t xml:space="preserve"> species</w:t>
      </w:r>
      <w:r>
        <w:rPr>
          <w:noProof/>
        </w:rPr>
        <w:tab/>
      </w:r>
      <w:r w:rsidR="00C57DCF">
        <w:rPr>
          <w:noProof/>
        </w:rPr>
        <w:fldChar w:fldCharType="begin"/>
      </w:r>
      <w:r>
        <w:rPr>
          <w:noProof/>
        </w:rPr>
        <w:instrText xml:space="preserve"> PAGEREF _Toc434247472 \h </w:instrText>
      </w:r>
      <w:r w:rsidR="00C57DCF">
        <w:rPr>
          <w:noProof/>
        </w:rPr>
      </w:r>
      <w:r w:rsidR="00C57DCF">
        <w:rPr>
          <w:noProof/>
        </w:rPr>
        <w:fldChar w:fldCharType="separate"/>
      </w:r>
      <w:r w:rsidR="00AF2121">
        <w:rPr>
          <w:noProof/>
        </w:rPr>
        <w:t>17</w:t>
      </w:r>
      <w:r w:rsidR="00C57DCF">
        <w:rPr>
          <w:noProof/>
        </w:rPr>
        <w:fldChar w:fldCharType="end"/>
      </w:r>
    </w:p>
    <w:p w:rsidR="00314517" w:rsidRDefault="00314517">
      <w:pPr>
        <w:pStyle w:val="TOC2"/>
        <w:tabs>
          <w:tab w:val="left" w:pos="1800"/>
        </w:tabs>
        <w:rPr>
          <w:rFonts w:eastAsiaTheme="minorEastAsia"/>
          <w:noProof/>
          <w:lang w:eastAsia="en-AU"/>
        </w:rPr>
      </w:pPr>
      <w:r w:rsidRPr="00861CDE">
        <w:rPr>
          <w:rFonts w:eastAsiaTheme="majorEastAsia" w:cstheme="majorBidi"/>
          <w:noProof/>
          <w:color w:val="773141"/>
        </w:rPr>
        <w:t>3.4</w:t>
      </w:r>
      <w:r>
        <w:rPr>
          <w:rFonts w:eastAsiaTheme="minorEastAsia"/>
          <w:noProof/>
          <w:lang w:eastAsia="en-AU"/>
        </w:rPr>
        <w:tab/>
      </w:r>
      <w:r w:rsidRPr="00861CDE">
        <w:rPr>
          <w:rFonts w:eastAsiaTheme="majorEastAsia" w:cstheme="majorBidi"/>
          <w:noProof/>
          <w:color w:val="773141"/>
        </w:rPr>
        <w:t xml:space="preserve">Hosts of the </w:t>
      </w:r>
      <w:r w:rsidRPr="00861CDE">
        <w:rPr>
          <w:rFonts w:eastAsiaTheme="majorEastAsia" w:cstheme="majorBidi"/>
          <w:i/>
          <w:noProof/>
          <w:color w:val="773141"/>
        </w:rPr>
        <w:t>Phytophthora</w:t>
      </w:r>
      <w:r w:rsidRPr="00861CDE">
        <w:rPr>
          <w:rFonts w:eastAsiaTheme="majorEastAsia" w:cstheme="majorBidi"/>
          <w:noProof/>
          <w:color w:val="773141"/>
        </w:rPr>
        <w:t xml:space="preserve"> species</w:t>
      </w:r>
      <w:r>
        <w:rPr>
          <w:noProof/>
        </w:rPr>
        <w:tab/>
      </w:r>
      <w:r w:rsidR="00C57DCF">
        <w:rPr>
          <w:noProof/>
        </w:rPr>
        <w:fldChar w:fldCharType="begin"/>
      </w:r>
      <w:r>
        <w:rPr>
          <w:noProof/>
        </w:rPr>
        <w:instrText xml:space="preserve"> PAGEREF _Toc434247473 \h </w:instrText>
      </w:r>
      <w:r w:rsidR="00C57DCF">
        <w:rPr>
          <w:noProof/>
        </w:rPr>
      </w:r>
      <w:r w:rsidR="00C57DCF">
        <w:rPr>
          <w:noProof/>
        </w:rPr>
        <w:fldChar w:fldCharType="separate"/>
      </w:r>
      <w:r w:rsidR="00AF2121">
        <w:rPr>
          <w:noProof/>
        </w:rPr>
        <w:t>18</w:t>
      </w:r>
      <w:r w:rsidR="00C57DCF">
        <w:rPr>
          <w:noProof/>
        </w:rPr>
        <w:fldChar w:fldCharType="end"/>
      </w:r>
    </w:p>
    <w:p w:rsidR="00314517" w:rsidRDefault="00314517">
      <w:pPr>
        <w:pStyle w:val="TOC2"/>
        <w:tabs>
          <w:tab w:val="left" w:pos="1800"/>
        </w:tabs>
        <w:rPr>
          <w:rFonts w:eastAsiaTheme="minorEastAsia"/>
          <w:noProof/>
          <w:lang w:eastAsia="en-AU"/>
        </w:rPr>
      </w:pPr>
      <w:r w:rsidRPr="00861CDE">
        <w:rPr>
          <w:rFonts w:eastAsiaTheme="majorEastAsia" w:cstheme="majorBidi"/>
          <w:noProof/>
          <w:color w:val="773141"/>
        </w:rPr>
        <w:t>3.5</w:t>
      </w:r>
      <w:r>
        <w:rPr>
          <w:rFonts w:eastAsiaTheme="minorEastAsia"/>
          <w:noProof/>
          <w:lang w:eastAsia="en-AU"/>
        </w:rPr>
        <w:tab/>
      </w:r>
      <w:r w:rsidRPr="00861CDE">
        <w:rPr>
          <w:rFonts w:eastAsiaTheme="majorEastAsia" w:cstheme="majorBidi"/>
          <w:noProof/>
          <w:color w:val="773141"/>
        </w:rPr>
        <w:t xml:space="preserve">Spread of the </w:t>
      </w:r>
      <w:r w:rsidRPr="00861CDE">
        <w:rPr>
          <w:rFonts w:eastAsiaTheme="majorEastAsia" w:cstheme="majorBidi"/>
          <w:i/>
          <w:noProof/>
          <w:color w:val="773141"/>
        </w:rPr>
        <w:t>Phytophthora</w:t>
      </w:r>
      <w:r w:rsidRPr="00861CDE">
        <w:rPr>
          <w:rFonts w:eastAsiaTheme="majorEastAsia" w:cstheme="majorBidi"/>
          <w:noProof/>
          <w:color w:val="773141"/>
        </w:rPr>
        <w:t xml:space="preserve"> species</w:t>
      </w:r>
      <w:r>
        <w:rPr>
          <w:noProof/>
        </w:rPr>
        <w:tab/>
      </w:r>
      <w:r w:rsidR="00C57DCF">
        <w:rPr>
          <w:noProof/>
        </w:rPr>
        <w:fldChar w:fldCharType="begin"/>
      </w:r>
      <w:r>
        <w:rPr>
          <w:noProof/>
        </w:rPr>
        <w:instrText xml:space="preserve"> PAGEREF _Toc434247474 \h </w:instrText>
      </w:r>
      <w:r w:rsidR="00C57DCF">
        <w:rPr>
          <w:noProof/>
        </w:rPr>
      </w:r>
      <w:r w:rsidR="00C57DCF">
        <w:rPr>
          <w:noProof/>
        </w:rPr>
        <w:fldChar w:fldCharType="separate"/>
      </w:r>
      <w:r w:rsidR="00AF2121">
        <w:rPr>
          <w:noProof/>
        </w:rPr>
        <w:t>20</w:t>
      </w:r>
      <w:r w:rsidR="00C57DCF">
        <w:rPr>
          <w:noProof/>
        </w:rPr>
        <w:fldChar w:fldCharType="end"/>
      </w:r>
    </w:p>
    <w:p w:rsidR="00314517" w:rsidRDefault="00314517">
      <w:pPr>
        <w:pStyle w:val="TOC1"/>
        <w:rPr>
          <w:rFonts w:eastAsiaTheme="minorEastAsia"/>
          <w:b w:val="0"/>
          <w:noProof/>
          <w:lang w:eastAsia="en-AU"/>
        </w:rPr>
      </w:pPr>
      <w:r w:rsidRPr="00861CDE">
        <w:rPr>
          <w:rFonts w:eastAsiaTheme="majorEastAsia" w:cstheme="majorBidi"/>
          <w:noProof/>
          <w:color w:val="D52B1E"/>
        </w:rPr>
        <w:t>4</w:t>
      </w:r>
      <w:r>
        <w:rPr>
          <w:rFonts w:eastAsiaTheme="minorEastAsia"/>
          <w:b w:val="0"/>
          <w:noProof/>
          <w:lang w:eastAsia="en-AU"/>
        </w:rPr>
        <w:tab/>
      </w:r>
      <w:r w:rsidRPr="00861CDE">
        <w:rPr>
          <w:rFonts w:eastAsiaTheme="majorEastAsia" w:cstheme="majorBidi"/>
          <w:noProof/>
          <w:color w:val="D52B1E"/>
        </w:rPr>
        <w:t xml:space="preserve">Pest risk assessment for </w:t>
      </w:r>
      <w:r w:rsidRPr="00861CDE">
        <w:rPr>
          <w:rFonts w:eastAsiaTheme="majorEastAsia" w:cstheme="majorBidi"/>
          <w:i/>
          <w:noProof/>
          <w:color w:val="D52B1E"/>
        </w:rPr>
        <w:t>Phytophthora</w:t>
      </w:r>
      <w:r w:rsidRPr="00861CDE">
        <w:rPr>
          <w:rFonts w:eastAsiaTheme="majorEastAsia" w:cstheme="majorBidi"/>
          <w:noProof/>
          <w:color w:val="D52B1E"/>
        </w:rPr>
        <w:t xml:space="preserve"> species</w:t>
      </w:r>
      <w:r>
        <w:rPr>
          <w:noProof/>
        </w:rPr>
        <w:tab/>
      </w:r>
      <w:r w:rsidR="00C57DCF">
        <w:rPr>
          <w:noProof/>
        </w:rPr>
        <w:fldChar w:fldCharType="begin"/>
      </w:r>
      <w:r>
        <w:rPr>
          <w:noProof/>
        </w:rPr>
        <w:instrText xml:space="preserve"> PAGEREF _Toc434247475 \h </w:instrText>
      </w:r>
      <w:r w:rsidR="00C57DCF">
        <w:rPr>
          <w:noProof/>
        </w:rPr>
      </w:r>
      <w:r w:rsidR="00C57DCF">
        <w:rPr>
          <w:noProof/>
        </w:rPr>
        <w:fldChar w:fldCharType="separate"/>
      </w:r>
      <w:r w:rsidR="00AF2121">
        <w:rPr>
          <w:noProof/>
        </w:rPr>
        <w:t>23</w:t>
      </w:r>
      <w:r w:rsidR="00C57DCF">
        <w:rPr>
          <w:noProof/>
        </w:rPr>
        <w:fldChar w:fldCharType="end"/>
      </w:r>
    </w:p>
    <w:p w:rsidR="00314517" w:rsidRDefault="00314517">
      <w:pPr>
        <w:pStyle w:val="TOC2"/>
        <w:tabs>
          <w:tab w:val="left" w:pos="1800"/>
        </w:tabs>
        <w:rPr>
          <w:rFonts w:eastAsiaTheme="minorEastAsia"/>
          <w:noProof/>
          <w:lang w:eastAsia="en-AU"/>
        </w:rPr>
      </w:pPr>
      <w:r w:rsidRPr="00861CDE">
        <w:rPr>
          <w:rFonts w:eastAsiaTheme="majorEastAsia" w:cstheme="majorBidi"/>
          <w:noProof/>
          <w:color w:val="773141"/>
        </w:rPr>
        <w:t>4.1</w:t>
      </w:r>
      <w:r>
        <w:rPr>
          <w:rFonts w:eastAsiaTheme="minorEastAsia"/>
          <w:noProof/>
          <w:lang w:eastAsia="en-AU"/>
        </w:rPr>
        <w:tab/>
      </w:r>
      <w:r w:rsidRPr="00861CDE">
        <w:rPr>
          <w:rFonts w:eastAsiaTheme="majorEastAsia" w:cstheme="majorBidi"/>
          <w:i/>
          <w:noProof/>
          <w:color w:val="773141"/>
        </w:rPr>
        <w:t xml:space="preserve">Phytophthora ramorum, P. kernoviae, P. nemorosa </w:t>
      </w:r>
      <w:r w:rsidRPr="00861CDE">
        <w:rPr>
          <w:rFonts w:eastAsiaTheme="majorEastAsia" w:cstheme="majorBidi"/>
          <w:noProof/>
          <w:color w:val="773141"/>
        </w:rPr>
        <w:t xml:space="preserve">and </w:t>
      </w:r>
      <w:r w:rsidRPr="00861CDE">
        <w:rPr>
          <w:rFonts w:eastAsiaTheme="majorEastAsia" w:cstheme="majorBidi"/>
          <w:i/>
          <w:noProof/>
          <w:color w:val="773141"/>
        </w:rPr>
        <w:t>P. pseudosyringae</w:t>
      </w:r>
      <w:r>
        <w:rPr>
          <w:noProof/>
        </w:rPr>
        <w:tab/>
      </w:r>
      <w:r w:rsidR="00C57DCF">
        <w:rPr>
          <w:noProof/>
        </w:rPr>
        <w:fldChar w:fldCharType="begin"/>
      </w:r>
      <w:r>
        <w:rPr>
          <w:noProof/>
        </w:rPr>
        <w:instrText xml:space="preserve"> PAGEREF _Toc434247476 \h </w:instrText>
      </w:r>
      <w:r w:rsidR="00C57DCF">
        <w:rPr>
          <w:noProof/>
        </w:rPr>
      </w:r>
      <w:r w:rsidR="00C57DCF">
        <w:rPr>
          <w:noProof/>
        </w:rPr>
        <w:fldChar w:fldCharType="separate"/>
      </w:r>
      <w:r w:rsidR="00AF2121">
        <w:rPr>
          <w:noProof/>
        </w:rPr>
        <w:t>23</w:t>
      </w:r>
      <w:r w:rsidR="00C57DCF">
        <w:rPr>
          <w:noProof/>
        </w:rPr>
        <w:fldChar w:fldCharType="end"/>
      </w:r>
    </w:p>
    <w:p w:rsidR="00314517" w:rsidRDefault="00314517">
      <w:pPr>
        <w:pStyle w:val="TOC1"/>
        <w:rPr>
          <w:rFonts w:eastAsiaTheme="minorEastAsia"/>
          <w:b w:val="0"/>
          <w:noProof/>
          <w:lang w:eastAsia="en-AU"/>
        </w:rPr>
      </w:pPr>
      <w:r w:rsidRPr="00861CDE">
        <w:rPr>
          <w:rFonts w:eastAsiaTheme="majorEastAsia" w:cstheme="majorBidi"/>
          <w:noProof/>
          <w:color w:val="D52B1E"/>
        </w:rPr>
        <w:t>5</w:t>
      </w:r>
      <w:r>
        <w:rPr>
          <w:rFonts w:eastAsiaTheme="minorEastAsia"/>
          <w:b w:val="0"/>
          <w:noProof/>
          <w:lang w:eastAsia="en-AU"/>
        </w:rPr>
        <w:tab/>
      </w:r>
      <w:r w:rsidRPr="00861CDE">
        <w:rPr>
          <w:rFonts w:eastAsiaTheme="majorEastAsia" w:cstheme="majorBidi"/>
          <w:noProof/>
          <w:color w:val="D52B1E"/>
        </w:rPr>
        <w:t>Pest risk management</w:t>
      </w:r>
      <w:r>
        <w:rPr>
          <w:noProof/>
        </w:rPr>
        <w:tab/>
      </w:r>
      <w:r w:rsidR="00C57DCF">
        <w:rPr>
          <w:noProof/>
        </w:rPr>
        <w:fldChar w:fldCharType="begin"/>
      </w:r>
      <w:r>
        <w:rPr>
          <w:noProof/>
        </w:rPr>
        <w:instrText xml:space="preserve"> PAGEREF _Toc434247477 \h </w:instrText>
      </w:r>
      <w:r w:rsidR="00C57DCF">
        <w:rPr>
          <w:noProof/>
        </w:rPr>
      </w:r>
      <w:r w:rsidR="00C57DCF">
        <w:rPr>
          <w:noProof/>
        </w:rPr>
        <w:fldChar w:fldCharType="separate"/>
      </w:r>
      <w:r w:rsidR="00AF2121">
        <w:rPr>
          <w:noProof/>
        </w:rPr>
        <w:t>44</w:t>
      </w:r>
      <w:r w:rsidR="00C57DCF">
        <w:rPr>
          <w:noProof/>
        </w:rPr>
        <w:fldChar w:fldCharType="end"/>
      </w:r>
    </w:p>
    <w:p w:rsidR="00314517" w:rsidRDefault="00314517">
      <w:pPr>
        <w:pStyle w:val="TOC2"/>
        <w:tabs>
          <w:tab w:val="left" w:pos="1800"/>
        </w:tabs>
        <w:rPr>
          <w:rFonts w:eastAsiaTheme="minorEastAsia"/>
          <w:noProof/>
          <w:lang w:eastAsia="en-AU"/>
        </w:rPr>
      </w:pPr>
      <w:r w:rsidRPr="00861CDE">
        <w:rPr>
          <w:rFonts w:eastAsiaTheme="majorEastAsia" w:cstheme="majorBidi"/>
          <w:noProof/>
          <w:color w:val="773141"/>
        </w:rPr>
        <w:t>5.1</w:t>
      </w:r>
      <w:r>
        <w:rPr>
          <w:rFonts w:eastAsiaTheme="minorEastAsia"/>
          <w:noProof/>
          <w:lang w:eastAsia="en-AU"/>
        </w:rPr>
        <w:tab/>
      </w:r>
      <w:r w:rsidRPr="00861CDE">
        <w:rPr>
          <w:rFonts w:eastAsiaTheme="majorEastAsia" w:cstheme="majorBidi"/>
          <w:noProof/>
          <w:color w:val="773141"/>
        </w:rPr>
        <w:t>Recommended risk mitigation measures</w:t>
      </w:r>
      <w:r>
        <w:rPr>
          <w:noProof/>
        </w:rPr>
        <w:tab/>
      </w:r>
      <w:r w:rsidR="00C57DCF">
        <w:rPr>
          <w:noProof/>
        </w:rPr>
        <w:fldChar w:fldCharType="begin"/>
      </w:r>
      <w:r>
        <w:rPr>
          <w:noProof/>
        </w:rPr>
        <w:instrText xml:space="preserve"> PAGEREF _Toc434247478 \h </w:instrText>
      </w:r>
      <w:r w:rsidR="00C57DCF">
        <w:rPr>
          <w:noProof/>
        </w:rPr>
      </w:r>
      <w:r w:rsidR="00C57DCF">
        <w:rPr>
          <w:noProof/>
        </w:rPr>
        <w:fldChar w:fldCharType="separate"/>
      </w:r>
      <w:r w:rsidR="00AF2121">
        <w:rPr>
          <w:noProof/>
        </w:rPr>
        <w:t>44</w:t>
      </w:r>
      <w:r w:rsidR="00C57DCF">
        <w:rPr>
          <w:noProof/>
        </w:rPr>
        <w:fldChar w:fldCharType="end"/>
      </w:r>
    </w:p>
    <w:p w:rsidR="00314517" w:rsidRDefault="00314517">
      <w:pPr>
        <w:pStyle w:val="TOC1"/>
        <w:rPr>
          <w:rFonts w:eastAsiaTheme="minorEastAsia"/>
          <w:b w:val="0"/>
          <w:noProof/>
          <w:lang w:eastAsia="en-AU"/>
        </w:rPr>
      </w:pPr>
      <w:r w:rsidRPr="00861CDE">
        <w:rPr>
          <w:rFonts w:eastAsiaTheme="majorEastAsia" w:cstheme="majorBidi"/>
          <w:noProof/>
          <w:color w:val="D52B1E"/>
        </w:rPr>
        <w:t>6</w:t>
      </w:r>
      <w:r>
        <w:rPr>
          <w:rFonts w:eastAsiaTheme="minorEastAsia"/>
          <w:b w:val="0"/>
          <w:noProof/>
          <w:lang w:eastAsia="en-AU"/>
        </w:rPr>
        <w:tab/>
      </w:r>
      <w:r w:rsidRPr="00861CDE">
        <w:rPr>
          <w:rFonts w:eastAsiaTheme="majorEastAsia" w:cstheme="majorBidi"/>
          <w:noProof/>
          <w:color w:val="D52B1E"/>
        </w:rPr>
        <w:t>Conclusion</w:t>
      </w:r>
      <w:r>
        <w:rPr>
          <w:noProof/>
        </w:rPr>
        <w:tab/>
      </w:r>
      <w:r w:rsidR="00C57DCF">
        <w:rPr>
          <w:noProof/>
        </w:rPr>
        <w:fldChar w:fldCharType="begin"/>
      </w:r>
      <w:r>
        <w:rPr>
          <w:noProof/>
        </w:rPr>
        <w:instrText xml:space="preserve"> PAGEREF _Toc434247479 \h </w:instrText>
      </w:r>
      <w:r w:rsidR="00C57DCF">
        <w:rPr>
          <w:noProof/>
        </w:rPr>
      </w:r>
      <w:r w:rsidR="00C57DCF">
        <w:rPr>
          <w:noProof/>
        </w:rPr>
        <w:fldChar w:fldCharType="separate"/>
      </w:r>
      <w:r w:rsidR="00AF2121">
        <w:rPr>
          <w:noProof/>
        </w:rPr>
        <w:t>49</w:t>
      </w:r>
      <w:r w:rsidR="00C57DCF">
        <w:rPr>
          <w:noProof/>
        </w:rPr>
        <w:fldChar w:fldCharType="end"/>
      </w:r>
    </w:p>
    <w:p w:rsidR="00314517" w:rsidRDefault="00314517">
      <w:pPr>
        <w:pStyle w:val="TOC1"/>
        <w:rPr>
          <w:rFonts w:eastAsiaTheme="minorEastAsia"/>
          <w:b w:val="0"/>
          <w:noProof/>
          <w:lang w:eastAsia="en-AU"/>
        </w:rPr>
      </w:pPr>
      <w:r w:rsidRPr="00861CDE">
        <w:rPr>
          <w:noProof/>
        </w:rPr>
        <w:t xml:space="preserve">Appendix A: Natural hosts of </w:t>
      </w:r>
      <w:r w:rsidRPr="00861CDE">
        <w:rPr>
          <w:i/>
          <w:noProof/>
        </w:rPr>
        <w:t>Phytophthora</w:t>
      </w:r>
      <w:r w:rsidRPr="00861CDE">
        <w:rPr>
          <w:noProof/>
        </w:rPr>
        <w:t xml:space="preserve"> species and their status in Australia</w:t>
      </w:r>
      <w:r>
        <w:rPr>
          <w:noProof/>
        </w:rPr>
        <w:tab/>
      </w:r>
      <w:r w:rsidR="00C57DCF">
        <w:rPr>
          <w:noProof/>
        </w:rPr>
        <w:fldChar w:fldCharType="begin"/>
      </w:r>
      <w:r>
        <w:rPr>
          <w:noProof/>
        </w:rPr>
        <w:instrText xml:space="preserve"> PAGEREF _Toc434247480 \h </w:instrText>
      </w:r>
      <w:r w:rsidR="00C57DCF">
        <w:rPr>
          <w:noProof/>
        </w:rPr>
      </w:r>
      <w:r w:rsidR="00C57DCF">
        <w:rPr>
          <w:noProof/>
        </w:rPr>
        <w:fldChar w:fldCharType="separate"/>
      </w:r>
      <w:r w:rsidR="00AF2121">
        <w:rPr>
          <w:noProof/>
        </w:rPr>
        <w:t>51</w:t>
      </w:r>
      <w:r w:rsidR="00C57DCF">
        <w:rPr>
          <w:noProof/>
        </w:rPr>
        <w:fldChar w:fldCharType="end"/>
      </w:r>
    </w:p>
    <w:p w:rsidR="00314517" w:rsidRDefault="00314517">
      <w:pPr>
        <w:pStyle w:val="TOC1"/>
        <w:rPr>
          <w:rFonts w:eastAsiaTheme="minorEastAsia"/>
          <w:b w:val="0"/>
          <w:noProof/>
          <w:lang w:eastAsia="en-AU"/>
        </w:rPr>
      </w:pPr>
      <w:r w:rsidRPr="00861CDE">
        <w:rPr>
          <w:noProof/>
        </w:rPr>
        <w:t>Appendix B: Additional quarantine pest data</w:t>
      </w:r>
      <w:r>
        <w:rPr>
          <w:noProof/>
        </w:rPr>
        <w:tab/>
      </w:r>
      <w:r w:rsidR="00C57DCF">
        <w:rPr>
          <w:noProof/>
        </w:rPr>
        <w:fldChar w:fldCharType="begin"/>
      </w:r>
      <w:r>
        <w:rPr>
          <w:noProof/>
        </w:rPr>
        <w:instrText xml:space="preserve"> PAGEREF _Toc434247481 \h </w:instrText>
      </w:r>
      <w:r w:rsidR="00C57DCF">
        <w:rPr>
          <w:noProof/>
        </w:rPr>
      </w:r>
      <w:r w:rsidR="00C57DCF">
        <w:rPr>
          <w:noProof/>
        </w:rPr>
        <w:fldChar w:fldCharType="separate"/>
      </w:r>
      <w:r w:rsidR="00AF2121">
        <w:rPr>
          <w:noProof/>
        </w:rPr>
        <w:t>68</w:t>
      </w:r>
      <w:r w:rsidR="00C57DCF">
        <w:rPr>
          <w:noProof/>
        </w:rPr>
        <w:fldChar w:fldCharType="end"/>
      </w:r>
    </w:p>
    <w:p w:rsidR="00314517" w:rsidRDefault="00314517">
      <w:pPr>
        <w:pStyle w:val="TOC1"/>
        <w:rPr>
          <w:rFonts w:eastAsiaTheme="minorEastAsia"/>
          <w:b w:val="0"/>
          <w:noProof/>
          <w:lang w:eastAsia="en-AU"/>
        </w:rPr>
      </w:pPr>
      <w:r w:rsidRPr="00861CDE">
        <w:rPr>
          <w:noProof/>
        </w:rPr>
        <w:t>Appendix C: Biosecurity framework</w:t>
      </w:r>
      <w:r>
        <w:rPr>
          <w:noProof/>
        </w:rPr>
        <w:tab/>
      </w:r>
      <w:r w:rsidR="00C57DCF">
        <w:rPr>
          <w:noProof/>
        </w:rPr>
        <w:fldChar w:fldCharType="begin"/>
      </w:r>
      <w:r>
        <w:rPr>
          <w:noProof/>
        </w:rPr>
        <w:instrText xml:space="preserve"> PAGEREF _Toc434247482 \h </w:instrText>
      </w:r>
      <w:r w:rsidR="00C57DCF">
        <w:rPr>
          <w:noProof/>
        </w:rPr>
      </w:r>
      <w:r w:rsidR="00C57DCF">
        <w:rPr>
          <w:noProof/>
        </w:rPr>
        <w:fldChar w:fldCharType="separate"/>
      </w:r>
      <w:r w:rsidR="00AF2121">
        <w:rPr>
          <w:noProof/>
        </w:rPr>
        <w:t>69</w:t>
      </w:r>
      <w:r w:rsidR="00C57DCF">
        <w:rPr>
          <w:noProof/>
        </w:rPr>
        <w:fldChar w:fldCharType="end"/>
      </w:r>
    </w:p>
    <w:p w:rsidR="00314517" w:rsidRDefault="00314517">
      <w:pPr>
        <w:pStyle w:val="TOC1"/>
        <w:rPr>
          <w:rFonts w:eastAsiaTheme="minorEastAsia"/>
          <w:b w:val="0"/>
          <w:noProof/>
          <w:lang w:eastAsia="en-AU"/>
        </w:rPr>
      </w:pPr>
      <w:r w:rsidRPr="00861CDE">
        <w:rPr>
          <w:noProof/>
        </w:rPr>
        <w:t>Glossary</w:t>
      </w:r>
      <w:r>
        <w:rPr>
          <w:noProof/>
        </w:rPr>
        <w:tab/>
      </w:r>
      <w:r w:rsidR="00C57DCF">
        <w:rPr>
          <w:noProof/>
        </w:rPr>
        <w:fldChar w:fldCharType="begin"/>
      </w:r>
      <w:r>
        <w:rPr>
          <w:noProof/>
        </w:rPr>
        <w:instrText xml:space="preserve"> PAGEREF _Toc434247483 \h </w:instrText>
      </w:r>
      <w:r w:rsidR="00C57DCF">
        <w:rPr>
          <w:noProof/>
        </w:rPr>
      </w:r>
      <w:r w:rsidR="00C57DCF">
        <w:rPr>
          <w:noProof/>
        </w:rPr>
        <w:fldChar w:fldCharType="separate"/>
      </w:r>
      <w:r w:rsidR="00AF2121">
        <w:rPr>
          <w:noProof/>
        </w:rPr>
        <w:t>74</w:t>
      </w:r>
      <w:r w:rsidR="00C57DCF">
        <w:rPr>
          <w:noProof/>
        </w:rPr>
        <w:fldChar w:fldCharType="end"/>
      </w:r>
    </w:p>
    <w:p w:rsidR="00314517" w:rsidRDefault="00314517">
      <w:pPr>
        <w:pStyle w:val="TOC1"/>
        <w:rPr>
          <w:rFonts w:eastAsiaTheme="minorEastAsia"/>
          <w:b w:val="0"/>
          <w:noProof/>
          <w:lang w:eastAsia="en-AU"/>
        </w:rPr>
      </w:pPr>
      <w:r w:rsidRPr="00861CDE">
        <w:rPr>
          <w:noProof/>
        </w:rPr>
        <w:t>References</w:t>
      </w:r>
      <w:r>
        <w:rPr>
          <w:noProof/>
        </w:rPr>
        <w:tab/>
      </w:r>
      <w:r w:rsidR="00C57DCF">
        <w:rPr>
          <w:noProof/>
        </w:rPr>
        <w:fldChar w:fldCharType="begin"/>
      </w:r>
      <w:r>
        <w:rPr>
          <w:noProof/>
        </w:rPr>
        <w:instrText xml:space="preserve"> PAGEREF _Toc434247484 \h </w:instrText>
      </w:r>
      <w:r w:rsidR="00C57DCF">
        <w:rPr>
          <w:noProof/>
        </w:rPr>
      </w:r>
      <w:r w:rsidR="00C57DCF">
        <w:rPr>
          <w:noProof/>
        </w:rPr>
        <w:fldChar w:fldCharType="separate"/>
      </w:r>
      <w:r w:rsidR="00AF2121">
        <w:rPr>
          <w:noProof/>
        </w:rPr>
        <w:t>79</w:t>
      </w:r>
      <w:r w:rsidR="00C57DCF">
        <w:rPr>
          <w:noProof/>
        </w:rPr>
        <w:fldChar w:fldCharType="end"/>
      </w:r>
    </w:p>
    <w:p w:rsidR="00C74066" w:rsidRDefault="00C57DCF" w:rsidP="003D01AB">
      <w:pPr>
        <w:pStyle w:val="TOCHeading"/>
        <w:pageBreakBefore w:val="0"/>
        <w:spacing w:before="80" w:after="80"/>
        <w:outlineLvl w:val="1"/>
        <w:rPr>
          <w:rFonts w:asciiTheme="majorHAnsi" w:hAnsiTheme="majorHAnsi"/>
          <w:b/>
          <w:bCs w:val="0"/>
          <w:color w:val="auto"/>
          <w:sz w:val="22"/>
          <w:szCs w:val="22"/>
          <w:lang w:val="en-AU"/>
        </w:rPr>
        <w:sectPr w:rsidR="00C74066">
          <w:headerReference w:type="first" r:id="rId22"/>
          <w:pgSz w:w="11906" w:h="16838"/>
          <w:pgMar w:top="1418" w:right="1418" w:bottom="1418" w:left="1418" w:header="567" w:footer="283" w:gutter="0"/>
          <w:pgNumType w:fmt="lowerRoman"/>
          <w:cols w:space="708"/>
          <w:titlePg/>
          <w:docGrid w:linePitch="360"/>
        </w:sectPr>
      </w:pPr>
      <w:r>
        <w:rPr>
          <w:rFonts w:asciiTheme="majorHAnsi" w:hAnsiTheme="majorHAnsi"/>
          <w:b/>
          <w:bCs w:val="0"/>
          <w:color w:val="auto"/>
          <w:sz w:val="20"/>
          <w:szCs w:val="20"/>
          <w:lang w:val="en-AU"/>
        </w:rPr>
        <w:fldChar w:fldCharType="end"/>
      </w:r>
    </w:p>
    <w:p w:rsidR="00C74066" w:rsidRDefault="00F10705">
      <w:pPr>
        <w:pStyle w:val="TOCHeading"/>
        <w:pageBreakBefore w:val="0"/>
        <w:spacing w:before="60" w:after="60"/>
        <w:rPr>
          <w:rFonts w:eastAsiaTheme="majorEastAsia" w:cstheme="majorBidi"/>
          <w:b/>
          <w:color w:val="D52B1E"/>
          <w:sz w:val="34"/>
          <w:lang w:val="en-AU"/>
        </w:rPr>
      </w:pPr>
      <w:r>
        <w:rPr>
          <w:rFonts w:eastAsiaTheme="majorEastAsia" w:cstheme="majorBidi"/>
          <w:b/>
          <w:color w:val="D52B1E"/>
          <w:sz w:val="34"/>
          <w:lang w:val="en-AU"/>
        </w:rPr>
        <w:lastRenderedPageBreak/>
        <w:t>Figures</w:t>
      </w:r>
    </w:p>
    <w:p w:rsidR="00F13D91" w:rsidRDefault="00C57DCF">
      <w:pPr>
        <w:pStyle w:val="TableofFigures"/>
        <w:tabs>
          <w:tab w:val="right" w:leader="dot" w:pos="9060"/>
        </w:tabs>
        <w:rPr>
          <w:rFonts w:eastAsiaTheme="minorEastAsia"/>
          <w:noProof/>
          <w:lang w:eastAsia="en-AU"/>
        </w:rPr>
      </w:pPr>
      <w:r>
        <w:fldChar w:fldCharType="begin"/>
      </w:r>
      <w:r w:rsidR="00F10705">
        <w:instrText xml:space="preserve"> TOC \c "Figure" </w:instrText>
      </w:r>
      <w:r>
        <w:fldChar w:fldCharType="separate"/>
      </w:r>
      <w:r w:rsidR="00F13D91" w:rsidRPr="00EF164F">
        <w:rPr>
          <w:rFonts w:asciiTheme="majorHAnsi" w:eastAsiaTheme="majorEastAsia" w:hAnsiTheme="majorHAnsi" w:cstheme="majorBidi"/>
          <w:noProof/>
          <w:color w:val="595959" w:themeColor="text1" w:themeTint="A6"/>
        </w:rPr>
        <w:t xml:space="preserve">Figure 1 The infection process of </w:t>
      </w:r>
      <w:r w:rsidR="00F13D91" w:rsidRPr="00EF164F">
        <w:rPr>
          <w:rFonts w:asciiTheme="majorHAnsi" w:eastAsiaTheme="majorEastAsia" w:hAnsiTheme="majorHAnsi" w:cstheme="majorBidi"/>
          <w:i/>
          <w:noProof/>
          <w:color w:val="595959" w:themeColor="text1" w:themeTint="A6"/>
        </w:rPr>
        <w:t>Phytophthora</w:t>
      </w:r>
      <w:r w:rsidR="00F13D91" w:rsidRPr="00EF164F">
        <w:rPr>
          <w:rFonts w:asciiTheme="majorHAnsi" w:eastAsiaTheme="majorEastAsia" w:hAnsiTheme="majorHAnsi" w:cstheme="majorBidi"/>
          <w:noProof/>
          <w:color w:val="595959" w:themeColor="text1" w:themeTint="A6"/>
        </w:rPr>
        <w:t xml:space="preserve"> species</w:t>
      </w:r>
      <w:r w:rsidR="00F13D91">
        <w:rPr>
          <w:noProof/>
        </w:rPr>
        <w:tab/>
      </w:r>
      <w:r>
        <w:rPr>
          <w:noProof/>
        </w:rPr>
        <w:fldChar w:fldCharType="begin"/>
      </w:r>
      <w:r w:rsidR="00F13D91">
        <w:rPr>
          <w:noProof/>
        </w:rPr>
        <w:instrText xml:space="preserve"> PAGEREF _Toc434244753 \h </w:instrText>
      </w:r>
      <w:r>
        <w:rPr>
          <w:noProof/>
        </w:rPr>
      </w:r>
      <w:r>
        <w:rPr>
          <w:noProof/>
        </w:rPr>
        <w:fldChar w:fldCharType="separate"/>
      </w:r>
      <w:r w:rsidR="00AF2121">
        <w:rPr>
          <w:noProof/>
        </w:rPr>
        <w:t>21</w:t>
      </w:r>
      <w:r>
        <w:rPr>
          <w:noProof/>
        </w:rPr>
        <w:fldChar w:fldCharType="end"/>
      </w:r>
    </w:p>
    <w:p w:rsidR="00F13D91" w:rsidRDefault="00F13D91">
      <w:pPr>
        <w:pStyle w:val="TableofFigures"/>
        <w:tabs>
          <w:tab w:val="right" w:leader="dot" w:pos="9060"/>
        </w:tabs>
        <w:rPr>
          <w:rFonts w:eastAsiaTheme="minorEastAsia"/>
          <w:noProof/>
          <w:lang w:eastAsia="en-AU"/>
        </w:rPr>
      </w:pPr>
      <w:r w:rsidRPr="00EF164F">
        <w:rPr>
          <w:rFonts w:asciiTheme="majorHAnsi" w:eastAsiaTheme="majorEastAsia" w:hAnsiTheme="majorHAnsi" w:cstheme="majorBidi"/>
          <w:noProof/>
          <w:color w:val="595959" w:themeColor="text1" w:themeTint="A6"/>
        </w:rPr>
        <w:t xml:space="preserve">Figure 2 Interception of </w:t>
      </w:r>
      <w:r w:rsidRPr="00EF164F">
        <w:rPr>
          <w:rFonts w:asciiTheme="majorHAnsi" w:eastAsiaTheme="majorEastAsia" w:hAnsiTheme="majorHAnsi" w:cstheme="majorBidi"/>
          <w:i/>
          <w:noProof/>
          <w:color w:val="595959" w:themeColor="text1" w:themeTint="A6"/>
        </w:rPr>
        <w:t>Phytophthora ramorum</w:t>
      </w:r>
      <w:r w:rsidRPr="00EF164F">
        <w:rPr>
          <w:rFonts w:asciiTheme="majorHAnsi" w:eastAsiaTheme="majorEastAsia" w:hAnsiTheme="majorHAnsi" w:cstheme="majorBidi"/>
          <w:noProof/>
          <w:color w:val="595959" w:themeColor="text1" w:themeTint="A6"/>
        </w:rPr>
        <w:t xml:space="preserve"> in Europe</w:t>
      </w:r>
      <w:r>
        <w:rPr>
          <w:noProof/>
        </w:rPr>
        <w:tab/>
      </w:r>
      <w:r w:rsidR="00C57DCF">
        <w:rPr>
          <w:noProof/>
        </w:rPr>
        <w:fldChar w:fldCharType="begin"/>
      </w:r>
      <w:r>
        <w:rPr>
          <w:noProof/>
        </w:rPr>
        <w:instrText xml:space="preserve"> PAGEREF _Toc434244754 \h </w:instrText>
      </w:r>
      <w:r w:rsidR="00C57DCF">
        <w:rPr>
          <w:noProof/>
        </w:rPr>
      </w:r>
      <w:r w:rsidR="00C57DCF">
        <w:rPr>
          <w:noProof/>
        </w:rPr>
        <w:fldChar w:fldCharType="separate"/>
      </w:r>
      <w:r w:rsidR="00AF2121">
        <w:rPr>
          <w:noProof/>
        </w:rPr>
        <w:t>25</w:t>
      </w:r>
      <w:r w:rsidR="00C57DCF">
        <w:rPr>
          <w:noProof/>
        </w:rPr>
        <w:fldChar w:fldCharType="end"/>
      </w:r>
    </w:p>
    <w:p w:rsidR="00C74066" w:rsidRDefault="00C57DCF">
      <w:pPr>
        <w:rPr>
          <w:rFonts w:eastAsiaTheme="majorEastAsia" w:cstheme="majorBidi"/>
          <w:b/>
          <w:color w:val="D52B1E"/>
          <w:sz w:val="34"/>
        </w:rPr>
      </w:pPr>
      <w:r>
        <w:fldChar w:fldCharType="end"/>
      </w:r>
      <w:r w:rsidR="00F10705">
        <w:rPr>
          <w:rFonts w:eastAsiaTheme="majorEastAsia" w:cstheme="majorBidi"/>
          <w:b/>
          <w:color w:val="D52B1E"/>
          <w:sz w:val="34"/>
        </w:rPr>
        <w:t>Tables</w:t>
      </w:r>
    </w:p>
    <w:p w:rsidR="00F13D91" w:rsidRDefault="00C57DCF">
      <w:pPr>
        <w:pStyle w:val="TableofFigures"/>
        <w:tabs>
          <w:tab w:val="right" w:leader="dot" w:pos="9060"/>
        </w:tabs>
        <w:rPr>
          <w:rFonts w:eastAsiaTheme="minorEastAsia"/>
          <w:noProof/>
          <w:lang w:eastAsia="en-AU"/>
        </w:rPr>
      </w:pPr>
      <w:r w:rsidRPr="00C57DCF">
        <w:rPr>
          <w:bCs/>
          <w:sz w:val="24"/>
          <w:szCs w:val="24"/>
        </w:rPr>
        <w:fldChar w:fldCharType="begin"/>
      </w:r>
      <w:r w:rsidR="00F10705">
        <w:rPr>
          <w:bCs/>
        </w:rPr>
        <w:instrText xml:space="preserve"> TOC \t "Caption,1" \c "Table" </w:instrText>
      </w:r>
      <w:r w:rsidRPr="00C57DCF">
        <w:rPr>
          <w:bCs/>
          <w:sz w:val="24"/>
          <w:szCs w:val="24"/>
        </w:rPr>
        <w:fldChar w:fldCharType="separate"/>
      </w:r>
      <w:r w:rsidR="00F13D91" w:rsidRPr="007346E9">
        <w:rPr>
          <w:rFonts w:asciiTheme="majorHAnsi" w:eastAsiaTheme="majorEastAsia" w:hAnsiTheme="majorHAnsi" w:cstheme="majorBidi"/>
          <w:noProof/>
          <w:color w:val="595959" w:themeColor="text1" w:themeTint="A6"/>
        </w:rPr>
        <w:t>Table 1 Nomenclature of qualitative likelihoods</w:t>
      </w:r>
      <w:r w:rsidR="00F13D91">
        <w:rPr>
          <w:noProof/>
        </w:rPr>
        <w:tab/>
      </w:r>
      <w:r>
        <w:rPr>
          <w:noProof/>
        </w:rPr>
        <w:fldChar w:fldCharType="begin"/>
      </w:r>
      <w:r w:rsidR="00F13D91">
        <w:rPr>
          <w:noProof/>
        </w:rPr>
        <w:instrText xml:space="preserve"> PAGEREF _Toc434244757 \h </w:instrText>
      </w:r>
      <w:r>
        <w:rPr>
          <w:noProof/>
        </w:rPr>
      </w:r>
      <w:r>
        <w:rPr>
          <w:noProof/>
        </w:rPr>
        <w:fldChar w:fldCharType="separate"/>
      </w:r>
      <w:r w:rsidR="00AF2121">
        <w:rPr>
          <w:noProof/>
        </w:rPr>
        <w:t>8</w:t>
      </w:r>
      <w:r>
        <w:rPr>
          <w:noProof/>
        </w:rPr>
        <w:fldChar w:fldCharType="end"/>
      </w:r>
    </w:p>
    <w:p w:rsidR="00F13D91" w:rsidRDefault="00F13D91">
      <w:pPr>
        <w:pStyle w:val="TableofFigures"/>
        <w:tabs>
          <w:tab w:val="right" w:leader="dot" w:pos="9060"/>
        </w:tabs>
        <w:rPr>
          <w:rFonts w:eastAsiaTheme="minorEastAsia"/>
          <w:noProof/>
          <w:lang w:eastAsia="en-AU"/>
        </w:rPr>
      </w:pPr>
      <w:r w:rsidRPr="007346E9">
        <w:rPr>
          <w:rFonts w:asciiTheme="majorHAnsi" w:eastAsiaTheme="majorEastAsia" w:hAnsiTheme="majorHAnsi" w:cstheme="majorBidi"/>
          <w:noProof/>
          <w:color w:val="595959" w:themeColor="text1" w:themeTint="A6"/>
        </w:rPr>
        <w:t>Table 2 Matrix of rules for combining qualitative likelihoods</w:t>
      </w:r>
      <w:r>
        <w:rPr>
          <w:noProof/>
        </w:rPr>
        <w:tab/>
      </w:r>
      <w:r w:rsidR="00C57DCF">
        <w:rPr>
          <w:noProof/>
        </w:rPr>
        <w:fldChar w:fldCharType="begin"/>
      </w:r>
      <w:r>
        <w:rPr>
          <w:noProof/>
        </w:rPr>
        <w:instrText xml:space="preserve"> PAGEREF _Toc434244758 \h </w:instrText>
      </w:r>
      <w:r w:rsidR="00C57DCF">
        <w:rPr>
          <w:noProof/>
        </w:rPr>
      </w:r>
      <w:r w:rsidR="00C57DCF">
        <w:rPr>
          <w:noProof/>
        </w:rPr>
        <w:fldChar w:fldCharType="separate"/>
      </w:r>
      <w:r w:rsidR="00AF2121">
        <w:rPr>
          <w:noProof/>
        </w:rPr>
        <w:t>9</w:t>
      </w:r>
      <w:r w:rsidR="00C57DCF">
        <w:rPr>
          <w:noProof/>
        </w:rPr>
        <w:fldChar w:fldCharType="end"/>
      </w:r>
    </w:p>
    <w:p w:rsidR="00F13D91" w:rsidRDefault="00F13D91">
      <w:pPr>
        <w:pStyle w:val="TableofFigures"/>
        <w:tabs>
          <w:tab w:val="right" w:leader="dot" w:pos="9060"/>
        </w:tabs>
        <w:rPr>
          <w:rFonts w:eastAsiaTheme="minorEastAsia"/>
          <w:noProof/>
          <w:lang w:eastAsia="en-AU"/>
        </w:rPr>
      </w:pPr>
      <w:r w:rsidRPr="007346E9">
        <w:rPr>
          <w:rFonts w:asciiTheme="majorHAnsi" w:eastAsiaTheme="majorEastAsia" w:hAnsiTheme="majorHAnsi" w:cstheme="majorBidi"/>
          <w:noProof/>
          <w:color w:val="595959" w:themeColor="text1" w:themeTint="A6"/>
        </w:rPr>
        <w:t>Table 3 Decision rules for determining the consequence impact score based on the magnitude of consequences at four geographic scales</w:t>
      </w:r>
      <w:r>
        <w:rPr>
          <w:noProof/>
        </w:rPr>
        <w:tab/>
      </w:r>
      <w:r w:rsidR="00C57DCF">
        <w:rPr>
          <w:noProof/>
        </w:rPr>
        <w:fldChar w:fldCharType="begin"/>
      </w:r>
      <w:r>
        <w:rPr>
          <w:noProof/>
        </w:rPr>
        <w:instrText xml:space="preserve"> PAGEREF _Toc434244759 \h </w:instrText>
      </w:r>
      <w:r w:rsidR="00C57DCF">
        <w:rPr>
          <w:noProof/>
        </w:rPr>
      </w:r>
      <w:r w:rsidR="00C57DCF">
        <w:rPr>
          <w:noProof/>
        </w:rPr>
        <w:fldChar w:fldCharType="separate"/>
      </w:r>
      <w:r w:rsidR="00AF2121">
        <w:rPr>
          <w:noProof/>
        </w:rPr>
        <w:t>11</w:t>
      </w:r>
      <w:r w:rsidR="00C57DCF">
        <w:rPr>
          <w:noProof/>
        </w:rPr>
        <w:fldChar w:fldCharType="end"/>
      </w:r>
    </w:p>
    <w:p w:rsidR="00F13D91" w:rsidRDefault="00F13D91">
      <w:pPr>
        <w:pStyle w:val="TableofFigures"/>
        <w:tabs>
          <w:tab w:val="right" w:leader="dot" w:pos="9060"/>
        </w:tabs>
        <w:rPr>
          <w:rFonts w:eastAsiaTheme="minorEastAsia"/>
          <w:noProof/>
          <w:lang w:eastAsia="en-AU"/>
        </w:rPr>
      </w:pPr>
      <w:r w:rsidRPr="007346E9">
        <w:rPr>
          <w:rFonts w:asciiTheme="majorHAnsi" w:eastAsiaTheme="majorEastAsia" w:hAnsiTheme="majorHAnsi" w:cstheme="majorBidi"/>
          <w:noProof/>
          <w:color w:val="595959" w:themeColor="text1" w:themeTint="A6"/>
        </w:rPr>
        <w:t>Table 4 Decision rules for determining the overall consequence rating for each pest</w:t>
      </w:r>
      <w:r>
        <w:rPr>
          <w:noProof/>
        </w:rPr>
        <w:tab/>
      </w:r>
      <w:r w:rsidR="00C57DCF">
        <w:rPr>
          <w:noProof/>
        </w:rPr>
        <w:fldChar w:fldCharType="begin"/>
      </w:r>
      <w:r>
        <w:rPr>
          <w:noProof/>
        </w:rPr>
        <w:instrText xml:space="preserve"> PAGEREF _Toc434244760 \h </w:instrText>
      </w:r>
      <w:r w:rsidR="00C57DCF">
        <w:rPr>
          <w:noProof/>
        </w:rPr>
      </w:r>
      <w:r w:rsidR="00C57DCF">
        <w:rPr>
          <w:noProof/>
        </w:rPr>
        <w:fldChar w:fldCharType="separate"/>
      </w:r>
      <w:r w:rsidR="00AF2121">
        <w:rPr>
          <w:noProof/>
        </w:rPr>
        <w:t>11</w:t>
      </w:r>
      <w:r w:rsidR="00C57DCF">
        <w:rPr>
          <w:noProof/>
        </w:rPr>
        <w:fldChar w:fldCharType="end"/>
      </w:r>
    </w:p>
    <w:p w:rsidR="00F13D91" w:rsidRDefault="00F13D91">
      <w:pPr>
        <w:pStyle w:val="TableofFigures"/>
        <w:tabs>
          <w:tab w:val="right" w:leader="dot" w:pos="9060"/>
        </w:tabs>
        <w:rPr>
          <w:rFonts w:eastAsiaTheme="minorEastAsia"/>
          <w:noProof/>
          <w:lang w:eastAsia="en-AU"/>
        </w:rPr>
      </w:pPr>
      <w:r w:rsidRPr="007346E9">
        <w:rPr>
          <w:rFonts w:asciiTheme="majorHAnsi" w:eastAsiaTheme="majorEastAsia" w:hAnsiTheme="majorHAnsi" w:cstheme="majorBidi"/>
          <w:noProof/>
          <w:color w:val="595959" w:themeColor="text1" w:themeTint="A6"/>
        </w:rPr>
        <w:t>Table 5 Risk estimation matrix</w:t>
      </w:r>
      <w:r>
        <w:rPr>
          <w:noProof/>
        </w:rPr>
        <w:tab/>
      </w:r>
      <w:r w:rsidR="00C57DCF">
        <w:rPr>
          <w:noProof/>
        </w:rPr>
        <w:fldChar w:fldCharType="begin"/>
      </w:r>
      <w:r>
        <w:rPr>
          <w:noProof/>
        </w:rPr>
        <w:instrText xml:space="preserve"> PAGEREF _Toc434244761 \h </w:instrText>
      </w:r>
      <w:r w:rsidR="00C57DCF">
        <w:rPr>
          <w:noProof/>
        </w:rPr>
      </w:r>
      <w:r w:rsidR="00C57DCF">
        <w:rPr>
          <w:noProof/>
        </w:rPr>
        <w:fldChar w:fldCharType="separate"/>
      </w:r>
      <w:r w:rsidR="00AF2121">
        <w:rPr>
          <w:noProof/>
        </w:rPr>
        <w:t>12</w:t>
      </w:r>
      <w:r w:rsidR="00C57DCF">
        <w:rPr>
          <w:noProof/>
        </w:rPr>
        <w:fldChar w:fldCharType="end"/>
      </w:r>
    </w:p>
    <w:p w:rsidR="00F13D91" w:rsidRDefault="00F13D91">
      <w:pPr>
        <w:pStyle w:val="TableofFigures"/>
        <w:tabs>
          <w:tab w:val="right" w:leader="dot" w:pos="9060"/>
        </w:tabs>
        <w:rPr>
          <w:rFonts w:eastAsiaTheme="minorEastAsia"/>
          <w:noProof/>
          <w:lang w:eastAsia="en-AU"/>
        </w:rPr>
      </w:pPr>
      <w:r w:rsidRPr="007346E9">
        <w:rPr>
          <w:rFonts w:asciiTheme="majorHAnsi" w:eastAsiaTheme="majorEastAsia" w:hAnsiTheme="majorHAnsi" w:cstheme="majorBidi"/>
          <w:noProof/>
          <w:color w:val="595959" w:themeColor="text1" w:themeTint="A6"/>
        </w:rPr>
        <w:t xml:space="preserve">Table 6 Characteristics of the </w:t>
      </w:r>
      <w:r w:rsidRPr="007346E9">
        <w:rPr>
          <w:rFonts w:asciiTheme="majorHAnsi" w:eastAsiaTheme="majorEastAsia" w:hAnsiTheme="majorHAnsi" w:cstheme="majorBidi"/>
          <w:i/>
          <w:noProof/>
          <w:color w:val="595959" w:themeColor="text1" w:themeTint="A6"/>
        </w:rPr>
        <w:t>Phytophthora</w:t>
      </w:r>
      <w:r w:rsidRPr="007346E9">
        <w:rPr>
          <w:rFonts w:asciiTheme="majorHAnsi" w:eastAsiaTheme="majorEastAsia" w:hAnsiTheme="majorHAnsi" w:cstheme="majorBidi"/>
          <w:noProof/>
          <w:color w:val="595959" w:themeColor="text1" w:themeTint="A6"/>
        </w:rPr>
        <w:t xml:space="preserve"> species under review</w:t>
      </w:r>
      <w:r>
        <w:rPr>
          <w:noProof/>
        </w:rPr>
        <w:tab/>
      </w:r>
      <w:r w:rsidR="00C57DCF">
        <w:rPr>
          <w:noProof/>
        </w:rPr>
        <w:fldChar w:fldCharType="begin"/>
      </w:r>
      <w:r>
        <w:rPr>
          <w:noProof/>
        </w:rPr>
        <w:instrText xml:space="preserve"> PAGEREF _Toc434244762 \h </w:instrText>
      </w:r>
      <w:r w:rsidR="00C57DCF">
        <w:rPr>
          <w:noProof/>
        </w:rPr>
      </w:r>
      <w:r w:rsidR="00C57DCF">
        <w:rPr>
          <w:noProof/>
        </w:rPr>
        <w:fldChar w:fldCharType="separate"/>
      </w:r>
      <w:r w:rsidR="00AF2121">
        <w:rPr>
          <w:noProof/>
        </w:rPr>
        <w:t>16</w:t>
      </w:r>
      <w:r w:rsidR="00C57DCF">
        <w:rPr>
          <w:noProof/>
        </w:rPr>
        <w:fldChar w:fldCharType="end"/>
      </w:r>
    </w:p>
    <w:p w:rsidR="00C74066" w:rsidRDefault="00C57DCF">
      <w:pPr>
        <w:pStyle w:val="TOCHeading"/>
        <w:pageBreakBefore w:val="0"/>
        <w:spacing w:before="80" w:after="80"/>
        <w:rPr>
          <w:rFonts w:eastAsiaTheme="majorEastAsia" w:cstheme="majorBidi"/>
          <w:b/>
          <w:color w:val="D52B1E"/>
          <w:sz w:val="34"/>
          <w:lang w:val="en-AU"/>
        </w:rPr>
      </w:pPr>
      <w:r>
        <w:rPr>
          <w:rFonts w:ascii="Times New Roman" w:hAnsi="Times New Roman"/>
          <w:bCs w:val="0"/>
          <w:color w:val="auto"/>
          <w:sz w:val="22"/>
          <w:szCs w:val="22"/>
          <w:lang w:val="en-AU"/>
        </w:rPr>
        <w:fldChar w:fldCharType="end"/>
      </w:r>
      <w:r w:rsidR="00F10705">
        <w:rPr>
          <w:rFonts w:eastAsiaTheme="majorEastAsia" w:cstheme="majorBidi"/>
          <w:b/>
          <w:color w:val="D52B1E"/>
          <w:sz w:val="34"/>
          <w:lang w:val="en-AU"/>
        </w:rPr>
        <w:t>Maps</w:t>
      </w:r>
    </w:p>
    <w:p w:rsidR="00FE76D1" w:rsidRDefault="00C57DCF">
      <w:pPr>
        <w:pStyle w:val="TableofFigures"/>
        <w:tabs>
          <w:tab w:val="right" w:leader="dot" w:pos="9060"/>
        </w:tabs>
        <w:rPr>
          <w:rFonts w:eastAsiaTheme="minorEastAsia"/>
          <w:noProof/>
          <w:lang w:eastAsia="en-AU"/>
        </w:rPr>
      </w:pPr>
      <w:r>
        <w:rPr>
          <w:rFonts w:eastAsiaTheme="minorEastAsia"/>
        </w:rPr>
        <w:fldChar w:fldCharType="begin"/>
      </w:r>
      <w:r w:rsidR="00F10705">
        <w:rPr>
          <w:rFonts w:eastAsiaTheme="minorEastAsia"/>
        </w:rPr>
        <w:instrText xml:space="preserve"> TOC \c "Map" </w:instrText>
      </w:r>
      <w:r>
        <w:rPr>
          <w:rFonts w:eastAsiaTheme="minorEastAsia"/>
        </w:rPr>
        <w:fldChar w:fldCharType="separate"/>
      </w:r>
      <w:r w:rsidR="00FE76D1" w:rsidRPr="00EF0278">
        <w:rPr>
          <w:rFonts w:asciiTheme="majorHAnsi" w:eastAsiaTheme="majorEastAsia" w:hAnsiTheme="majorHAnsi" w:cstheme="majorBidi"/>
          <w:noProof/>
          <w:color w:val="595959" w:themeColor="text1" w:themeTint="A6"/>
        </w:rPr>
        <w:t>Map 1 Map of Australia</w:t>
      </w:r>
      <w:r w:rsidR="00FE76D1">
        <w:rPr>
          <w:noProof/>
        </w:rPr>
        <w:tab/>
      </w:r>
      <w:r>
        <w:rPr>
          <w:noProof/>
        </w:rPr>
        <w:fldChar w:fldCharType="begin"/>
      </w:r>
      <w:r w:rsidR="00FE76D1">
        <w:rPr>
          <w:noProof/>
        </w:rPr>
        <w:instrText xml:space="preserve"> PAGEREF _Toc434244238 \h </w:instrText>
      </w:r>
      <w:r>
        <w:rPr>
          <w:noProof/>
        </w:rPr>
      </w:r>
      <w:r>
        <w:rPr>
          <w:noProof/>
        </w:rPr>
        <w:fldChar w:fldCharType="separate"/>
      </w:r>
      <w:r w:rsidR="00AF2121">
        <w:rPr>
          <w:noProof/>
        </w:rPr>
        <w:t>v</w:t>
      </w:r>
      <w:r>
        <w:rPr>
          <w:noProof/>
        </w:rPr>
        <w:fldChar w:fldCharType="end"/>
      </w:r>
    </w:p>
    <w:p w:rsidR="00FE76D1" w:rsidRDefault="00FE76D1">
      <w:pPr>
        <w:pStyle w:val="TableofFigures"/>
        <w:tabs>
          <w:tab w:val="right" w:leader="dot" w:pos="9060"/>
        </w:tabs>
        <w:rPr>
          <w:rFonts w:eastAsiaTheme="minorEastAsia"/>
          <w:noProof/>
          <w:lang w:eastAsia="en-AU"/>
        </w:rPr>
      </w:pPr>
      <w:r w:rsidRPr="00EF0278">
        <w:rPr>
          <w:rFonts w:asciiTheme="majorHAnsi" w:eastAsiaTheme="majorEastAsia" w:hAnsiTheme="majorHAnsi" w:cstheme="majorBidi"/>
          <w:noProof/>
          <w:color w:val="595959" w:themeColor="text1" w:themeTint="A6"/>
        </w:rPr>
        <w:t>Map 2 A guide to Australia's bio-climatic zones</w:t>
      </w:r>
      <w:r>
        <w:rPr>
          <w:noProof/>
        </w:rPr>
        <w:tab/>
      </w:r>
      <w:r w:rsidR="00C57DCF">
        <w:rPr>
          <w:noProof/>
        </w:rPr>
        <w:fldChar w:fldCharType="begin"/>
      </w:r>
      <w:r>
        <w:rPr>
          <w:noProof/>
        </w:rPr>
        <w:instrText xml:space="preserve"> PAGEREF _Toc434244239 \h </w:instrText>
      </w:r>
      <w:r w:rsidR="00C57DCF">
        <w:rPr>
          <w:noProof/>
        </w:rPr>
      </w:r>
      <w:r w:rsidR="00C57DCF">
        <w:rPr>
          <w:noProof/>
        </w:rPr>
        <w:fldChar w:fldCharType="separate"/>
      </w:r>
      <w:r w:rsidR="00AF2121">
        <w:rPr>
          <w:noProof/>
        </w:rPr>
        <w:t>v</w:t>
      </w:r>
      <w:r w:rsidR="00C57DCF">
        <w:rPr>
          <w:noProof/>
        </w:rPr>
        <w:fldChar w:fldCharType="end"/>
      </w:r>
    </w:p>
    <w:p w:rsidR="00FE76D1" w:rsidRDefault="00FE76D1">
      <w:pPr>
        <w:pStyle w:val="TableofFigures"/>
        <w:tabs>
          <w:tab w:val="right" w:leader="dot" w:pos="9060"/>
        </w:tabs>
        <w:rPr>
          <w:rFonts w:eastAsiaTheme="minorEastAsia"/>
          <w:noProof/>
          <w:lang w:eastAsia="en-AU"/>
        </w:rPr>
      </w:pPr>
      <w:r w:rsidRPr="00EF0278">
        <w:rPr>
          <w:rFonts w:asciiTheme="majorHAnsi" w:eastAsiaTheme="majorEastAsia" w:hAnsiTheme="majorHAnsi" w:cstheme="majorBidi"/>
          <w:noProof/>
          <w:color w:val="595959" w:themeColor="text1" w:themeTint="A6"/>
        </w:rPr>
        <w:t xml:space="preserve">Map 3 Global occurrences of </w:t>
      </w:r>
      <w:r w:rsidRPr="00EF0278">
        <w:rPr>
          <w:rFonts w:asciiTheme="majorHAnsi" w:eastAsiaTheme="majorEastAsia" w:hAnsiTheme="majorHAnsi" w:cstheme="majorBidi"/>
          <w:i/>
          <w:noProof/>
          <w:color w:val="595959" w:themeColor="text1" w:themeTint="A6"/>
        </w:rPr>
        <w:t>Phytophthora</w:t>
      </w:r>
      <w:r w:rsidRPr="00EF0278">
        <w:rPr>
          <w:rFonts w:asciiTheme="majorHAnsi" w:eastAsiaTheme="majorEastAsia" w:hAnsiTheme="majorHAnsi" w:cstheme="majorBidi"/>
          <w:noProof/>
          <w:color w:val="595959" w:themeColor="text1" w:themeTint="A6"/>
        </w:rPr>
        <w:t xml:space="preserve"> species</w:t>
      </w:r>
      <w:r>
        <w:rPr>
          <w:noProof/>
        </w:rPr>
        <w:tab/>
      </w:r>
      <w:r w:rsidR="00C57DCF">
        <w:rPr>
          <w:noProof/>
        </w:rPr>
        <w:fldChar w:fldCharType="begin"/>
      </w:r>
      <w:r>
        <w:rPr>
          <w:noProof/>
        </w:rPr>
        <w:instrText xml:space="preserve"> PAGEREF _Toc434244240 \h </w:instrText>
      </w:r>
      <w:r w:rsidR="00C57DCF">
        <w:rPr>
          <w:noProof/>
        </w:rPr>
      </w:r>
      <w:r w:rsidR="00C57DCF">
        <w:rPr>
          <w:noProof/>
        </w:rPr>
        <w:fldChar w:fldCharType="separate"/>
      </w:r>
      <w:r w:rsidR="00AF2121">
        <w:rPr>
          <w:noProof/>
        </w:rPr>
        <w:t>18</w:t>
      </w:r>
      <w:r w:rsidR="00C57DCF">
        <w:rPr>
          <w:noProof/>
        </w:rPr>
        <w:fldChar w:fldCharType="end"/>
      </w:r>
    </w:p>
    <w:p w:rsidR="00FE76D1" w:rsidRDefault="00FE76D1">
      <w:pPr>
        <w:pStyle w:val="TableofFigures"/>
        <w:tabs>
          <w:tab w:val="right" w:leader="dot" w:pos="9060"/>
        </w:tabs>
        <w:rPr>
          <w:rFonts w:eastAsiaTheme="minorEastAsia"/>
          <w:noProof/>
          <w:lang w:eastAsia="en-AU"/>
        </w:rPr>
      </w:pPr>
      <w:r w:rsidRPr="00EF0278">
        <w:rPr>
          <w:rFonts w:asciiTheme="majorHAnsi" w:eastAsiaTheme="majorEastAsia" w:hAnsiTheme="majorHAnsi" w:cstheme="majorBidi"/>
          <w:noProof/>
          <w:color w:val="595959" w:themeColor="text1" w:themeTint="A6"/>
        </w:rPr>
        <w:t xml:space="preserve">Map 4 Areas suitable for the establishment of </w:t>
      </w:r>
      <w:r w:rsidRPr="00EF0278">
        <w:rPr>
          <w:rFonts w:asciiTheme="majorHAnsi" w:eastAsiaTheme="majorEastAsia" w:hAnsiTheme="majorHAnsi" w:cstheme="majorBidi"/>
          <w:i/>
          <w:noProof/>
          <w:color w:val="595959" w:themeColor="text1" w:themeTint="A6"/>
        </w:rPr>
        <w:t>Phytophthora ramorum</w:t>
      </w:r>
      <w:r w:rsidRPr="00EF0278">
        <w:rPr>
          <w:rFonts w:asciiTheme="majorHAnsi" w:eastAsiaTheme="majorEastAsia" w:hAnsiTheme="majorHAnsi" w:cstheme="majorBidi"/>
          <w:noProof/>
          <w:color w:val="595959" w:themeColor="text1" w:themeTint="A6"/>
        </w:rPr>
        <w:t xml:space="preserve"> in Australia</w:t>
      </w:r>
      <w:r>
        <w:rPr>
          <w:noProof/>
        </w:rPr>
        <w:tab/>
      </w:r>
      <w:r w:rsidR="00C57DCF">
        <w:rPr>
          <w:noProof/>
        </w:rPr>
        <w:fldChar w:fldCharType="begin"/>
      </w:r>
      <w:r>
        <w:rPr>
          <w:noProof/>
        </w:rPr>
        <w:instrText xml:space="preserve"> PAGEREF _Toc434244241 \h </w:instrText>
      </w:r>
      <w:r w:rsidR="00C57DCF">
        <w:rPr>
          <w:noProof/>
        </w:rPr>
      </w:r>
      <w:r w:rsidR="00C57DCF">
        <w:rPr>
          <w:noProof/>
        </w:rPr>
        <w:fldChar w:fldCharType="separate"/>
      </w:r>
      <w:r w:rsidR="00AF2121">
        <w:rPr>
          <w:noProof/>
        </w:rPr>
        <w:t>30</w:t>
      </w:r>
      <w:r w:rsidR="00C57DCF">
        <w:rPr>
          <w:noProof/>
        </w:rPr>
        <w:fldChar w:fldCharType="end"/>
      </w:r>
    </w:p>
    <w:p w:rsidR="00FE76D1" w:rsidRDefault="00FE76D1">
      <w:pPr>
        <w:pStyle w:val="TableofFigures"/>
        <w:tabs>
          <w:tab w:val="right" w:leader="dot" w:pos="9060"/>
        </w:tabs>
        <w:rPr>
          <w:rFonts w:eastAsiaTheme="minorEastAsia"/>
          <w:noProof/>
          <w:lang w:eastAsia="en-AU"/>
        </w:rPr>
      </w:pPr>
      <w:r w:rsidRPr="00EF0278">
        <w:rPr>
          <w:rFonts w:asciiTheme="majorHAnsi" w:eastAsiaTheme="majorEastAsia" w:hAnsiTheme="majorHAnsi" w:cstheme="majorBidi"/>
          <w:noProof/>
          <w:color w:val="595959" w:themeColor="text1" w:themeTint="A6"/>
        </w:rPr>
        <w:t>Map 5 Distribution of the nursery and garden industry in Australia</w:t>
      </w:r>
      <w:r>
        <w:rPr>
          <w:noProof/>
        </w:rPr>
        <w:tab/>
      </w:r>
      <w:r w:rsidR="00C57DCF">
        <w:rPr>
          <w:noProof/>
        </w:rPr>
        <w:fldChar w:fldCharType="begin"/>
      </w:r>
      <w:r>
        <w:rPr>
          <w:noProof/>
        </w:rPr>
        <w:instrText xml:space="preserve"> PAGEREF _Toc434244242 \h </w:instrText>
      </w:r>
      <w:r w:rsidR="00C57DCF">
        <w:rPr>
          <w:noProof/>
        </w:rPr>
      </w:r>
      <w:r w:rsidR="00C57DCF">
        <w:rPr>
          <w:noProof/>
        </w:rPr>
        <w:fldChar w:fldCharType="separate"/>
      </w:r>
      <w:r w:rsidR="00AF2121">
        <w:rPr>
          <w:noProof/>
        </w:rPr>
        <w:t>38</w:t>
      </w:r>
      <w:r w:rsidR="00C57DCF">
        <w:rPr>
          <w:noProof/>
        </w:rPr>
        <w:fldChar w:fldCharType="end"/>
      </w:r>
    </w:p>
    <w:p w:rsidR="00910023" w:rsidRDefault="00C57DCF">
      <w:pPr>
        <w:rPr>
          <w:rFonts w:eastAsiaTheme="minorEastAsia"/>
        </w:rPr>
        <w:sectPr w:rsidR="00910023">
          <w:pgSz w:w="11906" w:h="16838"/>
          <w:pgMar w:top="1418" w:right="1418" w:bottom="1418" w:left="1418" w:header="567" w:footer="283" w:gutter="0"/>
          <w:pgNumType w:fmt="lowerRoman"/>
          <w:cols w:space="708"/>
          <w:titlePg/>
          <w:docGrid w:linePitch="360"/>
        </w:sectPr>
      </w:pPr>
      <w:r>
        <w:rPr>
          <w:rFonts w:eastAsiaTheme="minorEastAsia"/>
        </w:rPr>
        <w:fldChar w:fldCharType="end"/>
      </w:r>
    </w:p>
    <w:p w:rsidR="00C74066" w:rsidRDefault="00C74066">
      <w:pPr>
        <w:rPr>
          <w:rFonts w:eastAsiaTheme="minorEastAsia"/>
        </w:rPr>
      </w:pPr>
    </w:p>
    <w:p w:rsidR="00910023" w:rsidRDefault="00910023">
      <w:pPr>
        <w:rPr>
          <w:rFonts w:eastAsiaTheme="minorEastAsia"/>
        </w:rPr>
      </w:pPr>
    </w:p>
    <w:p w:rsidR="00910023" w:rsidRDefault="00910023">
      <w:pPr>
        <w:rPr>
          <w:rFonts w:eastAsiaTheme="minorEastAsia"/>
        </w:rPr>
      </w:pPr>
    </w:p>
    <w:p w:rsidR="00910023" w:rsidRDefault="00910023">
      <w:pPr>
        <w:rPr>
          <w:rFonts w:eastAsiaTheme="minorEastAsia"/>
        </w:rPr>
      </w:pPr>
    </w:p>
    <w:p w:rsidR="00C74066" w:rsidRDefault="00C74066">
      <w:pPr>
        <w:sectPr w:rsidR="00C74066" w:rsidSect="00873038">
          <w:type w:val="continuous"/>
          <w:pgSz w:w="11906" w:h="16838"/>
          <w:pgMar w:top="1418" w:right="1418" w:bottom="1418" w:left="1418" w:header="567" w:footer="284" w:gutter="0"/>
          <w:pgNumType w:fmt="lowerRoman"/>
          <w:cols w:space="708"/>
          <w:titlePg/>
          <w:docGrid w:linePitch="360"/>
        </w:sectPr>
      </w:pPr>
    </w:p>
    <w:p w:rsidR="00C74066" w:rsidRDefault="00F10705">
      <w:pPr>
        <w:pStyle w:val="Caption"/>
        <w:keepNext w:val="0"/>
        <w:rPr>
          <w:rFonts w:asciiTheme="majorHAnsi" w:eastAsiaTheme="majorEastAsia" w:hAnsiTheme="majorHAnsi" w:cstheme="majorBidi"/>
          <w:color w:val="595959" w:themeColor="text1" w:themeTint="A6"/>
          <w:sz w:val="20"/>
        </w:rPr>
      </w:pPr>
      <w:bookmarkStart w:id="0" w:name="_Toc384197740"/>
      <w:bookmarkStart w:id="1" w:name="_Toc384209828"/>
      <w:bookmarkStart w:id="2" w:name="_Toc384275072"/>
      <w:bookmarkStart w:id="3" w:name="_Toc384275087"/>
      <w:bookmarkStart w:id="4" w:name="_Toc384279205"/>
      <w:bookmarkStart w:id="5" w:name="_Toc384285413"/>
      <w:bookmarkStart w:id="6" w:name="_Toc384285463"/>
      <w:bookmarkStart w:id="7" w:name="_Toc385508250"/>
      <w:bookmarkStart w:id="8" w:name="_Toc388191275"/>
      <w:bookmarkStart w:id="9" w:name="_Toc388557517"/>
      <w:bookmarkStart w:id="10" w:name="_Toc388882516"/>
      <w:bookmarkStart w:id="11" w:name="_Toc388949914"/>
      <w:bookmarkStart w:id="12" w:name="_Toc392494627"/>
      <w:bookmarkStart w:id="13" w:name="_Toc392503870"/>
      <w:bookmarkStart w:id="14" w:name="_Toc409685797"/>
      <w:bookmarkStart w:id="15" w:name="_Toc412625736"/>
      <w:bookmarkStart w:id="16" w:name="_Toc428793964"/>
      <w:bookmarkStart w:id="17" w:name="_Toc429406115"/>
      <w:bookmarkStart w:id="18" w:name="_Toc429406243"/>
      <w:bookmarkStart w:id="19" w:name="_Toc429469954"/>
      <w:bookmarkStart w:id="20" w:name="_Toc430268647"/>
      <w:bookmarkStart w:id="21" w:name="_Toc433118103"/>
      <w:bookmarkStart w:id="22" w:name="_Toc433979950"/>
      <w:bookmarkStart w:id="23" w:name="_Toc434241804"/>
      <w:bookmarkStart w:id="24" w:name="_Toc434244217"/>
      <w:bookmarkStart w:id="25" w:name="_Toc434244238"/>
      <w:bookmarkStart w:id="26" w:name="_Toc434244755"/>
      <w:r>
        <w:rPr>
          <w:rFonts w:asciiTheme="majorHAnsi" w:eastAsiaTheme="majorEastAsia" w:hAnsiTheme="majorHAnsi" w:cstheme="majorBidi"/>
          <w:color w:val="595959" w:themeColor="text1" w:themeTint="A6"/>
          <w:sz w:val="20"/>
        </w:rPr>
        <w:lastRenderedPageBreak/>
        <w:t xml:space="preserve">Map </w:t>
      </w:r>
      <w:r w:rsidR="00C57DCF">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Map \* ARABIC </w:instrText>
      </w:r>
      <w:r w:rsidR="00C57DCF">
        <w:rPr>
          <w:rFonts w:asciiTheme="majorHAnsi" w:eastAsiaTheme="majorEastAsia" w:hAnsiTheme="majorHAnsi" w:cstheme="majorBidi"/>
          <w:color w:val="595959" w:themeColor="text1" w:themeTint="A6"/>
          <w:sz w:val="20"/>
        </w:rPr>
        <w:fldChar w:fldCharType="separate"/>
      </w:r>
      <w:r w:rsidR="00AF2121">
        <w:rPr>
          <w:rFonts w:asciiTheme="majorHAnsi" w:eastAsiaTheme="majorEastAsia" w:hAnsiTheme="majorHAnsi" w:cstheme="majorBidi"/>
          <w:noProof/>
          <w:color w:val="595959" w:themeColor="text1" w:themeTint="A6"/>
          <w:sz w:val="20"/>
        </w:rPr>
        <w:t>1</w:t>
      </w:r>
      <w:r w:rsidR="00C57DCF">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Map of Australia</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C74066" w:rsidRDefault="00F10705">
      <w:pPr>
        <w:pStyle w:val="Picture"/>
        <w:jc w:val="center"/>
      </w:pPr>
      <w:r>
        <w:rPr>
          <w:noProof/>
          <w:lang w:eastAsia="en-AU"/>
        </w:rPr>
        <w:drawing>
          <wp:inline distT="0" distB="0" distL="0" distR="0">
            <wp:extent cx="4936448" cy="3876107"/>
            <wp:effectExtent l="19050" t="0" r="0" b="0"/>
            <wp:docPr id="2" name="Picture 2" descr="Australi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 map"/>
                    <pic:cNvPicPr>
                      <a:picLocks noChangeAspect="1" noChangeArrowheads="1"/>
                    </pic:cNvPicPr>
                  </pic:nvPicPr>
                  <pic:blipFill>
                    <a:blip r:embed="rId23" cstate="print"/>
                    <a:srcRect/>
                    <a:stretch>
                      <a:fillRect/>
                    </a:stretch>
                  </pic:blipFill>
                  <pic:spPr bwMode="auto">
                    <a:xfrm>
                      <a:off x="0" y="0"/>
                      <a:ext cx="4940576" cy="3876261"/>
                    </a:xfrm>
                    <a:prstGeom prst="rect">
                      <a:avLst/>
                    </a:prstGeom>
                    <a:noFill/>
                    <a:ln w="9525">
                      <a:noFill/>
                      <a:miter lim="800000"/>
                      <a:headEnd/>
                      <a:tailEnd/>
                    </a:ln>
                  </pic:spPr>
                </pic:pic>
              </a:graphicData>
            </a:graphic>
          </wp:inline>
        </w:drawing>
      </w:r>
    </w:p>
    <w:p w:rsidR="00C74066" w:rsidRDefault="00F10705">
      <w:pPr>
        <w:pStyle w:val="Caption"/>
        <w:keepNext w:val="0"/>
        <w:rPr>
          <w:rFonts w:asciiTheme="majorHAnsi" w:eastAsiaTheme="majorEastAsia" w:hAnsiTheme="majorHAnsi" w:cstheme="majorBidi"/>
          <w:color w:val="595959" w:themeColor="text1" w:themeTint="A6"/>
          <w:sz w:val="20"/>
        </w:rPr>
      </w:pPr>
      <w:bookmarkStart w:id="27" w:name="_Toc384197741"/>
      <w:bookmarkStart w:id="28" w:name="_Toc384209829"/>
      <w:bookmarkStart w:id="29" w:name="_Toc384275073"/>
      <w:bookmarkStart w:id="30" w:name="_Toc384275088"/>
      <w:bookmarkStart w:id="31" w:name="_Toc384279206"/>
      <w:bookmarkStart w:id="32" w:name="_Toc384285414"/>
      <w:bookmarkStart w:id="33" w:name="_Toc384285464"/>
      <w:bookmarkStart w:id="34" w:name="_Toc385508251"/>
      <w:bookmarkStart w:id="35" w:name="_Toc388191276"/>
      <w:bookmarkStart w:id="36" w:name="_Toc388557518"/>
      <w:bookmarkStart w:id="37" w:name="_Toc388882517"/>
      <w:bookmarkStart w:id="38" w:name="_Toc388949915"/>
      <w:bookmarkStart w:id="39" w:name="_Toc392494628"/>
      <w:bookmarkStart w:id="40" w:name="_Toc392503871"/>
      <w:bookmarkStart w:id="41" w:name="_Toc409685798"/>
      <w:bookmarkStart w:id="42" w:name="_Toc412625737"/>
      <w:bookmarkStart w:id="43" w:name="_Toc428793965"/>
      <w:bookmarkStart w:id="44" w:name="_Toc429406116"/>
      <w:bookmarkStart w:id="45" w:name="_Toc429406244"/>
      <w:bookmarkStart w:id="46" w:name="_Toc429469955"/>
      <w:bookmarkStart w:id="47" w:name="_Toc430268648"/>
      <w:bookmarkStart w:id="48" w:name="_Toc433118104"/>
      <w:bookmarkStart w:id="49" w:name="_Toc433979951"/>
      <w:bookmarkStart w:id="50" w:name="_Toc434241805"/>
      <w:bookmarkStart w:id="51" w:name="_Toc434244218"/>
      <w:bookmarkStart w:id="52" w:name="_Toc434244239"/>
      <w:bookmarkStart w:id="53" w:name="_Toc434244756"/>
      <w:r>
        <w:rPr>
          <w:rFonts w:asciiTheme="majorHAnsi" w:eastAsiaTheme="majorEastAsia" w:hAnsiTheme="majorHAnsi" w:cstheme="majorBidi"/>
          <w:color w:val="595959" w:themeColor="text1" w:themeTint="A6"/>
          <w:sz w:val="20"/>
        </w:rPr>
        <w:t xml:space="preserve">Map </w:t>
      </w:r>
      <w:r w:rsidR="00C57DCF">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Map \* ARABIC </w:instrText>
      </w:r>
      <w:r w:rsidR="00C57DCF">
        <w:rPr>
          <w:rFonts w:asciiTheme="majorHAnsi" w:eastAsiaTheme="majorEastAsia" w:hAnsiTheme="majorHAnsi" w:cstheme="majorBidi"/>
          <w:color w:val="595959" w:themeColor="text1" w:themeTint="A6"/>
          <w:sz w:val="20"/>
        </w:rPr>
        <w:fldChar w:fldCharType="separate"/>
      </w:r>
      <w:r w:rsidR="00AF2121">
        <w:rPr>
          <w:rFonts w:asciiTheme="majorHAnsi" w:eastAsiaTheme="majorEastAsia" w:hAnsiTheme="majorHAnsi" w:cstheme="majorBidi"/>
          <w:noProof/>
          <w:color w:val="595959" w:themeColor="text1" w:themeTint="A6"/>
          <w:sz w:val="20"/>
        </w:rPr>
        <w:t>2</w:t>
      </w:r>
      <w:r w:rsidR="00C57DCF">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A guide to Australia's bio-climatic zones</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C74066" w:rsidRDefault="00F10705">
      <w:pPr>
        <w:pStyle w:val="Caption"/>
        <w:tabs>
          <w:tab w:val="left" w:pos="851"/>
        </w:tabs>
        <w:jc w:val="center"/>
      </w:pPr>
      <w:r>
        <w:rPr>
          <w:noProof/>
          <w:lang w:eastAsia="en-AU"/>
        </w:rPr>
        <w:drawing>
          <wp:inline distT="0" distB="0" distL="0" distR="0">
            <wp:extent cx="5024755" cy="3587468"/>
            <wp:effectExtent l="19050" t="0" r="4445" b="0"/>
            <wp:docPr id="3" name="Picture 3" descr="climat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mate map"/>
                    <pic:cNvPicPr>
                      <a:picLocks noChangeAspect="1" noChangeArrowheads="1"/>
                    </pic:cNvPicPr>
                  </pic:nvPicPr>
                  <pic:blipFill>
                    <a:blip r:embed="rId24" cstate="print"/>
                    <a:srcRect/>
                    <a:stretch>
                      <a:fillRect/>
                    </a:stretch>
                  </pic:blipFill>
                  <pic:spPr bwMode="auto">
                    <a:xfrm>
                      <a:off x="0" y="0"/>
                      <a:ext cx="5024755" cy="3587468"/>
                    </a:xfrm>
                    <a:prstGeom prst="rect">
                      <a:avLst/>
                    </a:prstGeom>
                    <a:noFill/>
                    <a:ln w="19050" cmpd="sng">
                      <a:noFill/>
                      <a:miter lim="800000"/>
                      <a:headEnd/>
                      <a:tailEnd/>
                    </a:ln>
                    <a:effectLst/>
                  </pic:spPr>
                </pic:pic>
              </a:graphicData>
            </a:graphic>
          </wp:inline>
        </w:drawing>
      </w:r>
    </w:p>
    <w:p w:rsidR="00C74066" w:rsidRDefault="00C74066"/>
    <w:p w:rsidR="00C74066" w:rsidRDefault="00C74066">
      <w:pPr>
        <w:sectPr w:rsidR="00C74066">
          <w:headerReference w:type="first" r:id="rId25"/>
          <w:type w:val="oddPage"/>
          <w:pgSz w:w="11906" w:h="16838"/>
          <w:pgMar w:top="1418" w:right="1418" w:bottom="1418" w:left="1418" w:header="567" w:footer="283" w:gutter="0"/>
          <w:pgNumType w:fmt="lowerRoman"/>
          <w:cols w:space="708"/>
          <w:titlePg/>
          <w:docGrid w:linePitch="360"/>
        </w:sectPr>
      </w:pPr>
    </w:p>
    <w:p w:rsidR="00C74066" w:rsidRDefault="00F10705">
      <w:pPr>
        <w:pStyle w:val="Heading1nonumbers"/>
        <w:rPr>
          <w:lang w:val="en-AU"/>
        </w:rPr>
      </w:pPr>
      <w:bookmarkStart w:id="54" w:name="_Toc392488732"/>
      <w:bookmarkStart w:id="55" w:name="_Toc434247460"/>
      <w:r>
        <w:rPr>
          <w:lang w:val="en-AU"/>
        </w:rPr>
        <w:lastRenderedPageBreak/>
        <w:t>Acronyms and abbreviations</w:t>
      </w:r>
      <w:bookmarkEnd w:id="54"/>
      <w:bookmarkEnd w:id="55"/>
    </w:p>
    <w:tbl>
      <w:tblPr>
        <w:tblW w:w="5077" w:type="pct"/>
        <w:tblBorders>
          <w:top w:val="single" w:sz="4" w:space="0" w:color="auto"/>
          <w:bottom w:val="single" w:sz="4" w:space="0" w:color="auto"/>
        </w:tblBorders>
        <w:tblLook w:val="04A0"/>
      </w:tblPr>
      <w:tblGrid>
        <w:gridCol w:w="2518"/>
        <w:gridCol w:w="6911"/>
      </w:tblGrid>
      <w:tr w:rsidR="00C74066">
        <w:trPr>
          <w:trHeight w:val="414"/>
          <w:tblHeader/>
        </w:trPr>
        <w:tc>
          <w:tcPr>
            <w:tcW w:w="1335" w:type="pct"/>
          </w:tcPr>
          <w:p w:rsidR="00C74066" w:rsidRDefault="00F10705">
            <w:pPr>
              <w:pStyle w:val="TableHeading"/>
              <w:rPr>
                <w:rFonts w:ascii="Cambria" w:hAnsi="Cambria"/>
              </w:rPr>
            </w:pPr>
            <w:r>
              <w:rPr>
                <w:rFonts w:ascii="Cambria" w:hAnsi="Cambria"/>
              </w:rPr>
              <w:t>Term or abbreviation</w:t>
            </w:r>
          </w:p>
        </w:tc>
        <w:tc>
          <w:tcPr>
            <w:tcW w:w="3665" w:type="pct"/>
          </w:tcPr>
          <w:p w:rsidR="00C74066" w:rsidRDefault="00F10705">
            <w:pPr>
              <w:pStyle w:val="TableHeading"/>
              <w:rPr>
                <w:rFonts w:ascii="Cambria" w:hAnsi="Cambria"/>
              </w:rPr>
            </w:pPr>
            <w:r>
              <w:rPr>
                <w:rFonts w:ascii="Cambria" w:hAnsi="Cambria"/>
              </w:rPr>
              <w:t>Definition</w:t>
            </w:r>
          </w:p>
        </w:tc>
      </w:tr>
      <w:tr w:rsidR="00C74066">
        <w:trPr>
          <w:trHeight w:val="414"/>
        </w:trPr>
        <w:tc>
          <w:tcPr>
            <w:tcW w:w="1335" w:type="pct"/>
          </w:tcPr>
          <w:p w:rsidR="00C74066" w:rsidRDefault="00F10705">
            <w:pPr>
              <w:pStyle w:val="TableText"/>
              <w:rPr>
                <w:rFonts w:ascii="Cambria" w:hAnsi="Cambria"/>
              </w:rPr>
            </w:pPr>
            <w:r>
              <w:rPr>
                <w:rFonts w:ascii="Cambria" w:hAnsi="Cambria"/>
              </w:rPr>
              <w:t>ACT</w:t>
            </w:r>
          </w:p>
        </w:tc>
        <w:tc>
          <w:tcPr>
            <w:tcW w:w="3665" w:type="pct"/>
          </w:tcPr>
          <w:p w:rsidR="00C74066" w:rsidRDefault="00F10705">
            <w:pPr>
              <w:pStyle w:val="TableText"/>
              <w:rPr>
                <w:rFonts w:ascii="Cambria" w:hAnsi="Cambria"/>
              </w:rPr>
            </w:pPr>
            <w:r>
              <w:rPr>
                <w:rFonts w:ascii="Cambria" w:hAnsi="Cambria"/>
              </w:rPr>
              <w:t>Australian Capital Territory</w:t>
            </w:r>
          </w:p>
        </w:tc>
      </w:tr>
      <w:tr w:rsidR="00C74066">
        <w:trPr>
          <w:trHeight w:val="414"/>
        </w:trPr>
        <w:tc>
          <w:tcPr>
            <w:tcW w:w="1335" w:type="pct"/>
          </w:tcPr>
          <w:p w:rsidR="00C74066" w:rsidRDefault="00F10705">
            <w:pPr>
              <w:pStyle w:val="TableText"/>
              <w:rPr>
                <w:rFonts w:ascii="Cambria" w:hAnsi="Cambria"/>
              </w:rPr>
            </w:pPr>
            <w:r>
              <w:rPr>
                <w:rFonts w:ascii="Cambria" w:hAnsi="Cambria"/>
              </w:rPr>
              <w:t>ALOP</w:t>
            </w:r>
          </w:p>
        </w:tc>
        <w:tc>
          <w:tcPr>
            <w:tcW w:w="3665" w:type="pct"/>
          </w:tcPr>
          <w:p w:rsidR="00C74066" w:rsidRDefault="00F10705">
            <w:pPr>
              <w:pStyle w:val="TableText"/>
              <w:rPr>
                <w:rFonts w:ascii="Cambria" w:hAnsi="Cambria"/>
              </w:rPr>
            </w:pPr>
            <w:r>
              <w:rPr>
                <w:rFonts w:ascii="Cambria" w:hAnsi="Cambria"/>
              </w:rPr>
              <w:t>Appropriate level of protection</w:t>
            </w:r>
          </w:p>
        </w:tc>
      </w:tr>
      <w:tr w:rsidR="00C74066">
        <w:trPr>
          <w:trHeight w:val="414"/>
        </w:trPr>
        <w:tc>
          <w:tcPr>
            <w:tcW w:w="1335" w:type="pct"/>
          </w:tcPr>
          <w:p w:rsidR="00C74066" w:rsidRDefault="00F10705">
            <w:pPr>
              <w:pStyle w:val="TableText"/>
              <w:rPr>
                <w:rFonts w:ascii="Cambria" w:hAnsi="Cambria"/>
              </w:rPr>
            </w:pPr>
            <w:r>
              <w:rPr>
                <w:rFonts w:ascii="Cambria" w:hAnsi="Cambria"/>
              </w:rPr>
              <w:t>CSIRO</w:t>
            </w:r>
          </w:p>
        </w:tc>
        <w:tc>
          <w:tcPr>
            <w:tcW w:w="3665" w:type="pct"/>
          </w:tcPr>
          <w:p w:rsidR="00C74066" w:rsidRDefault="00F10705">
            <w:pPr>
              <w:pStyle w:val="TableText"/>
              <w:rPr>
                <w:rFonts w:ascii="Cambria" w:hAnsi="Cambria"/>
              </w:rPr>
            </w:pPr>
            <w:r>
              <w:rPr>
                <w:rFonts w:ascii="Cambria" w:hAnsi="Cambria"/>
              </w:rPr>
              <w:t>Commonwealth Scientific and Industrial Research Organisation</w:t>
            </w:r>
          </w:p>
        </w:tc>
      </w:tr>
      <w:tr w:rsidR="00C74066">
        <w:trPr>
          <w:trHeight w:val="414"/>
        </w:trPr>
        <w:tc>
          <w:tcPr>
            <w:tcW w:w="1335" w:type="pct"/>
          </w:tcPr>
          <w:p w:rsidR="00C74066" w:rsidRDefault="00F10705">
            <w:pPr>
              <w:pStyle w:val="TableText"/>
              <w:rPr>
                <w:rFonts w:ascii="Cambria" w:hAnsi="Cambria"/>
              </w:rPr>
            </w:pPr>
            <w:r>
              <w:rPr>
                <w:rFonts w:ascii="Cambria" w:hAnsi="Cambria"/>
              </w:rPr>
              <w:t>FAO</w:t>
            </w:r>
          </w:p>
        </w:tc>
        <w:tc>
          <w:tcPr>
            <w:tcW w:w="3665" w:type="pct"/>
          </w:tcPr>
          <w:p w:rsidR="00C74066" w:rsidRDefault="00F10705">
            <w:pPr>
              <w:pStyle w:val="TableText"/>
              <w:rPr>
                <w:rFonts w:ascii="Cambria" w:hAnsi="Cambria"/>
              </w:rPr>
            </w:pPr>
            <w:r>
              <w:rPr>
                <w:rFonts w:ascii="Cambria" w:hAnsi="Cambria"/>
              </w:rPr>
              <w:t>Food and Agriculture Organization of the United Nations</w:t>
            </w:r>
          </w:p>
        </w:tc>
      </w:tr>
      <w:tr w:rsidR="00C74066">
        <w:trPr>
          <w:trHeight w:val="414"/>
        </w:trPr>
        <w:tc>
          <w:tcPr>
            <w:tcW w:w="1335" w:type="pct"/>
          </w:tcPr>
          <w:p w:rsidR="00C74066" w:rsidRDefault="00F10705">
            <w:pPr>
              <w:pStyle w:val="TableText"/>
              <w:rPr>
                <w:rFonts w:ascii="Cambria" w:hAnsi="Cambria"/>
              </w:rPr>
            </w:pPr>
            <w:r>
              <w:rPr>
                <w:rFonts w:ascii="Cambria" w:hAnsi="Cambria"/>
              </w:rPr>
              <w:t>ICON</w:t>
            </w:r>
          </w:p>
        </w:tc>
        <w:tc>
          <w:tcPr>
            <w:tcW w:w="3665" w:type="pct"/>
          </w:tcPr>
          <w:p w:rsidR="00C74066" w:rsidRDefault="00F10705">
            <w:pPr>
              <w:pStyle w:val="TableText"/>
              <w:rPr>
                <w:rFonts w:ascii="Cambria" w:hAnsi="Cambria"/>
              </w:rPr>
            </w:pPr>
            <w:r>
              <w:rPr>
                <w:rFonts w:ascii="Cambria" w:hAnsi="Cambria"/>
              </w:rPr>
              <w:t>The Australian Government Department of Agriculture and Water Resources Import CONditions database</w:t>
            </w:r>
          </w:p>
        </w:tc>
      </w:tr>
      <w:tr w:rsidR="00C74066">
        <w:trPr>
          <w:trHeight w:val="414"/>
        </w:trPr>
        <w:tc>
          <w:tcPr>
            <w:tcW w:w="1335" w:type="pct"/>
          </w:tcPr>
          <w:p w:rsidR="00C74066" w:rsidRDefault="00F10705">
            <w:pPr>
              <w:pStyle w:val="TableText"/>
              <w:rPr>
                <w:rFonts w:ascii="Cambria" w:hAnsi="Cambria"/>
              </w:rPr>
            </w:pPr>
            <w:r>
              <w:rPr>
                <w:rFonts w:ascii="Cambria" w:hAnsi="Cambria"/>
              </w:rPr>
              <w:t>IPGR</w:t>
            </w:r>
          </w:p>
        </w:tc>
        <w:tc>
          <w:tcPr>
            <w:tcW w:w="3665" w:type="pct"/>
          </w:tcPr>
          <w:p w:rsidR="00C74066" w:rsidRDefault="00F10705">
            <w:pPr>
              <w:pStyle w:val="TableText"/>
              <w:rPr>
                <w:rFonts w:ascii="Cambria" w:hAnsi="Cambria"/>
              </w:rPr>
            </w:pPr>
            <w:r>
              <w:rPr>
                <w:rFonts w:ascii="Cambria" w:hAnsi="Cambria"/>
              </w:rPr>
              <w:t>International Plant Genetic Resource</w:t>
            </w:r>
          </w:p>
        </w:tc>
      </w:tr>
      <w:tr w:rsidR="00C74066">
        <w:trPr>
          <w:trHeight w:val="414"/>
        </w:trPr>
        <w:tc>
          <w:tcPr>
            <w:tcW w:w="1335" w:type="pct"/>
          </w:tcPr>
          <w:p w:rsidR="00C74066" w:rsidRDefault="00F10705">
            <w:pPr>
              <w:pStyle w:val="TableText"/>
              <w:rPr>
                <w:rFonts w:ascii="Cambria" w:hAnsi="Cambria"/>
              </w:rPr>
            </w:pPr>
            <w:r>
              <w:rPr>
                <w:rFonts w:ascii="Cambria" w:hAnsi="Cambria"/>
              </w:rPr>
              <w:t>IPPC</w:t>
            </w:r>
          </w:p>
        </w:tc>
        <w:tc>
          <w:tcPr>
            <w:tcW w:w="3665" w:type="pct"/>
          </w:tcPr>
          <w:p w:rsidR="00C74066" w:rsidRDefault="00F10705">
            <w:pPr>
              <w:pStyle w:val="TableText"/>
              <w:rPr>
                <w:rFonts w:ascii="Cambria" w:hAnsi="Cambria"/>
              </w:rPr>
            </w:pPr>
            <w:r>
              <w:rPr>
                <w:rFonts w:ascii="Cambria" w:hAnsi="Cambria"/>
              </w:rPr>
              <w:t>International Plant Protection Convention</w:t>
            </w:r>
          </w:p>
        </w:tc>
      </w:tr>
      <w:tr w:rsidR="00C74066">
        <w:trPr>
          <w:trHeight w:val="414"/>
        </w:trPr>
        <w:tc>
          <w:tcPr>
            <w:tcW w:w="1335" w:type="pct"/>
          </w:tcPr>
          <w:p w:rsidR="00C74066" w:rsidRDefault="00F10705">
            <w:pPr>
              <w:pStyle w:val="TableText"/>
              <w:rPr>
                <w:rFonts w:ascii="Cambria" w:hAnsi="Cambria"/>
              </w:rPr>
            </w:pPr>
            <w:r>
              <w:rPr>
                <w:rFonts w:ascii="Cambria" w:hAnsi="Cambria"/>
              </w:rPr>
              <w:t>IRA</w:t>
            </w:r>
          </w:p>
        </w:tc>
        <w:tc>
          <w:tcPr>
            <w:tcW w:w="3665" w:type="pct"/>
          </w:tcPr>
          <w:p w:rsidR="00C74066" w:rsidRDefault="00F10705">
            <w:pPr>
              <w:pStyle w:val="TableText"/>
              <w:rPr>
                <w:rFonts w:ascii="Cambria" w:hAnsi="Cambria"/>
              </w:rPr>
            </w:pPr>
            <w:r>
              <w:rPr>
                <w:rFonts w:ascii="Cambria" w:hAnsi="Cambria"/>
              </w:rPr>
              <w:t>Import risk analysis</w:t>
            </w:r>
          </w:p>
        </w:tc>
      </w:tr>
      <w:tr w:rsidR="00C74066">
        <w:trPr>
          <w:trHeight w:val="414"/>
        </w:trPr>
        <w:tc>
          <w:tcPr>
            <w:tcW w:w="1335" w:type="pct"/>
          </w:tcPr>
          <w:p w:rsidR="00C74066" w:rsidRDefault="00F10705">
            <w:pPr>
              <w:pStyle w:val="TableText"/>
              <w:rPr>
                <w:rFonts w:ascii="Cambria" w:hAnsi="Cambria"/>
              </w:rPr>
            </w:pPr>
            <w:r>
              <w:rPr>
                <w:rFonts w:ascii="Cambria" w:hAnsi="Cambria"/>
              </w:rPr>
              <w:t>ISPM</w:t>
            </w:r>
          </w:p>
        </w:tc>
        <w:tc>
          <w:tcPr>
            <w:tcW w:w="3665" w:type="pct"/>
          </w:tcPr>
          <w:p w:rsidR="00C74066" w:rsidRDefault="00F10705">
            <w:pPr>
              <w:pStyle w:val="TableText"/>
              <w:rPr>
                <w:rFonts w:ascii="Cambria" w:hAnsi="Cambria"/>
              </w:rPr>
            </w:pPr>
            <w:r>
              <w:rPr>
                <w:rFonts w:ascii="Cambria" w:hAnsi="Cambria"/>
              </w:rPr>
              <w:t>International Standard for Phytosanitary Measures</w:t>
            </w:r>
          </w:p>
        </w:tc>
      </w:tr>
      <w:tr w:rsidR="00C74066">
        <w:trPr>
          <w:trHeight w:val="414"/>
        </w:trPr>
        <w:tc>
          <w:tcPr>
            <w:tcW w:w="1335" w:type="pct"/>
          </w:tcPr>
          <w:p w:rsidR="00C74066" w:rsidRDefault="00F10705">
            <w:pPr>
              <w:pStyle w:val="TableText"/>
              <w:rPr>
                <w:rFonts w:ascii="Cambria" w:hAnsi="Cambria"/>
              </w:rPr>
            </w:pPr>
            <w:r>
              <w:rPr>
                <w:rFonts w:ascii="Cambria" w:hAnsi="Cambria"/>
              </w:rPr>
              <w:t>NSW</w:t>
            </w:r>
          </w:p>
        </w:tc>
        <w:tc>
          <w:tcPr>
            <w:tcW w:w="3665" w:type="pct"/>
          </w:tcPr>
          <w:p w:rsidR="00C74066" w:rsidRDefault="00F10705">
            <w:pPr>
              <w:pStyle w:val="TableText"/>
              <w:rPr>
                <w:rFonts w:ascii="Cambria" w:hAnsi="Cambria"/>
              </w:rPr>
            </w:pPr>
            <w:r>
              <w:rPr>
                <w:rFonts w:ascii="Cambria" w:hAnsi="Cambria"/>
              </w:rPr>
              <w:t>New South Wales</w:t>
            </w:r>
          </w:p>
        </w:tc>
      </w:tr>
      <w:tr w:rsidR="00C74066">
        <w:trPr>
          <w:trHeight w:val="414"/>
        </w:trPr>
        <w:tc>
          <w:tcPr>
            <w:tcW w:w="1335" w:type="pct"/>
          </w:tcPr>
          <w:p w:rsidR="00C74066" w:rsidRDefault="00F10705">
            <w:pPr>
              <w:pStyle w:val="TableText"/>
              <w:rPr>
                <w:rFonts w:ascii="Cambria" w:hAnsi="Cambria"/>
              </w:rPr>
            </w:pPr>
            <w:r>
              <w:rPr>
                <w:rFonts w:ascii="Cambria" w:hAnsi="Cambria"/>
              </w:rPr>
              <w:t>NPPO</w:t>
            </w:r>
          </w:p>
        </w:tc>
        <w:tc>
          <w:tcPr>
            <w:tcW w:w="3665" w:type="pct"/>
          </w:tcPr>
          <w:p w:rsidR="00C74066" w:rsidRDefault="00F10705">
            <w:pPr>
              <w:pStyle w:val="TableText"/>
              <w:rPr>
                <w:rFonts w:ascii="Cambria" w:hAnsi="Cambria"/>
              </w:rPr>
            </w:pPr>
            <w:r>
              <w:rPr>
                <w:rFonts w:ascii="Cambria" w:hAnsi="Cambria"/>
              </w:rPr>
              <w:t>National Plant Protection Organisation</w:t>
            </w:r>
          </w:p>
        </w:tc>
      </w:tr>
      <w:tr w:rsidR="00C74066">
        <w:trPr>
          <w:trHeight w:val="414"/>
        </w:trPr>
        <w:tc>
          <w:tcPr>
            <w:tcW w:w="1335" w:type="pct"/>
          </w:tcPr>
          <w:p w:rsidR="00C74066" w:rsidRDefault="00F10705">
            <w:pPr>
              <w:pStyle w:val="TableText"/>
              <w:rPr>
                <w:rFonts w:ascii="Cambria" w:hAnsi="Cambria"/>
              </w:rPr>
            </w:pPr>
            <w:r>
              <w:rPr>
                <w:rFonts w:ascii="Cambria" w:hAnsi="Cambria"/>
              </w:rPr>
              <w:t>NT</w:t>
            </w:r>
          </w:p>
        </w:tc>
        <w:tc>
          <w:tcPr>
            <w:tcW w:w="3665" w:type="pct"/>
          </w:tcPr>
          <w:p w:rsidR="00C74066" w:rsidRDefault="00F10705">
            <w:pPr>
              <w:pStyle w:val="TableText"/>
              <w:rPr>
                <w:rFonts w:ascii="Cambria" w:hAnsi="Cambria"/>
              </w:rPr>
            </w:pPr>
            <w:r>
              <w:rPr>
                <w:rFonts w:ascii="Cambria" w:hAnsi="Cambria"/>
              </w:rPr>
              <w:t>Northern Territory</w:t>
            </w:r>
          </w:p>
        </w:tc>
      </w:tr>
      <w:tr w:rsidR="00C74066">
        <w:trPr>
          <w:trHeight w:val="414"/>
        </w:trPr>
        <w:tc>
          <w:tcPr>
            <w:tcW w:w="1335" w:type="pct"/>
          </w:tcPr>
          <w:p w:rsidR="00C74066" w:rsidRDefault="00F10705">
            <w:pPr>
              <w:pStyle w:val="TableText"/>
              <w:rPr>
                <w:rFonts w:ascii="Cambria" w:hAnsi="Cambria"/>
              </w:rPr>
            </w:pPr>
            <w:r>
              <w:rPr>
                <w:rFonts w:ascii="Cambria" w:hAnsi="Cambria"/>
              </w:rPr>
              <w:t>OIE</w:t>
            </w:r>
          </w:p>
        </w:tc>
        <w:tc>
          <w:tcPr>
            <w:tcW w:w="3665" w:type="pct"/>
          </w:tcPr>
          <w:p w:rsidR="00C74066" w:rsidRDefault="00F10705">
            <w:pPr>
              <w:pStyle w:val="TableText"/>
              <w:rPr>
                <w:rFonts w:ascii="Cambria" w:hAnsi="Cambria"/>
              </w:rPr>
            </w:pPr>
            <w:r>
              <w:rPr>
                <w:rFonts w:ascii="Cambria" w:hAnsi="Cambria"/>
              </w:rPr>
              <w:t>World Organisation for Animal Health</w:t>
            </w:r>
          </w:p>
        </w:tc>
      </w:tr>
      <w:tr w:rsidR="00C74066">
        <w:trPr>
          <w:trHeight w:val="414"/>
        </w:trPr>
        <w:tc>
          <w:tcPr>
            <w:tcW w:w="1335" w:type="pct"/>
          </w:tcPr>
          <w:p w:rsidR="00C74066" w:rsidRDefault="00F10705">
            <w:pPr>
              <w:pStyle w:val="TableText"/>
              <w:rPr>
                <w:rFonts w:ascii="Cambria" w:hAnsi="Cambria"/>
              </w:rPr>
            </w:pPr>
            <w:r>
              <w:rPr>
                <w:rFonts w:ascii="Cambria" w:hAnsi="Cambria"/>
              </w:rPr>
              <w:t>PEQ</w:t>
            </w:r>
          </w:p>
        </w:tc>
        <w:tc>
          <w:tcPr>
            <w:tcW w:w="3665" w:type="pct"/>
          </w:tcPr>
          <w:p w:rsidR="00C74066" w:rsidRDefault="00F10705">
            <w:pPr>
              <w:pStyle w:val="TableText"/>
              <w:rPr>
                <w:rFonts w:ascii="Cambria" w:hAnsi="Cambria"/>
              </w:rPr>
            </w:pPr>
            <w:r>
              <w:rPr>
                <w:rFonts w:ascii="Cambria" w:hAnsi="Cambria"/>
              </w:rPr>
              <w:t>Post-entry quarantine</w:t>
            </w:r>
          </w:p>
        </w:tc>
      </w:tr>
      <w:tr w:rsidR="00C74066">
        <w:trPr>
          <w:trHeight w:val="414"/>
        </w:trPr>
        <w:tc>
          <w:tcPr>
            <w:tcW w:w="1335" w:type="pct"/>
          </w:tcPr>
          <w:p w:rsidR="00C74066" w:rsidRDefault="00F10705">
            <w:pPr>
              <w:pStyle w:val="TableText"/>
              <w:rPr>
                <w:rFonts w:ascii="Cambria" w:hAnsi="Cambria"/>
              </w:rPr>
            </w:pPr>
            <w:r>
              <w:rPr>
                <w:rFonts w:ascii="Cambria" w:hAnsi="Cambria"/>
              </w:rPr>
              <w:t>PCR</w:t>
            </w:r>
          </w:p>
        </w:tc>
        <w:tc>
          <w:tcPr>
            <w:tcW w:w="3665" w:type="pct"/>
          </w:tcPr>
          <w:p w:rsidR="00C74066" w:rsidRDefault="00F10705">
            <w:pPr>
              <w:pStyle w:val="TableText"/>
              <w:rPr>
                <w:rFonts w:ascii="Cambria" w:hAnsi="Cambria"/>
              </w:rPr>
            </w:pPr>
            <w:r>
              <w:rPr>
                <w:rFonts w:ascii="Cambria" w:hAnsi="Cambria"/>
              </w:rPr>
              <w:t>Polymerase Chain Reaction</w:t>
            </w:r>
          </w:p>
        </w:tc>
      </w:tr>
      <w:tr w:rsidR="00C74066">
        <w:trPr>
          <w:trHeight w:val="414"/>
        </w:trPr>
        <w:tc>
          <w:tcPr>
            <w:tcW w:w="1335" w:type="pct"/>
          </w:tcPr>
          <w:p w:rsidR="00C74066" w:rsidRDefault="00F10705">
            <w:pPr>
              <w:pStyle w:val="TableText"/>
              <w:rPr>
                <w:rFonts w:ascii="Cambria" w:hAnsi="Cambria"/>
              </w:rPr>
            </w:pPr>
            <w:r>
              <w:rPr>
                <w:rFonts w:ascii="Cambria" w:hAnsi="Cambria"/>
              </w:rPr>
              <w:t>PRA</w:t>
            </w:r>
          </w:p>
        </w:tc>
        <w:tc>
          <w:tcPr>
            <w:tcW w:w="3665" w:type="pct"/>
          </w:tcPr>
          <w:p w:rsidR="00C74066" w:rsidRDefault="00F10705">
            <w:pPr>
              <w:pStyle w:val="TableText"/>
              <w:rPr>
                <w:rFonts w:ascii="Cambria" w:hAnsi="Cambria"/>
              </w:rPr>
            </w:pPr>
            <w:r>
              <w:rPr>
                <w:rFonts w:ascii="Cambria" w:hAnsi="Cambria"/>
              </w:rPr>
              <w:t>Pest risk anaylsis</w:t>
            </w:r>
          </w:p>
        </w:tc>
      </w:tr>
      <w:tr w:rsidR="00C74066">
        <w:trPr>
          <w:trHeight w:val="414"/>
        </w:trPr>
        <w:tc>
          <w:tcPr>
            <w:tcW w:w="1335" w:type="pct"/>
          </w:tcPr>
          <w:p w:rsidR="00C74066" w:rsidRDefault="00F10705">
            <w:pPr>
              <w:pStyle w:val="TableText"/>
              <w:rPr>
                <w:rFonts w:ascii="Cambria" w:hAnsi="Cambria"/>
              </w:rPr>
            </w:pPr>
            <w:r>
              <w:rPr>
                <w:rFonts w:ascii="Cambria" w:hAnsi="Cambria"/>
              </w:rPr>
              <w:t>QLD</w:t>
            </w:r>
          </w:p>
        </w:tc>
        <w:tc>
          <w:tcPr>
            <w:tcW w:w="3665" w:type="pct"/>
          </w:tcPr>
          <w:p w:rsidR="00C74066" w:rsidRDefault="00F10705">
            <w:pPr>
              <w:pStyle w:val="TableText"/>
              <w:rPr>
                <w:rFonts w:ascii="Cambria" w:hAnsi="Cambria"/>
              </w:rPr>
            </w:pPr>
            <w:r>
              <w:rPr>
                <w:rFonts w:ascii="Cambria" w:hAnsi="Cambria"/>
              </w:rPr>
              <w:t>Queensland</w:t>
            </w:r>
          </w:p>
        </w:tc>
      </w:tr>
      <w:tr w:rsidR="00C74066">
        <w:trPr>
          <w:trHeight w:val="414"/>
        </w:trPr>
        <w:tc>
          <w:tcPr>
            <w:tcW w:w="1335" w:type="pct"/>
          </w:tcPr>
          <w:p w:rsidR="00C74066" w:rsidRDefault="00F10705">
            <w:pPr>
              <w:pStyle w:val="TableText"/>
              <w:rPr>
                <w:rFonts w:ascii="Cambria" w:hAnsi="Cambria"/>
              </w:rPr>
            </w:pPr>
            <w:r>
              <w:rPr>
                <w:rFonts w:ascii="Cambria" w:hAnsi="Cambria"/>
              </w:rPr>
              <w:t>SA</w:t>
            </w:r>
          </w:p>
        </w:tc>
        <w:tc>
          <w:tcPr>
            <w:tcW w:w="3665" w:type="pct"/>
          </w:tcPr>
          <w:p w:rsidR="00C74066" w:rsidRDefault="00F10705">
            <w:pPr>
              <w:pStyle w:val="TableText"/>
              <w:rPr>
                <w:rFonts w:ascii="Cambria" w:hAnsi="Cambria"/>
              </w:rPr>
            </w:pPr>
            <w:r>
              <w:rPr>
                <w:rFonts w:ascii="Cambria" w:hAnsi="Cambria"/>
              </w:rPr>
              <w:t>South Australia</w:t>
            </w:r>
          </w:p>
        </w:tc>
      </w:tr>
      <w:tr w:rsidR="00C74066">
        <w:trPr>
          <w:trHeight w:val="414"/>
        </w:trPr>
        <w:tc>
          <w:tcPr>
            <w:tcW w:w="1335" w:type="pct"/>
          </w:tcPr>
          <w:p w:rsidR="00C74066" w:rsidRDefault="00F10705">
            <w:pPr>
              <w:pStyle w:val="TableText"/>
              <w:rPr>
                <w:rFonts w:ascii="Cambria" w:hAnsi="Cambria"/>
              </w:rPr>
            </w:pPr>
            <w:r>
              <w:rPr>
                <w:rFonts w:ascii="Cambria" w:hAnsi="Cambria"/>
              </w:rPr>
              <w:t>SOD</w:t>
            </w:r>
          </w:p>
        </w:tc>
        <w:tc>
          <w:tcPr>
            <w:tcW w:w="3665" w:type="pct"/>
          </w:tcPr>
          <w:p w:rsidR="00C74066" w:rsidRDefault="00F10705">
            <w:pPr>
              <w:pStyle w:val="TableText"/>
              <w:rPr>
                <w:rFonts w:ascii="Cambria" w:hAnsi="Cambria"/>
              </w:rPr>
            </w:pPr>
            <w:r>
              <w:rPr>
                <w:rFonts w:ascii="Cambria" w:hAnsi="Cambria"/>
              </w:rPr>
              <w:t>Sudden oak death</w:t>
            </w:r>
          </w:p>
        </w:tc>
      </w:tr>
      <w:tr w:rsidR="00C74066">
        <w:trPr>
          <w:trHeight w:val="414"/>
        </w:trPr>
        <w:tc>
          <w:tcPr>
            <w:tcW w:w="1335" w:type="pct"/>
          </w:tcPr>
          <w:p w:rsidR="00C74066" w:rsidRDefault="00F10705">
            <w:pPr>
              <w:pStyle w:val="TableText"/>
              <w:rPr>
                <w:rFonts w:ascii="Cambria" w:hAnsi="Cambria"/>
              </w:rPr>
            </w:pPr>
            <w:r>
              <w:rPr>
                <w:rFonts w:ascii="Cambria" w:hAnsi="Cambria"/>
              </w:rPr>
              <w:t>SPS</w:t>
            </w:r>
          </w:p>
        </w:tc>
        <w:tc>
          <w:tcPr>
            <w:tcW w:w="3665" w:type="pct"/>
          </w:tcPr>
          <w:p w:rsidR="00C74066" w:rsidRDefault="00F10705">
            <w:pPr>
              <w:pStyle w:val="TableText"/>
              <w:rPr>
                <w:rFonts w:ascii="Cambria" w:hAnsi="Cambria"/>
              </w:rPr>
            </w:pPr>
            <w:r>
              <w:rPr>
                <w:rFonts w:ascii="Cambria" w:hAnsi="Cambria"/>
              </w:rPr>
              <w:t>Sanitary and Phytosanitary</w:t>
            </w:r>
          </w:p>
        </w:tc>
      </w:tr>
      <w:tr w:rsidR="00C74066">
        <w:trPr>
          <w:trHeight w:val="414"/>
        </w:trPr>
        <w:tc>
          <w:tcPr>
            <w:tcW w:w="1335" w:type="pct"/>
          </w:tcPr>
          <w:p w:rsidR="00C74066" w:rsidRDefault="00F10705">
            <w:pPr>
              <w:pStyle w:val="TableText"/>
              <w:rPr>
                <w:rFonts w:ascii="Cambria" w:hAnsi="Cambria"/>
              </w:rPr>
            </w:pPr>
            <w:r>
              <w:rPr>
                <w:rFonts w:ascii="Cambria" w:hAnsi="Cambria"/>
              </w:rPr>
              <w:t>TAS</w:t>
            </w:r>
          </w:p>
        </w:tc>
        <w:tc>
          <w:tcPr>
            <w:tcW w:w="3665" w:type="pct"/>
          </w:tcPr>
          <w:p w:rsidR="00C74066" w:rsidRDefault="00F10705">
            <w:pPr>
              <w:pStyle w:val="TableText"/>
              <w:rPr>
                <w:rFonts w:ascii="Cambria" w:hAnsi="Cambria"/>
              </w:rPr>
            </w:pPr>
            <w:r>
              <w:rPr>
                <w:rFonts w:ascii="Cambria" w:hAnsi="Cambria"/>
              </w:rPr>
              <w:t>Tasmania</w:t>
            </w:r>
          </w:p>
        </w:tc>
      </w:tr>
      <w:tr w:rsidR="00C74066">
        <w:trPr>
          <w:trHeight w:val="414"/>
        </w:trPr>
        <w:tc>
          <w:tcPr>
            <w:tcW w:w="1335" w:type="pct"/>
          </w:tcPr>
          <w:p w:rsidR="00C74066" w:rsidRDefault="00F10705">
            <w:pPr>
              <w:pStyle w:val="TableText"/>
              <w:rPr>
                <w:rFonts w:ascii="Cambria" w:hAnsi="Cambria"/>
              </w:rPr>
            </w:pPr>
            <w:r>
              <w:rPr>
                <w:rFonts w:ascii="Cambria" w:hAnsi="Cambria"/>
              </w:rPr>
              <w:t>VIC</w:t>
            </w:r>
          </w:p>
        </w:tc>
        <w:tc>
          <w:tcPr>
            <w:tcW w:w="3665" w:type="pct"/>
          </w:tcPr>
          <w:p w:rsidR="00C74066" w:rsidRDefault="00F10705">
            <w:pPr>
              <w:pStyle w:val="TableText"/>
              <w:rPr>
                <w:rFonts w:ascii="Cambria" w:hAnsi="Cambria"/>
              </w:rPr>
            </w:pPr>
            <w:r>
              <w:rPr>
                <w:rFonts w:ascii="Cambria" w:hAnsi="Cambria"/>
              </w:rPr>
              <w:t>Victoria</w:t>
            </w:r>
          </w:p>
        </w:tc>
      </w:tr>
      <w:tr w:rsidR="00C74066">
        <w:trPr>
          <w:trHeight w:val="414"/>
        </w:trPr>
        <w:tc>
          <w:tcPr>
            <w:tcW w:w="1335" w:type="pct"/>
          </w:tcPr>
          <w:p w:rsidR="00C74066" w:rsidRDefault="00F10705">
            <w:pPr>
              <w:pStyle w:val="TableText"/>
              <w:rPr>
                <w:rFonts w:ascii="Cambria" w:hAnsi="Cambria"/>
              </w:rPr>
            </w:pPr>
            <w:r>
              <w:rPr>
                <w:rFonts w:ascii="Cambria" w:hAnsi="Cambria"/>
              </w:rPr>
              <w:t>WA</w:t>
            </w:r>
          </w:p>
        </w:tc>
        <w:tc>
          <w:tcPr>
            <w:tcW w:w="3665" w:type="pct"/>
          </w:tcPr>
          <w:p w:rsidR="00C74066" w:rsidRDefault="00F10705">
            <w:pPr>
              <w:pStyle w:val="TableText"/>
              <w:rPr>
                <w:rFonts w:ascii="Cambria" w:hAnsi="Cambria"/>
              </w:rPr>
            </w:pPr>
            <w:r>
              <w:rPr>
                <w:rFonts w:ascii="Cambria" w:hAnsi="Cambria"/>
              </w:rPr>
              <w:t>Western Australia</w:t>
            </w:r>
          </w:p>
        </w:tc>
      </w:tr>
      <w:tr w:rsidR="00C74066">
        <w:trPr>
          <w:trHeight w:val="414"/>
        </w:trPr>
        <w:tc>
          <w:tcPr>
            <w:tcW w:w="1335" w:type="pct"/>
          </w:tcPr>
          <w:p w:rsidR="00C74066" w:rsidRDefault="00F10705">
            <w:pPr>
              <w:pStyle w:val="TableText"/>
              <w:rPr>
                <w:rFonts w:ascii="Cambria" w:hAnsi="Cambria"/>
              </w:rPr>
            </w:pPr>
            <w:r>
              <w:rPr>
                <w:rFonts w:ascii="Cambria" w:hAnsi="Cambria"/>
              </w:rPr>
              <w:t>WTO</w:t>
            </w:r>
          </w:p>
        </w:tc>
        <w:tc>
          <w:tcPr>
            <w:tcW w:w="3665" w:type="pct"/>
          </w:tcPr>
          <w:p w:rsidR="00C74066" w:rsidRDefault="00F10705">
            <w:pPr>
              <w:pStyle w:val="TableText"/>
              <w:rPr>
                <w:rFonts w:ascii="Cambria" w:hAnsi="Cambria"/>
              </w:rPr>
            </w:pPr>
            <w:r>
              <w:rPr>
                <w:rFonts w:ascii="Cambria" w:hAnsi="Cambria"/>
              </w:rPr>
              <w:t>World Trade Organization</w:t>
            </w:r>
          </w:p>
        </w:tc>
      </w:tr>
    </w:tbl>
    <w:p w:rsidR="00C74066" w:rsidRDefault="00C74066"/>
    <w:p w:rsidR="00C74066" w:rsidRDefault="00C74066">
      <w:pPr>
        <w:sectPr w:rsidR="00C74066">
          <w:headerReference w:type="first" r:id="rId26"/>
          <w:pgSz w:w="11906" w:h="16838"/>
          <w:pgMar w:top="1418" w:right="1418" w:bottom="1418" w:left="1418" w:header="567" w:footer="283" w:gutter="0"/>
          <w:pgNumType w:fmt="lowerRoman"/>
          <w:cols w:space="708"/>
          <w:titlePg/>
          <w:docGrid w:linePitch="360"/>
        </w:sectPr>
      </w:pPr>
    </w:p>
    <w:p w:rsidR="00C74066" w:rsidRDefault="00F10705">
      <w:pPr>
        <w:pStyle w:val="Heading1nonumbers"/>
        <w:spacing w:before="0"/>
        <w:rPr>
          <w:lang w:val="en-AU"/>
        </w:rPr>
      </w:pPr>
      <w:bookmarkStart w:id="56" w:name="_Toc392488734"/>
      <w:bookmarkStart w:id="57" w:name="_Toc434247461"/>
      <w:r>
        <w:rPr>
          <w:lang w:val="en-AU"/>
        </w:rPr>
        <w:lastRenderedPageBreak/>
        <w:t>Summary</w:t>
      </w:r>
      <w:bookmarkEnd w:id="56"/>
      <w:bookmarkEnd w:id="57"/>
    </w:p>
    <w:p w:rsidR="00747A13" w:rsidRDefault="00747A13" w:rsidP="00747A13">
      <w:pPr>
        <w:spacing w:before="200"/>
        <w:rPr>
          <w:rFonts w:ascii="Cambria" w:hAnsi="Cambria"/>
        </w:rPr>
      </w:pPr>
      <w:r>
        <w:rPr>
          <w:rFonts w:ascii="Cambria" w:hAnsi="Cambria"/>
        </w:rPr>
        <w:t xml:space="preserve">The Australian Government Department of Agriculture and Water Resources (the department) initiated this review following a request from the Australian nursery industry to revise the import conditions for host nursery stock from countries where </w:t>
      </w:r>
      <w:r>
        <w:rPr>
          <w:rFonts w:ascii="Cambria" w:hAnsi="Cambria"/>
          <w:i/>
        </w:rPr>
        <w:t>Phytophthora ramorum</w:t>
      </w:r>
      <w:r>
        <w:rPr>
          <w:rFonts w:ascii="Cambria" w:hAnsi="Cambria"/>
        </w:rPr>
        <w:t xml:space="preserve"> is known to occur. The review recommends that, not only </w:t>
      </w:r>
      <w:r>
        <w:rPr>
          <w:rFonts w:ascii="Cambria" w:hAnsi="Cambria"/>
          <w:i/>
        </w:rPr>
        <w:t xml:space="preserve">Phytophthora ramorum </w:t>
      </w:r>
      <w:r>
        <w:rPr>
          <w:rFonts w:ascii="Cambria" w:hAnsi="Cambria"/>
          <w:iCs/>
        </w:rPr>
        <w:t>be regulated</w:t>
      </w:r>
      <w:r w:rsidRPr="00F17E8D">
        <w:rPr>
          <w:rFonts w:ascii="Cambria" w:hAnsi="Cambria"/>
        </w:rPr>
        <w:t>,</w:t>
      </w:r>
      <w:r>
        <w:rPr>
          <w:rFonts w:ascii="Cambria" w:hAnsi="Cambria"/>
        </w:rPr>
        <w:t xml:space="preserve"> but also </w:t>
      </w:r>
      <w:r>
        <w:rPr>
          <w:rFonts w:ascii="Cambria" w:hAnsi="Cambria"/>
          <w:i/>
          <w:iCs/>
        </w:rPr>
        <w:t>P. kernoviae</w:t>
      </w:r>
      <w:r>
        <w:rPr>
          <w:rFonts w:ascii="Cambria" w:hAnsi="Cambria"/>
        </w:rPr>
        <w:t xml:space="preserve">, </w:t>
      </w:r>
      <w:r>
        <w:rPr>
          <w:rFonts w:ascii="Cambria" w:hAnsi="Cambria"/>
          <w:i/>
          <w:iCs/>
        </w:rPr>
        <w:t xml:space="preserve">P. nemorosa </w:t>
      </w:r>
      <w:r>
        <w:rPr>
          <w:rFonts w:ascii="Cambria" w:hAnsi="Cambria"/>
        </w:rPr>
        <w:t xml:space="preserve">and </w:t>
      </w:r>
      <w:r>
        <w:rPr>
          <w:rFonts w:ascii="Cambria" w:hAnsi="Cambria"/>
          <w:i/>
          <w:iCs/>
        </w:rPr>
        <w:t>P. pseudosyringae</w:t>
      </w:r>
      <w:r>
        <w:rPr>
          <w:rFonts w:ascii="Cambria" w:hAnsi="Cambria"/>
          <w:iCs/>
        </w:rPr>
        <w:t xml:space="preserve">. These </w:t>
      </w:r>
      <w:r>
        <w:rPr>
          <w:rFonts w:ascii="Cambria" w:hAnsi="Cambria"/>
          <w:i/>
          <w:iCs/>
        </w:rPr>
        <w:t xml:space="preserve">Phytophthora </w:t>
      </w:r>
      <w:r>
        <w:rPr>
          <w:rFonts w:ascii="Cambria" w:hAnsi="Cambria"/>
          <w:iCs/>
        </w:rPr>
        <w:t>species</w:t>
      </w:r>
      <w:r>
        <w:rPr>
          <w:rFonts w:ascii="Cambria" w:hAnsi="Cambria"/>
        </w:rPr>
        <w:t xml:space="preserve"> share a similar host range, geographic range and cause symptoms indistinguishable from those of </w:t>
      </w:r>
      <w:r>
        <w:rPr>
          <w:rFonts w:ascii="Cambria" w:hAnsi="Cambria"/>
          <w:i/>
          <w:iCs/>
        </w:rPr>
        <w:t>P. ramorum</w:t>
      </w:r>
      <w:r>
        <w:rPr>
          <w:rFonts w:ascii="Cambria" w:hAnsi="Cambria"/>
        </w:rPr>
        <w:t>.</w:t>
      </w:r>
    </w:p>
    <w:p w:rsidR="00747A13" w:rsidRDefault="00747A13" w:rsidP="00747A13">
      <w:pPr>
        <w:spacing w:before="200"/>
        <w:rPr>
          <w:rFonts w:ascii="Cambria" w:hAnsi="Cambria"/>
        </w:rPr>
      </w:pPr>
      <w:r>
        <w:rPr>
          <w:rFonts w:ascii="Cambria" w:hAnsi="Cambria"/>
        </w:rPr>
        <w:t xml:space="preserve">The introduction of these </w:t>
      </w:r>
      <w:r>
        <w:rPr>
          <w:rFonts w:ascii="Cambria" w:hAnsi="Cambria"/>
          <w:i/>
        </w:rPr>
        <w:t>Phytophthora</w:t>
      </w:r>
      <w:r>
        <w:rPr>
          <w:rFonts w:ascii="Cambria" w:hAnsi="Cambria"/>
        </w:rPr>
        <w:t xml:space="preserve"> species into Australia would have unacceptable economic consequences. </w:t>
      </w:r>
      <w:r>
        <w:rPr>
          <w:rFonts w:ascii="Cambria" w:hAnsi="Cambria"/>
          <w:i/>
        </w:rPr>
        <w:t>Phytophthora ramorum</w:t>
      </w:r>
      <w:r>
        <w:rPr>
          <w:rFonts w:ascii="Cambria" w:hAnsi="Cambria"/>
        </w:rPr>
        <w:t xml:space="preserve"> is the most destructive pathogen of oak and a range of other host plants with significant commercial value, causing direct host mortality and increasing the cost of production due to its regulatory impact. The Australian nursery industry has a retail value of approximately $1.8 to $2 billion and the establishment of these </w:t>
      </w:r>
      <w:r>
        <w:rPr>
          <w:rFonts w:ascii="Cambria" w:hAnsi="Cambria"/>
          <w:i/>
        </w:rPr>
        <w:t xml:space="preserve">Phytophthora </w:t>
      </w:r>
      <w:r>
        <w:rPr>
          <w:rFonts w:ascii="Cambria" w:hAnsi="Cambria"/>
        </w:rPr>
        <w:t xml:space="preserve">species in Australia would necessitate higher levels of pathogen control in nurseries than is currently practised. Hosts of </w:t>
      </w:r>
      <w:r>
        <w:rPr>
          <w:rFonts w:ascii="Cambria" w:hAnsi="Cambria"/>
          <w:i/>
        </w:rPr>
        <w:t xml:space="preserve">Phytophthora </w:t>
      </w:r>
      <w:r>
        <w:rPr>
          <w:rFonts w:ascii="Cambria" w:hAnsi="Cambria"/>
        </w:rPr>
        <w:t>species also include many important shrubs and trees of recreational or environmental significance. If introduced, these</w:t>
      </w:r>
      <w:r>
        <w:rPr>
          <w:rFonts w:ascii="Cambria" w:hAnsi="Cambria"/>
          <w:i/>
        </w:rPr>
        <w:t xml:space="preserve"> </w:t>
      </w:r>
      <w:r>
        <w:rPr>
          <w:rFonts w:ascii="Cambria" w:hAnsi="Cambria"/>
        </w:rPr>
        <w:t>species would be a major threat to southern Australian forest and woodland systems.</w:t>
      </w:r>
    </w:p>
    <w:p w:rsidR="00747A13" w:rsidRDefault="00747A13" w:rsidP="00747A13">
      <w:pPr>
        <w:spacing w:before="200"/>
        <w:rPr>
          <w:rFonts w:ascii="Cambria" w:hAnsi="Cambria"/>
        </w:rPr>
      </w:pPr>
      <w:r>
        <w:rPr>
          <w:rFonts w:ascii="Cambria" w:hAnsi="Cambria"/>
        </w:rPr>
        <w:t xml:space="preserve">The ultimate goal of Australia’s phytosanitary measures is to protect plant health and prevent the introduction of </w:t>
      </w:r>
      <w:r>
        <w:rPr>
          <w:rFonts w:ascii="Cambria" w:hAnsi="Cambria"/>
          <w:i/>
        </w:rPr>
        <w:t xml:space="preserve">P. ramorum, </w:t>
      </w:r>
      <w:r>
        <w:rPr>
          <w:rFonts w:ascii="Cambria" w:hAnsi="Cambria"/>
          <w:i/>
          <w:iCs/>
        </w:rPr>
        <w:t>P. kernoviae</w:t>
      </w:r>
      <w:r>
        <w:rPr>
          <w:rFonts w:ascii="Cambria" w:hAnsi="Cambria"/>
        </w:rPr>
        <w:t xml:space="preserve">, </w:t>
      </w:r>
      <w:r>
        <w:rPr>
          <w:rFonts w:ascii="Cambria" w:hAnsi="Cambria"/>
          <w:i/>
          <w:iCs/>
        </w:rPr>
        <w:t xml:space="preserve">P. nemorosa </w:t>
      </w:r>
      <w:r>
        <w:rPr>
          <w:rFonts w:ascii="Cambria" w:hAnsi="Cambria"/>
          <w:iCs/>
        </w:rPr>
        <w:t>and</w:t>
      </w:r>
      <w:r>
        <w:rPr>
          <w:rFonts w:ascii="Cambria" w:hAnsi="Cambria"/>
          <w:i/>
          <w:iCs/>
        </w:rPr>
        <w:t xml:space="preserve"> P. pseudosyringae</w:t>
      </w:r>
      <w:r>
        <w:rPr>
          <w:rFonts w:ascii="Cambria" w:hAnsi="Cambria"/>
        </w:rPr>
        <w:t xml:space="preserve"> associated with plant propagative material into Australia. The review recommends:</w:t>
      </w:r>
    </w:p>
    <w:p w:rsidR="00747A13" w:rsidRDefault="00747A13" w:rsidP="00747A13">
      <w:pPr>
        <w:pStyle w:val="ListBullet"/>
        <w:tabs>
          <w:tab w:val="clear" w:pos="360"/>
          <w:tab w:val="num" w:pos="284"/>
        </w:tabs>
        <w:spacing w:line="269" w:lineRule="auto"/>
        <w:ind w:left="284" w:hanging="284"/>
        <w:rPr>
          <w:rFonts w:ascii="Cambria" w:hAnsi="Cambria"/>
        </w:rPr>
      </w:pPr>
      <w:r>
        <w:rPr>
          <w:rFonts w:ascii="Cambria" w:hAnsi="Cambria"/>
        </w:rPr>
        <w:t xml:space="preserve">Regulating the natural hosts of </w:t>
      </w:r>
      <w:r>
        <w:rPr>
          <w:rFonts w:ascii="Cambria" w:hAnsi="Cambria"/>
          <w:i/>
        </w:rPr>
        <w:t>P. ramorum</w:t>
      </w:r>
      <w:r>
        <w:rPr>
          <w:rFonts w:ascii="Cambria" w:hAnsi="Cambria"/>
        </w:rPr>
        <w:t xml:space="preserve">, </w:t>
      </w:r>
      <w:r>
        <w:rPr>
          <w:rFonts w:ascii="Cambria" w:hAnsi="Cambria"/>
          <w:i/>
          <w:iCs/>
        </w:rPr>
        <w:t>P. kernoviae</w:t>
      </w:r>
      <w:r>
        <w:rPr>
          <w:rFonts w:ascii="Cambria" w:hAnsi="Cambria"/>
        </w:rPr>
        <w:t xml:space="preserve">, </w:t>
      </w:r>
      <w:r>
        <w:rPr>
          <w:rFonts w:ascii="Cambria" w:hAnsi="Cambria"/>
          <w:i/>
          <w:iCs/>
        </w:rPr>
        <w:t xml:space="preserve">P. nemorosa </w:t>
      </w:r>
      <w:r>
        <w:rPr>
          <w:rFonts w:ascii="Cambria" w:hAnsi="Cambria"/>
          <w:iCs/>
        </w:rPr>
        <w:t>and</w:t>
      </w:r>
      <w:r>
        <w:rPr>
          <w:rFonts w:ascii="Cambria" w:hAnsi="Cambria"/>
          <w:i/>
          <w:iCs/>
        </w:rPr>
        <w:t xml:space="preserve"> P. pseudosyringae</w:t>
      </w:r>
      <w:r>
        <w:rPr>
          <w:rFonts w:ascii="Cambria" w:hAnsi="Cambria"/>
        </w:rPr>
        <w:t xml:space="preserve"> at the genus level; </w:t>
      </w:r>
    </w:p>
    <w:p w:rsidR="00747A13" w:rsidRDefault="00747A13" w:rsidP="00747A13">
      <w:pPr>
        <w:pStyle w:val="ListBullet"/>
        <w:tabs>
          <w:tab w:val="clear" w:pos="360"/>
          <w:tab w:val="num" w:pos="284"/>
        </w:tabs>
        <w:spacing w:line="269" w:lineRule="auto"/>
        <w:ind w:left="284" w:hanging="284"/>
        <w:rPr>
          <w:rFonts w:ascii="Cambria" w:hAnsi="Cambria"/>
        </w:rPr>
      </w:pPr>
      <w:r>
        <w:rPr>
          <w:rFonts w:ascii="Cambria" w:hAnsi="Cambria"/>
        </w:rPr>
        <w:t>The removal of experimental hosts from the regulated host list; and</w:t>
      </w:r>
    </w:p>
    <w:p w:rsidR="00747A13" w:rsidRDefault="00747A13" w:rsidP="00747A13">
      <w:pPr>
        <w:pStyle w:val="ListBullet"/>
        <w:tabs>
          <w:tab w:val="clear" w:pos="360"/>
          <w:tab w:val="num" w:pos="284"/>
        </w:tabs>
        <w:spacing w:line="269" w:lineRule="auto"/>
        <w:ind w:left="284" w:hanging="284"/>
        <w:rPr>
          <w:rFonts w:ascii="Cambria" w:hAnsi="Cambria"/>
        </w:rPr>
      </w:pPr>
      <w:r>
        <w:rPr>
          <w:rFonts w:ascii="Cambria" w:hAnsi="Cambria"/>
        </w:rPr>
        <w:t xml:space="preserve">Allowing the importation of all natural hosts of </w:t>
      </w:r>
      <w:r>
        <w:rPr>
          <w:rFonts w:ascii="Cambria" w:hAnsi="Cambria"/>
          <w:i/>
        </w:rPr>
        <w:t xml:space="preserve">Phytophthora </w:t>
      </w:r>
      <w:r>
        <w:rPr>
          <w:rFonts w:ascii="Cambria" w:hAnsi="Cambria"/>
        </w:rPr>
        <w:t xml:space="preserve">species under review as tissue cultures, one-year-old dormant cuttings, one-year-old budwood and one-year-old bare-rooted plants without foliage, as the recommended measures mitigate the risk of these </w:t>
      </w:r>
      <w:r>
        <w:rPr>
          <w:rFonts w:ascii="Cambria" w:hAnsi="Cambria"/>
          <w:i/>
        </w:rPr>
        <w:t>Phytophthora</w:t>
      </w:r>
      <w:r>
        <w:rPr>
          <w:rFonts w:ascii="Cambria" w:hAnsi="Cambria"/>
        </w:rPr>
        <w:t xml:space="preserve"> species.</w:t>
      </w:r>
    </w:p>
    <w:p w:rsidR="00747A13" w:rsidRDefault="00747A13" w:rsidP="00747A13">
      <w:pPr>
        <w:spacing w:before="200"/>
        <w:rPr>
          <w:rFonts w:ascii="Cambria" w:hAnsi="Cambria"/>
        </w:rPr>
      </w:pPr>
      <w:r>
        <w:rPr>
          <w:rFonts w:ascii="Cambria" w:hAnsi="Cambria"/>
        </w:rPr>
        <w:t>The recommended risk management measures for the importation of host nursery stock are based on a systems approach. Each of the recommended measures is not designed to be ‘</w:t>
      </w:r>
      <w:r w:rsidRPr="0077118A">
        <w:rPr>
          <w:rFonts w:ascii="Cambria" w:hAnsi="Cambria"/>
        </w:rPr>
        <w:t>stand alone</w:t>
      </w:r>
      <w:r>
        <w:rPr>
          <w:rFonts w:ascii="Cambria" w:hAnsi="Cambria"/>
        </w:rPr>
        <w:t>’; rather, the measures work in combination to ensure the risk is progressively reduced and managed</w:t>
      </w:r>
      <w:r w:rsidRPr="00F83619">
        <w:rPr>
          <w:rFonts w:ascii="Cambria" w:hAnsi="Cambria"/>
        </w:rPr>
        <w:t xml:space="preserve"> </w:t>
      </w:r>
      <w:r>
        <w:rPr>
          <w:rFonts w:ascii="Cambria" w:hAnsi="Cambria"/>
        </w:rPr>
        <w:t xml:space="preserve">to meet Australia’s appropriate level of protection (ALOP). The department considers these measures to be the least trade restrictive, while reducing the risk of </w:t>
      </w:r>
      <w:r>
        <w:rPr>
          <w:rFonts w:ascii="Cambria" w:hAnsi="Cambria"/>
          <w:i/>
        </w:rPr>
        <w:t xml:space="preserve">P. ramorum, P. kernoviae, P. nemorosa </w:t>
      </w:r>
      <w:r>
        <w:rPr>
          <w:rFonts w:ascii="Cambria" w:hAnsi="Cambria"/>
        </w:rPr>
        <w:t>and</w:t>
      </w:r>
      <w:r>
        <w:rPr>
          <w:rFonts w:ascii="Cambria" w:hAnsi="Cambria"/>
          <w:i/>
        </w:rPr>
        <w:t xml:space="preserve"> P. pseudosyringae</w:t>
      </w:r>
      <w:r>
        <w:rPr>
          <w:rFonts w:ascii="Cambria" w:hAnsi="Cambria"/>
        </w:rPr>
        <w:t xml:space="preserve"> to a very low level. This </w:t>
      </w:r>
      <w:r w:rsidR="00A964EB">
        <w:rPr>
          <w:rFonts w:ascii="Cambria" w:hAnsi="Cambria"/>
        </w:rPr>
        <w:t>review</w:t>
      </w:r>
      <w:r>
        <w:rPr>
          <w:rFonts w:ascii="Cambria" w:hAnsi="Cambria"/>
        </w:rPr>
        <w:t xml:space="preserve"> recommends the following tiered approach:</w:t>
      </w:r>
    </w:p>
    <w:p w:rsidR="00747A13" w:rsidRPr="00796500" w:rsidRDefault="00747A13" w:rsidP="00747A13">
      <w:pPr>
        <w:spacing w:before="120" w:after="120"/>
        <w:rPr>
          <w:b/>
        </w:rPr>
      </w:pPr>
      <w:r w:rsidRPr="00796500">
        <w:rPr>
          <w:b/>
        </w:rPr>
        <w:t>Off-shore measures to minimise risks</w:t>
      </w:r>
    </w:p>
    <w:p w:rsidR="00747A13" w:rsidRDefault="00747A13" w:rsidP="00747A13">
      <w:pPr>
        <w:pStyle w:val="ListBullet"/>
        <w:tabs>
          <w:tab w:val="clear" w:pos="360"/>
          <w:tab w:val="num" w:pos="284"/>
        </w:tabs>
        <w:spacing w:line="269" w:lineRule="auto"/>
        <w:ind w:left="284" w:hanging="284"/>
        <w:rPr>
          <w:rFonts w:ascii="Cambria" w:hAnsi="Cambria"/>
        </w:rPr>
      </w:pPr>
      <w:r>
        <w:rPr>
          <w:rFonts w:ascii="Cambria" w:hAnsi="Cambria"/>
        </w:rPr>
        <w:t>Bare-rooted plants are produced in a commercial environment and inspected by the N</w:t>
      </w:r>
      <w:r w:rsidR="00A964EB">
        <w:rPr>
          <w:rFonts w:ascii="Cambria" w:hAnsi="Cambria"/>
        </w:rPr>
        <w:t xml:space="preserve">ational </w:t>
      </w:r>
      <w:r>
        <w:rPr>
          <w:rFonts w:ascii="Cambria" w:hAnsi="Cambria"/>
        </w:rPr>
        <w:t>P</w:t>
      </w:r>
      <w:r w:rsidR="00A964EB">
        <w:rPr>
          <w:rFonts w:ascii="Cambria" w:hAnsi="Cambria"/>
        </w:rPr>
        <w:t xml:space="preserve">lant </w:t>
      </w:r>
      <w:r>
        <w:rPr>
          <w:rFonts w:ascii="Cambria" w:hAnsi="Cambria"/>
        </w:rPr>
        <w:t>P</w:t>
      </w:r>
      <w:r w:rsidR="00A964EB">
        <w:rPr>
          <w:rFonts w:ascii="Cambria" w:hAnsi="Cambria"/>
        </w:rPr>
        <w:t xml:space="preserve">rotection </w:t>
      </w:r>
      <w:r>
        <w:rPr>
          <w:rFonts w:ascii="Cambria" w:hAnsi="Cambria"/>
        </w:rPr>
        <w:t>O</w:t>
      </w:r>
      <w:r w:rsidR="00A964EB">
        <w:rPr>
          <w:rFonts w:ascii="Cambria" w:hAnsi="Cambria"/>
        </w:rPr>
        <w:t>rganisation (NPPO)</w:t>
      </w:r>
      <w:r>
        <w:rPr>
          <w:rFonts w:ascii="Cambria" w:hAnsi="Cambria"/>
        </w:rPr>
        <w:t xml:space="preserve"> to verify freedom from disease symptoms.</w:t>
      </w:r>
    </w:p>
    <w:p w:rsidR="00747A13" w:rsidRDefault="00747A13" w:rsidP="00747A13">
      <w:pPr>
        <w:pStyle w:val="ListBullet"/>
        <w:tabs>
          <w:tab w:val="clear" w:pos="360"/>
          <w:tab w:val="num" w:pos="284"/>
        </w:tabs>
        <w:spacing w:line="269" w:lineRule="auto"/>
        <w:ind w:left="284" w:hanging="284"/>
        <w:rPr>
          <w:rFonts w:ascii="Cambria" w:hAnsi="Cambria"/>
        </w:rPr>
      </w:pPr>
      <w:r w:rsidRPr="00FE052C">
        <w:rPr>
          <w:rFonts w:ascii="Cambria" w:hAnsi="Cambria"/>
        </w:rPr>
        <w:t xml:space="preserve">Restricting bare-rooted plants, budwood and </w:t>
      </w:r>
      <w:r>
        <w:rPr>
          <w:rFonts w:ascii="Cambria" w:hAnsi="Cambria"/>
        </w:rPr>
        <w:t xml:space="preserve">dormant </w:t>
      </w:r>
      <w:r w:rsidRPr="00FE052C">
        <w:rPr>
          <w:rFonts w:ascii="Cambria" w:hAnsi="Cambria"/>
        </w:rPr>
        <w:t>cuttings to</w:t>
      </w:r>
      <w:r>
        <w:rPr>
          <w:rFonts w:ascii="Cambria" w:hAnsi="Cambria"/>
        </w:rPr>
        <w:t xml:space="preserve"> one-year-old material, thereby lessening the exposure of material to disease infection.</w:t>
      </w:r>
    </w:p>
    <w:p w:rsidR="00747A13" w:rsidRDefault="00747A13" w:rsidP="00747A13">
      <w:pPr>
        <w:pStyle w:val="ListBullet"/>
        <w:tabs>
          <w:tab w:val="clear" w:pos="360"/>
          <w:tab w:val="num" w:pos="284"/>
        </w:tabs>
        <w:spacing w:line="269" w:lineRule="auto"/>
        <w:ind w:left="284" w:hanging="284"/>
        <w:rPr>
          <w:rFonts w:ascii="Cambria" w:hAnsi="Cambria"/>
        </w:rPr>
      </w:pPr>
      <w:r>
        <w:rPr>
          <w:rFonts w:ascii="Cambria" w:hAnsi="Cambria"/>
        </w:rPr>
        <w:lastRenderedPageBreak/>
        <w:t>An official Phytosanitary Certificate endorsed with an additional declaration that bare-rooted plants, dormant cuttings, budwood and tissue cultures have been inspected and found free from obvious disease symptoms.</w:t>
      </w:r>
    </w:p>
    <w:p w:rsidR="00747A13" w:rsidRPr="00796500" w:rsidRDefault="00747A13" w:rsidP="00747A13">
      <w:pPr>
        <w:spacing w:before="120" w:after="120"/>
        <w:rPr>
          <w:b/>
        </w:rPr>
      </w:pPr>
      <w:r w:rsidRPr="00796500">
        <w:rPr>
          <w:b/>
        </w:rPr>
        <w:t>On-shore measures to minimise risks</w:t>
      </w:r>
    </w:p>
    <w:p w:rsidR="00747A13" w:rsidRDefault="00747A13" w:rsidP="00747A13">
      <w:pPr>
        <w:pStyle w:val="ListBullet"/>
        <w:tabs>
          <w:tab w:val="clear" w:pos="360"/>
          <w:tab w:val="num" w:pos="284"/>
        </w:tabs>
        <w:spacing w:line="269" w:lineRule="auto"/>
        <w:ind w:left="284" w:hanging="284"/>
        <w:rPr>
          <w:rFonts w:ascii="Cambria" w:hAnsi="Cambria"/>
        </w:rPr>
      </w:pPr>
      <w:r>
        <w:rPr>
          <w:rFonts w:ascii="Cambria" w:hAnsi="Cambria"/>
        </w:rPr>
        <w:t xml:space="preserve">On-arrival examination of </w:t>
      </w:r>
      <w:r w:rsidRPr="005D1CD6">
        <w:rPr>
          <w:rFonts w:ascii="Cambria" w:hAnsi="Cambria"/>
        </w:rPr>
        <w:t xml:space="preserve">bare-rooted plants, budwood and </w:t>
      </w:r>
      <w:r>
        <w:rPr>
          <w:rFonts w:ascii="Cambria" w:hAnsi="Cambria"/>
        </w:rPr>
        <w:t xml:space="preserve">dormant </w:t>
      </w:r>
      <w:r w:rsidRPr="005D1CD6">
        <w:rPr>
          <w:rFonts w:ascii="Cambria" w:hAnsi="Cambria"/>
        </w:rPr>
        <w:t>cuttings</w:t>
      </w:r>
      <w:r>
        <w:rPr>
          <w:rFonts w:ascii="Cambria" w:hAnsi="Cambria"/>
        </w:rPr>
        <w:t xml:space="preserve"> for disease symptoms, treatment and growth under conditions that favour symptom expression.</w:t>
      </w:r>
    </w:p>
    <w:p w:rsidR="00747A13" w:rsidRDefault="00747A13" w:rsidP="00747A13">
      <w:pPr>
        <w:pStyle w:val="ListBullet"/>
        <w:tabs>
          <w:tab w:val="clear" w:pos="360"/>
          <w:tab w:val="num" w:pos="284"/>
        </w:tabs>
        <w:spacing w:line="269" w:lineRule="auto"/>
        <w:ind w:left="284" w:hanging="284"/>
        <w:rPr>
          <w:rFonts w:ascii="Cambria" w:hAnsi="Cambria"/>
        </w:rPr>
      </w:pPr>
      <w:r>
        <w:rPr>
          <w:rFonts w:ascii="Cambria" w:hAnsi="Cambria"/>
        </w:rPr>
        <w:t xml:space="preserve">On-arrival examination of </w:t>
      </w:r>
      <w:r w:rsidRPr="005D1CD6">
        <w:rPr>
          <w:rFonts w:ascii="Cambria" w:hAnsi="Cambria"/>
        </w:rPr>
        <w:t>tissue cultures</w:t>
      </w:r>
      <w:r>
        <w:rPr>
          <w:rFonts w:ascii="Cambria" w:hAnsi="Cambria"/>
        </w:rPr>
        <w:t xml:space="preserve"> </w:t>
      </w:r>
      <w:r w:rsidRPr="00C64640">
        <w:rPr>
          <w:rFonts w:asciiTheme="majorHAnsi" w:hAnsiTheme="majorHAnsi"/>
        </w:rPr>
        <w:t>to verify freedom from disease symptoms, live insects, soil and other extraneous contaminants of quarantine concern</w:t>
      </w:r>
      <w:r>
        <w:rPr>
          <w:rFonts w:ascii="Cambria" w:hAnsi="Cambria"/>
        </w:rPr>
        <w:t>.</w:t>
      </w:r>
    </w:p>
    <w:p w:rsidR="00747A13" w:rsidRPr="00796500" w:rsidRDefault="00747A13" w:rsidP="00747A13">
      <w:pPr>
        <w:spacing w:before="120" w:after="120"/>
        <w:rPr>
          <w:b/>
        </w:rPr>
      </w:pPr>
      <w:r w:rsidRPr="00796500">
        <w:rPr>
          <w:b/>
        </w:rPr>
        <w:t>On-arrival testing</w:t>
      </w:r>
    </w:p>
    <w:p w:rsidR="00747A13" w:rsidRDefault="00747A13" w:rsidP="00747A13">
      <w:pPr>
        <w:pStyle w:val="ListBullet"/>
        <w:shd w:val="clear" w:color="auto" w:fill="FFFFFF"/>
        <w:tabs>
          <w:tab w:val="clear" w:pos="360"/>
          <w:tab w:val="num" w:pos="284"/>
        </w:tabs>
        <w:spacing w:after="0" w:line="269" w:lineRule="auto"/>
        <w:ind w:left="284" w:hanging="284"/>
        <w:rPr>
          <w:rFonts w:ascii="Cambria" w:hAnsi="Cambria"/>
          <w:bCs/>
        </w:rPr>
      </w:pPr>
      <w:r>
        <w:rPr>
          <w:rFonts w:ascii="Cambria" w:hAnsi="Cambria"/>
        </w:rPr>
        <w:t>On-arrival, propagative material (</w:t>
      </w:r>
      <w:r w:rsidRPr="00291A03">
        <w:rPr>
          <w:rFonts w:ascii="Cambria" w:hAnsi="Cambria"/>
        </w:rPr>
        <w:t xml:space="preserve">bare-rooted plants, budwood and </w:t>
      </w:r>
      <w:r>
        <w:rPr>
          <w:rFonts w:ascii="Cambria" w:hAnsi="Cambria"/>
        </w:rPr>
        <w:t xml:space="preserve">dormant </w:t>
      </w:r>
      <w:r w:rsidRPr="00291A03">
        <w:rPr>
          <w:rFonts w:ascii="Cambria" w:hAnsi="Cambria"/>
        </w:rPr>
        <w:t>cuttings)</w:t>
      </w:r>
      <w:r>
        <w:rPr>
          <w:rFonts w:ascii="Cambria" w:hAnsi="Cambria"/>
        </w:rPr>
        <w:t xml:space="preserve"> is cultured on selective culture media and tested for </w:t>
      </w:r>
      <w:r>
        <w:rPr>
          <w:rFonts w:ascii="Cambria" w:hAnsi="Cambria"/>
          <w:i/>
        </w:rPr>
        <w:t>Phytophthora</w:t>
      </w:r>
      <w:r>
        <w:rPr>
          <w:rFonts w:ascii="Cambria" w:hAnsi="Cambria"/>
        </w:rPr>
        <w:t xml:space="preserve"> species using a generic</w:t>
      </w:r>
      <w:r w:rsidR="00A964EB">
        <w:rPr>
          <w:rFonts w:ascii="Cambria" w:hAnsi="Cambria"/>
        </w:rPr>
        <w:t xml:space="preserve"> Polymerase Chain Reaction</w:t>
      </w:r>
      <w:r>
        <w:rPr>
          <w:rFonts w:ascii="Cambria" w:hAnsi="Cambria"/>
        </w:rPr>
        <w:t xml:space="preserve"> </w:t>
      </w:r>
      <w:r w:rsidR="00A964EB">
        <w:rPr>
          <w:rFonts w:ascii="Cambria" w:hAnsi="Cambria"/>
        </w:rPr>
        <w:t>(</w:t>
      </w:r>
      <w:r>
        <w:rPr>
          <w:rFonts w:ascii="Cambria" w:hAnsi="Cambria"/>
        </w:rPr>
        <w:t>PCR</w:t>
      </w:r>
      <w:r w:rsidR="00A964EB">
        <w:rPr>
          <w:rFonts w:ascii="Cambria" w:hAnsi="Cambria"/>
        </w:rPr>
        <w:t>)</w:t>
      </w:r>
      <w:r>
        <w:rPr>
          <w:rFonts w:ascii="Cambria" w:hAnsi="Cambria"/>
        </w:rPr>
        <w:t>.</w:t>
      </w:r>
    </w:p>
    <w:p w:rsidR="00747A13" w:rsidRPr="00796500" w:rsidRDefault="00747A13" w:rsidP="00747A13">
      <w:pPr>
        <w:spacing w:before="120" w:after="120"/>
        <w:rPr>
          <w:b/>
        </w:rPr>
      </w:pPr>
      <w:r>
        <w:rPr>
          <w:b/>
        </w:rPr>
        <w:t>G</w:t>
      </w:r>
      <w:r w:rsidRPr="00796500">
        <w:rPr>
          <w:b/>
        </w:rPr>
        <w:t xml:space="preserve">rowth in </w:t>
      </w:r>
      <w:r>
        <w:rPr>
          <w:b/>
        </w:rPr>
        <w:t>p</w:t>
      </w:r>
      <w:r w:rsidRPr="00796500">
        <w:rPr>
          <w:b/>
        </w:rPr>
        <w:t>ost</w:t>
      </w:r>
      <w:r>
        <w:rPr>
          <w:b/>
        </w:rPr>
        <w:t>-entry q</w:t>
      </w:r>
      <w:r w:rsidRPr="00796500">
        <w:rPr>
          <w:b/>
        </w:rPr>
        <w:t>uarantine (PEQ)</w:t>
      </w:r>
    </w:p>
    <w:p w:rsidR="00747A13" w:rsidRDefault="00747A13" w:rsidP="00747A13">
      <w:pPr>
        <w:pStyle w:val="ListBullet"/>
        <w:shd w:val="clear" w:color="auto" w:fill="FFFFFF"/>
        <w:tabs>
          <w:tab w:val="clear" w:pos="360"/>
          <w:tab w:val="num" w:pos="284"/>
        </w:tabs>
        <w:spacing w:after="0" w:line="269" w:lineRule="auto"/>
        <w:ind w:left="284" w:hanging="284"/>
        <w:rPr>
          <w:rFonts w:ascii="Cambria" w:hAnsi="Cambria"/>
        </w:rPr>
      </w:pPr>
      <w:r>
        <w:rPr>
          <w:rFonts w:ascii="Cambria" w:hAnsi="Cambria"/>
        </w:rPr>
        <w:t>Mandatory growth of propagative material in a closed government PEQ facility for a minimum of 12 to 15 months, with disease screening.</w:t>
      </w:r>
    </w:p>
    <w:p w:rsidR="00747A13" w:rsidRPr="003D0D1B" w:rsidRDefault="00747A13" w:rsidP="00747A13">
      <w:pPr>
        <w:pStyle w:val="ListBullet"/>
        <w:shd w:val="clear" w:color="auto" w:fill="FFFFFF"/>
        <w:tabs>
          <w:tab w:val="clear" w:pos="360"/>
          <w:tab w:val="num" w:pos="284"/>
        </w:tabs>
        <w:spacing w:after="0" w:line="269" w:lineRule="auto"/>
        <w:ind w:left="284" w:hanging="284"/>
        <w:rPr>
          <w:rFonts w:ascii="Cambria" w:hAnsi="Cambria"/>
        </w:rPr>
      </w:pPr>
      <w:r w:rsidRPr="003D0D1B">
        <w:rPr>
          <w:rFonts w:ascii="Cambria" w:hAnsi="Cambria"/>
        </w:rPr>
        <w:t>During growth in PEQ, imported bare</w:t>
      </w:r>
      <w:r>
        <w:rPr>
          <w:rFonts w:ascii="Cambria" w:hAnsi="Cambria"/>
        </w:rPr>
        <w:t>-</w:t>
      </w:r>
      <w:r w:rsidRPr="003D0D1B">
        <w:rPr>
          <w:rFonts w:ascii="Cambria" w:hAnsi="Cambria"/>
        </w:rPr>
        <w:t>rooted plants, dormant cuttings</w:t>
      </w:r>
      <w:r>
        <w:rPr>
          <w:rFonts w:ascii="Cambria" w:hAnsi="Cambria"/>
        </w:rPr>
        <w:t>,</w:t>
      </w:r>
      <w:r w:rsidRPr="003D0D1B">
        <w:rPr>
          <w:rFonts w:ascii="Cambria" w:hAnsi="Cambria"/>
        </w:rPr>
        <w:t xml:space="preserve"> budwood </w:t>
      </w:r>
      <w:r>
        <w:rPr>
          <w:rFonts w:ascii="Cambria" w:hAnsi="Cambria"/>
        </w:rPr>
        <w:t xml:space="preserve">and tissue cultures </w:t>
      </w:r>
      <w:r w:rsidRPr="003D0D1B">
        <w:rPr>
          <w:rFonts w:ascii="Cambria" w:hAnsi="Cambria"/>
        </w:rPr>
        <w:t>must be subjected to molecular testing</w:t>
      </w:r>
      <w:r>
        <w:rPr>
          <w:rFonts w:ascii="Cambria" w:hAnsi="Cambria"/>
        </w:rPr>
        <w:t xml:space="preserve"> for </w:t>
      </w:r>
      <w:r>
        <w:rPr>
          <w:rFonts w:ascii="Cambria" w:hAnsi="Cambria"/>
          <w:i/>
        </w:rPr>
        <w:t>Phytophthora</w:t>
      </w:r>
      <w:r>
        <w:rPr>
          <w:rFonts w:ascii="Cambria" w:hAnsi="Cambria"/>
        </w:rPr>
        <w:t xml:space="preserve"> species using a generic PCR</w:t>
      </w:r>
      <w:r w:rsidRPr="003D0D1B">
        <w:rPr>
          <w:rFonts w:ascii="Cambria" w:hAnsi="Cambria"/>
        </w:rPr>
        <w:t xml:space="preserve">. </w:t>
      </w:r>
    </w:p>
    <w:p w:rsidR="00747A13" w:rsidRDefault="00747A13" w:rsidP="00747A13">
      <w:pPr>
        <w:spacing w:before="200"/>
        <w:rPr>
          <w:rFonts w:ascii="Cambria" w:hAnsi="Cambria"/>
        </w:rPr>
      </w:pPr>
      <w:r>
        <w:rPr>
          <w:rFonts w:ascii="Cambria" w:hAnsi="Cambria"/>
        </w:rPr>
        <w:t xml:space="preserve">The existing conditions for propagative material from countries where these </w:t>
      </w:r>
      <w:r>
        <w:rPr>
          <w:rFonts w:ascii="Cambria" w:hAnsi="Cambria"/>
          <w:i/>
        </w:rPr>
        <w:t xml:space="preserve">Phytophthora </w:t>
      </w:r>
      <w:r>
        <w:rPr>
          <w:rFonts w:ascii="Cambria" w:hAnsi="Cambria"/>
        </w:rPr>
        <w:t>species are not known to occur are recommended to continue.</w:t>
      </w:r>
    </w:p>
    <w:p w:rsidR="00083F69" w:rsidRDefault="00083F69" w:rsidP="00747A13">
      <w:pPr>
        <w:spacing w:before="200"/>
        <w:rPr>
          <w:rFonts w:ascii="Cambria" w:hAnsi="Cambria"/>
        </w:rPr>
      </w:pPr>
      <w:r w:rsidRPr="00083F69">
        <w:rPr>
          <w:rFonts w:ascii="Cambria" w:hAnsi="Cambria"/>
        </w:rPr>
        <w:t xml:space="preserve">The department released the ‘Draft review of policy: importation of </w:t>
      </w:r>
      <w:r w:rsidRPr="00083F69">
        <w:rPr>
          <w:rFonts w:ascii="Cambria" w:hAnsi="Cambria"/>
          <w:i/>
        </w:rPr>
        <w:t>Phytophthora ramorum</w:t>
      </w:r>
      <w:r w:rsidRPr="00083F69">
        <w:rPr>
          <w:rFonts w:ascii="Cambria" w:hAnsi="Cambria"/>
        </w:rPr>
        <w:t xml:space="preserve"> host propagative material into Australia’ for stakeholder consultation for 45 days from 16 March 2015. The department </w:t>
      </w:r>
      <w:r>
        <w:rPr>
          <w:rFonts w:ascii="Cambria" w:hAnsi="Cambria"/>
        </w:rPr>
        <w:t>received</w:t>
      </w:r>
      <w:r w:rsidRPr="00083F69">
        <w:rPr>
          <w:rFonts w:ascii="Cambria" w:hAnsi="Cambria"/>
        </w:rPr>
        <w:t xml:space="preserve"> submissions from international and domestic stakeholders</w:t>
      </w:r>
      <w:r>
        <w:rPr>
          <w:rFonts w:ascii="Cambria" w:hAnsi="Cambria"/>
        </w:rPr>
        <w:t>. All comments were carefully considered in the finalisation of this review of policy.</w:t>
      </w:r>
    </w:p>
    <w:p w:rsidR="00747A13" w:rsidRDefault="00747A13">
      <w:pPr>
        <w:spacing w:before="200"/>
        <w:rPr>
          <w:rFonts w:ascii="Cambria" w:hAnsi="Cambria"/>
        </w:rPr>
      </w:pPr>
    </w:p>
    <w:p w:rsidR="00747A13" w:rsidRDefault="00747A13">
      <w:pPr>
        <w:spacing w:before="200"/>
        <w:rPr>
          <w:rFonts w:ascii="Cambria" w:hAnsi="Cambria"/>
        </w:rPr>
      </w:pPr>
    </w:p>
    <w:p w:rsidR="00C74066" w:rsidRDefault="00C74066">
      <w:pPr>
        <w:spacing w:before="120" w:after="120" w:line="269" w:lineRule="auto"/>
      </w:pPr>
    </w:p>
    <w:p w:rsidR="00C74066" w:rsidRDefault="00C74066">
      <w:pPr>
        <w:spacing w:before="200"/>
        <w:rPr>
          <w:rFonts w:eastAsiaTheme="majorEastAsia" w:cstheme="majorBidi"/>
          <w:b/>
          <w:color w:val="D52B1E"/>
          <w:sz w:val="34"/>
        </w:rPr>
        <w:sectPr w:rsidR="00C74066">
          <w:headerReference w:type="default" r:id="rId27"/>
          <w:pgSz w:w="11906" w:h="16838"/>
          <w:pgMar w:top="1418" w:right="1418" w:bottom="1418" w:left="1418" w:header="567" w:footer="283" w:gutter="0"/>
          <w:pgNumType w:start="1"/>
          <w:cols w:space="708"/>
          <w:docGrid w:linePitch="360"/>
        </w:sectPr>
      </w:pPr>
    </w:p>
    <w:p w:rsidR="00C74066" w:rsidRDefault="00F10705">
      <w:pPr>
        <w:pStyle w:val="Heading1"/>
        <w:pageBreakBefore w:val="0"/>
        <w:numPr>
          <w:ilvl w:val="0"/>
          <w:numId w:val="14"/>
        </w:numPr>
        <w:tabs>
          <w:tab w:val="clear" w:pos="360"/>
        </w:tabs>
        <w:spacing w:before="480" w:after="120"/>
        <w:ind w:left="357" w:hanging="357"/>
        <w:rPr>
          <w:rFonts w:eastAsiaTheme="majorEastAsia" w:cstheme="majorBidi"/>
          <w:b/>
          <w:color w:val="D52B1E"/>
          <w:sz w:val="34"/>
        </w:rPr>
      </w:pPr>
      <w:bookmarkStart w:id="58" w:name="_Toc434247462"/>
      <w:r>
        <w:rPr>
          <w:rFonts w:eastAsiaTheme="majorEastAsia" w:cstheme="majorBidi"/>
          <w:b/>
          <w:color w:val="D52B1E"/>
          <w:sz w:val="34"/>
        </w:rPr>
        <w:lastRenderedPageBreak/>
        <w:t>Introduction</w:t>
      </w:r>
      <w:bookmarkEnd w:id="58"/>
    </w:p>
    <w:p w:rsidR="00C74066" w:rsidRDefault="00F10705">
      <w:pPr>
        <w:pStyle w:val="Heading2"/>
        <w:numPr>
          <w:ilvl w:val="1"/>
          <w:numId w:val="21"/>
        </w:numPr>
        <w:tabs>
          <w:tab w:val="clear" w:pos="576"/>
        </w:tabs>
        <w:spacing w:before="200" w:after="120"/>
        <w:ind w:left="357" w:hanging="357"/>
        <w:rPr>
          <w:rFonts w:eastAsiaTheme="majorEastAsia" w:cstheme="majorBidi"/>
          <w:color w:val="773141"/>
          <w:sz w:val="28"/>
        </w:rPr>
      </w:pPr>
      <w:bookmarkStart w:id="59" w:name="_Toc434247463"/>
      <w:r>
        <w:rPr>
          <w:rFonts w:eastAsiaTheme="majorEastAsia" w:cstheme="majorBidi"/>
          <w:color w:val="773141"/>
          <w:sz w:val="28"/>
        </w:rPr>
        <w:t>Australia’s biosecurity policy framework</w:t>
      </w:r>
      <w:bookmarkEnd w:id="59"/>
    </w:p>
    <w:p w:rsidR="00C74066" w:rsidRDefault="00F10705">
      <w:pPr>
        <w:spacing w:before="200"/>
        <w:rPr>
          <w:rFonts w:ascii="Cambria" w:hAnsi="Cambria"/>
        </w:rPr>
      </w:pPr>
      <w:r>
        <w:rPr>
          <w:rFonts w:ascii="Cambria" w:hAnsi="Cambria"/>
        </w:rPr>
        <w:t>Australia's biosecurity policies aim to protect Australia against the risks that may arise from exotic pests entering, establishing and spreading in Australia, thereby threatening Australia's unique flora and fauna, as well as those agricultural industries that are relatively free from serious pests.</w:t>
      </w:r>
    </w:p>
    <w:p w:rsidR="00C74066" w:rsidRDefault="00F10705">
      <w:pPr>
        <w:spacing w:before="200"/>
        <w:rPr>
          <w:rFonts w:ascii="Cambria" w:hAnsi="Cambria"/>
        </w:rPr>
      </w:pPr>
      <w:r>
        <w:rPr>
          <w:rFonts w:ascii="Cambria" w:hAnsi="Cambria"/>
        </w:rPr>
        <w:t>The risk analysis process is an important part of Australia's biosecurity policies. It enables the Australian Government to formally consider the risks that could be associated with proposals to import new products into Australia. If the risks are found to exceed Australia’s appropriate level of protection (ALOP), risk management measures are proposed to reduce the risks to an acceptable level. But, if it is not possible to reduce the risks to an acceptable level, then no trade will be allowed.</w:t>
      </w:r>
    </w:p>
    <w:p w:rsidR="00C74066" w:rsidRDefault="00F10705">
      <w:pPr>
        <w:spacing w:before="200"/>
        <w:rPr>
          <w:rFonts w:ascii="Cambria" w:hAnsi="Cambria"/>
        </w:rPr>
      </w:pPr>
      <w:r>
        <w:rPr>
          <w:rFonts w:ascii="Cambria" w:hAnsi="Cambria"/>
        </w:rPr>
        <w:t xml:space="preserve">Successive Australian governments have maintained a </w:t>
      </w:r>
      <w:r w:rsidR="0000614C">
        <w:rPr>
          <w:rFonts w:ascii="Cambria" w:hAnsi="Cambria"/>
        </w:rPr>
        <w:t>stringent</w:t>
      </w:r>
      <w:r>
        <w:rPr>
          <w:rFonts w:ascii="Cambria" w:hAnsi="Cambria"/>
        </w:rPr>
        <w:t>, but not a zero risk approach to the management of biosecurity risks. This approach is expressed in terms of Australia's ALOP, which reflects community expectations through government policy and is currently described as providing a high level of protection aimed at reducing risk to a very low level, but not to zero.</w:t>
      </w:r>
    </w:p>
    <w:p w:rsidR="00C74066" w:rsidRDefault="00F10705">
      <w:pPr>
        <w:spacing w:before="200"/>
        <w:rPr>
          <w:rFonts w:ascii="Cambria" w:hAnsi="Cambria"/>
        </w:rPr>
      </w:pPr>
      <w:r>
        <w:rPr>
          <w:rFonts w:ascii="Cambria" w:hAnsi="Cambria"/>
        </w:rPr>
        <w:t xml:space="preserve">Australia’s pest risk analyses (PRAs) are undertaken by the Department of Agriculture and Water Resources, hereafter referred to as the department, using teams of technical and scientific experts in relevant fields and involves consultation with stakeholders at various stages during the process. </w:t>
      </w:r>
    </w:p>
    <w:p w:rsidR="00C74066" w:rsidRDefault="00F10705">
      <w:pPr>
        <w:spacing w:before="200"/>
        <w:rPr>
          <w:rFonts w:ascii="Cambria" w:hAnsi="Cambria"/>
        </w:rPr>
      </w:pPr>
      <w:r>
        <w:rPr>
          <w:rFonts w:ascii="Cambria" w:hAnsi="Cambria"/>
        </w:rPr>
        <w:t xml:space="preserve">Further information about Australia’s biosecurity framework is provided in Appendix C of this report and in the </w:t>
      </w:r>
      <w:r>
        <w:rPr>
          <w:rFonts w:ascii="Cambria" w:hAnsi="Cambria"/>
          <w:i/>
        </w:rPr>
        <w:t>Import Risk Analysis Handbook 2011</w:t>
      </w:r>
      <w:r>
        <w:rPr>
          <w:rFonts w:ascii="Cambria" w:hAnsi="Cambria"/>
        </w:rPr>
        <w:t xml:space="preserve"> located on the</w:t>
      </w:r>
      <w:r>
        <w:rPr>
          <w:rFonts w:asciiTheme="majorHAnsi" w:hAnsiTheme="majorHAnsi"/>
        </w:rPr>
        <w:t xml:space="preserve"> </w:t>
      </w:r>
      <w:hyperlink r:id="rId28" w:history="1">
        <w:r>
          <w:rPr>
            <w:rStyle w:val="Hyperlink"/>
            <w:rFonts w:asciiTheme="majorHAnsi" w:hAnsiTheme="majorHAnsi"/>
          </w:rPr>
          <w:t>Department of Agriculture and Water Resources</w:t>
        </w:r>
      </w:hyperlink>
      <w:r>
        <w:t xml:space="preserve"> </w:t>
      </w:r>
      <w:r>
        <w:rPr>
          <w:rFonts w:ascii="Cambria" w:hAnsi="Cambria"/>
        </w:rPr>
        <w:t>website.</w:t>
      </w:r>
    </w:p>
    <w:p w:rsidR="00C74066" w:rsidRDefault="00F10705">
      <w:pPr>
        <w:pStyle w:val="Heading2"/>
        <w:numPr>
          <w:ilvl w:val="1"/>
          <w:numId w:val="21"/>
        </w:numPr>
        <w:tabs>
          <w:tab w:val="clear" w:pos="576"/>
        </w:tabs>
        <w:spacing w:before="200" w:after="120"/>
        <w:ind w:left="357" w:hanging="357"/>
        <w:rPr>
          <w:rFonts w:eastAsiaTheme="majorEastAsia" w:cstheme="majorBidi"/>
          <w:color w:val="773141"/>
          <w:sz w:val="28"/>
        </w:rPr>
      </w:pPr>
      <w:bookmarkStart w:id="60" w:name="_Toc434247464"/>
      <w:r>
        <w:rPr>
          <w:rFonts w:eastAsiaTheme="majorEastAsia" w:cstheme="majorBidi"/>
          <w:color w:val="773141"/>
          <w:sz w:val="28"/>
        </w:rPr>
        <w:t>This review of policy</w:t>
      </w:r>
      <w:bookmarkEnd w:id="60"/>
    </w:p>
    <w:p w:rsidR="00C74066" w:rsidRDefault="00F10705">
      <w:pPr>
        <w:spacing w:before="200"/>
        <w:rPr>
          <w:rFonts w:ascii="Cambria" w:hAnsi="Cambria"/>
        </w:rPr>
      </w:pPr>
      <w:r>
        <w:rPr>
          <w:rFonts w:ascii="Cambria" w:hAnsi="Cambria"/>
        </w:rPr>
        <w:t xml:space="preserve">Australia has an existing policy to import </w:t>
      </w:r>
      <w:r>
        <w:rPr>
          <w:rFonts w:ascii="Cambria" w:hAnsi="Cambria"/>
          <w:i/>
        </w:rPr>
        <w:t xml:space="preserve">Phytophthora ramorum </w:t>
      </w:r>
      <w:r>
        <w:rPr>
          <w:rFonts w:ascii="Cambria" w:hAnsi="Cambria"/>
        </w:rPr>
        <w:t xml:space="preserve">host propagative material from all countries. Until recently, propagative material was only allowed as tissue cultures (microplantlets) from countries where </w:t>
      </w:r>
      <w:r>
        <w:rPr>
          <w:rFonts w:ascii="Cambria" w:hAnsi="Cambria"/>
          <w:i/>
          <w:iCs/>
        </w:rPr>
        <w:t xml:space="preserve">P. ramorum </w:t>
      </w:r>
      <w:r>
        <w:rPr>
          <w:rFonts w:ascii="Cambria" w:hAnsi="Cambria"/>
        </w:rPr>
        <w:t>is known to occur. Imported tissue cultures require mandatory on-arrival inspection and growth in a closed post-entry quarantine (PEQ) facility with pathogen screening.</w:t>
      </w:r>
    </w:p>
    <w:p w:rsidR="00C74066" w:rsidRDefault="00F10705">
      <w:pPr>
        <w:pStyle w:val="Heading3"/>
        <w:keepLines/>
        <w:numPr>
          <w:ilvl w:val="2"/>
          <w:numId w:val="21"/>
        </w:numPr>
        <w:tabs>
          <w:tab w:val="clear" w:pos="720"/>
        </w:tabs>
        <w:spacing w:before="120" w:after="200"/>
        <w:ind w:left="357" w:hanging="357"/>
        <w:rPr>
          <w:rFonts w:ascii="Calibri" w:hAnsi="Calibri" w:cstheme="minorBidi"/>
          <w:sz w:val="24"/>
          <w:szCs w:val="22"/>
        </w:rPr>
      </w:pPr>
      <w:r>
        <w:rPr>
          <w:rFonts w:ascii="Calibri" w:hAnsi="Calibri" w:cstheme="minorBidi"/>
          <w:sz w:val="24"/>
          <w:szCs w:val="22"/>
        </w:rPr>
        <w:t>Background</w:t>
      </w:r>
    </w:p>
    <w:p w:rsidR="00C74066" w:rsidRDefault="00F10705">
      <w:pPr>
        <w:spacing w:before="200"/>
        <w:rPr>
          <w:rFonts w:ascii="Cambria" w:hAnsi="Cambria"/>
        </w:rPr>
      </w:pPr>
      <w:r>
        <w:rPr>
          <w:rFonts w:ascii="Cambria" w:hAnsi="Cambria"/>
        </w:rPr>
        <w:t xml:space="preserve">Australia introduced emergency measures in September 2002 after the identification and description of </w:t>
      </w:r>
      <w:r>
        <w:rPr>
          <w:rFonts w:ascii="Cambria" w:hAnsi="Cambria"/>
          <w:i/>
        </w:rPr>
        <w:t xml:space="preserve">Phytophthora </w:t>
      </w:r>
      <w:r>
        <w:rPr>
          <w:rFonts w:ascii="Cambria" w:hAnsi="Cambria"/>
          <w:i/>
          <w:iCs/>
        </w:rPr>
        <w:t xml:space="preserve">ramorum </w:t>
      </w:r>
      <w:r>
        <w:rPr>
          <w:rFonts w:ascii="Cambria" w:hAnsi="Cambria"/>
        </w:rPr>
        <w:t xml:space="preserve">as the causal agent of Sudden oak death (SOD) in the United States of America (USA), and Ramorum blight of ornamentals including </w:t>
      </w:r>
      <w:r>
        <w:rPr>
          <w:rFonts w:ascii="Cambria" w:hAnsi="Cambria"/>
          <w:i/>
          <w:iCs/>
        </w:rPr>
        <w:t>Rhododendron</w:t>
      </w:r>
      <w:r>
        <w:rPr>
          <w:rFonts w:ascii="Cambria" w:hAnsi="Cambria"/>
        </w:rPr>
        <w:t xml:space="preserve"> and </w:t>
      </w:r>
      <w:r>
        <w:rPr>
          <w:rFonts w:ascii="Cambria" w:hAnsi="Cambria"/>
          <w:i/>
          <w:iCs/>
        </w:rPr>
        <w:t>Viburnum</w:t>
      </w:r>
      <w:r>
        <w:rPr>
          <w:rFonts w:ascii="Cambria" w:hAnsi="Cambria"/>
        </w:rPr>
        <w:t xml:space="preserve"> species in Europe (Werres </w:t>
      </w:r>
      <w:r>
        <w:rPr>
          <w:rFonts w:ascii="Cambria" w:hAnsi="Cambria"/>
          <w:iCs/>
        </w:rPr>
        <w:t>et al</w:t>
      </w:r>
      <w:r>
        <w:rPr>
          <w:rFonts w:ascii="Cambria" w:hAnsi="Cambria"/>
        </w:rPr>
        <w:t xml:space="preserve">. 2001). At this time, the importation of </w:t>
      </w:r>
      <w:r>
        <w:rPr>
          <w:rFonts w:ascii="Cambria" w:hAnsi="Cambria"/>
          <w:i/>
          <w:iCs/>
        </w:rPr>
        <w:t xml:space="preserve">P. ramorum </w:t>
      </w:r>
      <w:r>
        <w:rPr>
          <w:rFonts w:ascii="Cambria" w:hAnsi="Cambria"/>
        </w:rPr>
        <w:t xml:space="preserve">host material from countries where the pathogen is known to occur was restricted to tissue cultures only. The implementation of these measures effectively prohibited imports of host material that cannot be easily propagated through tissue cultures from countries where </w:t>
      </w:r>
      <w:r>
        <w:rPr>
          <w:rFonts w:ascii="Cambria" w:hAnsi="Cambria"/>
          <w:i/>
          <w:iCs/>
        </w:rPr>
        <w:t xml:space="preserve">P. ramorum </w:t>
      </w:r>
      <w:r>
        <w:rPr>
          <w:rFonts w:ascii="Cambria" w:hAnsi="Cambria"/>
        </w:rPr>
        <w:t xml:space="preserve">is present. This policy was generally supported and accepted by industry as the </w:t>
      </w:r>
      <w:r>
        <w:rPr>
          <w:rFonts w:ascii="Cambria" w:hAnsi="Cambria"/>
        </w:rPr>
        <w:lastRenderedPageBreak/>
        <w:t xml:space="preserve">pathogen was newly described, its epidemiology was unknown, no reliable detection method was available and the economic consequences of the pathogen were high. </w:t>
      </w:r>
    </w:p>
    <w:p w:rsidR="00C74066" w:rsidRDefault="00F10705">
      <w:pPr>
        <w:spacing w:before="200"/>
        <w:rPr>
          <w:rFonts w:ascii="Cambria" w:hAnsi="Cambria"/>
        </w:rPr>
      </w:pPr>
      <w:r>
        <w:rPr>
          <w:rFonts w:ascii="Cambria" w:hAnsi="Cambria"/>
        </w:rPr>
        <w:t>In 2013, the department revised the import conditions for a limited number of genera that cannot easily be propagated by tissue cultures, as the Australian nursery industry had requested that the department review the existing policy and develop a new protocol based on updated information. Following the finalisation of th</w:t>
      </w:r>
      <w:r w:rsidR="00A964EB">
        <w:rPr>
          <w:rFonts w:ascii="Cambria" w:hAnsi="Cambria"/>
        </w:rPr>
        <w:t>e 2013</w:t>
      </w:r>
      <w:r>
        <w:rPr>
          <w:rFonts w:ascii="Cambria" w:hAnsi="Cambria"/>
        </w:rPr>
        <w:t xml:space="preserve"> review, it was determined that dormant cuttings and budwood of a limited number of genera could be imported from countries where </w:t>
      </w:r>
      <w:r>
        <w:rPr>
          <w:rFonts w:ascii="Cambria" w:hAnsi="Cambria"/>
          <w:i/>
        </w:rPr>
        <w:t>P. ramorum</w:t>
      </w:r>
      <w:r>
        <w:rPr>
          <w:rFonts w:ascii="Cambria" w:hAnsi="Cambria"/>
        </w:rPr>
        <w:t xml:space="preserve"> is known to occur, subject to strict import conditions.</w:t>
      </w:r>
    </w:p>
    <w:p w:rsidR="00C74066" w:rsidRDefault="00F10705">
      <w:pPr>
        <w:spacing w:before="200"/>
        <w:rPr>
          <w:rFonts w:ascii="Cambria" w:hAnsi="Cambria"/>
        </w:rPr>
      </w:pPr>
      <w:r>
        <w:rPr>
          <w:rFonts w:ascii="Cambria" w:hAnsi="Cambria"/>
        </w:rPr>
        <w:t xml:space="preserve">Surveys conducted in response to </w:t>
      </w:r>
      <w:r>
        <w:rPr>
          <w:rFonts w:ascii="Cambria" w:hAnsi="Cambria"/>
          <w:i/>
          <w:iCs/>
        </w:rPr>
        <w:t>P. ramorum</w:t>
      </w:r>
      <w:r>
        <w:rPr>
          <w:rFonts w:ascii="Cambria" w:hAnsi="Cambria"/>
        </w:rPr>
        <w:t xml:space="preserve"> outbreaks identified several new species of </w:t>
      </w:r>
      <w:r>
        <w:rPr>
          <w:rFonts w:ascii="Cambria" w:hAnsi="Cambria"/>
          <w:i/>
          <w:iCs/>
        </w:rPr>
        <w:t xml:space="preserve">Phytophthora </w:t>
      </w:r>
      <w:r>
        <w:rPr>
          <w:rFonts w:ascii="Cambria" w:hAnsi="Cambria"/>
        </w:rPr>
        <w:t xml:space="preserve">including </w:t>
      </w:r>
      <w:r>
        <w:rPr>
          <w:rFonts w:ascii="Cambria" w:hAnsi="Cambria"/>
          <w:i/>
          <w:iCs/>
        </w:rPr>
        <w:t>P. kernoviae</w:t>
      </w:r>
      <w:r>
        <w:rPr>
          <w:rFonts w:ascii="Cambria" w:hAnsi="Cambria"/>
        </w:rPr>
        <w:t xml:space="preserve">, </w:t>
      </w:r>
      <w:r>
        <w:rPr>
          <w:rFonts w:ascii="Cambria" w:hAnsi="Cambria"/>
          <w:i/>
          <w:iCs/>
        </w:rPr>
        <w:t xml:space="preserve">P. nemorosa </w:t>
      </w:r>
      <w:r>
        <w:rPr>
          <w:rFonts w:ascii="Cambria" w:hAnsi="Cambria"/>
        </w:rPr>
        <w:t xml:space="preserve">and </w:t>
      </w:r>
      <w:r>
        <w:rPr>
          <w:rFonts w:ascii="Cambria" w:hAnsi="Cambria"/>
          <w:i/>
          <w:iCs/>
        </w:rPr>
        <w:t xml:space="preserve">P. pseudosyringae </w:t>
      </w:r>
      <w:r>
        <w:rPr>
          <w:rFonts w:ascii="Cambria" w:hAnsi="Cambria"/>
        </w:rPr>
        <w:t xml:space="preserve">(Martin </w:t>
      </w:r>
      <w:r>
        <w:rPr>
          <w:rFonts w:ascii="Cambria" w:hAnsi="Cambria"/>
          <w:iCs/>
        </w:rPr>
        <w:t>&amp; Tooley</w:t>
      </w:r>
      <w:r>
        <w:rPr>
          <w:rFonts w:ascii="Cambria" w:hAnsi="Cambria"/>
        </w:rPr>
        <w:t xml:space="preserve"> 2003; Schwingle </w:t>
      </w:r>
      <w:r>
        <w:rPr>
          <w:rFonts w:ascii="Cambria" w:hAnsi="Cambria"/>
          <w:iCs/>
        </w:rPr>
        <w:t>et al</w:t>
      </w:r>
      <w:r>
        <w:rPr>
          <w:rFonts w:ascii="Cambria" w:hAnsi="Cambria"/>
        </w:rPr>
        <w:t xml:space="preserve">. 2006; Webber 2008; Wickland </w:t>
      </w:r>
      <w:r>
        <w:rPr>
          <w:rFonts w:ascii="Cambria" w:hAnsi="Cambria"/>
          <w:iCs/>
        </w:rPr>
        <w:t>et al</w:t>
      </w:r>
      <w:r>
        <w:rPr>
          <w:rFonts w:ascii="Cambria" w:hAnsi="Cambria"/>
        </w:rPr>
        <w:t xml:space="preserve">. 2008; Fichtner </w:t>
      </w:r>
      <w:r>
        <w:rPr>
          <w:rFonts w:ascii="Cambria" w:hAnsi="Cambria"/>
          <w:iCs/>
        </w:rPr>
        <w:t>et al</w:t>
      </w:r>
      <w:r>
        <w:rPr>
          <w:rFonts w:ascii="Cambria" w:hAnsi="Cambria"/>
        </w:rPr>
        <w:t xml:space="preserve">. 2011). These </w:t>
      </w:r>
      <w:r>
        <w:rPr>
          <w:rFonts w:ascii="Cambria" w:hAnsi="Cambria"/>
          <w:i/>
          <w:iCs/>
        </w:rPr>
        <w:t xml:space="preserve">Phytophthora </w:t>
      </w:r>
      <w:r>
        <w:rPr>
          <w:rFonts w:ascii="Cambria" w:hAnsi="Cambria"/>
        </w:rPr>
        <w:t xml:space="preserve">species share a similar host range and geographic range with </w:t>
      </w:r>
      <w:r>
        <w:rPr>
          <w:rFonts w:ascii="Cambria" w:hAnsi="Cambria"/>
          <w:i/>
          <w:iCs/>
        </w:rPr>
        <w:t xml:space="preserve">P. ramorum </w:t>
      </w:r>
      <w:r>
        <w:rPr>
          <w:rFonts w:ascii="Cambria" w:hAnsi="Cambria"/>
        </w:rPr>
        <w:t xml:space="preserve">(Martin </w:t>
      </w:r>
      <w:r>
        <w:rPr>
          <w:rFonts w:ascii="Cambria" w:hAnsi="Cambria"/>
          <w:iCs/>
        </w:rPr>
        <w:t>et al</w:t>
      </w:r>
      <w:r>
        <w:rPr>
          <w:rFonts w:ascii="Cambria" w:hAnsi="Cambria"/>
        </w:rPr>
        <w:t xml:space="preserve">. 2004; Linzer &amp; Garbelotto 2008; Webber 2008; Wickland </w:t>
      </w:r>
      <w:r>
        <w:rPr>
          <w:rFonts w:ascii="Cambria" w:hAnsi="Cambria"/>
          <w:iCs/>
        </w:rPr>
        <w:t>et al</w:t>
      </w:r>
      <w:r>
        <w:rPr>
          <w:rFonts w:ascii="Cambria" w:hAnsi="Cambria"/>
        </w:rPr>
        <w:t xml:space="preserve">. 2008). Additionally, symptoms caused by these </w:t>
      </w:r>
      <w:r>
        <w:rPr>
          <w:rFonts w:ascii="Cambria" w:hAnsi="Cambria"/>
          <w:i/>
          <w:iCs/>
        </w:rPr>
        <w:t xml:space="preserve">Phytophthora </w:t>
      </w:r>
      <w:r>
        <w:rPr>
          <w:rFonts w:ascii="Cambria" w:hAnsi="Cambria"/>
        </w:rPr>
        <w:t xml:space="preserve">species are indistinguishable from those caused by </w:t>
      </w:r>
      <w:r>
        <w:rPr>
          <w:rFonts w:ascii="Cambria" w:hAnsi="Cambria"/>
          <w:i/>
          <w:iCs/>
        </w:rPr>
        <w:t>P. ramorum</w:t>
      </w:r>
      <w:r>
        <w:rPr>
          <w:rFonts w:ascii="Cambria" w:hAnsi="Cambria"/>
        </w:rPr>
        <w:t xml:space="preserve"> (Martin &amp; Tooley 2003). Therefore, this review also considered the newly identified </w:t>
      </w:r>
      <w:r>
        <w:rPr>
          <w:rFonts w:ascii="Cambria" w:hAnsi="Cambria"/>
          <w:i/>
          <w:iCs/>
        </w:rPr>
        <w:t xml:space="preserve">Phytophthora </w:t>
      </w:r>
      <w:r>
        <w:rPr>
          <w:rFonts w:ascii="Cambria" w:hAnsi="Cambria"/>
        </w:rPr>
        <w:t xml:space="preserve">species, including </w:t>
      </w:r>
      <w:r>
        <w:rPr>
          <w:rFonts w:ascii="Cambria" w:hAnsi="Cambria"/>
          <w:i/>
          <w:iCs/>
        </w:rPr>
        <w:t>P. kernoviae</w:t>
      </w:r>
      <w:r>
        <w:rPr>
          <w:rFonts w:ascii="Cambria" w:hAnsi="Cambria"/>
        </w:rPr>
        <w:t xml:space="preserve">, </w:t>
      </w:r>
      <w:r>
        <w:rPr>
          <w:rFonts w:ascii="Cambria" w:hAnsi="Cambria"/>
          <w:i/>
          <w:iCs/>
        </w:rPr>
        <w:t>P. nemorosa</w:t>
      </w:r>
      <w:r>
        <w:rPr>
          <w:rFonts w:ascii="Cambria" w:hAnsi="Cambria"/>
        </w:rPr>
        <w:t xml:space="preserve"> and</w:t>
      </w:r>
      <w:r>
        <w:rPr>
          <w:rFonts w:ascii="Cambria" w:hAnsi="Cambria"/>
          <w:i/>
          <w:iCs/>
        </w:rPr>
        <w:t xml:space="preserve"> P. pseudosyringae.</w:t>
      </w:r>
    </w:p>
    <w:p w:rsidR="00C74066" w:rsidRDefault="00F10705">
      <w:pPr>
        <w:pStyle w:val="Heading3"/>
        <w:keepLines/>
        <w:numPr>
          <w:ilvl w:val="2"/>
          <w:numId w:val="21"/>
        </w:numPr>
        <w:tabs>
          <w:tab w:val="clear" w:pos="720"/>
        </w:tabs>
        <w:spacing w:before="120" w:after="200"/>
        <w:ind w:left="357" w:hanging="357"/>
        <w:rPr>
          <w:rFonts w:ascii="Calibri" w:hAnsi="Calibri" w:cstheme="minorBidi"/>
          <w:sz w:val="24"/>
          <w:szCs w:val="22"/>
        </w:rPr>
      </w:pPr>
      <w:r>
        <w:rPr>
          <w:rFonts w:ascii="Calibri" w:hAnsi="Calibri" w:cstheme="minorBidi"/>
          <w:sz w:val="24"/>
          <w:szCs w:val="22"/>
        </w:rPr>
        <w:t>Scope</w:t>
      </w:r>
    </w:p>
    <w:p w:rsidR="00C74066" w:rsidRDefault="00F10705">
      <w:pPr>
        <w:spacing w:before="200"/>
        <w:rPr>
          <w:rFonts w:ascii="Cambria" w:hAnsi="Cambria" w:cstheme="minorHAnsi"/>
          <w:bCs/>
        </w:rPr>
      </w:pPr>
      <w:r>
        <w:rPr>
          <w:rFonts w:ascii="Cambria" w:hAnsi="Cambria" w:cstheme="minorHAnsi"/>
          <w:bCs/>
        </w:rPr>
        <w:t xml:space="preserve">The scope of this </w:t>
      </w:r>
      <w:r>
        <w:rPr>
          <w:rFonts w:ascii="Cambria" w:hAnsi="Cambria"/>
        </w:rPr>
        <w:t>review</w:t>
      </w:r>
      <w:r>
        <w:rPr>
          <w:rFonts w:ascii="Cambria" w:hAnsi="Cambria" w:cstheme="minorHAnsi"/>
          <w:bCs/>
        </w:rPr>
        <w:t xml:space="preserve"> is limited to:</w:t>
      </w:r>
    </w:p>
    <w:p w:rsidR="00C74066" w:rsidRDefault="00F10705">
      <w:pPr>
        <w:pStyle w:val="ListBullet"/>
        <w:tabs>
          <w:tab w:val="clear" w:pos="360"/>
          <w:tab w:val="num" w:pos="284"/>
        </w:tabs>
        <w:ind w:left="284" w:hanging="284"/>
        <w:rPr>
          <w:rFonts w:ascii="Cambria" w:hAnsi="Cambria"/>
        </w:rPr>
      </w:pPr>
      <w:r>
        <w:rPr>
          <w:rFonts w:ascii="Cambria" w:hAnsi="Cambria"/>
        </w:rPr>
        <w:t xml:space="preserve">the revision of the existing policy to import </w:t>
      </w:r>
      <w:r>
        <w:rPr>
          <w:rFonts w:ascii="Cambria" w:hAnsi="Cambria"/>
          <w:i/>
          <w:iCs/>
        </w:rPr>
        <w:t xml:space="preserve">Phytophthora ramorum </w:t>
      </w:r>
      <w:r>
        <w:rPr>
          <w:rFonts w:ascii="Cambria" w:hAnsi="Cambria"/>
        </w:rPr>
        <w:t>host material;</w:t>
      </w:r>
    </w:p>
    <w:p w:rsidR="00C74066" w:rsidRDefault="00F10705">
      <w:pPr>
        <w:pStyle w:val="ListBullet"/>
        <w:tabs>
          <w:tab w:val="clear" w:pos="360"/>
          <w:tab w:val="num" w:pos="284"/>
        </w:tabs>
        <w:ind w:left="284" w:hanging="284"/>
        <w:rPr>
          <w:rFonts w:ascii="Cambria" w:hAnsi="Cambria"/>
        </w:rPr>
      </w:pPr>
      <w:r>
        <w:rPr>
          <w:rFonts w:ascii="Cambria" w:hAnsi="Cambria"/>
        </w:rPr>
        <w:t xml:space="preserve">the revision of the host list for </w:t>
      </w:r>
      <w:r>
        <w:rPr>
          <w:rFonts w:ascii="Cambria" w:hAnsi="Cambria"/>
          <w:i/>
          <w:iCs/>
        </w:rPr>
        <w:t>P</w:t>
      </w:r>
      <w:r w:rsidR="0077118A">
        <w:rPr>
          <w:rFonts w:ascii="Cambria" w:hAnsi="Cambria"/>
          <w:i/>
          <w:iCs/>
        </w:rPr>
        <w:t>.</w:t>
      </w:r>
      <w:r>
        <w:rPr>
          <w:rFonts w:ascii="Cambria" w:hAnsi="Cambria"/>
          <w:i/>
          <w:iCs/>
        </w:rPr>
        <w:t xml:space="preserve"> kernoviae</w:t>
      </w:r>
      <w:r>
        <w:rPr>
          <w:rFonts w:ascii="Cambria" w:hAnsi="Cambria"/>
        </w:rPr>
        <w:t xml:space="preserve">, </w:t>
      </w:r>
      <w:r>
        <w:rPr>
          <w:rFonts w:ascii="Cambria" w:hAnsi="Cambria"/>
          <w:i/>
          <w:iCs/>
        </w:rPr>
        <w:t>P. nemorosa</w:t>
      </w:r>
      <w:r>
        <w:rPr>
          <w:rFonts w:ascii="Cambria" w:hAnsi="Cambria"/>
        </w:rPr>
        <w:t xml:space="preserve">, </w:t>
      </w:r>
      <w:r>
        <w:rPr>
          <w:rFonts w:ascii="Cambria" w:hAnsi="Cambria"/>
          <w:i/>
          <w:iCs/>
        </w:rPr>
        <w:t xml:space="preserve">P. pseudosyringae </w:t>
      </w:r>
      <w:r>
        <w:rPr>
          <w:rFonts w:ascii="Cambria" w:hAnsi="Cambria"/>
        </w:rPr>
        <w:t xml:space="preserve">and </w:t>
      </w:r>
      <w:r>
        <w:rPr>
          <w:rFonts w:ascii="Cambria" w:hAnsi="Cambria"/>
          <w:i/>
          <w:iCs/>
        </w:rPr>
        <w:t>P. ramorum</w:t>
      </w:r>
      <w:r>
        <w:rPr>
          <w:rFonts w:ascii="Cambria" w:hAnsi="Cambria"/>
        </w:rPr>
        <w:t xml:space="preserve">; and </w:t>
      </w:r>
    </w:p>
    <w:p w:rsidR="00C74066" w:rsidRDefault="00F10705">
      <w:pPr>
        <w:pStyle w:val="ListBullet"/>
        <w:tabs>
          <w:tab w:val="clear" w:pos="360"/>
          <w:tab w:val="num" w:pos="284"/>
        </w:tabs>
        <w:ind w:left="284" w:hanging="284"/>
        <w:rPr>
          <w:rFonts w:ascii="Cambria" w:hAnsi="Cambria"/>
        </w:rPr>
      </w:pPr>
      <w:r>
        <w:rPr>
          <w:rFonts w:ascii="Cambria" w:hAnsi="Cambria"/>
        </w:rPr>
        <w:t xml:space="preserve">the development of phytosanitary measures to import host material of </w:t>
      </w:r>
      <w:r>
        <w:rPr>
          <w:rFonts w:ascii="Cambria" w:hAnsi="Cambria"/>
          <w:i/>
          <w:iCs/>
        </w:rPr>
        <w:t>P</w:t>
      </w:r>
      <w:r w:rsidR="0077118A">
        <w:rPr>
          <w:rFonts w:ascii="Cambria" w:hAnsi="Cambria"/>
          <w:i/>
          <w:iCs/>
        </w:rPr>
        <w:t xml:space="preserve">. </w:t>
      </w:r>
      <w:r>
        <w:rPr>
          <w:rFonts w:ascii="Cambria" w:hAnsi="Cambria"/>
          <w:i/>
          <w:iCs/>
        </w:rPr>
        <w:t>kernoviae</w:t>
      </w:r>
      <w:r>
        <w:rPr>
          <w:rFonts w:ascii="Cambria" w:hAnsi="Cambria"/>
        </w:rPr>
        <w:t xml:space="preserve">, </w:t>
      </w:r>
      <w:r>
        <w:rPr>
          <w:rFonts w:ascii="Cambria" w:hAnsi="Cambria"/>
          <w:i/>
          <w:iCs/>
        </w:rPr>
        <w:t>P. nemorosa</w:t>
      </w:r>
      <w:r>
        <w:rPr>
          <w:rFonts w:ascii="Cambria" w:hAnsi="Cambria"/>
        </w:rPr>
        <w:t xml:space="preserve">, </w:t>
      </w:r>
      <w:r>
        <w:rPr>
          <w:rFonts w:ascii="Cambria" w:hAnsi="Cambria"/>
          <w:i/>
          <w:iCs/>
        </w:rPr>
        <w:t xml:space="preserve">P. pseudosyringae </w:t>
      </w:r>
      <w:r>
        <w:rPr>
          <w:rFonts w:ascii="Cambria" w:hAnsi="Cambria"/>
        </w:rPr>
        <w:t xml:space="preserve">and </w:t>
      </w:r>
      <w:r>
        <w:rPr>
          <w:rFonts w:ascii="Cambria" w:hAnsi="Cambria"/>
          <w:i/>
          <w:iCs/>
        </w:rPr>
        <w:t>P. ramorum</w:t>
      </w:r>
      <w:r>
        <w:rPr>
          <w:rFonts w:ascii="Cambria" w:hAnsi="Cambria"/>
        </w:rPr>
        <w:t>.</w:t>
      </w:r>
    </w:p>
    <w:p w:rsidR="00C74066" w:rsidRDefault="00F10705">
      <w:pPr>
        <w:spacing w:before="200"/>
        <w:rPr>
          <w:rFonts w:ascii="Cambria" w:hAnsi="Cambria" w:cstheme="minorHAnsi"/>
          <w:bCs/>
        </w:rPr>
      </w:pPr>
      <w:r>
        <w:rPr>
          <w:rFonts w:ascii="Cambria" w:hAnsi="Cambria" w:cstheme="minorHAnsi"/>
          <w:bCs/>
        </w:rPr>
        <w:t xml:space="preserve">This review does not consider existing phytosanitary measures during the pest risk assessment. Existing </w:t>
      </w:r>
      <w:r>
        <w:rPr>
          <w:rFonts w:ascii="Cambria" w:hAnsi="Cambria"/>
        </w:rPr>
        <w:t>phytosanitary</w:t>
      </w:r>
      <w:r>
        <w:rPr>
          <w:rFonts w:ascii="Cambria" w:hAnsi="Cambria" w:cstheme="minorHAnsi"/>
          <w:bCs/>
        </w:rPr>
        <w:t xml:space="preserve"> measures are only considered during the development of risk management measures, if they are required, following the pest risk assessment.</w:t>
      </w:r>
    </w:p>
    <w:p w:rsidR="00C74066" w:rsidRDefault="00F10705">
      <w:pPr>
        <w:spacing w:before="200"/>
        <w:rPr>
          <w:rFonts w:ascii="Cambria" w:hAnsi="Cambria"/>
        </w:rPr>
      </w:pPr>
      <w:r>
        <w:rPr>
          <w:rFonts w:ascii="Cambria" w:hAnsi="Cambria"/>
        </w:rPr>
        <w:t xml:space="preserve">This </w:t>
      </w:r>
      <w:r w:rsidR="00A964EB">
        <w:rPr>
          <w:rFonts w:ascii="Cambria" w:hAnsi="Cambria"/>
        </w:rPr>
        <w:t>final</w:t>
      </w:r>
      <w:r>
        <w:rPr>
          <w:rFonts w:ascii="Cambria" w:hAnsi="Cambria"/>
        </w:rPr>
        <w:t xml:space="preserve"> review of policy is limited to </w:t>
      </w:r>
      <w:r w:rsidR="00A964EB">
        <w:rPr>
          <w:rFonts w:ascii="Cambria" w:hAnsi="Cambria" w:cstheme="minorHAnsi"/>
        </w:rPr>
        <w:t>recommend</w:t>
      </w:r>
      <w:r>
        <w:rPr>
          <w:rFonts w:ascii="Cambria" w:hAnsi="Cambria" w:cstheme="minorHAnsi"/>
        </w:rPr>
        <w:t>ing</w:t>
      </w:r>
      <w:r>
        <w:rPr>
          <w:rFonts w:ascii="Cambria" w:hAnsi="Cambria"/>
        </w:rPr>
        <w:t xml:space="preserve"> appropriate phytosanitary measures to address the risk of introducing </w:t>
      </w:r>
      <w:r>
        <w:rPr>
          <w:rFonts w:ascii="Cambria" w:hAnsi="Cambria"/>
          <w:i/>
          <w:iCs/>
        </w:rPr>
        <w:t>P. kernoviae</w:t>
      </w:r>
      <w:r>
        <w:rPr>
          <w:rFonts w:ascii="Cambria" w:hAnsi="Cambria"/>
        </w:rPr>
        <w:t xml:space="preserve">, </w:t>
      </w:r>
      <w:r>
        <w:rPr>
          <w:rFonts w:ascii="Cambria" w:hAnsi="Cambria"/>
          <w:i/>
          <w:iCs/>
        </w:rPr>
        <w:t>P. nemorosa</w:t>
      </w:r>
      <w:r>
        <w:rPr>
          <w:rFonts w:ascii="Cambria" w:hAnsi="Cambria"/>
        </w:rPr>
        <w:t>,</w:t>
      </w:r>
      <w:r>
        <w:rPr>
          <w:rFonts w:ascii="Cambria" w:hAnsi="Cambria"/>
          <w:i/>
          <w:iCs/>
        </w:rPr>
        <w:t xml:space="preserve"> P. pseudosyringae </w:t>
      </w:r>
      <w:r>
        <w:rPr>
          <w:rFonts w:ascii="Cambria" w:hAnsi="Cambria"/>
        </w:rPr>
        <w:t xml:space="preserve">and </w:t>
      </w:r>
      <w:r>
        <w:rPr>
          <w:rFonts w:ascii="Cambria" w:hAnsi="Cambria"/>
          <w:i/>
          <w:iCs/>
        </w:rPr>
        <w:t>P. ramorum</w:t>
      </w:r>
      <w:r>
        <w:rPr>
          <w:rFonts w:ascii="Cambria" w:hAnsi="Cambria"/>
        </w:rPr>
        <w:t xml:space="preserve"> into Australia. It is the importer's responsibility to ensure compliance with the requirements of all other regulatory and advisory bodies associated with importing commodities to Australia. Among others, these could include the Department of Immigration and Border Protection, Department of Health, Therapeutic Goods Administration, Australian Pesticides and Veterinary Medicines Authority, Department of the Environment, and state and territory departments of agriculture.</w:t>
      </w:r>
    </w:p>
    <w:p w:rsidR="00C74066" w:rsidRDefault="00C74066">
      <w:pPr>
        <w:pStyle w:val="ListBullet"/>
        <w:numPr>
          <w:ilvl w:val="0"/>
          <w:numId w:val="0"/>
        </w:numPr>
        <w:ind w:left="360" w:hanging="360"/>
      </w:pPr>
    </w:p>
    <w:p w:rsidR="00C74066" w:rsidRDefault="00C74066">
      <w:pPr>
        <w:pStyle w:val="ListBullet"/>
        <w:numPr>
          <w:ilvl w:val="0"/>
          <w:numId w:val="0"/>
        </w:numPr>
        <w:tabs>
          <w:tab w:val="num" w:pos="284"/>
        </w:tabs>
        <w:rPr>
          <w:rFonts w:ascii="Calibri" w:eastAsiaTheme="majorEastAsia" w:hAnsi="Calibri" w:cstheme="majorBidi"/>
          <w:b/>
          <w:bCs/>
          <w:color w:val="D52B1E"/>
          <w:sz w:val="34"/>
          <w:szCs w:val="28"/>
        </w:rPr>
        <w:sectPr w:rsidR="00C74066">
          <w:headerReference w:type="default" r:id="rId29"/>
          <w:pgSz w:w="11906" w:h="16838"/>
          <w:pgMar w:top="1418" w:right="1418" w:bottom="1418" w:left="1418" w:header="567" w:footer="283" w:gutter="0"/>
          <w:cols w:space="708"/>
          <w:docGrid w:linePitch="360"/>
        </w:sectPr>
      </w:pPr>
    </w:p>
    <w:p w:rsidR="00C74066" w:rsidRDefault="00F10705">
      <w:pPr>
        <w:pStyle w:val="Heading1"/>
        <w:pageBreakBefore w:val="0"/>
        <w:numPr>
          <w:ilvl w:val="0"/>
          <w:numId w:val="21"/>
        </w:numPr>
        <w:tabs>
          <w:tab w:val="clear" w:pos="432"/>
        </w:tabs>
        <w:spacing w:before="480" w:after="120"/>
        <w:ind w:left="357" w:hanging="357"/>
        <w:rPr>
          <w:rFonts w:eastAsiaTheme="majorEastAsia" w:cstheme="majorBidi"/>
          <w:b/>
          <w:color w:val="D52B1E"/>
          <w:sz w:val="34"/>
        </w:rPr>
      </w:pPr>
      <w:bookmarkStart w:id="61" w:name="_Toc434247465"/>
      <w:r>
        <w:rPr>
          <w:rFonts w:eastAsiaTheme="majorEastAsia" w:cstheme="majorBidi"/>
          <w:b/>
          <w:color w:val="D52B1E"/>
          <w:sz w:val="34"/>
        </w:rPr>
        <w:lastRenderedPageBreak/>
        <w:t>Method for pest risk analysis</w:t>
      </w:r>
      <w:bookmarkEnd w:id="61"/>
    </w:p>
    <w:p w:rsidR="00C74066" w:rsidRDefault="00F10705">
      <w:pPr>
        <w:spacing w:before="200"/>
        <w:rPr>
          <w:rFonts w:ascii="Cambria" w:hAnsi="Cambria"/>
        </w:rPr>
      </w:pPr>
      <w:r>
        <w:rPr>
          <w:rFonts w:ascii="Cambria" w:hAnsi="Cambria"/>
        </w:rPr>
        <w:t xml:space="preserve">The department has conducted this pest risk analysis (PRA) in accordance with the </w:t>
      </w:r>
      <w:r w:rsidRPr="00E066B3">
        <w:rPr>
          <w:rFonts w:ascii="Cambria" w:hAnsi="Cambria"/>
        </w:rPr>
        <w:t>International Standards for Phytosanitary Measures</w:t>
      </w:r>
      <w:r>
        <w:rPr>
          <w:rFonts w:ascii="Cambria" w:hAnsi="Cambria"/>
        </w:rPr>
        <w:t xml:space="preserve"> (ISPMs), including ISPM 2: </w:t>
      </w:r>
      <w:r>
        <w:rPr>
          <w:rFonts w:ascii="Cambria" w:hAnsi="Cambria"/>
          <w:i/>
        </w:rPr>
        <w:t xml:space="preserve">Framework for pest risk analysis </w:t>
      </w:r>
      <w:r>
        <w:rPr>
          <w:rFonts w:ascii="Cambria" w:hAnsi="Cambria"/>
        </w:rPr>
        <w:t xml:space="preserve">(FAO 2007) and ISPM 11: </w:t>
      </w:r>
      <w:r>
        <w:rPr>
          <w:rFonts w:ascii="Cambria" w:hAnsi="Cambria"/>
          <w:i/>
        </w:rPr>
        <w:t xml:space="preserve">Pest risk analysis for quarantine pests </w:t>
      </w:r>
      <w:r>
        <w:rPr>
          <w:rFonts w:ascii="Cambria" w:hAnsi="Cambria"/>
        </w:rPr>
        <w:t>(FAO 2013) that have been developed under the SPS Agreement (WTO 1995).</w:t>
      </w:r>
    </w:p>
    <w:p w:rsidR="00C74066" w:rsidRDefault="00F10705">
      <w:pPr>
        <w:spacing w:before="200"/>
        <w:rPr>
          <w:rFonts w:ascii="Cambria" w:hAnsi="Cambria"/>
        </w:rPr>
      </w:pPr>
      <w:r>
        <w:rPr>
          <w:rFonts w:ascii="Cambria" w:hAnsi="Cambria"/>
        </w:rPr>
        <w:t xml:space="preserve">Phytosanitary terms used in this PRA are defined in ISPM 5: </w:t>
      </w:r>
      <w:r>
        <w:rPr>
          <w:rFonts w:ascii="Cambria" w:hAnsi="Cambria"/>
          <w:i/>
        </w:rPr>
        <w:t>Glossary of phytosanitary terms</w:t>
      </w:r>
      <w:r>
        <w:rPr>
          <w:rFonts w:ascii="Cambria" w:hAnsi="Cambria"/>
        </w:rPr>
        <w:t xml:space="preserve"> (FAO 2015). A glossary of the terms used is provided at the back of this report.</w:t>
      </w:r>
    </w:p>
    <w:p w:rsidR="00C74066" w:rsidRDefault="00F10705">
      <w:pPr>
        <w:spacing w:before="200"/>
        <w:rPr>
          <w:rFonts w:ascii="Cambria" w:hAnsi="Cambria"/>
        </w:rPr>
      </w:pPr>
      <w:r>
        <w:rPr>
          <w:rFonts w:ascii="Cambria" w:hAnsi="Cambria"/>
        </w:rPr>
        <w:t>The PRAs are conducted in the following three consecutive stages: initiation, pest risk assessment and pest risk management.</w:t>
      </w:r>
    </w:p>
    <w:p w:rsidR="00C74066" w:rsidRDefault="00F10705">
      <w:pPr>
        <w:pStyle w:val="Heading2"/>
        <w:numPr>
          <w:ilvl w:val="1"/>
          <w:numId w:val="21"/>
        </w:numPr>
        <w:tabs>
          <w:tab w:val="clear" w:pos="576"/>
        </w:tabs>
        <w:spacing w:before="200" w:after="120"/>
        <w:ind w:left="357" w:hanging="357"/>
        <w:rPr>
          <w:rFonts w:eastAsiaTheme="majorEastAsia" w:cstheme="majorBidi"/>
          <w:color w:val="773141"/>
          <w:sz w:val="28"/>
        </w:rPr>
      </w:pPr>
      <w:bookmarkStart w:id="62" w:name="_Toc434247466"/>
      <w:r>
        <w:rPr>
          <w:rFonts w:eastAsiaTheme="majorEastAsia" w:cstheme="majorBidi"/>
          <w:color w:val="773141"/>
          <w:sz w:val="28"/>
        </w:rPr>
        <w:t>Stage 1: Initiation</w:t>
      </w:r>
      <w:bookmarkEnd w:id="62"/>
    </w:p>
    <w:p w:rsidR="00C74066" w:rsidRDefault="00F10705">
      <w:pPr>
        <w:spacing w:before="200"/>
        <w:rPr>
          <w:rFonts w:ascii="Cambria" w:hAnsi="Cambria"/>
        </w:rPr>
      </w:pPr>
      <w:r>
        <w:rPr>
          <w:rFonts w:ascii="Cambria" w:hAnsi="Cambria"/>
        </w:rPr>
        <w:t xml:space="preserve">The initiation of a pest risk analysis identifies pest(s) and pathway(s) that should be considered for risk analysis in relation to the identified PRA area. For this PRA, the ‘PRA area’ is defined as Australia for </w:t>
      </w:r>
      <w:r>
        <w:rPr>
          <w:rFonts w:ascii="Cambria" w:hAnsi="Cambria"/>
          <w:i/>
          <w:iCs/>
        </w:rPr>
        <w:t xml:space="preserve">Phytophthora </w:t>
      </w:r>
      <w:r>
        <w:rPr>
          <w:rFonts w:ascii="Cambria" w:hAnsi="Cambria"/>
        </w:rPr>
        <w:t>species (</w:t>
      </w:r>
      <w:r>
        <w:rPr>
          <w:rFonts w:ascii="Cambria" w:hAnsi="Cambria"/>
          <w:i/>
          <w:iCs/>
        </w:rPr>
        <w:t>P. kernoviae, P. nemorosa</w:t>
      </w:r>
      <w:r>
        <w:rPr>
          <w:rFonts w:ascii="Cambria" w:hAnsi="Cambria"/>
        </w:rPr>
        <w:t>,</w:t>
      </w:r>
      <w:r>
        <w:rPr>
          <w:rFonts w:ascii="Cambria" w:hAnsi="Cambria"/>
          <w:i/>
          <w:iCs/>
        </w:rPr>
        <w:t xml:space="preserve"> P. pseudosyringae </w:t>
      </w:r>
      <w:r>
        <w:rPr>
          <w:rFonts w:ascii="Cambria" w:hAnsi="Cambria"/>
        </w:rPr>
        <w:t xml:space="preserve">and </w:t>
      </w:r>
      <w:r>
        <w:rPr>
          <w:rFonts w:ascii="Cambria" w:hAnsi="Cambria"/>
          <w:i/>
          <w:iCs/>
        </w:rPr>
        <w:t>P. ramorum</w:t>
      </w:r>
      <w:r>
        <w:rPr>
          <w:rFonts w:ascii="Cambria" w:hAnsi="Cambria"/>
        </w:rPr>
        <w:t>) that are absent from Australia.</w:t>
      </w:r>
    </w:p>
    <w:p w:rsidR="00C74066" w:rsidRDefault="00F10705">
      <w:pPr>
        <w:spacing w:before="200"/>
        <w:rPr>
          <w:rFonts w:ascii="Cambria" w:hAnsi="Cambria"/>
        </w:rPr>
      </w:pPr>
      <w:r>
        <w:rPr>
          <w:rFonts w:ascii="Cambria" w:hAnsi="Cambria"/>
        </w:rPr>
        <w:t xml:space="preserve">This pest risk analysis was initiated as a basis for a review and possible revision of the current phytosanitary regulations to import hosts of </w:t>
      </w:r>
      <w:r>
        <w:rPr>
          <w:rFonts w:ascii="Cambria" w:hAnsi="Cambria"/>
          <w:i/>
          <w:iCs/>
        </w:rPr>
        <w:t>P</w:t>
      </w:r>
      <w:r w:rsidR="008452DE">
        <w:rPr>
          <w:rFonts w:ascii="Cambria" w:hAnsi="Cambria"/>
          <w:i/>
          <w:iCs/>
        </w:rPr>
        <w:t>.</w:t>
      </w:r>
      <w:r>
        <w:rPr>
          <w:rFonts w:ascii="Cambria" w:hAnsi="Cambria"/>
          <w:i/>
          <w:iCs/>
        </w:rPr>
        <w:t xml:space="preserve"> ramorum</w:t>
      </w:r>
      <w:r>
        <w:rPr>
          <w:rFonts w:ascii="Cambria" w:hAnsi="Cambria"/>
        </w:rPr>
        <w:t xml:space="preserve">. Since 2002, </w:t>
      </w:r>
      <w:r>
        <w:rPr>
          <w:rFonts w:ascii="Cambria" w:hAnsi="Cambria"/>
          <w:i/>
          <w:iCs/>
        </w:rPr>
        <w:t xml:space="preserve">P. ramorum </w:t>
      </w:r>
      <w:r>
        <w:rPr>
          <w:rFonts w:ascii="Cambria" w:hAnsi="Cambria"/>
        </w:rPr>
        <w:t xml:space="preserve">has been treated as a quarantine pest and is regulated on propagative material entering Australia. However, considerable research on </w:t>
      </w:r>
      <w:r>
        <w:rPr>
          <w:rFonts w:ascii="Cambria" w:hAnsi="Cambria"/>
          <w:i/>
          <w:iCs/>
        </w:rPr>
        <w:t xml:space="preserve">P. ramorum </w:t>
      </w:r>
      <w:r>
        <w:rPr>
          <w:rFonts w:ascii="Cambria" w:hAnsi="Cambria"/>
        </w:rPr>
        <w:t>has provided substantial new knowledge about the pathogen during the past decade. The PRA take</w:t>
      </w:r>
      <w:r w:rsidR="00A964EB">
        <w:rPr>
          <w:rFonts w:ascii="Cambria" w:hAnsi="Cambria"/>
        </w:rPr>
        <w:t>s</w:t>
      </w:r>
      <w:r>
        <w:rPr>
          <w:rFonts w:ascii="Cambria" w:hAnsi="Cambria"/>
        </w:rPr>
        <w:t xml:space="preserve"> into account newly published information in the review of Australian emergency phytosanitary measures for </w:t>
      </w:r>
      <w:r>
        <w:rPr>
          <w:rFonts w:ascii="Cambria" w:hAnsi="Cambria"/>
          <w:i/>
          <w:iCs/>
        </w:rPr>
        <w:t>P. ramorum</w:t>
      </w:r>
      <w:r>
        <w:rPr>
          <w:rFonts w:ascii="Cambria" w:hAnsi="Cambria"/>
        </w:rPr>
        <w:t>.</w:t>
      </w:r>
    </w:p>
    <w:p w:rsidR="00C74066" w:rsidRDefault="00F10705">
      <w:pPr>
        <w:spacing w:before="200"/>
        <w:rPr>
          <w:rFonts w:ascii="Cambria" w:hAnsi="Cambria"/>
        </w:rPr>
      </w:pPr>
      <w:r>
        <w:rPr>
          <w:rFonts w:ascii="Cambria" w:hAnsi="Cambria"/>
        </w:rPr>
        <w:t xml:space="preserve">Since the description of </w:t>
      </w:r>
      <w:r>
        <w:rPr>
          <w:rFonts w:ascii="Cambria" w:hAnsi="Cambria"/>
          <w:i/>
          <w:iCs/>
        </w:rPr>
        <w:t xml:space="preserve">Phytophthora ramorum </w:t>
      </w:r>
      <w:r>
        <w:rPr>
          <w:rFonts w:ascii="Cambria" w:hAnsi="Cambria"/>
        </w:rPr>
        <w:t xml:space="preserve">in 2001 (Werres </w:t>
      </w:r>
      <w:r>
        <w:rPr>
          <w:rFonts w:ascii="Cambria" w:hAnsi="Cambria"/>
          <w:iCs/>
        </w:rPr>
        <w:t>et al.</w:t>
      </w:r>
      <w:r>
        <w:rPr>
          <w:rFonts w:ascii="Cambria" w:hAnsi="Cambria"/>
        </w:rPr>
        <w:t xml:space="preserve"> 2001; Rizzo </w:t>
      </w:r>
      <w:r>
        <w:rPr>
          <w:rFonts w:ascii="Cambria" w:hAnsi="Cambria"/>
          <w:iCs/>
        </w:rPr>
        <w:t>et al.</w:t>
      </w:r>
      <w:r>
        <w:rPr>
          <w:rFonts w:ascii="Cambria" w:hAnsi="Cambria"/>
        </w:rPr>
        <w:t xml:space="preserve"> 2002b), several other aerially dispersed </w:t>
      </w:r>
      <w:r>
        <w:rPr>
          <w:rFonts w:ascii="Cambria" w:hAnsi="Cambria"/>
          <w:i/>
          <w:iCs/>
        </w:rPr>
        <w:t xml:space="preserve">Phytophthora </w:t>
      </w:r>
      <w:r>
        <w:rPr>
          <w:rFonts w:ascii="Cambria" w:hAnsi="Cambria"/>
        </w:rPr>
        <w:t xml:space="preserve">species, including </w:t>
      </w:r>
      <w:r>
        <w:rPr>
          <w:rFonts w:ascii="Cambria" w:hAnsi="Cambria"/>
          <w:i/>
          <w:iCs/>
        </w:rPr>
        <w:t xml:space="preserve">P. kernoviae, P. nemorosa </w:t>
      </w:r>
      <w:r>
        <w:rPr>
          <w:rFonts w:ascii="Cambria" w:hAnsi="Cambria"/>
        </w:rPr>
        <w:t xml:space="preserve">and </w:t>
      </w:r>
      <w:r>
        <w:rPr>
          <w:rFonts w:ascii="Cambria" w:hAnsi="Cambria"/>
          <w:i/>
          <w:iCs/>
        </w:rPr>
        <w:t>P. pseudosyringae</w:t>
      </w:r>
      <w:r>
        <w:rPr>
          <w:rFonts w:ascii="Cambria" w:hAnsi="Cambria"/>
        </w:rPr>
        <w:t xml:space="preserve">, with similar host ranges and geographic distributions to </w:t>
      </w:r>
      <w:r>
        <w:rPr>
          <w:rFonts w:ascii="Cambria" w:hAnsi="Cambria"/>
          <w:i/>
          <w:iCs/>
        </w:rPr>
        <w:t xml:space="preserve">P. ramorum </w:t>
      </w:r>
      <w:r>
        <w:rPr>
          <w:rFonts w:ascii="Cambria" w:hAnsi="Cambria"/>
        </w:rPr>
        <w:t>have been identified and are included in this PRA.</w:t>
      </w:r>
    </w:p>
    <w:p w:rsidR="00C74066" w:rsidRDefault="00F10705">
      <w:pPr>
        <w:spacing w:before="200"/>
        <w:rPr>
          <w:rFonts w:ascii="Cambria" w:hAnsi="Cambria"/>
        </w:rPr>
      </w:pPr>
      <w:r>
        <w:rPr>
          <w:rFonts w:ascii="Cambria" w:hAnsi="Cambria"/>
        </w:rPr>
        <w:t xml:space="preserve">In the context of this assessment, </w:t>
      </w:r>
      <w:r>
        <w:rPr>
          <w:rFonts w:ascii="Cambria" w:hAnsi="Cambria"/>
          <w:i/>
          <w:iCs/>
        </w:rPr>
        <w:t>Phytophthora</w:t>
      </w:r>
      <w:r>
        <w:rPr>
          <w:rFonts w:ascii="Cambria" w:hAnsi="Cambria"/>
        </w:rPr>
        <w:t xml:space="preserve"> species host propagative material (including</w:t>
      </w:r>
      <w:r w:rsidR="005277FA">
        <w:rPr>
          <w:rFonts w:ascii="Cambria" w:hAnsi="Cambria"/>
        </w:rPr>
        <w:t xml:space="preserve"> tissue cultures,</w:t>
      </w:r>
      <w:r>
        <w:rPr>
          <w:rFonts w:ascii="Cambria" w:hAnsi="Cambria"/>
        </w:rPr>
        <w:t xml:space="preserve"> </w:t>
      </w:r>
      <w:r w:rsidR="00C757DB">
        <w:rPr>
          <w:rFonts w:ascii="Cambria" w:hAnsi="Cambria"/>
        </w:rPr>
        <w:t>bare-rooted plants</w:t>
      </w:r>
      <w:r>
        <w:rPr>
          <w:rFonts w:ascii="Cambria" w:hAnsi="Cambria"/>
        </w:rPr>
        <w:t xml:space="preserve">, </w:t>
      </w:r>
      <w:r w:rsidR="00C757DB">
        <w:rPr>
          <w:rFonts w:ascii="Cambria" w:hAnsi="Cambria"/>
        </w:rPr>
        <w:t xml:space="preserve">dormant </w:t>
      </w:r>
      <w:r>
        <w:rPr>
          <w:rFonts w:ascii="Cambria" w:hAnsi="Cambria"/>
        </w:rPr>
        <w:t>cuttings</w:t>
      </w:r>
      <w:r w:rsidR="00C757DB">
        <w:rPr>
          <w:rFonts w:ascii="Cambria" w:hAnsi="Cambria"/>
        </w:rPr>
        <w:t xml:space="preserve"> and budwood</w:t>
      </w:r>
      <w:r>
        <w:rPr>
          <w:rFonts w:ascii="Cambria" w:hAnsi="Cambria"/>
        </w:rPr>
        <w:t>) is a potential import ‘pathway’ by which these</w:t>
      </w:r>
      <w:r>
        <w:rPr>
          <w:rFonts w:ascii="Cambria" w:hAnsi="Cambria"/>
          <w:i/>
          <w:iCs/>
        </w:rPr>
        <w:t xml:space="preserve"> Phytophthora</w:t>
      </w:r>
      <w:r>
        <w:rPr>
          <w:rFonts w:ascii="Cambria" w:hAnsi="Cambria"/>
        </w:rPr>
        <w:t xml:space="preserve"> species could enter Australia.</w:t>
      </w:r>
    </w:p>
    <w:p w:rsidR="00C74066" w:rsidRDefault="00F10705">
      <w:pPr>
        <w:pStyle w:val="Heading2"/>
        <w:numPr>
          <w:ilvl w:val="1"/>
          <w:numId w:val="21"/>
        </w:numPr>
        <w:tabs>
          <w:tab w:val="clear" w:pos="576"/>
        </w:tabs>
        <w:spacing w:before="200" w:after="120"/>
        <w:ind w:left="357" w:hanging="357"/>
        <w:rPr>
          <w:rFonts w:eastAsiaTheme="majorEastAsia" w:cstheme="majorBidi"/>
          <w:color w:val="773141"/>
          <w:sz w:val="28"/>
        </w:rPr>
      </w:pPr>
      <w:bookmarkStart w:id="63" w:name="_Toc434247467"/>
      <w:r>
        <w:rPr>
          <w:rFonts w:eastAsiaTheme="majorEastAsia" w:cstheme="majorBidi"/>
          <w:color w:val="773141"/>
          <w:sz w:val="28"/>
        </w:rPr>
        <w:t>Stage 2: Pest risk assessment</w:t>
      </w:r>
      <w:bookmarkEnd w:id="63"/>
    </w:p>
    <w:p w:rsidR="00C74066" w:rsidRDefault="00F10705">
      <w:pPr>
        <w:spacing w:before="200"/>
        <w:rPr>
          <w:rFonts w:ascii="Cambria" w:hAnsi="Cambria"/>
        </w:rPr>
      </w:pPr>
      <w:r>
        <w:rPr>
          <w:rFonts w:ascii="Cambria" w:hAnsi="Cambria"/>
        </w:rPr>
        <w:t>A pest risk assessment (for quarantine pests) is the ‘evaluation of the probability of the introduction and spread of a pest and the magnitude of the associated potential economic consequences’ (FAO 2015). The pest risk assessment provides technical justification for identifying quarantine pests and for establishing phytosanitary import requirements.</w:t>
      </w:r>
    </w:p>
    <w:p w:rsidR="00C74066" w:rsidRDefault="00F10705">
      <w:pPr>
        <w:spacing w:before="200"/>
        <w:rPr>
          <w:rFonts w:ascii="Cambria" w:hAnsi="Cambria"/>
        </w:rPr>
      </w:pPr>
      <w:r>
        <w:rPr>
          <w:rFonts w:ascii="Cambria" w:hAnsi="Cambria"/>
        </w:rPr>
        <w:t>The following three consecutive steps were used in the pest risk assessment:</w:t>
      </w:r>
    </w:p>
    <w:p w:rsidR="00C74066" w:rsidRDefault="00F10705">
      <w:pPr>
        <w:pStyle w:val="ListBullet"/>
        <w:tabs>
          <w:tab w:val="clear" w:pos="360"/>
          <w:tab w:val="num" w:pos="284"/>
        </w:tabs>
        <w:ind w:left="284" w:hanging="284"/>
        <w:rPr>
          <w:rFonts w:ascii="Cambria" w:hAnsi="Cambria"/>
        </w:rPr>
      </w:pPr>
      <w:r>
        <w:rPr>
          <w:rFonts w:ascii="Cambria" w:hAnsi="Cambria"/>
        </w:rPr>
        <w:t>pest categorisation;</w:t>
      </w:r>
    </w:p>
    <w:p w:rsidR="00C74066" w:rsidRDefault="00F10705">
      <w:pPr>
        <w:pStyle w:val="ListBullet"/>
        <w:tabs>
          <w:tab w:val="clear" w:pos="360"/>
          <w:tab w:val="num" w:pos="284"/>
        </w:tabs>
        <w:ind w:left="284" w:hanging="284"/>
        <w:rPr>
          <w:rFonts w:ascii="Cambria" w:hAnsi="Cambria"/>
        </w:rPr>
      </w:pPr>
      <w:r>
        <w:rPr>
          <w:rFonts w:ascii="Cambria" w:hAnsi="Cambria"/>
        </w:rPr>
        <w:t>assessment of the probability of entry, establishment and spread; and</w:t>
      </w:r>
    </w:p>
    <w:p w:rsidR="00C74066" w:rsidRDefault="00F10705">
      <w:pPr>
        <w:pStyle w:val="ListBullet"/>
        <w:tabs>
          <w:tab w:val="clear" w:pos="360"/>
          <w:tab w:val="num" w:pos="284"/>
        </w:tabs>
        <w:ind w:left="284" w:hanging="284"/>
        <w:rPr>
          <w:rFonts w:ascii="Cambria" w:hAnsi="Cambria"/>
        </w:rPr>
      </w:pPr>
      <w:r>
        <w:rPr>
          <w:rFonts w:ascii="Cambria" w:hAnsi="Cambria"/>
        </w:rPr>
        <w:lastRenderedPageBreak/>
        <w:t>assessment of potential consequences.</w:t>
      </w:r>
    </w:p>
    <w:p w:rsidR="00C74066" w:rsidRDefault="00F10705">
      <w:pPr>
        <w:pStyle w:val="Heading3"/>
        <w:keepLines/>
        <w:numPr>
          <w:ilvl w:val="2"/>
          <w:numId w:val="21"/>
        </w:numPr>
        <w:tabs>
          <w:tab w:val="clear" w:pos="720"/>
        </w:tabs>
        <w:spacing w:before="120" w:after="200"/>
        <w:ind w:left="357" w:hanging="357"/>
        <w:rPr>
          <w:rFonts w:ascii="Calibri" w:hAnsi="Calibri" w:cstheme="minorBidi"/>
          <w:sz w:val="24"/>
          <w:szCs w:val="22"/>
        </w:rPr>
      </w:pPr>
      <w:r>
        <w:rPr>
          <w:rFonts w:ascii="Calibri" w:hAnsi="Calibri" w:cstheme="minorBidi"/>
          <w:sz w:val="24"/>
          <w:szCs w:val="22"/>
        </w:rPr>
        <w:t>Pest categorisation</w:t>
      </w:r>
    </w:p>
    <w:p w:rsidR="00C74066" w:rsidRDefault="00F10705">
      <w:pPr>
        <w:spacing w:before="200"/>
        <w:rPr>
          <w:rFonts w:ascii="Cambria" w:hAnsi="Cambria"/>
        </w:rPr>
      </w:pPr>
      <w:r>
        <w:rPr>
          <w:rFonts w:ascii="Cambria" w:hAnsi="Cambria"/>
        </w:rPr>
        <w:t>Pest categorisation identifies which of the pests with the potential to be on the commodity are quarantine pests for Australia and require a pest risk assessment. A ‘quarantine pest’ is a pest of potential economic importance to the area endangered thereby and not yet present there, or present but not widely distributed and being officially controlled (FAO 2015).</w:t>
      </w:r>
    </w:p>
    <w:p w:rsidR="00C74066" w:rsidRDefault="00F10705">
      <w:pPr>
        <w:spacing w:before="200"/>
        <w:rPr>
          <w:rFonts w:ascii="Cambria" w:hAnsi="Cambria"/>
        </w:rPr>
      </w:pPr>
      <w:r>
        <w:rPr>
          <w:rFonts w:ascii="Cambria" w:hAnsi="Cambria"/>
        </w:rPr>
        <w:t>The process of a pest categorisation is summarised by ISPM 11 (FAO 2013) as a screening procedure based on the following criteria:</w:t>
      </w:r>
    </w:p>
    <w:p w:rsidR="00C74066" w:rsidRDefault="00F10705">
      <w:pPr>
        <w:pStyle w:val="ListBullet"/>
        <w:tabs>
          <w:tab w:val="clear" w:pos="360"/>
          <w:tab w:val="num" w:pos="284"/>
        </w:tabs>
        <w:ind w:left="284" w:hanging="284"/>
        <w:rPr>
          <w:rFonts w:ascii="Cambria" w:hAnsi="Cambria"/>
        </w:rPr>
      </w:pPr>
      <w:r>
        <w:rPr>
          <w:rFonts w:ascii="Cambria" w:hAnsi="Cambria"/>
        </w:rPr>
        <w:t>identity of the pest;</w:t>
      </w:r>
    </w:p>
    <w:p w:rsidR="00C74066" w:rsidRDefault="00F10705">
      <w:pPr>
        <w:pStyle w:val="ListBullet"/>
        <w:tabs>
          <w:tab w:val="clear" w:pos="360"/>
          <w:tab w:val="num" w:pos="284"/>
        </w:tabs>
        <w:ind w:left="284" w:hanging="284"/>
        <w:rPr>
          <w:rFonts w:ascii="Cambria" w:hAnsi="Cambria"/>
        </w:rPr>
      </w:pPr>
      <w:r>
        <w:rPr>
          <w:rFonts w:ascii="Cambria" w:hAnsi="Cambria"/>
        </w:rPr>
        <w:t>presence or absence in the PRA area;</w:t>
      </w:r>
    </w:p>
    <w:p w:rsidR="00C74066" w:rsidRDefault="00F10705">
      <w:pPr>
        <w:pStyle w:val="ListBullet"/>
        <w:tabs>
          <w:tab w:val="clear" w:pos="360"/>
          <w:tab w:val="num" w:pos="284"/>
        </w:tabs>
        <w:ind w:left="284" w:hanging="284"/>
        <w:rPr>
          <w:rFonts w:ascii="Cambria" w:hAnsi="Cambria"/>
        </w:rPr>
      </w:pPr>
      <w:r>
        <w:rPr>
          <w:rFonts w:ascii="Cambria" w:hAnsi="Cambria"/>
        </w:rPr>
        <w:t>regulatory status;</w:t>
      </w:r>
    </w:p>
    <w:p w:rsidR="00C74066" w:rsidRDefault="00F10705">
      <w:pPr>
        <w:pStyle w:val="ListBullet"/>
        <w:tabs>
          <w:tab w:val="clear" w:pos="360"/>
          <w:tab w:val="num" w:pos="284"/>
        </w:tabs>
        <w:ind w:left="284" w:hanging="284"/>
        <w:rPr>
          <w:rFonts w:ascii="Cambria" w:hAnsi="Cambria"/>
        </w:rPr>
      </w:pPr>
      <w:r>
        <w:rPr>
          <w:rFonts w:ascii="Cambria" w:hAnsi="Cambria"/>
        </w:rPr>
        <w:t xml:space="preserve">potential for establishment and spread in the PRA area; and </w:t>
      </w:r>
    </w:p>
    <w:p w:rsidR="00C74066" w:rsidRDefault="00F10705">
      <w:pPr>
        <w:pStyle w:val="ListBullet"/>
        <w:tabs>
          <w:tab w:val="clear" w:pos="360"/>
          <w:tab w:val="num" w:pos="284"/>
        </w:tabs>
        <w:ind w:left="284" w:hanging="284"/>
        <w:rPr>
          <w:rFonts w:ascii="Cambria" w:hAnsi="Cambria"/>
        </w:rPr>
      </w:pPr>
      <w:r>
        <w:rPr>
          <w:rFonts w:ascii="Cambria" w:hAnsi="Cambria"/>
        </w:rPr>
        <w:t>potential for economic consequences (including environmental consequences) in the PRA area.</w:t>
      </w:r>
    </w:p>
    <w:p w:rsidR="00C74066" w:rsidRDefault="00F10705">
      <w:pPr>
        <w:pStyle w:val="Heading3"/>
        <w:keepLines/>
        <w:numPr>
          <w:ilvl w:val="2"/>
          <w:numId w:val="21"/>
        </w:numPr>
        <w:tabs>
          <w:tab w:val="clear" w:pos="720"/>
        </w:tabs>
        <w:spacing w:before="120" w:after="200"/>
        <w:ind w:left="357" w:hanging="357"/>
        <w:rPr>
          <w:rFonts w:ascii="Calibri" w:hAnsi="Calibri" w:cstheme="minorBidi"/>
          <w:sz w:val="24"/>
          <w:szCs w:val="22"/>
        </w:rPr>
      </w:pPr>
      <w:r>
        <w:rPr>
          <w:rFonts w:ascii="Calibri" w:hAnsi="Calibri" w:cstheme="minorBidi"/>
          <w:sz w:val="24"/>
          <w:szCs w:val="22"/>
        </w:rPr>
        <w:t>Assessment of the probability of entry, establishment and spread</w:t>
      </w:r>
    </w:p>
    <w:p w:rsidR="00C74066" w:rsidRDefault="00F10705">
      <w:pPr>
        <w:spacing w:before="200"/>
        <w:rPr>
          <w:rFonts w:ascii="Cambria" w:hAnsi="Cambria"/>
        </w:rPr>
      </w:pPr>
      <w:r>
        <w:rPr>
          <w:rFonts w:ascii="Cambria" w:hAnsi="Cambria"/>
        </w:rPr>
        <w:t>Details of how to assess the ‘probability of entry’, ‘probability of establishment’ and ‘probability of spread’ of a pest are given in ISPM 11 (FAO 2013). A summary of this process is given below, followed by a description of the qualitative methodology used in this PRA.</w:t>
      </w:r>
    </w:p>
    <w:p w:rsidR="00C74066" w:rsidRDefault="00F10705">
      <w:pPr>
        <w:pStyle w:val="Heading4"/>
        <w:spacing w:before="120"/>
      </w:pPr>
      <w:r>
        <w:t>Probability of entry</w:t>
      </w:r>
    </w:p>
    <w:p w:rsidR="00C74066" w:rsidRDefault="00F10705">
      <w:pPr>
        <w:spacing w:before="200"/>
        <w:rPr>
          <w:rFonts w:ascii="Cambria" w:hAnsi="Cambria"/>
        </w:rPr>
      </w:pPr>
      <w:r>
        <w:rPr>
          <w:rFonts w:ascii="Cambria" w:hAnsi="Cambria"/>
        </w:rPr>
        <w:t>The probability of entry describes the probability that a quarantine pest will enter Australia as a result of trade in a given commodity, be distributed in a viable state in the PRA area and subsequently be transferred to a host. Assessing the probability of entry requires an analysis of each of the pathways with which a pest may be associated, from its origin to its distribution in the PRA area.</w:t>
      </w:r>
    </w:p>
    <w:p w:rsidR="00C74066" w:rsidRDefault="00F10705">
      <w:pPr>
        <w:spacing w:before="200"/>
        <w:rPr>
          <w:rFonts w:ascii="Cambria" w:hAnsi="Cambria"/>
        </w:rPr>
      </w:pPr>
      <w:r>
        <w:rPr>
          <w:rFonts w:ascii="Cambria" w:hAnsi="Cambria"/>
        </w:rPr>
        <w:t>For the purpose of considering the probability of entry, the department divides this step into two components:</w:t>
      </w:r>
    </w:p>
    <w:p w:rsidR="00C74066" w:rsidRDefault="00F10705">
      <w:pPr>
        <w:pStyle w:val="ListBullet"/>
        <w:tabs>
          <w:tab w:val="clear" w:pos="360"/>
          <w:tab w:val="num" w:pos="284"/>
        </w:tabs>
        <w:ind w:left="284" w:hanging="284"/>
        <w:rPr>
          <w:rFonts w:ascii="Cambria" w:hAnsi="Cambria"/>
        </w:rPr>
      </w:pPr>
      <w:r>
        <w:rPr>
          <w:rFonts w:ascii="Cambria" w:hAnsi="Cambria"/>
          <w:b/>
        </w:rPr>
        <w:t>Probability of importation</w:t>
      </w:r>
      <w:r>
        <w:rPr>
          <w:rFonts w:ascii="Cambria" w:hAnsi="Cambria"/>
        </w:rPr>
        <w:t>: the probability that a pest will arrive in Australia when a given commodity is imported; and</w:t>
      </w:r>
    </w:p>
    <w:p w:rsidR="00C74066" w:rsidRDefault="00F10705">
      <w:pPr>
        <w:pStyle w:val="ListBullet"/>
        <w:tabs>
          <w:tab w:val="clear" w:pos="360"/>
          <w:tab w:val="num" w:pos="284"/>
        </w:tabs>
        <w:ind w:left="284" w:hanging="284"/>
        <w:rPr>
          <w:rFonts w:ascii="Cambria" w:hAnsi="Cambria"/>
        </w:rPr>
      </w:pPr>
      <w:r>
        <w:rPr>
          <w:rFonts w:ascii="Cambria" w:hAnsi="Cambria"/>
          <w:b/>
        </w:rPr>
        <w:t>Probability of distribution</w:t>
      </w:r>
      <w:r>
        <w:rPr>
          <w:rFonts w:ascii="Cambria" w:hAnsi="Cambria"/>
        </w:rPr>
        <w:t>: the probability that the pest will be distributed, as a result of the processing, sale or disposal of the commodity, in the PRA area and subsequently transfer to a susceptible host.</w:t>
      </w:r>
    </w:p>
    <w:p w:rsidR="00C74066" w:rsidRDefault="00F10705">
      <w:pPr>
        <w:spacing w:before="200"/>
        <w:rPr>
          <w:rFonts w:ascii="Cambria" w:hAnsi="Cambria"/>
        </w:rPr>
      </w:pPr>
      <w:r>
        <w:rPr>
          <w:rFonts w:ascii="Cambria" w:hAnsi="Cambria"/>
        </w:rPr>
        <w:t>Factors considered in the probability of importation include the:</w:t>
      </w:r>
    </w:p>
    <w:p w:rsidR="00C74066" w:rsidRDefault="00F10705">
      <w:pPr>
        <w:pStyle w:val="ListBullet"/>
        <w:tabs>
          <w:tab w:val="clear" w:pos="360"/>
          <w:tab w:val="num" w:pos="284"/>
        </w:tabs>
        <w:ind w:left="284" w:hanging="284"/>
        <w:rPr>
          <w:rFonts w:ascii="Cambria" w:hAnsi="Cambria"/>
        </w:rPr>
      </w:pPr>
      <w:r>
        <w:rPr>
          <w:rFonts w:ascii="Cambria" w:hAnsi="Cambria"/>
        </w:rPr>
        <w:t>distribution and incidence of the pest in the source area;</w:t>
      </w:r>
    </w:p>
    <w:p w:rsidR="00C74066" w:rsidRDefault="00F10705">
      <w:pPr>
        <w:pStyle w:val="ListBullet"/>
        <w:tabs>
          <w:tab w:val="clear" w:pos="360"/>
          <w:tab w:val="num" w:pos="284"/>
        </w:tabs>
        <w:ind w:left="284" w:hanging="284"/>
        <w:rPr>
          <w:rFonts w:ascii="Cambria" w:hAnsi="Cambria"/>
        </w:rPr>
      </w:pPr>
      <w:r>
        <w:rPr>
          <w:rFonts w:ascii="Cambria" w:hAnsi="Cambria"/>
        </w:rPr>
        <w:t>occurrence of the pest in a life-stage that would be associated with the commodity;</w:t>
      </w:r>
    </w:p>
    <w:p w:rsidR="00C74066" w:rsidRDefault="00F10705">
      <w:pPr>
        <w:pStyle w:val="ListBullet"/>
        <w:tabs>
          <w:tab w:val="clear" w:pos="360"/>
          <w:tab w:val="num" w:pos="284"/>
        </w:tabs>
        <w:ind w:left="284" w:hanging="284"/>
        <w:rPr>
          <w:rFonts w:ascii="Cambria" w:hAnsi="Cambria"/>
        </w:rPr>
      </w:pPr>
      <w:r>
        <w:rPr>
          <w:rFonts w:ascii="Cambria" w:hAnsi="Cambria"/>
        </w:rPr>
        <w:t>mode of trade (for example, bulk, packed);</w:t>
      </w:r>
    </w:p>
    <w:p w:rsidR="00C74066" w:rsidRDefault="00F10705">
      <w:pPr>
        <w:pStyle w:val="ListBullet"/>
        <w:tabs>
          <w:tab w:val="clear" w:pos="360"/>
          <w:tab w:val="num" w:pos="284"/>
        </w:tabs>
        <w:ind w:left="284" w:hanging="284"/>
        <w:rPr>
          <w:rFonts w:ascii="Cambria" w:hAnsi="Cambria"/>
        </w:rPr>
      </w:pPr>
      <w:r>
        <w:rPr>
          <w:rFonts w:ascii="Cambria" w:hAnsi="Cambria"/>
        </w:rPr>
        <w:lastRenderedPageBreak/>
        <w:t>volume and frequency of movement of the commodity along each pathway;</w:t>
      </w:r>
    </w:p>
    <w:p w:rsidR="00C74066" w:rsidRDefault="00F10705">
      <w:pPr>
        <w:pStyle w:val="ListBullet"/>
        <w:tabs>
          <w:tab w:val="clear" w:pos="360"/>
          <w:tab w:val="num" w:pos="284"/>
        </w:tabs>
        <w:ind w:left="284" w:hanging="284"/>
        <w:rPr>
          <w:rFonts w:ascii="Cambria" w:hAnsi="Cambria"/>
        </w:rPr>
      </w:pPr>
      <w:r>
        <w:rPr>
          <w:rFonts w:ascii="Cambria" w:hAnsi="Cambria"/>
        </w:rPr>
        <w:t>seasonal timing of imports;</w:t>
      </w:r>
    </w:p>
    <w:p w:rsidR="00C74066" w:rsidRDefault="00F10705">
      <w:pPr>
        <w:pStyle w:val="ListBullet"/>
        <w:tabs>
          <w:tab w:val="clear" w:pos="360"/>
          <w:tab w:val="num" w:pos="284"/>
        </w:tabs>
        <w:ind w:left="284" w:hanging="284"/>
        <w:rPr>
          <w:rFonts w:ascii="Cambria" w:hAnsi="Cambria"/>
        </w:rPr>
      </w:pPr>
      <w:r>
        <w:rPr>
          <w:rFonts w:ascii="Cambria" w:hAnsi="Cambria"/>
        </w:rPr>
        <w:t>pest management, cultural and commercial procedures applied at the place of origin;</w:t>
      </w:r>
    </w:p>
    <w:p w:rsidR="00C74066" w:rsidRDefault="00F10705">
      <w:pPr>
        <w:pStyle w:val="ListBullet"/>
        <w:tabs>
          <w:tab w:val="clear" w:pos="360"/>
          <w:tab w:val="num" w:pos="284"/>
        </w:tabs>
        <w:ind w:left="284" w:hanging="284"/>
        <w:rPr>
          <w:rFonts w:ascii="Cambria" w:hAnsi="Cambria"/>
        </w:rPr>
      </w:pPr>
      <w:r>
        <w:rPr>
          <w:rFonts w:ascii="Cambria" w:hAnsi="Cambria"/>
        </w:rPr>
        <w:t>speed of transport and conditions of storage compared with the duration of the lifecycle of the pest;</w:t>
      </w:r>
    </w:p>
    <w:p w:rsidR="00C74066" w:rsidRDefault="00F10705">
      <w:pPr>
        <w:pStyle w:val="ListBullet"/>
        <w:tabs>
          <w:tab w:val="clear" w:pos="360"/>
          <w:tab w:val="num" w:pos="284"/>
        </w:tabs>
        <w:ind w:left="284" w:hanging="284"/>
        <w:rPr>
          <w:rFonts w:ascii="Cambria" w:hAnsi="Cambria"/>
        </w:rPr>
      </w:pPr>
      <w:r>
        <w:rPr>
          <w:rFonts w:ascii="Cambria" w:hAnsi="Cambria"/>
        </w:rPr>
        <w:t>vulnerability of the life-stages of the pest during transport or storage;</w:t>
      </w:r>
    </w:p>
    <w:p w:rsidR="00C74066" w:rsidRDefault="00F10705">
      <w:pPr>
        <w:pStyle w:val="ListBullet"/>
        <w:tabs>
          <w:tab w:val="clear" w:pos="360"/>
          <w:tab w:val="num" w:pos="284"/>
        </w:tabs>
        <w:ind w:left="284" w:hanging="284"/>
        <w:rPr>
          <w:rFonts w:ascii="Cambria" w:hAnsi="Cambria"/>
        </w:rPr>
      </w:pPr>
      <w:r>
        <w:rPr>
          <w:rFonts w:ascii="Cambria" w:hAnsi="Cambria"/>
        </w:rPr>
        <w:t>incidence of the pest likely to be associated with a consignment; and</w:t>
      </w:r>
    </w:p>
    <w:p w:rsidR="00C74066" w:rsidRDefault="00F10705">
      <w:pPr>
        <w:pStyle w:val="ListBullet"/>
        <w:tabs>
          <w:tab w:val="clear" w:pos="360"/>
          <w:tab w:val="num" w:pos="284"/>
        </w:tabs>
        <w:ind w:left="284" w:hanging="284"/>
        <w:rPr>
          <w:rFonts w:ascii="Cambria" w:hAnsi="Cambria"/>
        </w:rPr>
      </w:pPr>
      <w:r>
        <w:rPr>
          <w:rFonts w:ascii="Cambria" w:hAnsi="Cambria"/>
        </w:rPr>
        <w:t>commercial procedures (for example, refrigeration) applied to consignments during transport and storage in the country of origin, and during transport to Australia.</w:t>
      </w:r>
    </w:p>
    <w:p w:rsidR="00C74066" w:rsidRDefault="00F10705">
      <w:pPr>
        <w:spacing w:before="200"/>
        <w:rPr>
          <w:rFonts w:ascii="Cambria" w:hAnsi="Cambria"/>
        </w:rPr>
      </w:pPr>
      <w:r>
        <w:rPr>
          <w:rFonts w:ascii="Cambria" w:hAnsi="Cambria"/>
        </w:rPr>
        <w:t>Factors considered in the probability of distribution include the:</w:t>
      </w:r>
    </w:p>
    <w:p w:rsidR="00C74066" w:rsidRDefault="00F10705">
      <w:pPr>
        <w:pStyle w:val="ListBullet"/>
        <w:tabs>
          <w:tab w:val="clear" w:pos="360"/>
          <w:tab w:val="num" w:pos="284"/>
        </w:tabs>
        <w:spacing w:line="264" w:lineRule="auto"/>
        <w:ind w:left="284" w:hanging="284"/>
        <w:rPr>
          <w:rFonts w:ascii="Cambria" w:hAnsi="Cambria"/>
        </w:rPr>
      </w:pPr>
      <w:r>
        <w:rPr>
          <w:rFonts w:ascii="Cambria" w:hAnsi="Cambria"/>
        </w:rPr>
        <w:t>commercial procedures (for example, refrigeration) applied to consignments during distribution in Australia;</w:t>
      </w:r>
    </w:p>
    <w:p w:rsidR="00C74066" w:rsidRDefault="00F10705">
      <w:pPr>
        <w:pStyle w:val="ListBullet"/>
        <w:tabs>
          <w:tab w:val="clear" w:pos="360"/>
          <w:tab w:val="num" w:pos="284"/>
        </w:tabs>
        <w:spacing w:line="264" w:lineRule="auto"/>
        <w:ind w:left="284" w:hanging="284"/>
        <w:rPr>
          <w:rFonts w:ascii="Cambria" w:hAnsi="Cambria"/>
        </w:rPr>
      </w:pPr>
      <w:r>
        <w:rPr>
          <w:rFonts w:ascii="Cambria" w:hAnsi="Cambria"/>
        </w:rPr>
        <w:t>dispersal mechanisms of the pest, including vectors, to allow movement from the pathway to a host;</w:t>
      </w:r>
    </w:p>
    <w:p w:rsidR="00C74066" w:rsidRDefault="00F10705">
      <w:pPr>
        <w:pStyle w:val="ListBullet"/>
        <w:tabs>
          <w:tab w:val="clear" w:pos="360"/>
          <w:tab w:val="num" w:pos="284"/>
        </w:tabs>
        <w:spacing w:line="264" w:lineRule="auto"/>
        <w:ind w:left="284" w:hanging="284"/>
        <w:rPr>
          <w:rFonts w:ascii="Cambria" w:hAnsi="Cambria"/>
        </w:rPr>
      </w:pPr>
      <w:r>
        <w:rPr>
          <w:rFonts w:ascii="Cambria" w:hAnsi="Cambria"/>
        </w:rPr>
        <w:t>whether the imported commodity is to be sent to a few or many destination points in the PRA area;</w:t>
      </w:r>
    </w:p>
    <w:p w:rsidR="00C74066" w:rsidRDefault="00F10705">
      <w:pPr>
        <w:pStyle w:val="ListBullet"/>
        <w:tabs>
          <w:tab w:val="clear" w:pos="360"/>
          <w:tab w:val="num" w:pos="284"/>
        </w:tabs>
        <w:spacing w:line="264" w:lineRule="auto"/>
        <w:ind w:left="284" w:hanging="284"/>
        <w:rPr>
          <w:rFonts w:ascii="Cambria" w:hAnsi="Cambria"/>
        </w:rPr>
      </w:pPr>
      <w:r>
        <w:rPr>
          <w:rFonts w:ascii="Cambria" w:hAnsi="Cambria"/>
        </w:rPr>
        <w:t>proximity of entry, transit and destination points to hosts;</w:t>
      </w:r>
    </w:p>
    <w:p w:rsidR="00C74066" w:rsidRDefault="00F10705">
      <w:pPr>
        <w:pStyle w:val="ListBullet"/>
        <w:tabs>
          <w:tab w:val="clear" w:pos="360"/>
          <w:tab w:val="num" w:pos="284"/>
        </w:tabs>
        <w:spacing w:line="264" w:lineRule="auto"/>
        <w:ind w:left="284" w:hanging="284"/>
        <w:rPr>
          <w:rFonts w:ascii="Cambria" w:hAnsi="Cambria"/>
        </w:rPr>
      </w:pPr>
      <w:r>
        <w:rPr>
          <w:rFonts w:ascii="Cambria" w:hAnsi="Cambria"/>
        </w:rPr>
        <w:t>time of year at which importation takes place;</w:t>
      </w:r>
    </w:p>
    <w:p w:rsidR="00C74066" w:rsidRDefault="00F10705">
      <w:pPr>
        <w:pStyle w:val="ListBullet"/>
        <w:tabs>
          <w:tab w:val="clear" w:pos="360"/>
          <w:tab w:val="num" w:pos="284"/>
        </w:tabs>
        <w:spacing w:line="264" w:lineRule="auto"/>
        <w:ind w:left="284" w:hanging="284"/>
        <w:rPr>
          <w:rFonts w:ascii="Cambria" w:hAnsi="Cambria"/>
        </w:rPr>
      </w:pPr>
      <w:r>
        <w:rPr>
          <w:rFonts w:ascii="Cambria" w:hAnsi="Cambria"/>
        </w:rPr>
        <w:t>intended use of the commodity (for planting, processing or consumption); and</w:t>
      </w:r>
    </w:p>
    <w:p w:rsidR="00C74066" w:rsidRDefault="00F10705">
      <w:pPr>
        <w:pStyle w:val="ListBullet"/>
        <w:tabs>
          <w:tab w:val="clear" w:pos="360"/>
          <w:tab w:val="num" w:pos="284"/>
        </w:tabs>
        <w:ind w:left="284" w:hanging="284"/>
        <w:rPr>
          <w:rFonts w:ascii="Cambria" w:hAnsi="Cambria"/>
        </w:rPr>
      </w:pPr>
      <w:r>
        <w:rPr>
          <w:rFonts w:ascii="Cambria" w:hAnsi="Cambria"/>
        </w:rPr>
        <w:t>risks from by-products and waste.</w:t>
      </w:r>
    </w:p>
    <w:p w:rsidR="00C74066" w:rsidRDefault="00F10705">
      <w:pPr>
        <w:pStyle w:val="Heading4"/>
        <w:spacing w:before="200"/>
      </w:pPr>
      <w:r>
        <w:t>Probability of establishment</w:t>
      </w:r>
    </w:p>
    <w:p w:rsidR="00C74066" w:rsidRDefault="00F10705">
      <w:pPr>
        <w:spacing w:before="200"/>
        <w:rPr>
          <w:rFonts w:ascii="Cambria" w:hAnsi="Cambria"/>
        </w:rPr>
      </w:pPr>
      <w:r>
        <w:rPr>
          <w:rFonts w:ascii="Cambria" w:hAnsi="Cambria"/>
        </w:rPr>
        <w:t>Establishment is defined as the ‘perpetuation for the foreseeable future, of a pest within an area after entry’ (FAO 2015). In order to estimate the probability of establishment of a pest, reliable biological information (lifecycle, host range, epidemiology, and survival) is obtained from the areas where the pest currently occurs. The situation in the PRA area can then be compared with that in the areas where it currently occurs and expert judgement used to assess the probability of establishment.</w:t>
      </w:r>
    </w:p>
    <w:p w:rsidR="00C74066" w:rsidRDefault="00F10705">
      <w:pPr>
        <w:spacing w:before="200"/>
        <w:rPr>
          <w:rFonts w:ascii="Cambria" w:hAnsi="Cambria"/>
        </w:rPr>
      </w:pPr>
      <w:r>
        <w:rPr>
          <w:rFonts w:ascii="Cambria" w:hAnsi="Cambria"/>
        </w:rPr>
        <w:t>Factors considered in the probability of establishment in the PRA area include the:</w:t>
      </w:r>
    </w:p>
    <w:p w:rsidR="00C74066" w:rsidRDefault="00F10705">
      <w:pPr>
        <w:pStyle w:val="ListBullet"/>
        <w:tabs>
          <w:tab w:val="clear" w:pos="360"/>
          <w:tab w:val="num" w:pos="284"/>
        </w:tabs>
        <w:ind w:left="284" w:hanging="284"/>
        <w:rPr>
          <w:rFonts w:ascii="Cambria" w:hAnsi="Cambria"/>
        </w:rPr>
      </w:pPr>
      <w:r>
        <w:rPr>
          <w:rFonts w:ascii="Cambria" w:hAnsi="Cambria"/>
        </w:rPr>
        <w:t>availability of hosts, alternative hosts and vectors;</w:t>
      </w:r>
    </w:p>
    <w:p w:rsidR="00C74066" w:rsidRDefault="00F10705">
      <w:pPr>
        <w:pStyle w:val="ListBullet"/>
        <w:tabs>
          <w:tab w:val="clear" w:pos="360"/>
          <w:tab w:val="num" w:pos="284"/>
        </w:tabs>
        <w:ind w:left="284" w:hanging="284"/>
        <w:rPr>
          <w:rFonts w:ascii="Cambria" w:hAnsi="Cambria"/>
        </w:rPr>
      </w:pPr>
      <w:r>
        <w:rPr>
          <w:rFonts w:ascii="Cambria" w:hAnsi="Cambria"/>
        </w:rPr>
        <w:t>suitability of the environment;</w:t>
      </w:r>
    </w:p>
    <w:p w:rsidR="00C74066" w:rsidRDefault="00F10705">
      <w:pPr>
        <w:pStyle w:val="ListBullet"/>
        <w:tabs>
          <w:tab w:val="clear" w:pos="360"/>
          <w:tab w:val="num" w:pos="284"/>
        </w:tabs>
        <w:ind w:left="284" w:hanging="284"/>
        <w:rPr>
          <w:rFonts w:ascii="Cambria" w:hAnsi="Cambria"/>
        </w:rPr>
      </w:pPr>
      <w:r>
        <w:rPr>
          <w:rFonts w:ascii="Cambria" w:hAnsi="Cambria"/>
        </w:rPr>
        <w:t>reproductive strategy and potential for adaptation;</w:t>
      </w:r>
    </w:p>
    <w:p w:rsidR="00C74066" w:rsidRDefault="00F10705">
      <w:pPr>
        <w:pStyle w:val="ListBullet"/>
        <w:tabs>
          <w:tab w:val="clear" w:pos="360"/>
          <w:tab w:val="num" w:pos="284"/>
        </w:tabs>
        <w:ind w:left="284" w:hanging="284"/>
        <w:rPr>
          <w:rFonts w:ascii="Cambria" w:hAnsi="Cambria"/>
        </w:rPr>
      </w:pPr>
      <w:r>
        <w:rPr>
          <w:rFonts w:ascii="Cambria" w:hAnsi="Cambria"/>
        </w:rPr>
        <w:t>minimum population needed for establishment; and</w:t>
      </w:r>
    </w:p>
    <w:p w:rsidR="00C74066" w:rsidRDefault="00F10705" w:rsidP="00F3503E">
      <w:pPr>
        <w:pStyle w:val="ListBullet"/>
        <w:tabs>
          <w:tab w:val="clear" w:pos="360"/>
          <w:tab w:val="num" w:pos="284"/>
        </w:tabs>
        <w:spacing w:afterLines="120"/>
        <w:ind w:left="284" w:hanging="284"/>
        <w:rPr>
          <w:rFonts w:ascii="Cambria" w:hAnsi="Cambria"/>
        </w:rPr>
      </w:pPr>
      <w:r>
        <w:rPr>
          <w:rFonts w:ascii="Cambria" w:hAnsi="Cambria"/>
        </w:rPr>
        <w:t>cultural practices and control measures.</w:t>
      </w:r>
    </w:p>
    <w:p w:rsidR="00C74066" w:rsidRDefault="00F10705">
      <w:pPr>
        <w:pStyle w:val="Heading4"/>
        <w:spacing w:before="120" w:after="120"/>
      </w:pPr>
      <w:r>
        <w:lastRenderedPageBreak/>
        <w:t>Probability of spread</w:t>
      </w:r>
    </w:p>
    <w:p w:rsidR="00C74066" w:rsidRDefault="00F10705">
      <w:pPr>
        <w:spacing w:before="200"/>
        <w:rPr>
          <w:rFonts w:ascii="Cambria" w:hAnsi="Cambria"/>
        </w:rPr>
      </w:pPr>
      <w:r>
        <w:rPr>
          <w:rFonts w:ascii="Cambria" w:hAnsi="Cambria"/>
        </w:rPr>
        <w:t>Spread is defined as ‘the expansion of the geographical distribution of a pest within an area’ (FAO 2015). The probability of spread considers the factors relevant to the movement of the pest, after establishment on a host plant or plants, to other susceptible host plants of the same or different species in other areas. In order to estimate the probability of spread of the pest, reliable biological information is obtained from areas where the pest currently occurs. The situation in the PRA area is then carefully compared with that in the areas where the pest currently occurs and expert judgement is used to assess the probability of spread.</w:t>
      </w:r>
    </w:p>
    <w:p w:rsidR="00C74066" w:rsidRDefault="00F10705">
      <w:pPr>
        <w:spacing w:before="200"/>
        <w:rPr>
          <w:rFonts w:ascii="Cambria" w:hAnsi="Cambria"/>
        </w:rPr>
      </w:pPr>
      <w:r>
        <w:rPr>
          <w:rFonts w:ascii="Cambria" w:hAnsi="Cambria"/>
        </w:rPr>
        <w:t>Factors considered in the probability of spread include the:</w:t>
      </w:r>
    </w:p>
    <w:p w:rsidR="00C74066" w:rsidRDefault="00F10705">
      <w:pPr>
        <w:pStyle w:val="ListBullet"/>
        <w:tabs>
          <w:tab w:val="clear" w:pos="360"/>
          <w:tab w:val="num" w:pos="284"/>
        </w:tabs>
        <w:ind w:left="284" w:hanging="284"/>
        <w:rPr>
          <w:rFonts w:ascii="Cambria" w:hAnsi="Cambria"/>
        </w:rPr>
      </w:pPr>
      <w:r>
        <w:rPr>
          <w:rFonts w:ascii="Cambria" w:hAnsi="Cambria"/>
        </w:rPr>
        <w:t>suitability of the natural and/or managed environment for natural spread of the pest;</w:t>
      </w:r>
    </w:p>
    <w:p w:rsidR="00C74066" w:rsidRDefault="00F10705">
      <w:pPr>
        <w:pStyle w:val="ListBullet"/>
        <w:tabs>
          <w:tab w:val="clear" w:pos="360"/>
          <w:tab w:val="num" w:pos="284"/>
        </w:tabs>
        <w:ind w:left="284" w:hanging="284"/>
        <w:rPr>
          <w:rFonts w:ascii="Cambria" w:hAnsi="Cambria"/>
        </w:rPr>
      </w:pPr>
      <w:r>
        <w:rPr>
          <w:rFonts w:ascii="Cambria" w:hAnsi="Cambria"/>
        </w:rPr>
        <w:t>presence of natural barriers;</w:t>
      </w:r>
    </w:p>
    <w:p w:rsidR="00C74066" w:rsidRDefault="00F10705">
      <w:pPr>
        <w:pStyle w:val="ListBullet"/>
        <w:tabs>
          <w:tab w:val="clear" w:pos="360"/>
          <w:tab w:val="num" w:pos="284"/>
        </w:tabs>
        <w:ind w:left="284" w:hanging="284"/>
        <w:rPr>
          <w:rFonts w:ascii="Cambria" w:hAnsi="Cambria"/>
        </w:rPr>
      </w:pPr>
      <w:r>
        <w:rPr>
          <w:rFonts w:ascii="Cambria" w:hAnsi="Cambria"/>
        </w:rPr>
        <w:t>potential for movement with commodities, conveyances or by vectors;</w:t>
      </w:r>
    </w:p>
    <w:p w:rsidR="00C74066" w:rsidRDefault="00F10705">
      <w:pPr>
        <w:pStyle w:val="ListBullet"/>
        <w:tabs>
          <w:tab w:val="clear" w:pos="360"/>
          <w:tab w:val="num" w:pos="284"/>
        </w:tabs>
        <w:ind w:left="284" w:hanging="284"/>
        <w:rPr>
          <w:rFonts w:ascii="Cambria" w:hAnsi="Cambria"/>
        </w:rPr>
      </w:pPr>
      <w:r>
        <w:rPr>
          <w:rFonts w:ascii="Cambria" w:hAnsi="Cambria"/>
        </w:rPr>
        <w:t>intended use of the commodity; and</w:t>
      </w:r>
    </w:p>
    <w:p w:rsidR="00C74066" w:rsidRDefault="00F10705">
      <w:pPr>
        <w:pStyle w:val="ListBullet"/>
        <w:tabs>
          <w:tab w:val="clear" w:pos="360"/>
          <w:tab w:val="num" w:pos="284"/>
        </w:tabs>
        <w:spacing w:after="240"/>
        <w:ind w:left="284" w:hanging="284"/>
        <w:rPr>
          <w:rFonts w:ascii="Cambria" w:hAnsi="Cambria"/>
        </w:rPr>
      </w:pPr>
      <w:r>
        <w:rPr>
          <w:rFonts w:ascii="Cambria" w:hAnsi="Cambria"/>
        </w:rPr>
        <w:t>potential vectors of the pest in the PRA area.</w:t>
      </w:r>
    </w:p>
    <w:p w:rsidR="00C74066" w:rsidRDefault="00F10705">
      <w:pPr>
        <w:pStyle w:val="Heading5"/>
        <w:spacing w:before="120" w:after="120"/>
      </w:pPr>
      <w:r>
        <w:t>Assigning qualitative likelihoods for entry, establishment and spread</w:t>
      </w:r>
    </w:p>
    <w:p w:rsidR="00C74066" w:rsidRDefault="00F10705">
      <w:pPr>
        <w:spacing w:before="200"/>
        <w:rPr>
          <w:rFonts w:ascii="Cambria" w:hAnsi="Cambria"/>
        </w:rPr>
      </w:pPr>
      <w:r>
        <w:rPr>
          <w:rFonts w:ascii="Cambria" w:hAnsi="Cambria"/>
        </w:rPr>
        <w:t>In its qualitative PRAs, the department uses the term ‘likelihood’ for the descriptors it uses for its estimates of probability of entry, establishment and spread. Qualitative likelihoods are assigned to each step of entry, establishment and spread. Six descriptors are used: high, moderate, low, very low, extremely low and negligible (Table 1). Definitions for these descriptors and their indicative probability ranges are given in Table 1. The indicative probability ranges are only provided to illustrate the boundaries of the descriptors and are not used beyond this purpose in qualitative PRAs. These indicative probability ranges provide guidance to the risk analyst and promotes consistency between different pest risk assessments.</w:t>
      </w:r>
    </w:p>
    <w:p w:rsidR="00C74066" w:rsidRDefault="00F10705">
      <w:pPr>
        <w:pStyle w:val="Caption"/>
        <w:rPr>
          <w:rFonts w:asciiTheme="majorHAnsi" w:eastAsiaTheme="majorEastAsia" w:hAnsiTheme="majorHAnsi" w:cstheme="majorBidi"/>
          <w:color w:val="595959" w:themeColor="text1" w:themeTint="A6"/>
          <w:sz w:val="20"/>
        </w:rPr>
      </w:pPr>
      <w:bookmarkStart w:id="64" w:name="_Toc384197744"/>
      <w:bookmarkStart w:id="65" w:name="_Toc384209832"/>
      <w:bookmarkStart w:id="66" w:name="_Toc384275076"/>
      <w:bookmarkStart w:id="67" w:name="_Toc388949917"/>
      <w:bookmarkStart w:id="68" w:name="_Toc434244757"/>
      <w:r>
        <w:rPr>
          <w:rFonts w:asciiTheme="majorHAnsi" w:eastAsiaTheme="majorEastAsia" w:hAnsiTheme="majorHAnsi" w:cstheme="majorBidi"/>
          <w:color w:val="595959" w:themeColor="text1" w:themeTint="A6"/>
          <w:sz w:val="20"/>
        </w:rPr>
        <w:t xml:space="preserve">Table </w:t>
      </w:r>
      <w:r w:rsidR="00C57DCF">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Table \* ARABIC </w:instrText>
      </w:r>
      <w:r w:rsidR="00C57DCF">
        <w:rPr>
          <w:rFonts w:asciiTheme="majorHAnsi" w:eastAsiaTheme="majorEastAsia" w:hAnsiTheme="majorHAnsi" w:cstheme="majorBidi"/>
          <w:color w:val="595959" w:themeColor="text1" w:themeTint="A6"/>
          <w:sz w:val="20"/>
        </w:rPr>
        <w:fldChar w:fldCharType="separate"/>
      </w:r>
      <w:r w:rsidR="00AF2121">
        <w:rPr>
          <w:rFonts w:asciiTheme="majorHAnsi" w:eastAsiaTheme="majorEastAsia" w:hAnsiTheme="majorHAnsi" w:cstheme="majorBidi"/>
          <w:noProof/>
          <w:color w:val="595959" w:themeColor="text1" w:themeTint="A6"/>
          <w:sz w:val="20"/>
        </w:rPr>
        <w:t>1</w:t>
      </w:r>
      <w:r w:rsidR="00C57DCF">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Nomenclature of qualitative likelihoods</w:t>
      </w:r>
      <w:bookmarkEnd w:id="64"/>
      <w:bookmarkEnd w:id="65"/>
      <w:bookmarkEnd w:id="66"/>
      <w:bookmarkEnd w:id="67"/>
      <w:bookmarkEnd w:id="68"/>
    </w:p>
    <w:tbl>
      <w:tblPr>
        <w:tblW w:w="4809" w:type="pct"/>
        <w:tblInd w:w="108" w:type="dxa"/>
        <w:tblBorders>
          <w:top w:val="single" w:sz="4" w:space="0" w:color="auto"/>
          <w:bottom w:val="single" w:sz="4" w:space="0" w:color="auto"/>
        </w:tblBorders>
        <w:tblLook w:val="04A0"/>
      </w:tblPr>
      <w:tblGrid>
        <w:gridCol w:w="1845"/>
        <w:gridCol w:w="4239"/>
        <w:gridCol w:w="2847"/>
      </w:tblGrid>
      <w:tr w:rsidR="00C74066">
        <w:tc>
          <w:tcPr>
            <w:tcW w:w="1033" w:type="pct"/>
          </w:tcPr>
          <w:p w:rsidR="00C74066" w:rsidRDefault="00F10705">
            <w:pPr>
              <w:pStyle w:val="TableHeading"/>
              <w:rPr>
                <w:rFonts w:ascii="Cambria" w:hAnsi="Cambria"/>
              </w:rPr>
            </w:pPr>
            <w:r>
              <w:rPr>
                <w:rFonts w:ascii="Cambria" w:hAnsi="Cambria"/>
              </w:rPr>
              <w:t>Likelihood</w:t>
            </w:r>
          </w:p>
        </w:tc>
        <w:tc>
          <w:tcPr>
            <w:tcW w:w="2373" w:type="pct"/>
          </w:tcPr>
          <w:p w:rsidR="00C74066" w:rsidRDefault="00F10705">
            <w:pPr>
              <w:pStyle w:val="TableHeading"/>
              <w:rPr>
                <w:rFonts w:ascii="Cambria" w:hAnsi="Cambria"/>
              </w:rPr>
            </w:pPr>
            <w:r>
              <w:rPr>
                <w:rFonts w:ascii="Cambria" w:hAnsi="Cambria"/>
              </w:rPr>
              <w:t>Descriptive definition</w:t>
            </w:r>
          </w:p>
        </w:tc>
        <w:tc>
          <w:tcPr>
            <w:tcW w:w="1594" w:type="pct"/>
          </w:tcPr>
          <w:p w:rsidR="00C74066" w:rsidRDefault="00F10705">
            <w:pPr>
              <w:pStyle w:val="TableHeading"/>
              <w:rPr>
                <w:rFonts w:ascii="Cambria" w:hAnsi="Cambria"/>
              </w:rPr>
            </w:pPr>
            <w:r>
              <w:rPr>
                <w:rFonts w:ascii="Cambria" w:hAnsi="Cambria"/>
              </w:rPr>
              <w:t>Indicative probability (P) range</w:t>
            </w:r>
          </w:p>
        </w:tc>
      </w:tr>
      <w:tr w:rsidR="00C74066">
        <w:tc>
          <w:tcPr>
            <w:tcW w:w="1033" w:type="pct"/>
          </w:tcPr>
          <w:p w:rsidR="00C74066" w:rsidRDefault="00F10705">
            <w:pPr>
              <w:pStyle w:val="TableText"/>
              <w:rPr>
                <w:rFonts w:ascii="Cambria" w:hAnsi="Cambria"/>
              </w:rPr>
            </w:pPr>
            <w:r>
              <w:rPr>
                <w:rFonts w:ascii="Cambria" w:hAnsi="Cambria"/>
              </w:rPr>
              <w:t>High</w:t>
            </w:r>
          </w:p>
        </w:tc>
        <w:tc>
          <w:tcPr>
            <w:tcW w:w="2373" w:type="pct"/>
          </w:tcPr>
          <w:p w:rsidR="00C74066" w:rsidRDefault="00F10705">
            <w:pPr>
              <w:pStyle w:val="TableText"/>
              <w:rPr>
                <w:rFonts w:ascii="Cambria" w:hAnsi="Cambria"/>
              </w:rPr>
            </w:pPr>
            <w:r>
              <w:rPr>
                <w:rFonts w:ascii="Cambria" w:hAnsi="Cambria"/>
              </w:rPr>
              <w:t>The event would be very likely to occur</w:t>
            </w:r>
          </w:p>
        </w:tc>
        <w:tc>
          <w:tcPr>
            <w:tcW w:w="1594" w:type="pct"/>
          </w:tcPr>
          <w:p w:rsidR="00C74066" w:rsidRDefault="00F10705">
            <w:pPr>
              <w:pStyle w:val="TableText"/>
              <w:rPr>
                <w:rFonts w:ascii="Cambria" w:hAnsi="Cambria"/>
              </w:rPr>
            </w:pPr>
            <w:r>
              <w:rPr>
                <w:rFonts w:ascii="Cambria" w:hAnsi="Cambria"/>
              </w:rPr>
              <w:t>0.7 &lt; P ≤ 1</w:t>
            </w:r>
          </w:p>
        </w:tc>
      </w:tr>
      <w:tr w:rsidR="00C74066">
        <w:tc>
          <w:tcPr>
            <w:tcW w:w="1033" w:type="pct"/>
          </w:tcPr>
          <w:p w:rsidR="00C74066" w:rsidRDefault="00F10705">
            <w:pPr>
              <w:pStyle w:val="TableText"/>
              <w:rPr>
                <w:rFonts w:ascii="Cambria" w:hAnsi="Cambria"/>
              </w:rPr>
            </w:pPr>
            <w:r>
              <w:rPr>
                <w:rFonts w:ascii="Cambria" w:hAnsi="Cambria"/>
              </w:rPr>
              <w:t>Moderate</w:t>
            </w:r>
          </w:p>
        </w:tc>
        <w:tc>
          <w:tcPr>
            <w:tcW w:w="2373" w:type="pct"/>
          </w:tcPr>
          <w:p w:rsidR="00C74066" w:rsidRDefault="00F10705">
            <w:pPr>
              <w:pStyle w:val="TableText"/>
              <w:rPr>
                <w:rFonts w:ascii="Cambria" w:hAnsi="Cambria"/>
              </w:rPr>
            </w:pPr>
            <w:r>
              <w:rPr>
                <w:rFonts w:ascii="Cambria" w:hAnsi="Cambria"/>
              </w:rPr>
              <w:t>The event would occur with an even probability</w:t>
            </w:r>
          </w:p>
        </w:tc>
        <w:tc>
          <w:tcPr>
            <w:tcW w:w="1594" w:type="pct"/>
          </w:tcPr>
          <w:p w:rsidR="00C74066" w:rsidRDefault="00F10705">
            <w:pPr>
              <w:pStyle w:val="TableText"/>
              <w:rPr>
                <w:rFonts w:ascii="Cambria" w:hAnsi="Cambria"/>
              </w:rPr>
            </w:pPr>
            <w:r>
              <w:rPr>
                <w:rFonts w:ascii="Cambria" w:hAnsi="Cambria"/>
              </w:rPr>
              <w:t>0.3 &lt; P ≤ 0.7</w:t>
            </w:r>
          </w:p>
        </w:tc>
      </w:tr>
      <w:tr w:rsidR="00C74066">
        <w:tc>
          <w:tcPr>
            <w:tcW w:w="1033" w:type="pct"/>
          </w:tcPr>
          <w:p w:rsidR="00C74066" w:rsidRDefault="00F10705">
            <w:pPr>
              <w:pStyle w:val="TableText"/>
              <w:rPr>
                <w:rFonts w:ascii="Cambria" w:hAnsi="Cambria"/>
              </w:rPr>
            </w:pPr>
            <w:r>
              <w:rPr>
                <w:rFonts w:ascii="Cambria" w:hAnsi="Cambria"/>
              </w:rPr>
              <w:t>Low</w:t>
            </w:r>
          </w:p>
        </w:tc>
        <w:tc>
          <w:tcPr>
            <w:tcW w:w="2373" w:type="pct"/>
          </w:tcPr>
          <w:p w:rsidR="00C74066" w:rsidRDefault="00F10705">
            <w:pPr>
              <w:pStyle w:val="TableText"/>
              <w:rPr>
                <w:rFonts w:ascii="Cambria" w:hAnsi="Cambria"/>
              </w:rPr>
            </w:pPr>
            <w:r>
              <w:rPr>
                <w:rFonts w:ascii="Cambria" w:hAnsi="Cambria"/>
              </w:rPr>
              <w:t>The event would be unlikely to occur</w:t>
            </w:r>
          </w:p>
        </w:tc>
        <w:tc>
          <w:tcPr>
            <w:tcW w:w="1594" w:type="pct"/>
          </w:tcPr>
          <w:p w:rsidR="00C74066" w:rsidRDefault="00F10705">
            <w:pPr>
              <w:pStyle w:val="TableText"/>
              <w:rPr>
                <w:rFonts w:ascii="Cambria" w:hAnsi="Cambria"/>
              </w:rPr>
            </w:pPr>
            <w:r>
              <w:rPr>
                <w:rFonts w:ascii="Cambria" w:hAnsi="Cambria"/>
              </w:rPr>
              <w:t>0.05 &lt; P ≤ 0.3</w:t>
            </w:r>
          </w:p>
        </w:tc>
      </w:tr>
      <w:tr w:rsidR="00C74066">
        <w:tc>
          <w:tcPr>
            <w:tcW w:w="1033" w:type="pct"/>
          </w:tcPr>
          <w:p w:rsidR="00C74066" w:rsidRDefault="00F10705">
            <w:pPr>
              <w:pStyle w:val="TableText"/>
              <w:rPr>
                <w:rFonts w:ascii="Cambria" w:hAnsi="Cambria"/>
              </w:rPr>
            </w:pPr>
            <w:r>
              <w:rPr>
                <w:rFonts w:ascii="Cambria" w:hAnsi="Cambria"/>
              </w:rPr>
              <w:t>Very low</w:t>
            </w:r>
          </w:p>
        </w:tc>
        <w:tc>
          <w:tcPr>
            <w:tcW w:w="2373" w:type="pct"/>
          </w:tcPr>
          <w:p w:rsidR="00C74066" w:rsidRDefault="00F10705">
            <w:pPr>
              <w:pStyle w:val="TableText"/>
              <w:rPr>
                <w:rFonts w:ascii="Cambria" w:hAnsi="Cambria"/>
              </w:rPr>
            </w:pPr>
            <w:r>
              <w:rPr>
                <w:rFonts w:ascii="Cambria" w:hAnsi="Cambria"/>
              </w:rPr>
              <w:t>The event would be very unlikely to occur</w:t>
            </w:r>
          </w:p>
        </w:tc>
        <w:tc>
          <w:tcPr>
            <w:tcW w:w="1594" w:type="pct"/>
          </w:tcPr>
          <w:p w:rsidR="00C74066" w:rsidRDefault="00F10705">
            <w:pPr>
              <w:pStyle w:val="TableText"/>
              <w:rPr>
                <w:rFonts w:ascii="Cambria" w:hAnsi="Cambria"/>
              </w:rPr>
            </w:pPr>
            <w:r>
              <w:rPr>
                <w:rFonts w:ascii="Cambria" w:hAnsi="Cambria"/>
              </w:rPr>
              <w:t>0.001 &lt; P ≤ 0.05</w:t>
            </w:r>
          </w:p>
        </w:tc>
      </w:tr>
      <w:tr w:rsidR="00C74066">
        <w:tc>
          <w:tcPr>
            <w:tcW w:w="1033" w:type="pct"/>
          </w:tcPr>
          <w:p w:rsidR="00C74066" w:rsidRDefault="00F10705">
            <w:pPr>
              <w:pStyle w:val="TableText"/>
              <w:rPr>
                <w:rFonts w:ascii="Cambria" w:hAnsi="Cambria"/>
              </w:rPr>
            </w:pPr>
            <w:r>
              <w:rPr>
                <w:rFonts w:ascii="Cambria" w:hAnsi="Cambria"/>
              </w:rPr>
              <w:t>Extremely low</w:t>
            </w:r>
          </w:p>
        </w:tc>
        <w:tc>
          <w:tcPr>
            <w:tcW w:w="2373" w:type="pct"/>
          </w:tcPr>
          <w:p w:rsidR="00C74066" w:rsidRDefault="00F10705">
            <w:pPr>
              <w:pStyle w:val="TableText"/>
              <w:rPr>
                <w:rFonts w:ascii="Cambria" w:hAnsi="Cambria"/>
              </w:rPr>
            </w:pPr>
            <w:r>
              <w:rPr>
                <w:rFonts w:ascii="Cambria" w:hAnsi="Cambria"/>
              </w:rPr>
              <w:t>The event would be extremely unlikely to occur</w:t>
            </w:r>
          </w:p>
        </w:tc>
        <w:tc>
          <w:tcPr>
            <w:tcW w:w="1594" w:type="pct"/>
          </w:tcPr>
          <w:p w:rsidR="00C74066" w:rsidRDefault="00F10705">
            <w:pPr>
              <w:pStyle w:val="TableText"/>
              <w:rPr>
                <w:rFonts w:ascii="Cambria" w:hAnsi="Cambria"/>
              </w:rPr>
            </w:pPr>
            <w:r>
              <w:rPr>
                <w:rFonts w:ascii="Cambria" w:hAnsi="Cambria"/>
              </w:rPr>
              <w:t>0.000001 &lt; P ≤ 0.001</w:t>
            </w:r>
          </w:p>
        </w:tc>
      </w:tr>
      <w:tr w:rsidR="00C74066">
        <w:tc>
          <w:tcPr>
            <w:tcW w:w="1033" w:type="pct"/>
          </w:tcPr>
          <w:p w:rsidR="00C74066" w:rsidRDefault="00F10705">
            <w:pPr>
              <w:pStyle w:val="TableText"/>
              <w:rPr>
                <w:rFonts w:ascii="Cambria" w:hAnsi="Cambria"/>
              </w:rPr>
            </w:pPr>
            <w:r>
              <w:rPr>
                <w:rFonts w:ascii="Cambria" w:hAnsi="Cambria"/>
              </w:rPr>
              <w:t>Negligible</w:t>
            </w:r>
          </w:p>
        </w:tc>
        <w:tc>
          <w:tcPr>
            <w:tcW w:w="2373" w:type="pct"/>
          </w:tcPr>
          <w:p w:rsidR="00C74066" w:rsidRDefault="00F10705">
            <w:pPr>
              <w:pStyle w:val="TableText"/>
              <w:rPr>
                <w:rFonts w:ascii="Cambria" w:hAnsi="Cambria"/>
              </w:rPr>
            </w:pPr>
            <w:r>
              <w:rPr>
                <w:rFonts w:ascii="Cambria" w:hAnsi="Cambria"/>
              </w:rPr>
              <w:t>The event would almost certainly not occur</w:t>
            </w:r>
          </w:p>
        </w:tc>
        <w:tc>
          <w:tcPr>
            <w:tcW w:w="1594" w:type="pct"/>
          </w:tcPr>
          <w:p w:rsidR="00C74066" w:rsidRDefault="00F10705">
            <w:pPr>
              <w:pStyle w:val="TableText"/>
              <w:rPr>
                <w:rFonts w:ascii="Cambria" w:hAnsi="Cambria"/>
              </w:rPr>
            </w:pPr>
            <w:r>
              <w:rPr>
                <w:rFonts w:ascii="Cambria" w:hAnsi="Cambria"/>
              </w:rPr>
              <w:t>0 &lt; P ≤ 0.000001</w:t>
            </w:r>
          </w:p>
        </w:tc>
      </w:tr>
    </w:tbl>
    <w:p w:rsidR="00C74066" w:rsidRDefault="00F10705">
      <w:pPr>
        <w:spacing w:before="200"/>
        <w:rPr>
          <w:rFonts w:ascii="Cambria" w:hAnsi="Cambria"/>
        </w:rPr>
      </w:pPr>
      <w:r>
        <w:rPr>
          <w:rFonts w:ascii="Cambria" w:hAnsi="Cambria"/>
        </w:rPr>
        <w:t>The likelihood of entry is determined by combining the likelihood that the pest will be imported into the PRA area and the likelihood that the pest will be distributed within the PRA area, using a matrix of rules (Table 2). This matrix is then used to combine the likelihood of entry and the likelihood of establishment, and then the likelihood of entry and establishment is combined with the likelihood of spread to determine the overall likelihood of entry, establishment and spread.</w:t>
      </w:r>
    </w:p>
    <w:p w:rsidR="00C74066" w:rsidRDefault="00C74066">
      <w:pPr>
        <w:spacing w:before="200"/>
        <w:rPr>
          <w:rFonts w:ascii="Cambria" w:hAnsi="Cambria"/>
        </w:rPr>
      </w:pPr>
    </w:p>
    <w:p w:rsidR="00C74066" w:rsidRDefault="00F10705">
      <w:pPr>
        <w:pStyle w:val="Caption"/>
        <w:keepNext w:val="0"/>
        <w:rPr>
          <w:rFonts w:asciiTheme="majorHAnsi" w:eastAsiaTheme="majorEastAsia" w:hAnsiTheme="majorHAnsi" w:cstheme="majorBidi"/>
          <w:color w:val="595959" w:themeColor="text1" w:themeTint="A6"/>
          <w:sz w:val="20"/>
        </w:rPr>
      </w:pPr>
      <w:bookmarkStart w:id="69" w:name="_Toc384197745"/>
      <w:bookmarkStart w:id="70" w:name="_Toc384209833"/>
      <w:bookmarkStart w:id="71" w:name="_Toc384275077"/>
      <w:bookmarkStart w:id="72" w:name="_Toc388949918"/>
      <w:bookmarkStart w:id="73" w:name="_Toc434244758"/>
      <w:r>
        <w:rPr>
          <w:rFonts w:asciiTheme="majorHAnsi" w:eastAsiaTheme="majorEastAsia" w:hAnsiTheme="majorHAnsi" w:cstheme="majorBidi"/>
          <w:color w:val="595959" w:themeColor="text1" w:themeTint="A6"/>
          <w:sz w:val="20"/>
        </w:rPr>
        <w:lastRenderedPageBreak/>
        <w:t xml:space="preserve">Table </w:t>
      </w:r>
      <w:r w:rsidR="00C57DCF">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Table \* ARABIC </w:instrText>
      </w:r>
      <w:r w:rsidR="00C57DCF">
        <w:rPr>
          <w:rFonts w:asciiTheme="majorHAnsi" w:eastAsiaTheme="majorEastAsia" w:hAnsiTheme="majorHAnsi" w:cstheme="majorBidi"/>
          <w:color w:val="595959" w:themeColor="text1" w:themeTint="A6"/>
          <w:sz w:val="20"/>
        </w:rPr>
        <w:fldChar w:fldCharType="separate"/>
      </w:r>
      <w:r w:rsidR="00AF2121">
        <w:rPr>
          <w:rFonts w:asciiTheme="majorHAnsi" w:eastAsiaTheme="majorEastAsia" w:hAnsiTheme="majorHAnsi" w:cstheme="majorBidi"/>
          <w:noProof/>
          <w:color w:val="595959" w:themeColor="text1" w:themeTint="A6"/>
          <w:sz w:val="20"/>
        </w:rPr>
        <w:t>2</w:t>
      </w:r>
      <w:r w:rsidR="00C57DCF">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Matrix of rules for combining qualitative likelihoods</w:t>
      </w:r>
      <w:bookmarkEnd w:id="69"/>
      <w:bookmarkEnd w:id="70"/>
      <w:bookmarkEnd w:id="71"/>
      <w:bookmarkEnd w:id="72"/>
      <w:bookmarkEnd w:id="73"/>
    </w:p>
    <w:tbl>
      <w:tblPr>
        <w:tblW w:w="4802" w:type="pct"/>
        <w:tblInd w:w="115" w:type="dxa"/>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tblPr>
      <w:tblGrid>
        <w:gridCol w:w="932"/>
        <w:gridCol w:w="1377"/>
        <w:gridCol w:w="1377"/>
        <w:gridCol w:w="1376"/>
        <w:gridCol w:w="1376"/>
        <w:gridCol w:w="1379"/>
        <w:gridCol w:w="1115"/>
      </w:tblGrid>
      <w:tr w:rsidR="00C74066">
        <w:trPr>
          <w:cantSplit/>
        </w:trPr>
        <w:tc>
          <w:tcPr>
            <w:tcW w:w="522" w:type="pct"/>
            <w:tcBorders>
              <w:top w:val="single" w:sz="4" w:space="0" w:color="auto"/>
              <w:left w:val="single" w:sz="4" w:space="0" w:color="auto"/>
              <w:bottom w:val="nil"/>
              <w:right w:val="nil"/>
              <w:tl2br w:val="single" w:sz="4" w:space="0" w:color="C0C0C0"/>
            </w:tcBorders>
            <w:shd w:val="clear" w:color="auto" w:fill="auto"/>
          </w:tcPr>
          <w:p w:rsidR="00C74066" w:rsidRDefault="00C74066">
            <w:pPr>
              <w:pStyle w:val="TableText"/>
            </w:pPr>
          </w:p>
        </w:tc>
        <w:tc>
          <w:tcPr>
            <w:tcW w:w="770" w:type="pct"/>
            <w:tcBorders>
              <w:top w:val="single" w:sz="4" w:space="0" w:color="auto"/>
              <w:left w:val="nil"/>
              <w:bottom w:val="single" w:sz="8" w:space="0" w:color="C0C0C0"/>
            </w:tcBorders>
            <w:shd w:val="clear" w:color="auto" w:fill="auto"/>
          </w:tcPr>
          <w:p w:rsidR="00C74066" w:rsidRDefault="00F10705">
            <w:pPr>
              <w:pStyle w:val="TableHeading"/>
            </w:pPr>
            <w:r>
              <w:t>High</w:t>
            </w:r>
          </w:p>
        </w:tc>
        <w:tc>
          <w:tcPr>
            <w:tcW w:w="771" w:type="pct"/>
            <w:tcBorders>
              <w:top w:val="single" w:sz="4" w:space="0" w:color="auto"/>
              <w:bottom w:val="single" w:sz="8" w:space="0" w:color="C0C0C0"/>
            </w:tcBorders>
            <w:shd w:val="clear" w:color="auto" w:fill="auto"/>
          </w:tcPr>
          <w:p w:rsidR="00C74066" w:rsidRDefault="00F10705">
            <w:pPr>
              <w:pStyle w:val="TableHeading"/>
            </w:pPr>
            <w:r>
              <w:t>Moderate</w:t>
            </w:r>
          </w:p>
        </w:tc>
        <w:tc>
          <w:tcPr>
            <w:tcW w:w="770" w:type="pct"/>
            <w:tcBorders>
              <w:top w:val="single" w:sz="4" w:space="0" w:color="auto"/>
              <w:bottom w:val="single" w:sz="8" w:space="0" w:color="C0C0C0"/>
            </w:tcBorders>
            <w:shd w:val="clear" w:color="auto" w:fill="auto"/>
          </w:tcPr>
          <w:p w:rsidR="00C74066" w:rsidRDefault="00F10705">
            <w:pPr>
              <w:pStyle w:val="TableHeading"/>
            </w:pPr>
            <w:r>
              <w:t>Low</w:t>
            </w:r>
          </w:p>
        </w:tc>
        <w:tc>
          <w:tcPr>
            <w:tcW w:w="770" w:type="pct"/>
            <w:tcBorders>
              <w:top w:val="single" w:sz="4" w:space="0" w:color="auto"/>
              <w:bottom w:val="single" w:sz="8" w:space="0" w:color="C0C0C0"/>
            </w:tcBorders>
            <w:shd w:val="clear" w:color="auto" w:fill="auto"/>
          </w:tcPr>
          <w:p w:rsidR="00C74066" w:rsidRDefault="00F10705">
            <w:pPr>
              <w:pStyle w:val="TableHeading"/>
            </w:pPr>
            <w:r>
              <w:t>Very low</w:t>
            </w:r>
          </w:p>
        </w:tc>
        <w:tc>
          <w:tcPr>
            <w:tcW w:w="772" w:type="pct"/>
            <w:tcBorders>
              <w:top w:val="single" w:sz="4" w:space="0" w:color="auto"/>
              <w:bottom w:val="single" w:sz="8" w:space="0" w:color="C0C0C0"/>
            </w:tcBorders>
            <w:shd w:val="clear" w:color="auto" w:fill="auto"/>
          </w:tcPr>
          <w:p w:rsidR="00C74066" w:rsidRDefault="00F10705">
            <w:pPr>
              <w:pStyle w:val="TableHeading"/>
            </w:pPr>
            <w:r>
              <w:t>Extremely low</w:t>
            </w:r>
          </w:p>
        </w:tc>
        <w:tc>
          <w:tcPr>
            <w:tcW w:w="624" w:type="pct"/>
            <w:tcBorders>
              <w:top w:val="single" w:sz="4" w:space="0" w:color="auto"/>
              <w:bottom w:val="single" w:sz="8" w:space="0" w:color="C0C0C0"/>
              <w:right w:val="single" w:sz="4" w:space="0" w:color="auto"/>
            </w:tcBorders>
            <w:shd w:val="clear" w:color="auto" w:fill="auto"/>
          </w:tcPr>
          <w:p w:rsidR="00C74066" w:rsidRDefault="00F10705">
            <w:pPr>
              <w:pStyle w:val="TableHeading"/>
            </w:pPr>
            <w:r>
              <w:t>Negligible</w:t>
            </w:r>
          </w:p>
        </w:tc>
      </w:tr>
      <w:tr w:rsidR="00C74066">
        <w:trPr>
          <w:cantSplit/>
        </w:trPr>
        <w:tc>
          <w:tcPr>
            <w:tcW w:w="522" w:type="pct"/>
            <w:tcBorders>
              <w:top w:val="nil"/>
              <w:left w:val="single" w:sz="4" w:space="0" w:color="auto"/>
              <w:bottom w:val="single" w:sz="8" w:space="0" w:color="C0C0C0"/>
            </w:tcBorders>
            <w:vAlign w:val="center"/>
          </w:tcPr>
          <w:p w:rsidR="00C74066" w:rsidRDefault="00F10705">
            <w:pPr>
              <w:pStyle w:val="TableHeading"/>
            </w:pPr>
            <w:r>
              <w:t>High</w:t>
            </w:r>
          </w:p>
        </w:tc>
        <w:tc>
          <w:tcPr>
            <w:tcW w:w="770" w:type="pct"/>
            <w:tcBorders>
              <w:top w:val="single" w:sz="8" w:space="0" w:color="C0C0C0"/>
              <w:bottom w:val="single" w:sz="8" w:space="0" w:color="C0C0C0"/>
            </w:tcBorders>
            <w:shd w:val="clear" w:color="auto" w:fill="FF99CC"/>
            <w:vAlign w:val="center"/>
          </w:tcPr>
          <w:p w:rsidR="00C74066" w:rsidRDefault="00F10705">
            <w:pPr>
              <w:pStyle w:val="TableText"/>
            </w:pPr>
            <w:r>
              <w:t>High</w:t>
            </w:r>
          </w:p>
        </w:tc>
        <w:tc>
          <w:tcPr>
            <w:tcW w:w="771" w:type="pct"/>
            <w:tcBorders>
              <w:top w:val="single" w:sz="8" w:space="0" w:color="C0C0C0"/>
            </w:tcBorders>
            <w:shd w:val="clear" w:color="auto" w:fill="FFCC99"/>
            <w:vAlign w:val="center"/>
          </w:tcPr>
          <w:p w:rsidR="00C74066" w:rsidRDefault="00F10705">
            <w:pPr>
              <w:pStyle w:val="TableText"/>
            </w:pPr>
            <w:r>
              <w:t>Moderate</w:t>
            </w:r>
          </w:p>
        </w:tc>
        <w:tc>
          <w:tcPr>
            <w:tcW w:w="770" w:type="pct"/>
            <w:tcBorders>
              <w:top w:val="single" w:sz="8" w:space="0" w:color="C0C0C0"/>
            </w:tcBorders>
            <w:shd w:val="clear" w:color="auto" w:fill="FFFF99"/>
            <w:vAlign w:val="center"/>
          </w:tcPr>
          <w:p w:rsidR="00C74066" w:rsidRDefault="00F10705">
            <w:pPr>
              <w:pStyle w:val="TableText"/>
            </w:pPr>
            <w:r>
              <w:t>Low</w:t>
            </w:r>
          </w:p>
        </w:tc>
        <w:tc>
          <w:tcPr>
            <w:tcW w:w="770" w:type="pct"/>
            <w:tcBorders>
              <w:top w:val="single" w:sz="8" w:space="0" w:color="C0C0C0"/>
            </w:tcBorders>
            <w:shd w:val="clear" w:color="auto" w:fill="CCFFCC"/>
            <w:vAlign w:val="center"/>
          </w:tcPr>
          <w:p w:rsidR="00C74066" w:rsidRDefault="00F10705">
            <w:pPr>
              <w:pStyle w:val="TableText"/>
            </w:pPr>
            <w:r>
              <w:t>Very low</w:t>
            </w:r>
          </w:p>
        </w:tc>
        <w:tc>
          <w:tcPr>
            <w:tcW w:w="772" w:type="pct"/>
            <w:tcBorders>
              <w:top w:val="single" w:sz="8" w:space="0" w:color="C0C0C0"/>
            </w:tcBorders>
            <w:shd w:val="clear" w:color="auto" w:fill="CCFFFF"/>
            <w:vAlign w:val="center"/>
          </w:tcPr>
          <w:p w:rsidR="00C74066" w:rsidRDefault="00F10705">
            <w:pPr>
              <w:pStyle w:val="TableText"/>
            </w:pPr>
            <w:r>
              <w:t>Extremely low</w:t>
            </w:r>
          </w:p>
        </w:tc>
        <w:tc>
          <w:tcPr>
            <w:tcW w:w="624" w:type="pct"/>
            <w:tcBorders>
              <w:top w:val="single" w:sz="8" w:space="0" w:color="C0C0C0"/>
              <w:right w:val="single" w:sz="4" w:space="0" w:color="auto"/>
            </w:tcBorders>
            <w:shd w:val="clear" w:color="auto" w:fill="CCCCFF"/>
            <w:vAlign w:val="center"/>
          </w:tcPr>
          <w:p w:rsidR="00C74066" w:rsidRDefault="00F10705">
            <w:pPr>
              <w:pStyle w:val="TableText"/>
            </w:pPr>
            <w:r>
              <w:t>Negligible</w:t>
            </w:r>
          </w:p>
        </w:tc>
      </w:tr>
      <w:tr w:rsidR="00C74066">
        <w:trPr>
          <w:cantSplit/>
        </w:trPr>
        <w:tc>
          <w:tcPr>
            <w:tcW w:w="1293" w:type="pct"/>
            <w:gridSpan w:val="2"/>
            <w:tcBorders>
              <w:top w:val="single" w:sz="8" w:space="0" w:color="C0C0C0"/>
              <w:left w:val="single" w:sz="4" w:space="0" w:color="auto"/>
              <w:bottom w:val="single" w:sz="8" w:space="0" w:color="C0C0C0"/>
            </w:tcBorders>
            <w:vAlign w:val="center"/>
          </w:tcPr>
          <w:p w:rsidR="00C74066" w:rsidRDefault="00F10705">
            <w:pPr>
              <w:pStyle w:val="TableHeading"/>
            </w:pPr>
            <w:r>
              <w:t>Moderate</w:t>
            </w:r>
          </w:p>
        </w:tc>
        <w:tc>
          <w:tcPr>
            <w:tcW w:w="771" w:type="pct"/>
            <w:tcBorders>
              <w:bottom w:val="single" w:sz="8" w:space="0" w:color="C0C0C0"/>
            </w:tcBorders>
            <w:shd w:val="clear" w:color="auto" w:fill="FFFF99"/>
            <w:vAlign w:val="center"/>
          </w:tcPr>
          <w:p w:rsidR="00C74066" w:rsidRDefault="00F10705">
            <w:pPr>
              <w:pStyle w:val="TableText"/>
            </w:pPr>
            <w:r>
              <w:t>Low</w:t>
            </w:r>
          </w:p>
        </w:tc>
        <w:tc>
          <w:tcPr>
            <w:tcW w:w="770" w:type="pct"/>
            <w:shd w:val="clear" w:color="auto" w:fill="FFFF99"/>
            <w:vAlign w:val="center"/>
          </w:tcPr>
          <w:p w:rsidR="00C74066" w:rsidRDefault="00F10705">
            <w:pPr>
              <w:pStyle w:val="TableText"/>
            </w:pPr>
            <w:r>
              <w:t>Low</w:t>
            </w:r>
          </w:p>
        </w:tc>
        <w:tc>
          <w:tcPr>
            <w:tcW w:w="770" w:type="pct"/>
            <w:shd w:val="clear" w:color="auto" w:fill="CCFFCC"/>
            <w:vAlign w:val="center"/>
          </w:tcPr>
          <w:p w:rsidR="00C74066" w:rsidRDefault="00F10705">
            <w:pPr>
              <w:pStyle w:val="TableText"/>
            </w:pPr>
            <w:r>
              <w:t>Very low</w:t>
            </w:r>
          </w:p>
        </w:tc>
        <w:tc>
          <w:tcPr>
            <w:tcW w:w="772" w:type="pct"/>
            <w:shd w:val="clear" w:color="auto" w:fill="CCFFFF"/>
            <w:vAlign w:val="center"/>
          </w:tcPr>
          <w:p w:rsidR="00C74066" w:rsidRDefault="00F10705">
            <w:pPr>
              <w:pStyle w:val="TableText"/>
            </w:pPr>
            <w:r>
              <w:t>Extremely low</w:t>
            </w:r>
          </w:p>
        </w:tc>
        <w:tc>
          <w:tcPr>
            <w:tcW w:w="624" w:type="pct"/>
            <w:tcBorders>
              <w:right w:val="single" w:sz="4" w:space="0" w:color="auto"/>
            </w:tcBorders>
            <w:shd w:val="clear" w:color="auto" w:fill="CCCCFF"/>
            <w:vAlign w:val="center"/>
          </w:tcPr>
          <w:p w:rsidR="00C74066" w:rsidRDefault="00F10705">
            <w:pPr>
              <w:pStyle w:val="TableText"/>
            </w:pPr>
            <w:r>
              <w:t>Negligible</w:t>
            </w:r>
          </w:p>
        </w:tc>
      </w:tr>
      <w:tr w:rsidR="00C74066">
        <w:trPr>
          <w:cantSplit/>
        </w:trPr>
        <w:tc>
          <w:tcPr>
            <w:tcW w:w="2063" w:type="pct"/>
            <w:gridSpan w:val="3"/>
            <w:tcBorders>
              <w:top w:val="single" w:sz="8" w:space="0" w:color="C0C0C0"/>
              <w:left w:val="single" w:sz="4" w:space="0" w:color="auto"/>
              <w:bottom w:val="single" w:sz="8" w:space="0" w:color="C0C0C0"/>
            </w:tcBorders>
            <w:vAlign w:val="center"/>
          </w:tcPr>
          <w:p w:rsidR="00C74066" w:rsidRDefault="00F10705">
            <w:pPr>
              <w:pStyle w:val="TableHeading"/>
            </w:pPr>
            <w:r>
              <w:t>Low</w:t>
            </w:r>
          </w:p>
        </w:tc>
        <w:tc>
          <w:tcPr>
            <w:tcW w:w="770" w:type="pct"/>
            <w:tcBorders>
              <w:bottom w:val="single" w:sz="8" w:space="0" w:color="C0C0C0"/>
            </w:tcBorders>
            <w:shd w:val="clear" w:color="auto" w:fill="CCFFCC"/>
            <w:vAlign w:val="center"/>
          </w:tcPr>
          <w:p w:rsidR="00C74066" w:rsidRDefault="00F10705">
            <w:pPr>
              <w:pStyle w:val="TableText"/>
            </w:pPr>
            <w:r>
              <w:t>Very low</w:t>
            </w:r>
          </w:p>
        </w:tc>
        <w:tc>
          <w:tcPr>
            <w:tcW w:w="770" w:type="pct"/>
            <w:shd w:val="clear" w:color="auto" w:fill="CCFFCC"/>
            <w:vAlign w:val="center"/>
          </w:tcPr>
          <w:p w:rsidR="00C74066" w:rsidRDefault="00F10705">
            <w:pPr>
              <w:pStyle w:val="TableText"/>
            </w:pPr>
            <w:r>
              <w:t>Very low</w:t>
            </w:r>
          </w:p>
        </w:tc>
        <w:tc>
          <w:tcPr>
            <w:tcW w:w="772" w:type="pct"/>
            <w:shd w:val="clear" w:color="auto" w:fill="CCFFFF"/>
            <w:vAlign w:val="center"/>
          </w:tcPr>
          <w:p w:rsidR="00C74066" w:rsidRDefault="00F10705">
            <w:pPr>
              <w:pStyle w:val="TableText"/>
            </w:pPr>
            <w:r>
              <w:t>Extremely low</w:t>
            </w:r>
          </w:p>
        </w:tc>
        <w:tc>
          <w:tcPr>
            <w:tcW w:w="624" w:type="pct"/>
            <w:tcBorders>
              <w:right w:val="single" w:sz="4" w:space="0" w:color="auto"/>
            </w:tcBorders>
            <w:shd w:val="clear" w:color="auto" w:fill="CCCCFF"/>
            <w:vAlign w:val="center"/>
          </w:tcPr>
          <w:p w:rsidR="00C74066" w:rsidRDefault="00F10705">
            <w:pPr>
              <w:pStyle w:val="TableText"/>
            </w:pPr>
            <w:r>
              <w:t>Negligible</w:t>
            </w:r>
          </w:p>
        </w:tc>
      </w:tr>
      <w:tr w:rsidR="00C74066">
        <w:trPr>
          <w:cantSplit/>
        </w:trPr>
        <w:tc>
          <w:tcPr>
            <w:tcW w:w="2834" w:type="pct"/>
            <w:gridSpan w:val="4"/>
            <w:tcBorders>
              <w:top w:val="single" w:sz="8" w:space="0" w:color="C0C0C0"/>
              <w:left w:val="single" w:sz="4" w:space="0" w:color="auto"/>
              <w:bottom w:val="single" w:sz="8" w:space="0" w:color="C0C0C0"/>
            </w:tcBorders>
            <w:vAlign w:val="center"/>
          </w:tcPr>
          <w:p w:rsidR="00C74066" w:rsidRDefault="00F10705">
            <w:pPr>
              <w:pStyle w:val="TableHeading"/>
            </w:pPr>
            <w:r>
              <w:t>Very low</w:t>
            </w:r>
          </w:p>
        </w:tc>
        <w:tc>
          <w:tcPr>
            <w:tcW w:w="770" w:type="pct"/>
            <w:tcBorders>
              <w:bottom w:val="single" w:sz="8" w:space="0" w:color="C0C0C0"/>
            </w:tcBorders>
            <w:shd w:val="clear" w:color="auto" w:fill="CCFFFF"/>
            <w:vAlign w:val="center"/>
          </w:tcPr>
          <w:p w:rsidR="00C74066" w:rsidRDefault="00F10705">
            <w:pPr>
              <w:pStyle w:val="TableText"/>
            </w:pPr>
            <w:r>
              <w:t>Extremely low</w:t>
            </w:r>
          </w:p>
        </w:tc>
        <w:tc>
          <w:tcPr>
            <w:tcW w:w="772" w:type="pct"/>
            <w:shd w:val="clear" w:color="auto" w:fill="CCFFFF"/>
            <w:vAlign w:val="center"/>
          </w:tcPr>
          <w:p w:rsidR="00C74066" w:rsidRDefault="00F10705">
            <w:pPr>
              <w:pStyle w:val="TableText"/>
            </w:pPr>
            <w:r>
              <w:t>Extremely low</w:t>
            </w:r>
          </w:p>
        </w:tc>
        <w:tc>
          <w:tcPr>
            <w:tcW w:w="624" w:type="pct"/>
            <w:tcBorders>
              <w:right w:val="single" w:sz="4" w:space="0" w:color="auto"/>
            </w:tcBorders>
            <w:shd w:val="clear" w:color="auto" w:fill="CCCCFF"/>
            <w:vAlign w:val="center"/>
          </w:tcPr>
          <w:p w:rsidR="00C74066" w:rsidRDefault="00F10705">
            <w:pPr>
              <w:pStyle w:val="TableText"/>
            </w:pPr>
            <w:r>
              <w:t>Negligible</w:t>
            </w:r>
          </w:p>
        </w:tc>
      </w:tr>
      <w:tr w:rsidR="00C74066">
        <w:trPr>
          <w:cantSplit/>
        </w:trPr>
        <w:tc>
          <w:tcPr>
            <w:tcW w:w="3604" w:type="pct"/>
            <w:gridSpan w:val="5"/>
            <w:tcBorders>
              <w:top w:val="single" w:sz="8" w:space="0" w:color="C0C0C0"/>
              <w:left w:val="single" w:sz="4" w:space="0" w:color="auto"/>
              <w:bottom w:val="single" w:sz="8" w:space="0" w:color="C0C0C0"/>
            </w:tcBorders>
            <w:vAlign w:val="center"/>
          </w:tcPr>
          <w:p w:rsidR="00C74066" w:rsidRDefault="00F10705">
            <w:pPr>
              <w:pStyle w:val="TableHeading"/>
            </w:pPr>
            <w:r>
              <w:t>Extremely low</w:t>
            </w:r>
          </w:p>
        </w:tc>
        <w:tc>
          <w:tcPr>
            <w:tcW w:w="772" w:type="pct"/>
            <w:tcBorders>
              <w:bottom w:val="single" w:sz="8" w:space="0" w:color="C0C0C0"/>
            </w:tcBorders>
            <w:shd w:val="clear" w:color="auto" w:fill="CCCCFF"/>
            <w:vAlign w:val="center"/>
          </w:tcPr>
          <w:p w:rsidR="00C74066" w:rsidRDefault="00F10705">
            <w:pPr>
              <w:pStyle w:val="TableText"/>
            </w:pPr>
            <w:r>
              <w:t>Negligible</w:t>
            </w:r>
          </w:p>
        </w:tc>
        <w:tc>
          <w:tcPr>
            <w:tcW w:w="624" w:type="pct"/>
            <w:tcBorders>
              <w:right w:val="single" w:sz="4" w:space="0" w:color="auto"/>
            </w:tcBorders>
            <w:shd w:val="clear" w:color="auto" w:fill="CCCCFF"/>
            <w:vAlign w:val="center"/>
          </w:tcPr>
          <w:p w:rsidR="00C74066" w:rsidRDefault="00F10705">
            <w:pPr>
              <w:pStyle w:val="TableText"/>
            </w:pPr>
            <w:r>
              <w:t>Negligible</w:t>
            </w:r>
          </w:p>
        </w:tc>
      </w:tr>
      <w:tr w:rsidR="00C74066">
        <w:trPr>
          <w:cantSplit/>
        </w:trPr>
        <w:tc>
          <w:tcPr>
            <w:tcW w:w="4376" w:type="pct"/>
            <w:gridSpan w:val="6"/>
            <w:tcBorders>
              <w:top w:val="single" w:sz="8" w:space="0" w:color="C0C0C0"/>
              <w:left w:val="single" w:sz="4" w:space="0" w:color="auto"/>
              <w:bottom w:val="single" w:sz="4" w:space="0" w:color="auto"/>
            </w:tcBorders>
            <w:vAlign w:val="center"/>
          </w:tcPr>
          <w:p w:rsidR="00C74066" w:rsidRDefault="00F10705">
            <w:pPr>
              <w:pStyle w:val="TableHeading"/>
            </w:pPr>
            <w:r>
              <w:t>Negligible</w:t>
            </w:r>
          </w:p>
        </w:tc>
        <w:tc>
          <w:tcPr>
            <w:tcW w:w="624" w:type="pct"/>
            <w:tcBorders>
              <w:bottom w:val="single" w:sz="4" w:space="0" w:color="auto"/>
              <w:right w:val="single" w:sz="4" w:space="0" w:color="auto"/>
            </w:tcBorders>
            <w:shd w:val="clear" w:color="auto" w:fill="CCCCFF"/>
            <w:vAlign w:val="center"/>
          </w:tcPr>
          <w:p w:rsidR="00C74066" w:rsidRDefault="00F10705">
            <w:pPr>
              <w:pStyle w:val="TableText"/>
            </w:pPr>
            <w:r>
              <w:t>Negligible</w:t>
            </w:r>
          </w:p>
        </w:tc>
      </w:tr>
    </w:tbl>
    <w:p w:rsidR="00C74066" w:rsidRDefault="00F10705">
      <w:pPr>
        <w:spacing w:before="200"/>
        <w:rPr>
          <w:rFonts w:ascii="Cambria" w:hAnsi="Cambria"/>
        </w:rPr>
      </w:pPr>
      <w:r>
        <w:rPr>
          <w:rFonts w:ascii="Cambria" w:hAnsi="Cambria"/>
        </w:rPr>
        <w:t>For example, if the likelihood of importation is assigned a descriptor of ‘low’ and the likelihood of distribution is assigned a descriptor of ‘moderate’, then they are combined to give a likelihood of ‘low’ for entry. Then if the likelihood of establishment has been assigned a descriptor of ‘high’, this will be combined with the likelihood of entry (low), to give a likelihood for entry and establishment of ‘low’. The assigned likelihood for spread (for example ‘very low’) would then be combined with the likelihood for entry and establishment (low), to give an overall likelihood for entry, establishment and spread of ‘very low’. This can be summarised as:</w:t>
      </w:r>
    </w:p>
    <w:p w:rsidR="00C74066" w:rsidRDefault="00F10705">
      <w:pPr>
        <w:tabs>
          <w:tab w:val="left" w:pos="4536"/>
        </w:tabs>
        <w:spacing w:before="200"/>
        <w:rPr>
          <w:rFonts w:ascii="Cambria" w:hAnsi="Cambria"/>
        </w:rPr>
      </w:pPr>
      <w:r>
        <w:rPr>
          <w:rFonts w:ascii="Cambria" w:hAnsi="Cambria"/>
        </w:rPr>
        <w:t>importation x distribution = entry [E]</w:t>
      </w:r>
      <w:r>
        <w:rPr>
          <w:rFonts w:ascii="Cambria" w:hAnsi="Cambria"/>
        </w:rPr>
        <w:tab/>
      </w:r>
      <w:r>
        <w:rPr>
          <w:rFonts w:ascii="Cambria" w:hAnsi="Cambria"/>
          <w:b/>
        </w:rPr>
        <w:t>low x moderate = low</w:t>
      </w:r>
    </w:p>
    <w:p w:rsidR="00C74066" w:rsidRDefault="00F10705">
      <w:pPr>
        <w:tabs>
          <w:tab w:val="left" w:pos="4536"/>
        </w:tabs>
        <w:spacing w:before="200"/>
        <w:rPr>
          <w:rFonts w:ascii="Cambria" w:hAnsi="Cambria"/>
        </w:rPr>
      </w:pPr>
      <w:r>
        <w:rPr>
          <w:rFonts w:ascii="Cambria" w:hAnsi="Cambria"/>
        </w:rPr>
        <w:t xml:space="preserve">entry [E] x establishment = [EE] </w:t>
      </w:r>
      <w:r>
        <w:rPr>
          <w:rFonts w:ascii="Cambria" w:hAnsi="Cambria"/>
        </w:rPr>
        <w:tab/>
      </w:r>
      <w:r>
        <w:rPr>
          <w:rFonts w:ascii="Cambria" w:hAnsi="Cambria"/>
          <w:b/>
        </w:rPr>
        <w:t>low x high = low</w:t>
      </w:r>
    </w:p>
    <w:p w:rsidR="00C74066" w:rsidRDefault="00F10705">
      <w:pPr>
        <w:tabs>
          <w:tab w:val="left" w:pos="4536"/>
        </w:tabs>
        <w:spacing w:before="200"/>
        <w:rPr>
          <w:rFonts w:ascii="Cambria" w:hAnsi="Cambria"/>
          <w:b/>
        </w:rPr>
      </w:pPr>
      <w:r>
        <w:rPr>
          <w:rFonts w:ascii="Cambria" w:hAnsi="Cambria"/>
        </w:rPr>
        <w:t xml:space="preserve">[EE] x spread = [EES] </w:t>
      </w:r>
      <w:r>
        <w:rPr>
          <w:rFonts w:ascii="Cambria" w:hAnsi="Cambria"/>
        </w:rPr>
        <w:tab/>
      </w:r>
      <w:r>
        <w:rPr>
          <w:rFonts w:ascii="Cambria" w:hAnsi="Cambria"/>
          <w:b/>
        </w:rPr>
        <w:t>low x very low = very low</w:t>
      </w:r>
    </w:p>
    <w:p w:rsidR="00C74066" w:rsidRDefault="00F10705">
      <w:pPr>
        <w:pStyle w:val="Heading5"/>
        <w:spacing w:before="120"/>
      </w:pPr>
      <w:r>
        <w:t>Time and volume of trade</w:t>
      </w:r>
    </w:p>
    <w:p w:rsidR="00C74066" w:rsidRDefault="00F10705">
      <w:pPr>
        <w:spacing w:before="200"/>
        <w:rPr>
          <w:rFonts w:ascii="Cambria" w:hAnsi="Cambria"/>
        </w:rPr>
      </w:pPr>
      <w:r>
        <w:rPr>
          <w:rFonts w:ascii="Cambria" w:hAnsi="Cambria"/>
        </w:rPr>
        <w:t>One factor affecting the likelihood of entry is the volume and duration of trade. If all other conditions remain the same, the overall likelihood of entry will increase as time passes and the overall volume of trade increases.</w:t>
      </w:r>
    </w:p>
    <w:p w:rsidR="00C74066" w:rsidRDefault="00F10705">
      <w:pPr>
        <w:spacing w:before="200"/>
        <w:rPr>
          <w:rFonts w:ascii="Cambria" w:hAnsi="Cambria"/>
        </w:rPr>
      </w:pPr>
      <w:r>
        <w:rPr>
          <w:rFonts w:ascii="Cambria" w:hAnsi="Cambria"/>
        </w:rPr>
        <w:t>The department normally considers the likelihood of entry on the basis of the estimated volume of one year’s trade. However, in the case of a high risk commodity the volume of trade is restricted to certain numbers. Therefore, other factors listed in ISPM 11 (FAO 2013) may not be relevant to propagative material of a high risk commodity.</w:t>
      </w:r>
    </w:p>
    <w:p w:rsidR="00C74066" w:rsidRDefault="00F10705">
      <w:pPr>
        <w:pStyle w:val="Heading3"/>
        <w:keepLines/>
        <w:numPr>
          <w:ilvl w:val="2"/>
          <w:numId w:val="21"/>
        </w:numPr>
        <w:tabs>
          <w:tab w:val="clear" w:pos="720"/>
        </w:tabs>
        <w:spacing w:before="120" w:after="200"/>
        <w:ind w:left="357" w:hanging="357"/>
        <w:rPr>
          <w:rFonts w:ascii="Calibri" w:hAnsi="Calibri" w:cstheme="minorBidi"/>
          <w:sz w:val="24"/>
          <w:szCs w:val="22"/>
        </w:rPr>
      </w:pPr>
      <w:r>
        <w:rPr>
          <w:rFonts w:ascii="Calibri" w:hAnsi="Calibri" w:cstheme="minorBidi"/>
          <w:sz w:val="24"/>
          <w:szCs w:val="22"/>
        </w:rPr>
        <w:t>Assessment of potential consequences</w:t>
      </w:r>
    </w:p>
    <w:p w:rsidR="00C74066" w:rsidRDefault="00F10705">
      <w:pPr>
        <w:spacing w:before="200"/>
        <w:rPr>
          <w:rFonts w:ascii="Cambria" w:hAnsi="Cambria"/>
        </w:rPr>
      </w:pPr>
      <w:r>
        <w:rPr>
          <w:rFonts w:ascii="Cambria" w:hAnsi="Cambria"/>
        </w:rPr>
        <w:t>The objective of the consequence assessment is to provide a structured and transparent analysis of the likely consequences if the pest or disease agents were to enter, establish and spread in Australia. The assessment considers direct and indirect pest effects and their economic and environmental consequences. The requirements for assessing the potential consequences are given in Article 5.3 of the SPS Agreement (WTO 1995), ISPM 5 (FAO 2015) and ISPM 11 (FAO 2013).</w:t>
      </w:r>
    </w:p>
    <w:p w:rsidR="00C74066" w:rsidRDefault="00F10705">
      <w:pPr>
        <w:spacing w:before="200"/>
        <w:rPr>
          <w:rFonts w:ascii="Cambria" w:hAnsi="Cambria"/>
        </w:rPr>
      </w:pPr>
      <w:r>
        <w:rPr>
          <w:rFonts w:ascii="Cambria" w:hAnsi="Cambria"/>
        </w:rPr>
        <w:t>Direct pest effects are considered in the context of the effects on:</w:t>
      </w:r>
    </w:p>
    <w:p w:rsidR="00C74066" w:rsidRDefault="00F10705">
      <w:pPr>
        <w:pStyle w:val="ListBullet"/>
        <w:tabs>
          <w:tab w:val="clear" w:pos="360"/>
          <w:tab w:val="num" w:pos="284"/>
        </w:tabs>
        <w:ind w:left="284" w:hanging="284"/>
        <w:rPr>
          <w:rFonts w:ascii="Cambria" w:hAnsi="Cambria"/>
        </w:rPr>
      </w:pPr>
      <w:r>
        <w:rPr>
          <w:rFonts w:ascii="Cambria" w:hAnsi="Cambria"/>
        </w:rPr>
        <w:t>plant life or health; and</w:t>
      </w:r>
    </w:p>
    <w:p w:rsidR="00C74066" w:rsidRDefault="00F10705">
      <w:pPr>
        <w:pStyle w:val="ListBullet"/>
        <w:tabs>
          <w:tab w:val="clear" w:pos="360"/>
          <w:tab w:val="num" w:pos="284"/>
        </w:tabs>
        <w:ind w:left="284" w:hanging="284"/>
        <w:rPr>
          <w:rFonts w:ascii="Cambria" w:hAnsi="Cambria"/>
        </w:rPr>
      </w:pPr>
      <w:r>
        <w:rPr>
          <w:rFonts w:ascii="Cambria" w:hAnsi="Cambria"/>
        </w:rPr>
        <w:t>other aspects of the environment.</w:t>
      </w:r>
    </w:p>
    <w:p w:rsidR="00C74066" w:rsidRDefault="00F10705">
      <w:pPr>
        <w:spacing w:before="200"/>
        <w:rPr>
          <w:rFonts w:ascii="Cambria" w:hAnsi="Cambria"/>
        </w:rPr>
      </w:pPr>
      <w:r>
        <w:rPr>
          <w:rFonts w:ascii="Cambria" w:hAnsi="Cambria"/>
        </w:rPr>
        <w:lastRenderedPageBreak/>
        <w:t>Indirect pest effects are considered in the context of the effects on:</w:t>
      </w:r>
    </w:p>
    <w:p w:rsidR="00C74066" w:rsidRDefault="00F10705">
      <w:pPr>
        <w:pStyle w:val="ListBullet"/>
        <w:tabs>
          <w:tab w:val="clear" w:pos="360"/>
          <w:tab w:val="num" w:pos="284"/>
        </w:tabs>
        <w:ind w:left="284" w:hanging="284"/>
        <w:rPr>
          <w:rFonts w:ascii="Cambria" w:hAnsi="Cambria"/>
        </w:rPr>
      </w:pPr>
      <w:r>
        <w:rPr>
          <w:rFonts w:ascii="Cambria" w:hAnsi="Cambria"/>
        </w:rPr>
        <w:t>eradication, control, etc;</w:t>
      </w:r>
    </w:p>
    <w:p w:rsidR="00C74066" w:rsidRDefault="00F10705">
      <w:pPr>
        <w:pStyle w:val="ListBullet"/>
        <w:tabs>
          <w:tab w:val="clear" w:pos="360"/>
          <w:tab w:val="num" w:pos="284"/>
        </w:tabs>
        <w:ind w:left="284" w:hanging="284"/>
        <w:rPr>
          <w:rFonts w:ascii="Cambria" w:hAnsi="Cambria"/>
        </w:rPr>
      </w:pPr>
      <w:r>
        <w:rPr>
          <w:rFonts w:ascii="Cambria" w:hAnsi="Cambria"/>
        </w:rPr>
        <w:t>domestic trade;</w:t>
      </w:r>
    </w:p>
    <w:p w:rsidR="00C74066" w:rsidRDefault="00F10705">
      <w:pPr>
        <w:pStyle w:val="ListBullet"/>
        <w:tabs>
          <w:tab w:val="clear" w:pos="360"/>
          <w:tab w:val="num" w:pos="284"/>
        </w:tabs>
        <w:ind w:left="284" w:hanging="284"/>
        <w:rPr>
          <w:rFonts w:ascii="Cambria" w:hAnsi="Cambria"/>
        </w:rPr>
      </w:pPr>
      <w:r>
        <w:rPr>
          <w:rFonts w:ascii="Cambria" w:hAnsi="Cambria"/>
        </w:rPr>
        <w:t>international trade; and</w:t>
      </w:r>
    </w:p>
    <w:p w:rsidR="00C74066" w:rsidRDefault="00F10705">
      <w:pPr>
        <w:pStyle w:val="ListBullet"/>
        <w:tabs>
          <w:tab w:val="clear" w:pos="360"/>
          <w:tab w:val="num" w:pos="284"/>
        </w:tabs>
        <w:ind w:left="284" w:hanging="284"/>
        <w:rPr>
          <w:rFonts w:ascii="Cambria" w:hAnsi="Cambria"/>
        </w:rPr>
      </w:pPr>
      <w:r>
        <w:rPr>
          <w:rFonts w:ascii="Cambria" w:hAnsi="Cambria"/>
        </w:rPr>
        <w:t>the environment.</w:t>
      </w:r>
    </w:p>
    <w:p w:rsidR="00C74066" w:rsidRDefault="00F10705">
      <w:pPr>
        <w:spacing w:before="200"/>
        <w:rPr>
          <w:rFonts w:ascii="Cambria" w:hAnsi="Cambria"/>
        </w:rPr>
      </w:pPr>
      <w:r>
        <w:rPr>
          <w:rFonts w:ascii="Cambria" w:hAnsi="Cambria"/>
        </w:rPr>
        <w:t>For each of these six criteria, the consequences were estimated over four geographic levels, defined as:</w:t>
      </w:r>
    </w:p>
    <w:p w:rsidR="00C74066" w:rsidRDefault="00F10705">
      <w:pPr>
        <w:spacing w:before="120" w:after="120"/>
        <w:rPr>
          <w:rFonts w:ascii="Cambria" w:hAnsi="Cambria"/>
        </w:rPr>
      </w:pPr>
      <w:r>
        <w:rPr>
          <w:rFonts w:ascii="Cambria" w:hAnsi="Cambria"/>
          <w:b/>
        </w:rPr>
        <w:t>Local</w:t>
      </w:r>
      <w:r>
        <w:rPr>
          <w:rFonts w:ascii="Cambria" w:hAnsi="Cambria"/>
        </w:rPr>
        <w:t>: an aggregate of households or enterprises (a rural community, a town or a local government area).</w:t>
      </w:r>
    </w:p>
    <w:p w:rsidR="00C74066" w:rsidRDefault="00F10705">
      <w:pPr>
        <w:spacing w:before="120" w:after="120"/>
        <w:rPr>
          <w:rFonts w:ascii="Cambria" w:hAnsi="Cambria"/>
        </w:rPr>
      </w:pPr>
      <w:r>
        <w:rPr>
          <w:rFonts w:ascii="Cambria" w:hAnsi="Cambria"/>
          <w:b/>
        </w:rPr>
        <w:t>District</w:t>
      </w:r>
      <w:r>
        <w:rPr>
          <w:rFonts w:ascii="Cambria" w:hAnsi="Cambria"/>
        </w:rPr>
        <w:t>: a geographically or geopolitically associated collection of aggregates (generally a recognised section of a state or territory, such as ‘Far North Queensland’).</w:t>
      </w:r>
    </w:p>
    <w:p w:rsidR="00C74066" w:rsidRDefault="00F10705">
      <w:pPr>
        <w:spacing w:before="120" w:after="120"/>
        <w:rPr>
          <w:rFonts w:ascii="Cambria" w:hAnsi="Cambria"/>
        </w:rPr>
      </w:pPr>
      <w:r>
        <w:rPr>
          <w:rFonts w:ascii="Cambria" w:hAnsi="Cambria"/>
          <w:b/>
        </w:rPr>
        <w:t>Regional</w:t>
      </w:r>
      <w:r>
        <w:rPr>
          <w:rFonts w:ascii="Cambria" w:hAnsi="Cambria"/>
        </w:rPr>
        <w:t>: a geographically or geopolitically associated collection of districts in a geographic area (generally a state or territory, although there may be exceptions with larger states such as Western Australia).</w:t>
      </w:r>
    </w:p>
    <w:p w:rsidR="00C74066" w:rsidRDefault="00F10705">
      <w:pPr>
        <w:spacing w:before="120" w:after="120"/>
        <w:rPr>
          <w:rFonts w:ascii="Cambria" w:hAnsi="Cambria"/>
        </w:rPr>
      </w:pPr>
      <w:r>
        <w:rPr>
          <w:rFonts w:ascii="Cambria" w:hAnsi="Cambria"/>
          <w:b/>
        </w:rPr>
        <w:t>National</w:t>
      </w:r>
      <w:r>
        <w:rPr>
          <w:rFonts w:ascii="Cambria" w:hAnsi="Cambria"/>
        </w:rPr>
        <w:t>: Australia wide (Australian mainland states, territories and Tasmania).</w:t>
      </w:r>
    </w:p>
    <w:p w:rsidR="00C74066" w:rsidRDefault="00F10705">
      <w:pPr>
        <w:spacing w:before="200"/>
        <w:rPr>
          <w:rFonts w:ascii="Cambria" w:hAnsi="Cambria"/>
        </w:rPr>
      </w:pPr>
      <w:r>
        <w:rPr>
          <w:rFonts w:ascii="Cambria" w:hAnsi="Cambria"/>
        </w:rPr>
        <w:t>For each criterion, the magnitude of the potential consequences at each of these levels was described using four categories, defined as:</w:t>
      </w:r>
    </w:p>
    <w:p w:rsidR="00C74066" w:rsidRDefault="00F10705">
      <w:pPr>
        <w:spacing w:before="120" w:after="120"/>
        <w:rPr>
          <w:rFonts w:ascii="Cambria" w:hAnsi="Cambria"/>
        </w:rPr>
      </w:pPr>
      <w:r>
        <w:rPr>
          <w:rFonts w:ascii="Cambria" w:hAnsi="Cambria"/>
          <w:b/>
        </w:rPr>
        <w:t>Indiscernible</w:t>
      </w:r>
      <w:r>
        <w:rPr>
          <w:rFonts w:ascii="Cambria" w:hAnsi="Cambria"/>
        </w:rPr>
        <w:t>: pest impact unlikely to be noticeable.</w:t>
      </w:r>
    </w:p>
    <w:p w:rsidR="00C74066" w:rsidRDefault="00F10705">
      <w:pPr>
        <w:spacing w:before="120" w:after="120"/>
        <w:rPr>
          <w:rFonts w:ascii="Cambria" w:hAnsi="Cambria"/>
        </w:rPr>
      </w:pPr>
      <w:r>
        <w:rPr>
          <w:rFonts w:ascii="Cambria" w:hAnsi="Cambria"/>
          <w:b/>
        </w:rPr>
        <w:t>Minor</w:t>
      </w:r>
      <w:r>
        <w:rPr>
          <w:rFonts w:ascii="Cambria" w:hAnsi="Cambria"/>
        </w:rPr>
        <w:t xml:space="preserve"> </w:t>
      </w:r>
      <w:r>
        <w:rPr>
          <w:rFonts w:ascii="Cambria" w:hAnsi="Cambria"/>
          <w:b/>
        </w:rPr>
        <w:t>significance</w:t>
      </w:r>
      <w:r>
        <w:rPr>
          <w:rFonts w:ascii="Cambria" w:hAnsi="Cambria"/>
        </w:rPr>
        <w:t>: 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rsidR="00C74066" w:rsidRDefault="00F10705">
      <w:pPr>
        <w:spacing w:before="120" w:after="120"/>
        <w:rPr>
          <w:rFonts w:ascii="Cambria" w:hAnsi="Cambria"/>
        </w:rPr>
      </w:pPr>
      <w:r>
        <w:rPr>
          <w:rFonts w:ascii="Cambria" w:hAnsi="Cambria"/>
          <w:b/>
        </w:rPr>
        <w:t>Significant</w:t>
      </w:r>
      <w:r>
        <w:rPr>
          <w:rFonts w:ascii="Cambria" w:hAnsi="Cambria"/>
        </w:rPr>
        <w:t>: expected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rsidR="00C74066" w:rsidRDefault="00F10705">
      <w:pPr>
        <w:spacing w:before="120" w:after="120"/>
        <w:rPr>
          <w:rFonts w:ascii="Cambria" w:hAnsi="Cambria"/>
        </w:rPr>
      </w:pPr>
      <w:r>
        <w:rPr>
          <w:rFonts w:ascii="Cambria" w:hAnsi="Cambria"/>
          <w:b/>
        </w:rPr>
        <w:t>Major</w:t>
      </w:r>
      <w:r>
        <w:rPr>
          <w:rFonts w:ascii="Cambria" w:hAnsi="Cambria"/>
        </w:rPr>
        <w:t xml:space="preserve"> </w:t>
      </w:r>
      <w:r>
        <w:rPr>
          <w:rFonts w:ascii="Cambria" w:hAnsi="Cambria"/>
          <w:b/>
        </w:rPr>
        <w:t>significance</w:t>
      </w:r>
      <w:r>
        <w:rPr>
          <w:rFonts w:ascii="Cambria" w:hAnsi="Cambria"/>
        </w:rPr>
        <w:t>: expected to threaten the economic viability through a large increase in mortality/morbidity of hosts, or a large decrease in production. Expected to severely or irreversibly damage the intrinsic ‘value’ of non-commercial criteria.</w:t>
      </w:r>
    </w:p>
    <w:p w:rsidR="00C74066" w:rsidRDefault="00F10705">
      <w:pPr>
        <w:spacing w:before="200"/>
        <w:rPr>
          <w:rFonts w:ascii="Cambria" w:hAnsi="Cambria"/>
        </w:rPr>
      </w:pPr>
      <w:r>
        <w:rPr>
          <w:rFonts w:ascii="Cambria" w:hAnsi="Cambria"/>
        </w:rPr>
        <w:t>The estimates of the magnitude of the potential consequences over the four geographic levels were translated into a qualitative impact score (A to G) using Table 3. For example, a consequence with a magnitude of ‘significant’ at the ‘district’ level will have a consequence impact score of D.</w:t>
      </w:r>
    </w:p>
    <w:p w:rsidR="00C74066" w:rsidRDefault="00C74066">
      <w:pPr>
        <w:spacing w:before="200"/>
        <w:rPr>
          <w:rFonts w:ascii="Cambria" w:hAnsi="Cambria"/>
        </w:rPr>
      </w:pPr>
    </w:p>
    <w:p w:rsidR="00C74066" w:rsidRDefault="00C74066">
      <w:pPr>
        <w:spacing w:before="200"/>
        <w:rPr>
          <w:rFonts w:ascii="Cambria" w:hAnsi="Cambria"/>
        </w:rPr>
      </w:pPr>
    </w:p>
    <w:p w:rsidR="00C74066" w:rsidRDefault="00C74066">
      <w:pPr>
        <w:spacing w:before="200"/>
        <w:rPr>
          <w:rFonts w:ascii="Cambria" w:hAnsi="Cambria"/>
        </w:rPr>
      </w:pPr>
    </w:p>
    <w:p w:rsidR="00C74066" w:rsidRDefault="00F10705">
      <w:pPr>
        <w:pStyle w:val="Caption"/>
        <w:keepNext w:val="0"/>
        <w:rPr>
          <w:rFonts w:asciiTheme="majorHAnsi" w:eastAsiaTheme="majorEastAsia" w:hAnsiTheme="majorHAnsi" w:cstheme="majorBidi"/>
          <w:color w:val="595959" w:themeColor="text1" w:themeTint="A6"/>
          <w:sz w:val="20"/>
        </w:rPr>
      </w:pPr>
      <w:bookmarkStart w:id="74" w:name="_Toc384197746"/>
      <w:bookmarkStart w:id="75" w:name="_Toc384209834"/>
      <w:bookmarkStart w:id="76" w:name="_Toc384275078"/>
      <w:bookmarkStart w:id="77" w:name="_Toc388949919"/>
      <w:bookmarkStart w:id="78" w:name="_Toc434244759"/>
      <w:r>
        <w:rPr>
          <w:rFonts w:asciiTheme="majorHAnsi" w:eastAsiaTheme="majorEastAsia" w:hAnsiTheme="majorHAnsi" w:cstheme="majorBidi"/>
          <w:color w:val="595959" w:themeColor="text1" w:themeTint="A6"/>
          <w:sz w:val="20"/>
        </w:rPr>
        <w:lastRenderedPageBreak/>
        <w:t xml:space="preserve">Table </w:t>
      </w:r>
      <w:r w:rsidR="00C57DCF">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Table \* ARABIC </w:instrText>
      </w:r>
      <w:r w:rsidR="00C57DCF">
        <w:rPr>
          <w:rFonts w:asciiTheme="majorHAnsi" w:eastAsiaTheme="majorEastAsia" w:hAnsiTheme="majorHAnsi" w:cstheme="majorBidi"/>
          <w:color w:val="595959" w:themeColor="text1" w:themeTint="A6"/>
          <w:sz w:val="20"/>
        </w:rPr>
        <w:fldChar w:fldCharType="separate"/>
      </w:r>
      <w:r w:rsidR="00AF2121">
        <w:rPr>
          <w:rFonts w:asciiTheme="majorHAnsi" w:eastAsiaTheme="majorEastAsia" w:hAnsiTheme="majorHAnsi" w:cstheme="majorBidi"/>
          <w:noProof/>
          <w:color w:val="595959" w:themeColor="text1" w:themeTint="A6"/>
          <w:sz w:val="20"/>
        </w:rPr>
        <w:t>3</w:t>
      </w:r>
      <w:r w:rsidR="00C57DCF">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Decision rules for determining the consequence impact score based on the magnitude of consequences at four geographic scales</w:t>
      </w:r>
      <w:bookmarkEnd w:id="74"/>
      <w:bookmarkEnd w:id="75"/>
      <w:bookmarkEnd w:id="76"/>
      <w:bookmarkEnd w:id="77"/>
      <w:bookmarkEnd w:id="78"/>
    </w:p>
    <w:tbl>
      <w:tblPr>
        <w:tblW w:w="5000" w:type="pct"/>
        <w:tblBorders>
          <w:top w:val="single" w:sz="4" w:space="0" w:color="auto"/>
          <w:left w:val="single" w:sz="4" w:space="0" w:color="auto"/>
          <w:bottom w:val="single" w:sz="4" w:space="0" w:color="auto"/>
          <w:right w:val="single" w:sz="4" w:space="0" w:color="auto"/>
        </w:tblBorders>
        <w:tblLook w:val="00A0"/>
      </w:tblPr>
      <w:tblGrid>
        <w:gridCol w:w="2150"/>
        <w:gridCol w:w="1785"/>
        <w:gridCol w:w="1785"/>
        <w:gridCol w:w="1783"/>
        <w:gridCol w:w="1783"/>
      </w:tblGrid>
      <w:tr w:rsidR="00C74066">
        <w:trPr>
          <w:cantSplit/>
        </w:trPr>
        <w:tc>
          <w:tcPr>
            <w:tcW w:w="1158" w:type="pct"/>
            <w:vMerge w:val="restart"/>
            <w:tcBorders>
              <w:top w:val="single" w:sz="4" w:space="0" w:color="000000" w:themeColor="text1"/>
              <w:left w:val="single" w:sz="4" w:space="0" w:color="000000" w:themeColor="text1"/>
              <w:bottom w:val="nil"/>
              <w:right w:val="nil"/>
              <w:tl2br w:val="nil"/>
            </w:tcBorders>
            <w:vAlign w:val="bottom"/>
          </w:tcPr>
          <w:p w:rsidR="00C74066" w:rsidRDefault="00F10705">
            <w:pPr>
              <w:pStyle w:val="TableHeading"/>
            </w:pPr>
            <w:r>
              <w:t>Magnitude</w:t>
            </w:r>
          </w:p>
        </w:tc>
        <w:tc>
          <w:tcPr>
            <w:tcW w:w="3842" w:type="pct"/>
            <w:gridSpan w:val="4"/>
            <w:tcBorders>
              <w:top w:val="single" w:sz="4" w:space="0" w:color="000000" w:themeColor="text1"/>
              <w:left w:val="nil"/>
              <w:bottom w:val="single" w:sz="4" w:space="0" w:color="BFBFBF" w:themeColor="background1" w:themeShade="BF"/>
              <w:right w:val="single" w:sz="4" w:space="0" w:color="000000" w:themeColor="text1"/>
            </w:tcBorders>
          </w:tcPr>
          <w:p w:rsidR="00C74066" w:rsidRDefault="00F10705">
            <w:pPr>
              <w:pStyle w:val="TableHeading"/>
              <w:jc w:val="center"/>
            </w:pPr>
            <w:r>
              <w:t>Geographic scale</w:t>
            </w:r>
          </w:p>
        </w:tc>
      </w:tr>
      <w:tr w:rsidR="00C74066">
        <w:trPr>
          <w:cantSplit/>
        </w:trPr>
        <w:tc>
          <w:tcPr>
            <w:tcW w:w="1158" w:type="pct"/>
            <w:vMerge/>
            <w:tcBorders>
              <w:top w:val="single" w:sz="4" w:space="0" w:color="auto"/>
              <w:left w:val="single" w:sz="4" w:space="0" w:color="000000" w:themeColor="text1"/>
              <w:bottom w:val="single" w:sz="4" w:space="0" w:color="BFBFBF" w:themeColor="background1" w:themeShade="BF"/>
              <w:right w:val="nil"/>
              <w:tl2br w:val="nil"/>
            </w:tcBorders>
          </w:tcPr>
          <w:p w:rsidR="00C74066" w:rsidRDefault="00C74066">
            <w:pPr>
              <w:pStyle w:val="TableText"/>
            </w:pPr>
          </w:p>
        </w:tc>
        <w:tc>
          <w:tcPr>
            <w:tcW w:w="961" w:type="pct"/>
            <w:tcBorders>
              <w:top w:val="single" w:sz="4" w:space="0" w:color="BFBFBF" w:themeColor="background1" w:themeShade="BF"/>
              <w:left w:val="nil"/>
              <w:bottom w:val="single" w:sz="4" w:space="0" w:color="BFBFBF" w:themeColor="background1" w:themeShade="BF"/>
            </w:tcBorders>
          </w:tcPr>
          <w:p w:rsidR="00C74066" w:rsidRDefault="00F10705">
            <w:pPr>
              <w:pStyle w:val="TableText"/>
            </w:pPr>
            <w:r>
              <w:t>Local</w:t>
            </w:r>
          </w:p>
        </w:tc>
        <w:tc>
          <w:tcPr>
            <w:tcW w:w="961" w:type="pct"/>
            <w:tcBorders>
              <w:top w:val="single" w:sz="4" w:space="0" w:color="BFBFBF" w:themeColor="background1" w:themeShade="BF"/>
              <w:bottom w:val="single" w:sz="4" w:space="0" w:color="BFBFBF" w:themeColor="background1" w:themeShade="BF"/>
            </w:tcBorders>
          </w:tcPr>
          <w:p w:rsidR="00C74066" w:rsidRDefault="00F10705">
            <w:pPr>
              <w:pStyle w:val="TableText"/>
            </w:pPr>
            <w:r>
              <w:t>District</w:t>
            </w:r>
          </w:p>
        </w:tc>
        <w:tc>
          <w:tcPr>
            <w:tcW w:w="960" w:type="pct"/>
            <w:tcBorders>
              <w:top w:val="single" w:sz="4" w:space="0" w:color="BFBFBF" w:themeColor="background1" w:themeShade="BF"/>
              <w:bottom w:val="single" w:sz="4" w:space="0" w:color="BFBFBF" w:themeColor="background1" w:themeShade="BF"/>
            </w:tcBorders>
          </w:tcPr>
          <w:p w:rsidR="00C74066" w:rsidRDefault="00F10705">
            <w:pPr>
              <w:pStyle w:val="TableText"/>
            </w:pPr>
            <w:r>
              <w:t>Region</w:t>
            </w:r>
          </w:p>
        </w:tc>
        <w:tc>
          <w:tcPr>
            <w:tcW w:w="960" w:type="pct"/>
            <w:tcBorders>
              <w:top w:val="single" w:sz="4" w:space="0" w:color="BFBFBF" w:themeColor="background1" w:themeShade="BF"/>
              <w:bottom w:val="single" w:sz="4" w:space="0" w:color="BFBFBF" w:themeColor="background1" w:themeShade="BF"/>
              <w:right w:val="single" w:sz="4" w:space="0" w:color="000000" w:themeColor="text1"/>
            </w:tcBorders>
          </w:tcPr>
          <w:p w:rsidR="00C74066" w:rsidRDefault="00F10705">
            <w:pPr>
              <w:pStyle w:val="TableText"/>
            </w:pPr>
            <w:r>
              <w:t>Nation</w:t>
            </w:r>
          </w:p>
        </w:tc>
      </w:tr>
      <w:tr w:rsidR="00C74066">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rsidR="00C74066" w:rsidRDefault="00F10705">
            <w:pPr>
              <w:pStyle w:val="TableText"/>
            </w:pPr>
            <w:r>
              <w:t>Indiscernible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74066" w:rsidRDefault="00F10705">
            <w:pPr>
              <w:pStyle w:val="TableText0"/>
              <w:rPr>
                <w:rFonts w:asciiTheme="majorHAnsi" w:hAnsiTheme="majorHAnsi"/>
                <w:sz w:val="18"/>
                <w:szCs w:val="18"/>
              </w:rPr>
            </w:pPr>
            <w:r>
              <w:rPr>
                <w:rFonts w:asciiTheme="majorHAnsi" w:hAnsiTheme="majorHAnsi"/>
                <w:sz w:val="18"/>
                <w:szCs w:val="18"/>
              </w:rPr>
              <w:t>A</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74066" w:rsidRDefault="00F10705">
            <w:pPr>
              <w:pStyle w:val="TableText"/>
            </w:pPr>
            <w: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74066" w:rsidRDefault="00F10705">
            <w:pPr>
              <w:pStyle w:val="TableText"/>
            </w:pPr>
            <w: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2F2F2" w:themeFill="background1" w:themeFillShade="F2"/>
            <w:vAlign w:val="center"/>
          </w:tcPr>
          <w:p w:rsidR="00C74066" w:rsidRDefault="00F10705">
            <w:pPr>
              <w:pStyle w:val="TableText"/>
            </w:pPr>
            <w:r>
              <w:t>A</w:t>
            </w:r>
          </w:p>
        </w:tc>
      </w:tr>
      <w:tr w:rsidR="00C74066">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rsidR="00C74066" w:rsidRDefault="00F10705">
            <w:pPr>
              <w:pStyle w:val="TableText"/>
            </w:pPr>
            <w:r>
              <w:t>Minor significance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FE7FD"/>
            <w:vAlign w:val="center"/>
          </w:tcPr>
          <w:p w:rsidR="00C74066" w:rsidRDefault="00F10705">
            <w:pPr>
              <w:pStyle w:val="TableText0"/>
              <w:rPr>
                <w:rFonts w:ascii="Cambria" w:hAnsi="Cambria" w:cs="Arial"/>
                <w:snapToGrid w:val="0"/>
                <w:sz w:val="18"/>
                <w:szCs w:val="18"/>
              </w:rPr>
            </w:pPr>
            <w:r>
              <w:rPr>
                <w:rFonts w:ascii="Cambria" w:hAnsi="Cambria" w:cs="Arial"/>
                <w:snapToGrid w:val="0"/>
                <w:sz w:val="18"/>
                <w:szCs w:val="18"/>
              </w:rPr>
              <w:t>B</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FF"/>
            <w:vAlign w:val="center"/>
          </w:tcPr>
          <w:p w:rsidR="00C74066" w:rsidRDefault="00F10705">
            <w:pPr>
              <w:pStyle w:val="TableText0"/>
              <w:rPr>
                <w:rFonts w:ascii="Cambria" w:hAnsi="Cambria" w:cs="Arial"/>
                <w:snapToGrid w:val="0"/>
                <w:sz w:val="18"/>
                <w:szCs w:val="18"/>
              </w:rPr>
            </w:pPr>
            <w:r>
              <w:rPr>
                <w:rFonts w:ascii="Cambria" w:hAnsi="Cambria" w:cs="Arial"/>
                <w:snapToGrid w:val="0"/>
                <w:sz w:val="18"/>
                <w:szCs w:val="18"/>
              </w:rPr>
              <w:t>C</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CC"/>
          </w:tcPr>
          <w:p w:rsidR="00C74066" w:rsidRDefault="00F10705">
            <w:pPr>
              <w:pStyle w:val="TableText0"/>
              <w:rPr>
                <w:rFonts w:ascii="Cambria" w:hAnsi="Cambria" w:cs="Arial"/>
                <w:snapToGrid w:val="0"/>
                <w:sz w:val="18"/>
                <w:szCs w:val="18"/>
              </w:rPr>
            </w:pPr>
            <w:r>
              <w:rPr>
                <w:rFonts w:ascii="Cambria" w:hAnsi="Cambria" w:cs="Arial"/>
                <w:snapToGrid w:val="0"/>
                <w:sz w:val="18"/>
                <w:szCs w:val="18"/>
              </w:rPr>
              <w:t>D</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FFF99"/>
          </w:tcPr>
          <w:p w:rsidR="00C74066" w:rsidRDefault="00F10705">
            <w:pPr>
              <w:pStyle w:val="TableText"/>
            </w:pPr>
            <w:r>
              <w:t>E</w:t>
            </w:r>
          </w:p>
        </w:tc>
      </w:tr>
      <w:tr w:rsidR="00C74066">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rsidR="00C74066" w:rsidRDefault="00F10705">
            <w:pPr>
              <w:pStyle w:val="TableText"/>
            </w:pPr>
            <w:r>
              <w:t>Significant</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FF"/>
            <w:vAlign w:val="center"/>
          </w:tcPr>
          <w:p w:rsidR="00C74066" w:rsidRDefault="00F10705">
            <w:pPr>
              <w:pStyle w:val="TableText0"/>
              <w:rPr>
                <w:rFonts w:ascii="Cambria" w:hAnsi="Cambria" w:cs="Arial"/>
                <w:snapToGrid w:val="0"/>
                <w:sz w:val="18"/>
                <w:szCs w:val="18"/>
              </w:rPr>
            </w:pPr>
            <w:r>
              <w:rPr>
                <w:rFonts w:ascii="Cambria" w:hAnsi="Cambria" w:cs="Arial"/>
                <w:snapToGrid w:val="0"/>
                <w:sz w:val="18"/>
                <w:szCs w:val="18"/>
              </w:rPr>
              <w:t>C</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CC"/>
            <w:vAlign w:val="center"/>
          </w:tcPr>
          <w:p w:rsidR="00C74066" w:rsidRDefault="00F10705">
            <w:pPr>
              <w:pStyle w:val="TableText0"/>
              <w:rPr>
                <w:rFonts w:ascii="Cambria" w:hAnsi="Cambria" w:cs="Arial"/>
                <w:snapToGrid w:val="0"/>
                <w:sz w:val="18"/>
                <w:szCs w:val="18"/>
              </w:rPr>
            </w:pPr>
            <w:r>
              <w:rPr>
                <w:rFonts w:ascii="Cambria" w:hAnsi="Cambria" w:cs="Arial"/>
                <w:snapToGrid w:val="0"/>
                <w:sz w:val="18"/>
                <w:szCs w:val="18"/>
              </w:rPr>
              <w:t>D</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99"/>
          </w:tcPr>
          <w:p w:rsidR="00C74066" w:rsidRDefault="00F10705">
            <w:pPr>
              <w:pStyle w:val="TableText"/>
            </w:pPr>
            <w:r>
              <w:t>E</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000000" w:themeColor="text1"/>
            </w:tcBorders>
            <w:shd w:val="clear" w:color="auto" w:fill="FFCC99"/>
          </w:tcPr>
          <w:p w:rsidR="00C74066" w:rsidRDefault="00F10705">
            <w:pPr>
              <w:pStyle w:val="TableText"/>
            </w:pPr>
            <w:r>
              <w:t>F</w:t>
            </w:r>
          </w:p>
        </w:tc>
      </w:tr>
      <w:tr w:rsidR="00C74066">
        <w:trPr>
          <w:cantSplit/>
        </w:trPr>
        <w:tc>
          <w:tcPr>
            <w:tcW w:w="1158" w:type="pct"/>
            <w:tcBorders>
              <w:top w:val="single" w:sz="4" w:space="0" w:color="BFBFBF" w:themeColor="background1" w:themeShade="BF"/>
              <w:left w:val="single" w:sz="4" w:space="0" w:color="000000" w:themeColor="text1"/>
              <w:bottom w:val="single" w:sz="4" w:space="0" w:color="000000" w:themeColor="text1"/>
              <w:right w:val="single" w:sz="4" w:space="0" w:color="BFBFBF" w:themeColor="background1" w:themeShade="BF"/>
            </w:tcBorders>
            <w:shd w:val="clear" w:color="auto" w:fill="auto"/>
            <w:vAlign w:val="center"/>
          </w:tcPr>
          <w:p w:rsidR="00C74066" w:rsidRDefault="00F10705">
            <w:pPr>
              <w:pStyle w:val="TableText"/>
            </w:pPr>
            <w:r>
              <w:t>Major significance</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CCFFCC"/>
            <w:vAlign w:val="center"/>
          </w:tcPr>
          <w:p w:rsidR="00C74066" w:rsidRDefault="00F10705">
            <w:pPr>
              <w:pStyle w:val="TableText0"/>
              <w:rPr>
                <w:rFonts w:ascii="Cambria" w:hAnsi="Cambria" w:cs="Arial"/>
                <w:snapToGrid w:val="0"/>
                <w:sz w:val="18"/>
                <w:szCs w:val="18"/>
              </w:rPr>
            </w:pPr>
            <w:r>
              <w:rPr>
                <w:rFonts w:ascii="Cambria" w:hAnsi="Cambria" w:cs="Arial"/>
                <w:snapToGrid w:val="0"/>
                <w:sz w:val="18"/>
                <w:szCs w:val="18"/>
              </w:rPr>
              <w:t>D</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FF99"/>
            <w:vAlign w:val="center"/>
          </w:tcPr>
          <w:p w:rsidR="00C74066" w:rsidRDefault="00F10705">
            <w:pPr>
              <w:pStyle w:val="TableText0"/>
            </w:pPr>
            <w:r>
              <w:rPr>
                <w:rFonts w:ascii="Cambria" w:hAnsi="Cambria" w:cs="Arial"/>
                <w:snapToGrid w:val="0"/>
                <w:sz w:val="18"/>
                <w:szCs w:val="18"/>
              </w:rPr>
              <w:t>E</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CC99"/>
            <w:vAlign w:val="center"/>
          </w:tcPr>
          <w:p w:rsidR="00C74066" w:rsidRDefault="00F10705">
            <w:pPr>
              <w:pStyle w:val="TableText"/>
            </w:pPr>
            <w:r>
              <w:t>F</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000000" w:themeColor="text1"/>
            </w:tcBorders>
            <w:shd w:val="clear" w:color="auto" w:fill="FF99CC"/>
          </w:tcPr>
          <w:p w:rsidR="00C74066" w:rsidRDefault="00F10705">
            <w:pPr>
              <w:pStyle w:val="TableText"/>
            </w:pPr>
            <w:r>
              <w:t>G</w:t>
            </w:r>
          </w:p>
        </w:tc>
      </w:tr>
    </w:tbl>
    <w:p w:rsidR="00C74066" w:rsidRDefault="00F10705">
      <w:pPr>
        <w:pStyle w:val="FigureTableNoteSource"/>
      </w:pPr>
      <w:r>
        <w:t>Note: In earlier qualitative PRA’s, the scale for the impact scores went from A to F and did not explicitly allow for the rating ‘indiscernible’ at all four levels. This combination might be applicable for some criteria. In this report, the impact scale of A to F has been changed to become B–G and a new lowest category A (‘indiscernible’ at all four levels) was added. The rules for combining impacts in Table 4 were adjusted accordingly. The decision rules for determining the consequence impact score are presented in a simpler form in Table 3 from earlier PRAs, to make the table easier to use. The outcome of the decision rules is the same as the previous table and makes no difference to the final impact score.</w:t>
      </w:r>
    </w:p>
    <w:p w:rsidR="00C74066" w:rsidRDefault="00F10705">
      <w:pPr>
        <w:spacing w:before="200"/>
        <w:rPr>
          <w:rFonts w:ascii="Cambria" w:hAnsi="Cambria"/>
        </w:rPr>
      </w:pPr>
      <w:r>
        <w:rPr>
          <w:rFonts w:ascii="Cambria" w:hAnsi="Cambria"/>
        </w:rPr>
        <w:t>The overall consequence for each pest is achieved by combining the qualitative impact scores (A–G) for each direct and indirect consequence using a series of decision rules (Table 4). These rules are mutually exclusive, and are assessed in numerical order until one applies.</w:t>
      </w:r>
    </w:p>
    <w:p w:rsidR="00C74066" w:rsidRDefault="00F10705">
      <w:pPr>
        <w:pStyle w:val="Caption"/>
        <w:keepNext w:val="0"/>
        <w:rPr>
          <w:rFonts w:asciiTheme="majorHAnsi" w:eastAsiaTheme="majorEastAsia" w:hAnsiTheme="majorHAnsi" w:cstheme="majorBidi"/>
          <w:color w:val="595959" w:themeColor="text1" w:themeTint="A6"/>
          <w:sz w:val="20"/>
        </w:rPr>
      </w:pPr>
      <w:bookmarkStart w:id="79" w:name="_Toc384197747"/>
      <w:bookmarkStart w:id="80" w:name="_Toc384209835"/>
      <w:bookmarkStart w:id="81" w:name="_Toc384275079"/>
      <w:bookmarkStart w:id="82" w:name="_Toc388949920"/>
      <w:bookmarkStart w:id="83" w:name="_Toc434244760"/>
      <w:r>
        <w:rPr>
          <w:rFonts w:asciiTheme="majorHAnsi" w:eastAsiaTheme="majorEastAsia" w:hAnsiTheme="majorHAnsi" w:cstheme="majorBidi"/>
          <w:color w:val="595959" w:themeColor="text1" w:themeTint="A6"/>
          <w:sz w:val="20"/>
        </w:rPr>
        <w:t xml:space="preserve">Table </w:t>
      </w:r>
      <w:r w:rsidR="00C57DCF">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Table \* ARABIC </w:instrText>
      </w:r>
      <w:r w:rsidR="00C57DCF">
        <w:rPr>
          <w:rFonts w:asciiTheme="majorHAnsi" w:eastAsiaTheme="majorEastAsia" w:hAnsiTheme="majorHAnsi" w:cstheme="majorBidi"/>
          <w:color w:val="595959" w:themeColor="text1" w:themeTint="A6"/>
          <w:sz w:val="20"/>
        </w:rPr>
        <w:fldChar w:fldCharType="separate"/>
      </w:r>
      <w:r w:rsidR="00AF2121">
        <w:rPr>
          <w:rFonts w:asciiTheme="majorHAnsi" w:eastAsiaTheme="majorEastAsia" w:hAnsiTheme="majorHAnsi" w:cstheme="majorBidi"/>
          <w:noProof/>
          <w:color w:val="595959" w:themeColor="text1" w:themeTint="A6"/>
          <w:sz w:val="20"/>
        </w:rPr>
        <w:t>4</w:t>
      </w:r>
      <w:r w:rsidR="00C57DCF">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Decision rules for determining the overall consequence rating for each pest</w:t>
      </w:r>
      <w:bookmarkEnd w:id="79"/>
      <w:bookmarkEnd w:id="80"/>
      <w:bookmarkEnd w:id="81"/>
      <w:bookmarkEnd w:id="82"/>
      <w:bookmarkEnd w:id="83"/>
    </w:p>
    <w:tbl>
      <w:tblPr>
        <w:tblW w:w="5000" w:type="pct"/>
        <w:tblBorders>
          <w:top w:val="single" w:sz="4" w:space="0" w:color="auto"/>
          <w:bottom w:val="single" w:sz="4" w:space="0" w:color="auto"/>
        </w:tblBorders>
        <w:tblLook w:val="04A0"/>
      </w:tblPr>
      <w:tblGrid>
        <w:gridCol w:w="817"/>
        <w:gridCol w:w="5954"/>
        <w:gridCol w:w="2515"/>
      </w:tblGrid>
      <w:tr w:rsidR="00C74066">
        <w:trPr>
          <w:trHeight w:val="414"/>
        </w:trPr>
        <w:tc>
          <w:tcPr>
            <w:tcW w:w="440" w:type="pct"/>
          </w:tcPr>
          <w:p w:rsidR="00C74066" w:rsidRDefault="00F10705">
            <w:pPr>
              <w:pStyle w:val="TableHeading"/>
              <w:rPr>
                <w:rFonts w:ascii="Cambria" w:hAnsi="Cambria"/>
              </w:rPr>
            </w:pPr>
            <w:r>
              <w:rPr>
                <w:rFonts w:ascii="Cambria" w:hAnsi="Cambria"/>
              </w:rPr>
              <w:t>Rule</w:t>
            </w:r>
          </w:p>
        </w:tc>
        <w:tc>
          <w:tcPr>
            <w:tcW w:w="3206" w:type="pct"/>
          </w:tcPr>
          <w:p w:rsidR="00C74066" w:rsidRDefault="00F10705">
            <w:pPr>
              <w:pStyle w:val="TableHeading"/>
              <w:rPr>
                <w:rFonts w:ascii="Cambria" w:hAnsi="Cambria"/>
              </w:rPr>
            </w:pPr>
            <w:r>
              <w:rPr>
                <w:rFonts w:ascii="Cambria" w:hAnsi="Cambria"/>
              </w:rPr>
              <w:t>The impact scores for consequences of direct and indirect criteria</w:t>
            </w:r>
          </w:p>
        </w:tc>
        <w:tc>
          <w:tcPr>
            <w:tcW w:w="1354" w:type="pct"/>
          </w:tcPr>
          <w:p w:rsidR="00C74066" w:rsidRDefault="00F10705">
            <w:pPr>
              <w:pStyle w:val="TableHeading"/>
              <w:rPr>
                <w:rFonts w:ascii="Cambria" w:hAnsi="Cambria"/>
              </w:rPr>
            </w:pPr>
            <w:r>
              <w:rPr>
                <w:rFonts w:ascii="Cambria" w:hAnsi="Cambria"/>
              </w:rPr>
              <w:t>Overall consequence rating</w:t>
            </w:r>
          </w:p>
        </w:tc>
      </w:tr>
      <w:tr w:rsidR="00C74066">
        <w:trPr>
          <w:trHeight w:val="414"/>
        </w:trPr>
        <w:tc>
          <w:tcPr>
            <w:tcW w:w="440" w:type="pct"/>
          </w:tcPr>
          <w:p w:rsidR="00C74066" w:rsidRDefault="00F10705">
            <w:pPr>
              <w:pStyle w:val="TableText"/>
              <w:rPr>
                <w:rFonts w:ascii="Cambria" w:hAnsi="Cambria"/>
              </w:rPr>
            </w:pPr>
            <w:r>
              <w:rPr>
                <w:rFonts w:ascii="Cambria" w:hAnsi="Cambria"/>
              </w:rPr>
              <w:t>1</w:t>
            </w:r>
          </w:p>
        </w:tc>
        <w:tc>
          <w:tcPr>
            <w:tcW w:w="3206" w:type="pct"/>
          </w:tcPr>
          <w:p w:rsidR="00C74066" w:rsidRDefault="00F10705">
            <w:pPr>
              <w:pStyle w:val="TableText"/>
              <w:rPr>
                <w:rFonts w:ascii="Cambria" w:hAnsi="Cambria"/>
              </w:rPr>
            </w:pPr>
            <w:r>
              <w:rPr>
                <w:rFonts w:ascii="Cambria" w:hAnsi="Cambria"/>
              </w:rPr>
              <w:t>Any criterion has an impact of ‘G’; or</w:t>
            </w:r>
            <w:r>
              <w:rPr>
                <w:rFonts w:ascii="Cambria" w:hAnsi="Cambria"/>
              </w:rPr>
              <w:br/>
              <w:t>more than one criterion has an impact of ‘F’; or</w:t>
            </w:r>
            <w:r>
              <w:rPr>
                <w:rFonts w:ascii="Cambria" w:hAnsi="Cambria"/>
              </w:rPr>
              <w:br/>
              <w:t>a single criterion has an impact of ‘F’ and each remaining criterion an ‘E’.</w:t>
            </w:r>
          </w:p>
        </w:tc>
        <w:tc>
          <w:tcPr>
            <w:tcW w:w="1354" w:type="pct"/>
          </w:tcPr>
          <w:p w:rsidR="00C74066" w:rsidRDefault="00F10705">
            <w:pPr>
              <w:pStyle w:val="TableText"/>
              <w:rPr>
                <w:rFonts w:ascii="Cambria" w:hAnsi="Cambria"/>
              </w:rPr>
            </w:pPr>
            <w:r>
              <w:rPr>
                <w:rFonts w:ascii="Cambria" w:hAnsi="Cambria"/>
              </w:rPr>
              <w:t>Extreme</w:t>
            </w:r>
          </w:p>
        </w:tc>
      </w:tr>
      <w:tr w:rsidR="00C74066">
        <w:trPr>
          <w:trHeight w:val="414"/>
        </w:trPr>
        <w:tc>
          <w:tcPr>
            <w:tcW w:w="440" w:type="pct"/>
          </w:tcPr>
          <w:p w:rsidR="00C74066" w:rsidRDefault="00F10705">
            <w:pPr>
              <w:pStyle w:val="TableText"/>
              <w:rPr>
                <w:rFonts w:ascii="Cambria" w:hAnsi="Cambria"/>
              </w:rPr>
            </w:pPr>
            <w:r>
              <w:rPr>
                <w:rFonts w:ascii="Cambria" w:hAnsi="Cambria"/>
              </w:rPr>
              <w:t>2</w:t>
            </w:r>
          </w:p>
        </w:tc>
        <w:tc>
          <w:tcPr>
            <w:tcW w:w="3206" w:type="pct"/>
          </w:tcPr>
          <w:p w:rsidR="00C74066" w:rsidRDefault="00F10705">
            <w:pPr>
              <w:pStyle w:val="TableText"/>
              <w:rPr>
                <w:rFonts w:ascii="Cambria" w:hAnsi="Cambria"/>
              </w:rPr>
            </w:pPr>
            <w:r>
              <w:rPr>
                <w:rFonts w:ascii="Cambria" w:hAnsi="Cambria"/>
              </w:rPr>
              <w:t>A single criterion has an impact of ‘F’; or</w:t>
            </w:r>
            <w:r>
              <w:rPr>
                <w:rFonts w:ascii="Cambria" w:hAnsi="Cambria"/>
              </w:rPr>
              <w:br/>
              <w:t>all criteria have an impact of ‘E’.</w:t>
            </w:r>
          </w:p>
        </w:tc>
        <w:tc>
          <w:tcPr>
            <w:tcW w:w="1354" w:type="pct"/>
          </w:tcPr>
          <w:p w:rsidR="00C74066" w:rsidRDefault="00F10705">
            <w:pPr>
              <w:pStyle w:val="TableText"/>
              <w:rPr>
                <w:rFonts w:ascii="Cambria" w:hAnsi="Cambria"/>
              </w:rPr>
            </w:pPr>
            <w:r>
              <w:rPr>
                <w:rFonts w:ascii="Cambria" w:hAnsi="Cambria"/>
              </w:rPr>
              <w:t>High</w:t>
            </w:r>
          </w:p>
        </w:tc>
      </w:tr>
      <w:tr w:rsidR="00C74066">
        <w:trPr>
          <w:trHeight w:val="414"/>
        </w:trPr>
        <w:tc>
          <w:tcPr>
            <w:tcW w:w="440" w:type="pct"/>
          </w:tcPr>
          <w:p w:rsidR="00C74066" w:rsidRDefault="00F10705">
            <w:pPr>
              <w:pStyle w:val="TableText"/>
              <w:rPr>
                <w:rFonts w:ascii="Cambria" w:hAnsi="Cambria"/>
              </w:rPr>
            </w:pPr>
            <w:r>
              <w:rPr>
                <w:rFonts w:ascii="Cambria" w:hAnsi="Cambria"/>
              </w:rPr>
              <w:t>3</w:t>
            </w:r>
          </w:p>
        </w:tc>
        <w:tc>
          <w:tcPr>
            <w:tcW w:w="3206" w:type="pct"/>
          </w:tcPr>
          <w:p w:rsidR="00C74066" w:rsidRDefault="00F10705">
            <w:pPr>
              <w:pStyle w:val="TableText"/>
              <w:rPr>
                <w:rFonts w:ascii="Cambria" w:hAnsi="Cambria"/>
              </w:rPr>
            </w:pPr>
            <w:r>
              <w:rPr>
                <w:rFonts w:ascii="Cambria" w:hAnsi="Cambria"/>
              </w:rPr>
              <w:t>One or more criteria have an impact of ‘E’; or</w:t>
            </w:r>
            <w:r>
              <w:rPr>
                <w:rFonts w:ascii="Cambria" w:hAnsi="Cambria"/>
              </w:rPr>
              <w:br/>
              <w:t>all criteria have an impact of ‘D’.</w:t>
            </w:r>
          </w:p>
        </w:tc>
        <w:tc>
          <w:tcPr>
            <w:tcW w:w="1354" w:type="pct"/>
          </w:tcPr>
          <w:p w:rsidR="00C74066" w:rsidRDefault="00F10705">
            <w:pPr>
              <w:pStyle w:val="TableText"/>
              <w:rPr>
                <w:rFonts w:ascii="Cambria" w:hAnsi="Cambria"/>
              </w:rPr>
            </w:pPr>
            <w:r>
              <w:rPr>
                <w:rFonts w:ascii="Cambria" w:hAnsi="Cambria"/>
              </w:rPr>
              <w:t>Moderate</w:t>
            </w:r>
          </w:p>
        </w:tc>
      </w:tr>
      <w:tr w:rsidR="00C74066">
        <w:trPr>
          <w:trHeight w:val="414"/>
        </w:trPr>
        <w:tc>
          <w:tcPr>
            <w:tcW w:w="440" w:type="pct"/>
          </w:tcPr>
          <w:p w:rsidR="00C74066" w:rsidRDefault="00F10705">
            <w:pPr>
              <w:pStyle w:val="TableText"/>
              <w:rPr>
                <w:rFonts w:ascii="Cambria" w:hAnsi="Cambria"/>
              </w:rPr>
            </w:pPr>
            <w:r>
              <w:rPr>
                <w:rFonts w:ascii="Cambria" w:hAnsi="Cambria"/>
              </w:rPr>
              <w:t>4</w:t>
            </w:r>
          </w:p>
        </w:tc>
        <w:tc>
          <w:tcPr>
            <w:tcW w:w="3206" w:type="pct"/>
          </w:tcPr>
          <w:p w:rsidR="00C74066" w:rsidRDefault="00F10705">
            <w:pPr>
              <w:pStyle w:val="TableText"/>
              <w:rPr>
                <w:rFonts w:ascii="Cambria" w:hAnsi="Cambria"/>
              </w:rPr>
            </w:pPr>
            <w:r>
              <w:rPr>
                <w:rFonts w:ascii="Cambria" w:hAnsi="Cambria"/>
              </w:rPr>
              <w:t>One or more criteria have an impact of ‘D’; or</w:t>
            </w:r>
            <w:r>
              <w:rPr>
                <w:rFonts w:ascii="Cambria" w:hAnsi="Cambria"/>
              </w:rPr>
              <w:br/>
              <w:t>all criteria have an impact of ‘C’.</w:t>
            </w:r>
          </w:p>
        </w:tc>
        <w:tc>
          <w:tcPr>
            <w:tcW w:w="1354" w:type="pct"/>
          </w:tcPr>
          <w:p w:rsidR="00C74066" w:rsidRDefault="00F10705">
            <w:pPr>
              <w:pStyle w:val="TableText"/>
              <w:rPr>
                <w:rFonts w:ascii="Cambria" w:hAnsi="Cambria"/>
              </w:rPr>
            </w:pPr>
            <w:r>
              <w:rPr>
                <w:rFonts w:ascii="Cambria" w:hAnsi="Cambria"/>
              </w:rPr>
              <w:t>Low</w:t>
            </w:r>
          </w:p>
        </w:tc>
      </w:tr>
      <w:tr w:rsidR="00C74066">
        <w:trPr>
          <w:trHeight w:val="414"/>
        </w:trPr>
        <w:tc>
          <w:tcPr>
            <w:tcW w:w="440" w:type="pct"/>
          </w:tcPr>
          <w:p w:rsidR="00C74066" w:rsidRDefault="00F10705">
            <w:pPr>
              <w:pStyle w:val="TableText"/>
              <w:rPr>
                <w:rFonts w:ascii="Cambria" w:hAnsi="Cambria"/>
              </w:rPr>
            </w:pPr>
            <w:r>
              <w:rPr>
                <w:rFonts w:ascii="Cambria" w:hAnsi="Cambria"/>
              </w:rPr>
              <w:t>5</w:t>
            </w:r>
          </w:p>
        </w:tc>
        <w:tc>
          <w:tcPr>
            <w:tcW w:w="3206" w:type="pct"/>
          </w:tcPr>
          <w:p w:rsidR="00C74066" w:rsidRDefault="00F10705">
            <w:pPr>
              <w:pStyle w:val="TableText"/>
              <w:rPr>
                <w:rFonts w:ascii="Cambria" w:hAnsi="Cambria"/>
              </w:rPr>
            </w:pPr>
            <w:r>
              <w:rPr>
                <w:rFonts w:ascii="Cambria" w:hAnsi="Cambria"/>
              </w:rPr>
              <w:t>One or more criteria have an impact of ‘C’; or</w:t>
            </w:r>
            <w:r>
              <w:rPr>
                <w:rFonts w:ascii="Cambria" w:hAnsi="Cambria"/>
              </w:rPr>
              <w:br/>
              <w:t>all criteria have an impact of ‘B’.</w:t>
            </w:r>
          </w:p>
        </w:tc>
        <w:tc>
          <w:tcPr>
            <w:tcW w:w="1354" w:type="pct"/>
          </w:tcPr>
          <w:p w:rsidR="00C74066" w:rsidRDefault="00F10705">
            <w:pPr>
              <w:pStyle w:val="TableText"/>
              <w:rPr>
                <w:rFonts w:ascii="Cambria" w:hAnsi="Cambria"/>
              </w:rPr>
            </w:pPr>
            <w:r>
              <w:rPr>
                <w:rFonts w:ascii="Cambria" w:hAnsi="Cambria"/>
              </w:rPr>
              <w:t>Very Low</w:t>
            </w:r>
          </w:p>
        </w:tc>
      </w:tr>
      <w:tr w:rsidR="00C74066">
        <w:trPr>
          <w:trHeight w:val="414"/>
        </w:trPr>
        <w:tc>
          <w:tcPr>
            <w:tcW w:w="440" w:type="pct"/>
          </w:tcPr>
          <w:p w:rsidR="00C74066" w:rsidRDefault="00F10705">
            <w:pPr>
              <w:pStyle w:val="TableText"/>
              <w:rPr>
                <w:rFonts w:ascii="Cambria" w:hAnsi="Cambria"/>
              </w:rPr>
            </w:pPr>
            <w:r>
              <w:rPr>
                <w:rFonts w:ascii="Cambria" w:hAnsi="Cambria"/>
              </w:rPr>
              <w:t>6</w:t>
            </w:r>
          </w:p>
        </w:tc>
        <w:tc>
          <w:tcPr>
            <w:tcW w:w="3206" w:type="pct"/>
          </w:tcPr>
          <w:p w:rsidR="00C74066" w:rsidRDefault="00F10705">
            <w:pPr>
              <w:pStyle w:val="TableText"/>
              <w:rPr>
                <w:rFonts w:ascii="Cambria" w:hAnsi="Cambria"/>
              </w:rPr>
            </w:pPr>
            <w:r>
              <w:rPr>
                <w:rFonts w:ascii="Cambria" w:hAnsi="Cambria"/>
              </w:rPr>
              <w:t>One or more but not all criteria have an impact of ‘B’; and</w:t>
            </w:r>
            <w:r>
              <w:rPr>
                <w:rFonts w:ascii="Cambria" w:hAnsi="Cambria"/>
              </w:rPr>
              <w:br/>
              <w:t>all remaining criteria have an impact of ‘A’.</w:t>
            </w:r>
          </w:p>
        </w:tc>
        <w:tc>
          <w:tcPr>
            <w:tcW w:w="1354" w:type="pct"/>
          </w:tcPr>
          <w:p w:rsidR="00C74066" w:rsidRDefault="00F10705">
            <w:pPr>
              <w:pStyle w:val="TableText"/>
              <w:rPr>
                <w:rFonts w:ascii="Cambria" w:hAnsi="Cambria"/>
              </w:rPr>
            </w:pPr>
            <w:r>
              <w:rPr>
                <w:rFonts w:ascii="Cambria" w:hAnsi="Cambria"/>
              </w:rPr>
              <w:t>Negligible</w:t>
            </w:r>
          </w:p>
        </w:tc>
      </w:tr>
    </w:tbl>
    <w:p w:rsidR="00C74066" w:rsidRDefault="00F10705">
      <w:pPr>
        <w:pStyle w:val="Heading3"/>
        <w:keepLines/>
        <w:numPr>
          <w:ilvl w:val="2"/>
          <w:numId w:val="21"/>
        </w:numPr>
        <w:tabs>
          <w:tab w:val="clear" w:pos="720"/>
        </w:tabs>
        <w:spacing w:before="120" w:after="200"/>
        <w:ind w:left="357" w:hanging="357"/>
        <w:rPr>
          <w:rFonts w:ascii="Calibri" w:hAnsi="Calibri" w:cstheme="minorBidi"/>
          <w:sz w:val="24"/>
          <w:szCs w:val="22"/>
        </w:rPr>
      </w:pPr>
      <w:r>
        <w:rPr>
          <w:rFonts w:ascii="Calibri" w:hAnsi="Calibri" w:cstheme="minorBidi"/>
          <w:sz w:val="24"/>
          <w:szCs w:val="22"/>
        </w:rPr>
        <w:t>Estimation of the unrestricted risk</w:t>
      </w:r>
    </w:p>
    <w:p w:rsidR="00C74066" w:rsidRDefault="00F10705">
      <w:pPr>
        <w:spacing w:before="200"/>
        <w:rPr>
          <w:rFonts w:ascii="Cambria" w:hAnsi="Cambria"/>
        </w:rPr>
      </w:pPr>
      <w:r>
        <w:rPr>
          <w:rFonts w:ascii="Cambria" w:hAnsi="Cambria"/>
        </w:rPr>
        <w:t>Once the above assessments are completed, the unrestricted risk can be determined for each pest or groups of pests. This is determined by using a risk estimation matrix (Table 5) to combine the estimates of the probability of entry, establishment and spread and the overall consequences of pest establishment and spread. Therefore, risk is the product of likelihood and consequence.</w:t>
      </w:r>
    </w:p>
    <w:p w:rsidR="00C74066" w:rsidRDefault="00F10705">
      <w:pPr>
        <w:spacing w:before="200"/>
        <w:rPr>
          <w:rFonts w:ascii="Cambria" w:hAnsi="Cambria"/>
        </w:rPr>
      </w:pPr>
      <w:r>
        <w:rPr>
          <w:rFonts w:ascii="Cambria" w:hAnsi="Cambria"/>
        </w:rPr>
        <w:t xml:space="preserve">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w:t>
      </w:r>
      <w:r>
        <w:rPr>
          <w:rFonts w:ascii="Cambria" w:hAnsi="Cambria"/>
        </w:rPr>
        <w:lastRenderedPageBreak/>
        <w:t>the same as a ‘high’ likelihood combined with ‘low’ consequences—the matrix is not symmetrical. For example, the former combination would give an unrestricted risk rating of ‘moderate’, whereas the latter would be rated as a ‘low’ unrestricted risk.</w:t>
      </w:r>
    </w:p>
    <w:p w:rsidR="00C74066" w:rsidRDefault="00F10705">
      <w:pPr>
        <w:pStyle w:val="Caption"/>
        <w:keepNext w:val="0"/>
        <w:rPr>
          <w:rFonts w:asciiTheme="majorHAnsi" w:eastAsiaTheme="majorEastAsia" w:hAnsiTheme="majorHAnsi" w:cstheme="majorBidi"/>
          <w:color w:val="595959" w:themeColor="text1" w:themeTint="A6"/>
          <w:sz w:val="20"/>
        </w:rPr>
      </w:pPr>
      <w:bookmarkStart w:id="84" w:name="_Toc384197748"/>
      <w:bookmarkStart w:id="85" w:name="_Toc384209836"/>
      <w:bookmarkStart w:id="86" w:name="_Toc384275080"/>
      <w:bookmarkStart w:id="87" w:name="_Toc388949921"/>
      <w:bookmarkStart w:id="88" w:name="_Toc434244761"/>
      <w:r>
        <w:rPr>
          <w:rFonts w:asciiTheme="majorHAnsi" w:eastAsiaTheme="majorEastAsia" w:hAnsiTheme="majorHAnsi" w:cstheme="majorBidi"/>
          <w:color w:val="595959" w:themeColor="text1" w:themeTint="A6"/>
          <w:sz w:val="20"/>
        </w:rPr>
        <w:t xml:space="preserve">Table </w:t>
      </w:r>
      <w:r w:rsidR="00C57DCF">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Table \* ARABIC </w:instrText>
      </w:r>
      <w:r w:rsidR="00C57DCF">
        <w:rPr>
          <w:rFonts w:asciiTheme="majorHAnsi" w:eastAsiaTheme="majorEastAsia" w:hAnsiTheme="majorHAnsi" w:cstheme="majorBidi"/>
          <w:color w:val="595959" w:themeColor="text1" w:themeTint="A6"/>
          <w:sz w:val="20"/>
        </w:rPr>
        <w:fldChar w:fldCharType="separate"/>
      </w:r>
      <w:r w:rsidR="00AF2121">
        <w:rPr>
          <w:rFonts w:asciiTheme="majorHAnsi" w:eastAsiaTheme="majorEastAsia" w:hAnsiTheme="majorHAnsi" w:cstheme="majorBidi"/>
          <w:noProof/>
          <w:color w:val="595959" w:themeColor="text1" w:themeTint="A6"/>
          <w:sz w:val="20"/>
        </w:rPr>
        <w:t>5</w:t>
      </w:r>
      <w:r w:rsidR="00C57DCF">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Risk estimation matrix</w:t>
      </w:r>
      <w:bookmarkEnd w:id="84"/>
      <w:bookmarkEnd w:id="85"/>
      <w:bookmarkEnd w:id="86"/>
      <w:bookmarkEnd w:id="87"/>
      <w:bookmarkEnd w:id="88"/>
    </w:p>
    <w:tbl>
      <w:tblPr>
        <w:tblW w:w="5000" w:type="pct"/>
        <w:tblLook w:val="0000"/>
      </w:tblPr>
      <w:tblGrid>
        <w:gridCol w:w="1472"/>
        <w:gridCol w:w="1302"/>
        <w:gridCol w:w="1302"/>
        <w:gridCol w:w="1304"/>
        <w:gridCol w:w="1302"/>
        <w:gridCol w:w="1302"/>
        <w:gridCol w:w="1302"/>
      </w:tblGrid>
      <w:tr w:rsidR="00C74066">
        <w:trPr>
          <w:cantSplit/>
          <w:trHeight w:val="551"/>
        </w:trPr>
        <w:tc>
          <w:tcPr>
            <w:tcW w:w="793" w:type="pct"/>
            <w:vMerge w:val="restart"/>
            <w:tcBorders>
              <w:top w:val="single" w:sz="4" w:space="0" w:color="auto"/>
              <w:left w:val="single" w:sz="4" w:space="0" w:color="auto"/>
              <w:bottom w:val="single" w:sz="4" w:space="0" w:color="BFBFBF" w:themeColor="background1" w:themeShade="BF"/>
            </w:tcBorders>
            <w:vAlign w:val="bottom"/>
          </w:tcPr>
          <w:p w:rsidR="00C74066" w:rsidRDefault="00F10705">
            <w:pPr>
              <w:pStyle w:val="TableHeading"/>
            </w:pPr>
            <w:r>
              <w:t>Likelihood of pest entry, establishment and spread</w:t>
            </w:r>
          </w:p>
        </w:tc>
        <w:tc>
          <w:tcPr>
            <w:tcW w:w="4207" w:type="pct"/>
            <w:gridSpan w:val="6"/>
            <w:tcBorders>
              <w:top w:val="single" w:sz="4" w:space="0" w:color="auto"/>
              <w:left w:val="nil"/>
              <w:bottom w:val="single" w:sz="4" w:space="0" w:color="BFBFBF" w:themeColor="background1" w:themeShade="BF"/>
              <w:right w:val="single" w:sz="4" w:space="0" w:color="auto"/>
            </w:tcBorders>
            <w:shd w:val="clear" w:color="auto" w:fill="auto"/>
            <w:vAlign w:val="bottom"/>
          </w:tcPr>
          <w:p w:rsidR="00C74066" w:rsidRDefault="00F10705">
            <w:pPr>
              <w:pStyle w:val="TableHeading"/>
              <w:jc w:val="center"/>
            </w:pPr>
            <w:r>
              <w:t>Consequences of pest entry, establishment and spread</w:t>
            </w:r>
          </w:p>
        </w:tc>
      </w:tr>
      <w:tr w:rsidR="00C74066">
        <w:trPr>
          <w:cantSplit/>
        </w:trPr>
        <w:tc>
          <w:tcPr>
            <w:tcW w:w="793" w:type="pct"/>
            <w:vMerge/>
            <w:tcBorders>
              <w:top w:val="single" w:sz="4" w:space="0" w:color="BFBFBF" w:themeColor="background1" w:themeShade="BF"/>
              <w:left w:val="single" w:sz="4" w:space="0" w:color="auto"/>
              <w:bottom w:val="single" w:sz="4" w:space="0" w:color="BFBFBF" w:themeColor="background1" w:themeShade="BF"/>
            </w:tcBorders>
          </w:tcPr>
          <w:p w:rsidR="00C74066" w:rsidRDefault="00C74066">
            <w:pPr>
              <w:pStyle w:val="TableText"/>
              <w:rPr>
                <w:color w:val="FFFFFF" w:themeColor="background1"/>
              </w:rPr>
            </w:pPr>
          </w:p>
        </w:tc>
        <w:tc>
          <w:tcPr>
            <w:tcW w:w="701" w:type="pct"/>
            <w:tcBorders>
              <w:top w:val="single" w:sz="4" w:space="0" w:color="BFBFBF" w:themeColor="background1" w:themeShade="BF"/>
              <w:left w:val="nil"/>
              <w:bottom w:val="single" w:sz="8" w:space="0" w:color="C0C0C0"/>
            </w:tcBorders>
            <w:shd w:val="clear" w:color="auto" w:fill="auto"/>
            <w:vAlign w:val="bottom"/>
          </w:tcPr>
          <w:p w:rsidR="00C74066" w:rsidRDefault="00F10705">
            <w:pPr>
              <w:pStyle w:val="TableText"/>
              <w:rPr>
                <w:b/>
              </w:rPr>
            </w:pPr>
            <w:r>
              <w:rPr>
                <w:b/>
              </w:rPr>
              <w:t xml:space="preserve">Negligible </w:t>
            </w:r>
          </w:p>
        </w:tc>
        <w:tc>
          <w:tcPr>
            <w:tcW w:w="701" w:type="pct"/>
            <w:tcBorders>
              <w:top w:val="single" w:sz="4" w:space="0" w:color="BFBFBF" w:themeColor="background1" w:themeShade="BF"/>
              <w:bottom w:val="single" w:sz="8" w:space="0" w:color="C0C0C0"/>
            </w:tcBorders>
            <w:shd w:val="clear" w:color="auto" w:fill="auto"/>
            <w:vAlign w:val="bottom"/>
          </w:tcPr>
          <w:p w:rsidR="00C74066" w:rsidRDefault="00F10705">
            <w:pPr>
              <w:pStyle w:val="TableText"/>
              <w:rPr>
                <w:b/>
              </w:rPr>
            </w:pPr>
            <w:r>
              <w:rPr>
                <w:b/>
              </w:rPr>
              <w:t>Very low</w:t>
            </w:r>
          </w:p>
        </w:tc>
        <w:tc>
          <w:tcPr>
            <w:tcW w:w="702" w:type="pct"/>
            <w:tcBorders>
              <w:top w:val="single" w:sz="4" w:space="0" w:color="BFBFBF" w:themeColor="background1" w:themeShade="BF"/>
              <w:bottom w:val="single" w:sz="8" w:space="0" w:color="C0C0C0"/>
            </w:tcBorders>
            <w:shd w:val="clear" w:color="auto" w:fill="auto"/>
            <w:vAlign w:val="bottom"/>
          </w:tcPr>
          <w:p w:rsidR="00C74066" w:rsidRDefault="00F10705">
            <w:pPr>
              <w:pStyle w:val="TableText"/>
              <w:rPr>
                <w:b/>
              </w:rPr>
            </w:pPr>
            <w:r>
              <w:rPr>
                <w:b/>
              </w:rPr>
              <w:t xml:space="preserve">Low </w:t>
            </w:r>
          </w:p>
        </w:tc>
        <w:tc>
          <w:tcPr>
            <w:tcW w:w="701" w:type="pct"/>
            <w:tcBorders>
              <w:top w:val="single" w:sz="4" w:space="0" w:color="BFBFBF" w:themeColor="background1" w:themeShade="BF"/>
              <w:bottom w:val="single" w:sz="8" w:space="0" w:color="C0C0C0"/>
            </w:tcBorders>
            <w:shd w:val="clear" w:color="auto" w:fill="auto"/>
            <w:vAlign w:val="bottom"/>
          </w:tcPr>
          <w:p w:rsidR="00C74066" w:rsidRDefault="00F10705">
            <w:pPr>
              <w:pStyle w:val="TableText"/>
              <w:rPr>
                <w:b/>
              </w:rPr>
            </w:pPr>
            <w:r>
              <w:rPr>
                <w:b/>
              </w:rPr>
              <w:t>Moderate</w:t>
            </w:r>
          </w:p>
        </w:tc>
        <w:tc>
          <w:tcPr>
            <w:tcW w:w="701" w:type="pct"/>
            <w:tcBorders>
              <w:top w:val="single" w:sz="4" w:space="0" w:color="BFBFBF" w:themeColor="background1" w:themeShade="BF"/>
              <w:bottom w:val="single" w:sz="8" w:space="0" w:color="C0C0C0"/>
            </w:tcBorders>
            <w:shd w:val="clear" w:color="auto" w:fill="auto"/>
            <w:vAlign w:val="bottom"/>
          </w:tcPr>
          <w:p w:rsidR="00C74066" w:rsidRDefault="00F10705">
            <w:pPr>
              <w:pStyle w:val="TableText"/>
              <w:rPr>
                <w:b/>
              </w:rPr>
            </w:pPr>
            <w:r>
              <w:rPr>
                <w:b/>
              </w:rPr>
              <w:t>High</w:t>
            </w:r>
          </w:p>
        </w:tc>
        <w:tc>
          <w:tcPr>
            <w:tcW w:w="701" w:type="pct"/>
            <w:tcBorders>
              <w:top w:val="single" w:sz="4" w:space="0" w:color="BFBFBF" w:themeColor="background1" w:themeShade="BF"/>
              <w:bottom w:val="single" w:sz="8" w:space="0" w:color="C0C0C0"/>
              <w:right w:val="single" w:sz="4" w:space="0" w:color="auto"/>
            </w:tcBorders>
            <w:shd w:val="clear" w:color="auto" w:fill="auto"/>
            <w:vAlign w:val="bottom"/>
          </w:tcPr>
          <w:p w:rsidR="00C74066" w:rsidRDefault="00F10705">
            <w:pPr>
              <w:pStyle w:val="TableText"/>
              <w:rPr>
                <w:b/>
              </w:rPr>
            </w:pPr>
            <w:r>
              <w:rPr>
                <w:b/>
              </w:rPr>
              <w:t xml:space="preserve">Extreme </w:t>
            </w:r>
          </w:p>
        </w:tc>
      </w:tr>
      <w:tr w:rsidR="00C74066">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C74066" w:rsidRDefault="00F10705">
            <w:pPr>
              <w:pStyle w:val="TableText"/>
              <w:rPr>
                <w:b/>
              </w:rPr>
            </w:pPr>
            <w:r>
              <w:rPr>
                <w:b/>
              </w:rPr>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rsidR="00C74066" w:rsidRDefault="00F10705">
            <w:pPr>
              <w:pStyle w:val="TableText"/>
            </w:pPr>
            <w:r>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rsidR="00C74066" w:rsidRDefault="00F10705">
            <w:pPr>
              <w:pStyle w:val="TableText"/>
              <w:rPr>
                <w:color w:val="FFFFFF"/>
              </w:rPr>
            </w:pPr>
            <w:r>
              <w:rPr>
                <w:color w:val="FFFFFF"/>
              </w:rPr>
              <w:t>Very 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rsidR="00C74066" w:rsidRDefault="00F10705">
            <w:pPr>
              <w:pStyle w:val="TableText"/>
            </w:pPr>
            <w:r>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rsidR="00C74066" w:rsidRDefault="00F10705">
            <w:pPr>
              <w:pStyle w:val="TableText"/>
            </w:pPr>
            <w:r>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rsidR="00C74066" w:rsidRDefault="00F10705">
            <w:pPr>
              <w:pStyle w:val="TableText"/>
            </w:pPr>
            <w:r>
              <w:t>High risk</w:t>
            </w:r>
          </w:p>
        </w:tc>
        <w:tc>
          <w:tcPr>
            <w:tcW w:w="701"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rsidR="00C74066" w:rsidRDefault="00F10705">
            <w:pPr>
              <w:pStyle w:val="TableText"/>
            </w:pPr>
            <w:r>
              <w:t>Extreme risk</w:t>
            </w:r>
          </w:p>
        </w:tc>
      </w:tr>
      <w:tr w:rsidR="00C74066">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C74066" w:rsidRDefault="00F10705">
            <w:pPr>
              <w:pStyle w:val="TableText"/>
              <w:rPr>
                <w:b/>
              </w:rPr>
            </w:pPr>
            <w:r>
              <w:rPr>
                <w:b/>
              </w:rPr>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C74066" w:rsidRDefault="00F10705">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rsidR="00C74066" w:rsidRDefault="00F10705">
            <w:pPr>
              <w:pStyle w:val="TableText"/>
              <w:rPr>
                <w:color w:val="FFFFFF"/>
              </w:rPr>
            </w:pPr>
            <w:r>
              <w:rPr>
                <w:color w:val="FFFFFF"/>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rsidR="00C74066" w:rsidRDefault="00F10705">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rsidR="00C74066" w:rsidRDefault="00F10705">
            <w:pPr>
              <w:pStyle w:val="TableText"/>
            </w:pPr>
            <w: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rsidR="00C74066" w:rsidRDefault="00F10705">
            <w:pPr>
              <w:pStyle w:val="TableText"/>
            </w:pPr>
            <w:r>
              <w:t>High risk</w:t>
            </w:r>
          </w:p>
        </w:tc>
        <w:tc>
          <w:tcPr>
            <w:tcW w:w="701" w:type="pct"/>
            <w:tcBorders>
              <w:top w:val="single" w:sz="8" w:space="0" w:color="C0C0C0"/>
              <w:left w:val="single" w:sz="8" w:space="0" w:color="C0C0C0"/>
              <w:bottom w:val="single" w:sz="8" w:space="0" w:color="C0C0C0"/>
              <w:right w:val="single" w:sz="4" w:space="0" w:color="auto"/>
            </w:tcBorders>
            <w:shd w:val="clear" w:color="auto" w:fill="FF99CC"/>
          </w:tcPr>
          <w:p w:rsidR="00C74066" w:rsidRDefault="00F10705">
            <w:pPr>
              <w:pStyle w:val="TableText"/>
            </w:pPr>
            <w:r>
              <w:t>Extreme risk</w:t>
            </w:r>
          </w:p>
        </w:tc>
      </w:tr>
      <w:tr w:rsidR="00C74066">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C74066" w:rsidRDefault="00F10705">
            <w:pPr>
              <w:pStyle w:val="TableText"/>
              <w:rPr>
                <w:b/>
              </w:rPr>
            </w:pPr>
            <w:r>
              <w:rPr>
                <w:b/>
              </w:rPr>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C74066" w:rsidRDefault="00F10705">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C74066" w:rsidRDefault="00F10705">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rsidR="00C74066" w:rsidRDefault="00F10705">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rsidR="00C74066" w:rsidRDefault="00F10705">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rsidR="00C74066" w:rsidRDefault="00F10705">
            <w:pPr>
              <w:pStyle w:val="TableText"/>
            </w:pPr>
            <w:r>
              <w:t>Moderate risk</w:t>
            </w:r>
          </w:p>
        </w:tc>
        <w:tc>
          <w:tcPr>
            <w:tcW w:w="701" w:type="pct"/>
            <w:tcBorders>
              <w:top w:val="single" w:sz="8" w:space="0" w:color="C0C0C0"/>
              <w:left w:val="single" w:sz="8" w:space="0" w:color="C0C0C0"/>
              <w:bottom w:val="single" w:sz="8" w:space="0" w:color="C0C0C0"/>
              <w:right w:val="single" w:sz="4" w:space="0" w:color="auto"/>
            </w:tcBorders>
            <w:shd w:val="clear" w:color="auto" w:fill="FFCC99"/>
          </w:tcPr>
          <w:p w:rsidR="00C74066" w:rsidRDefault="00F10705">
            <w:pPr>
              <w:pStyle w:val="TableText"/>
            </w:pPr>
            <w:r>
              <w:t>High risk</w:t>
            </w:r>
          </w:p>
        </w:tc>
      </w:tr>
      <w:tr w:rsidR="00C74066">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C74066" w:rsidRDefault="00F10705">
            <w:pPr>
              <w:pStyle w:val="TableText"/>
              <w:rPr>
                <w:b/>
              </w:rPr>
            </w:pPr>
            <w:r>
              <w:rPr>
                <w:b/>
              </w:rPr>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C74066" w:rsidRDefault="00F10705">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C74066" w:rsidRDefault="00F10705">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C74066" w:rsidRDefault="00F10705">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rsidR="00C74066" w:rsidRDefault="00F10705">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rsidR="00C74066" w:rsidRDefault="00F10705">
            <w:pPr>
              <w:pStyle w:val="TableText"/>
            </w:pPr>
            <w:r>
              <w:t>Low risk</w:t>
            </w:r>
          </w:p>
        </w:tc>
        <w:tc>
          <w:tcPr>
            <w:tcW w:w="701" w:type="pct"/>
            <w:tcBorders>
              <w:top w:val="single" w:sz="8" w:space="0" w:color="C0C0C0"/>
              <w:left w:val="single" w:sz="8" w:space="0" w:color="C0C0C0"/>
              <w:bottom w:val="single" w:sz="8" w:space="0" w:color="C0C0C0"/>
              <w:right w:val="single" w:sz="4" w:space="0" w:color="auto"/>
            </w:tcBorders>
            <w:shd w:val="clear" w:color="auto" w:fill="FFFF99"/>
          </w:tcPr>
          <w:p w:rsidR="00C74066" w:rsidRDefault="00F10705">
            <w:pPr>
              <w:pStyle w:val="TableText"/>
            </w:pPr>
            <w:r>
              <w:t>Moderate risk</w:t>
            </w:r>
          </w:p>
        </w:tc>
      </w:tr>
      <w:tr w:rsidR="00C74066">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C74066" w:rsidRDefault="00F10705">
            <w:pPr>
              <w:pStyle w:val="TableText"/>
              <w:rPr>
                <w:b/>
              </w:rPr>
            </w:pPr>
            <w:r>
              <w:rPr>
                <w:b/>
              </w:rPr>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C74066" w:rsidRDefault="00F10705">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C74066" w:rsidRDefault="00F10705">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C74066" w:rsidRDefault="00F10705">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C74066" w:rsidRDefault="00F10705">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rsidR="00C74066" w:rsidRDefault="00F10705">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4" w:space="0" w:color="auto"/>
            </w:tcBorders>
            <w:shd w:val="clear" w:color="auto" w:fill="CCFFCC"/>
          </w:tcPr>
          <w:p w:rsidR="00C74066" w:rsidRDefault="00F10705">
            <w:pPr>
              <w:pStyle w:val="TableText"/>
            </w:pPr>
            <w:r>
              <w:t>Low risk</w:t>
            </w:r>
          </w:p>
        </w:tc>
      </w:tr>
      <w:tr w:rsidR="00C74066">
        <w:trPr>
          <w:cantSplit/>
        </w:trPr>
        <w:tc>
          <w:tcPr>
            <w:tcW w:w="793"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rsidR="00C74066" w:rsidRDefault="00F10705">
            <w:pPr>
              <w:pStyle w:val="TableText"/>
              <w:rPr>
                <w:b/>
              </w:rPr>
            </w:pPr>
            <w:r>
              <w:rPr>
                <w:b/>
              </w:rPr>
              <w:t xml:space="preserve">Negligible </w:t>
            </w:r>
          </w:p>
        </w:tc>
        <w:tc>
          <w:tcPr>
            <w:tcW w:w="701"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rsidR="00C74066" w:rsidRDefault="00F10705">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C74066" w:rsidRDefault="00F10705">
            <w:pPr>
              <w:pStyle w:val="TableText"/>
            </w:pPr>
            <w: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C74066" w:rsidRDefault="00F10705">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C74066" w:rsidRDefault="00F10705">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C74066" w:rsidRDefault="00F10705">
            <w:pPr>
              <w:pStyle w:val="TableText"/>
            </w:pPr>
            <w:r>
              <w:t>Negligible risk</w:t>
            </w:r>
          </w:p>
        </w:tc>
        <w:tc>
          <w:tcPr>
            <w:tcW w:w="701" w:type="pct"/>
            <w:tcBorders>
              <w:top w:val="single" w:sz="8" w:space="0" w:color="C0C0C0"/>
              <w:left w:val="single" w:sz="8" w:space="0" w:color="C0C0C0"/>
              <w:bottom w:val="single" w:sz="4" w:space="0" w:color="auto"/>
              <w:right w:val="single" w:sz="4" w:space="0" w:color="auto"/>
            </w:tcBorders>
            <w:shd w:val="clear" w:color="auto" w:fill="000000"/>
          </w:tcPr>
          <w:p w:rsidR="00C74066" w:rsidRDefault="00F10705">
            <w:pPr>
              <w:pStyle w:val="TableText"/>
              <w:rPr>
                <w:color w:val="FFFFFF"/>
              </w:rPr>
            </w:pPr>
            <w:r>
              <w:rPr>
                <w:color w:val="FFFFFF"/>
              </w:rPr>
              <w:t>Very low risk</w:t>
            </w:r>
          </w:p>
        </w:tc>
      </w:tr>
    </w:tbl>
    <w:p w:rsidR="00C74066" w:rsidRDefault="00F10705">
      <w:pPr>
        <w:pStyle w:val="Heading3"/>
        <w:keepLines/>
        <w:numPr>
          <w:ilvl w:val="2"/>
          <w:numId w:val="21"/>
        </w:numPr>
        <w:tabs>
          <w:tab w:val="clear" w:pos="720"/>
        </w:tabs>
        <w:spacing w:before="120" w:after="200"/>
        <w:ind w:left="357" w:hanging="357"/>
        <w:rPr>
          <w:rFonts w:ascii="Calibri" w:hAnsi="Calibri" w:cstheme="minorBidi"/>
          <w:sz w:val="24"/>
          <w:szCs w:val="22"/>
        </w:rPr>
      </w:pPr>
      <w:r>
        <w:rPr>
          <w:rFonts w:ascii="Calibri" w:hAnsi="Calibri" w:cstheme="minorBidi"/>
          <w:sz w:val="24"/>
          <w:szCs w:val="22"/>
        </w:rPr>
        <w:t>Australia’s appropriate level of protection (ALOP)</w:t>
      </w:r>
    </w:p>
    <w:p w:rsidR="00C74066" w:rsidRDefault="00F10705">
      <w:pPr>
        <w:spacing w:before="200"/>
        <w:rPr>
          <w:rFonts w:ascii="Cambria" w:hAnsi="Cambria"/>
        </w:rPr>
      </w:pPr>
      <w:r>
        <w:rPr>
          <w:rFonts w:ascii="Cambria" w:hAnsi="Cambria"/>
        </w:rPr>
        <w:t>The Sanitary and Phytosanitary (SPS) Agreement defines the concept of an ‘appropriate level of sanitary or phytosanitary protection (ALOP)’ as the level of protection deemed appropriate by a World Trade Organisation (WTO) member establishing a sanitary or phytosanitary measure to protect human, animal or plant life or health within its territory.</w:t>
      </w:r>
    </w:p>
    <w:p w:rsidR="00C74066" w:rsidRDefault="00F10705">
      <w:pPr>
        <w:spacing w:before="200"/>
        <w:rPr>
          <w:rFonts w:ascii="Cambria" w:hAnsi="Cambria"/>
        </w:rPr>
      </w:pPr>
      <w:r>
        <w:rPr>
          <w:rFonts w:ascii="Cambria" w:hAnsi="Cambria"/>
        </w:rPr>
        <w:t>Like many other countries, Australia expresses its ALOP in qualitative terms. Australia’s ALOP, which reflects community expectations through government policy, is currently expressed as providing a high level of sanitary or phytosanitary protection aimed at reducing risk to a very low level, but not to zero. The band of cells in Table 5 marked ‘very low risk’ represents Australia’s ALOP.</w:t>
      </w:r>
    </w:p>
    <w:p w:rsidR="00C74066" w:rsidRDefault="00F10705">
      <w:pPr>
        <w:pStyle w:val="Heading2"/>
        <w:numPr>
          <w:ilvl w:val="1"/>
          <w:numId w:val="21"/>
        </w:numPr>
        <w:tabs>
          <w:tab w:val="clear" w:pos="576"/>
        </w:tabs>
        <w:spacing w:before="200" w:after="120"/>
        <w:ind w:left="357" w:hanging="357"/>
        <w:rPr>
          <w:rFonts w:eastAsiaTheme="majorEastAsia" w:cstheme="majorBidi"/>
          <w:color w:val="773141"/>
          <w:sz w:val="28"/>
        </w:rPr>
      </w:pPr>
      <w:bookmarkStart w:id="89" w:name="_Toc434247468"/>
      <w:r>
        <w:rPr>
          <w:rFonts w:eastAsiaTheme="majorEastAsia" w:cstheme="majorBidi"/>
          <w:color w:val="773141"/>
          <w:sz w:val="28"/>
        </w:rPr>
        <w:t>Stage 3: Pest risk management</w:t>
      </w:r>
      <w:bookmarkEnd w:id="89"/>
    </w:p>
    <w:p w:rsidR="00C74066" w:rsidRDefault="00F10705">
      <w:pPr>
        <w:spacing w:before="200"/>
        <w:rPr>
          <w:rFonts w:ascii="Cambria" w:hAnsi="Cambria"/>
        </w:rPr>
      </w:pPr>
      <w:r>
        <w:rPr>
          <w:rFonts w:ascii="Cambria" w:hAnsi="Cambria"/>
        </w:rPr>
        <w:t xml:space="preserve">Pest risk management evaluates and selects risk management options to reduce the risk of entry, establishment or spread of identified pests for the identified import pathways. </w:t>
      </w:r>
      <w:r>
        <w:rPr>
          <w:rFonts w:ascii="Cambria" w:hAnsi="Cambria"/>
          <w:bCs/>
        </w:rPr>
        <w:t>To effectively prevent the introduction of pests associated with an identified pathway, a series of important safeguards, conditions or phytosanitary measures must be in place. P</w:t>
      </w:r>
      <w:r>
        <w:rPr>
          <w:rFonts w:ascii="Cambria" w:hAnsi="Cambria"/>
        </w:rPr>
        <w:t>ropagative material represents a direct pathway for pests identified by the pest categorisation. This pathway is direct since the end-use is the planting of a known host plant.</w:t>
      </w:r>
    </w:p>
    <w:p w:rsidR="00C74066" w:rsidRDefault="00F10705">
      <w:pPr>
        <w:pStyle w:val="Heading3"/>
        <w:keepLines/>
        <w:numPr>
          <w:ilvl w:val="2"/>
          <w:numId w:val="21"/>
        </w:numPr>
        <w:tabs>
          <w:tab w:val="clear" w:pos="720"/>
        </w:tabs>
        <w:spacing w:before="120" w:after="200"/>
        <w:ind w:left="357" w:hanging="357"/>
        <w:rPr>
          <w:rFonts w:ascii="Calibri" w:hAnsi="Calibri" w:cstheme="minorBidi"/>
          <w:sz w:val="24"/>
          <w:szCs w:val="22"/>
        </w:rPr>
      </w:pPr>
      <w:bookmarkStart w:id="90" w:name="_Toc293921817"/>
      <w:bookmarkStart w:id="91" w:name="_Toc354738074"/>
      <w:r>
        <w:rPr>
          <w:rFonts w:ascii="Calibri" w:hAnsi="Calibri" w:cstheme="minorBidi"/>
          <w:sz w:val="24"/>
          <w:szCs w:val="22"/>
        </w:rPr>
        <w:t>Identification and selection of appropriate risk management options</w:t>
      </w:r>
      <w:bookmarkEnd w:id="90"/>
      <w:bookmarkEnd w:id="91"/>
    </w:p>
    <w:p w:rsidR="00C74066" w:rsidRDefault="00F10705">
      <w:pPr>
        <w:pStyle w:val="AQISText"/>
        <w:spacing w:before="200" w:line="276" w:lineRule="auto"/>
        <w:jc w:val="left"/>
        <w:rPr>
          <w:rFonts w:ascii="Cambria" w:hAnsi="Cambria"/>
          <w:szCs w:val="22"/>
        </w:rPr>
      </w:pPr>
      <w:r>
        <w:rPr>
          <w:rFonts w:ascii="Cambria" w:hAnsi="Cambria"/>
          <w:szCs w:val="22"/>
        </w:rPr>
        <w:t xml:space="preserve">Phytosanitary measures to prevent the establishment and spread of quarantine pests may include any combination of measures, including pre- or post-harvest treatments, inspection at various points between production and final distribution, surveillance, official control, documentation or certification. A measure or combination of measures may be applied at any one or more points along the continuum between the point of origin and the final destination. Pest risk management explores options that can be implemented (i) in the exporting country, (ii) at the point of entry or (iii) within the importing country. The ultimate goal is to protect plants </w:t>
      </w:r>
      <w:r>
        <w:rPr>
          <w:rFonts w:ascii="Cambria" w:hAnsi="Cambria"/>
          <w:szCs w:val="22"/>
        </w:rPr>
        <w:lastRenderedPageBreak/>
        <w:t>and prevent the introduction of identified quarantine pests.</w:t>
      </w:r>
    </w:p>
    <w:p w:rsidR="00C74066" w:rsidRDefault="00F10705">
      <w:pPr>
        <w:pStyle w:val="AQISText"/>
        <w:spacing w:before="200" w:line="276" w:lineRule="auto"/>
        <w:jc w:val="left"/>
        <w:rPr>
          <w:rFonts w:ascii="Cambria" w:hAnsi="Cambria"/>
          <w:szCs w:val="22"/>
        </w:rPr>
      </w:pPr>
      <w:r>
        <w:rPr>
          <w:rFonts w:ascii="Cambria" w:hAnsi="Cambria"/>
          <w:szCs w:val="22"/>
        </w:rPr>
        <w:t>Examples of phytosanitary measures which may be applied to propagative material consignments include:</w:t>
      </w:r>
    </w:p>
    <w:p w:rsidR="00C74066" w:rsidRDefault="00F10705">
      <w:pPr>
        <w:pStyle w:val="ListBullet"/>
        <w:tabs>
          <w:tab w:val="clear" w:pos="360"/>
          <w:tab w:val="num" w:pos="284"/>
        </w:tabs>
        <w:ind w:left="284" w:hanging="284"/>
        <w:rPr>
          <w:rFonts w:ascii="Cambria" w:hAnsi="Cambria"/>
        </w:rPr>
      </w:pPr>
      <w:r>
        <w:rPr>
          <w:rFonts w:ascii="Cambria" w:hAnsi="Cambria"/>
          <w:b/>
        </w:rPr>
        <w:t xml:space="preserve">Import from pest free areas only </w:t>
      </w:r>
      <w:r>
        <w:rPr>
          <w:rFonts w:ascii="Cambria" w:hAnsi="Cambria"/>
        </w:rPr>
        <w:t>(</w:t>
      </w:r>
      <w:r>
        <w:rPr>
          <w:rFonts w:ascii="Cambria" w:hAnsi="Cambria"/>
          <w:b/>
        </w:rPr>
        <w:t>ISPM 4, 10</w:t>
      </w:r>
      <w:r>
        <w:rPr>
          <w:rFonts w:ascii="Cambria" w:hAnsi="Cambria"/>
        </w:rPr>
        <w:t>)—the establishment and use of a pest free area by a National Plant Protection Organisation (NPPO) provides for the export of plants from the exporting country to the importing country without the need for application of additional phytosanitary measures when certain requirements are met.</w:t>
      </w:r>
    </w:p>
    <w:p w:rsidR="00C74066" w:rsidRDefault="00F10705">
      <w:pPr>
        <w:pStyle w:val="ListBullet"/>
        <w:tabs>
          <w:tab w:val="clear" w:pos="360"/>
          <w:tab w:val="num" w:pos="284"/>
        </w:tabs>
        <w:ind w:left="284" w:hanging="284"/>
        <w:rPr>
          <w:rFonts w:ascii="Cambria" w:hAnsi="Cambria"/>
        </w:rPr>
      </w:pPr>
      <w:r>
        <w:rPr>
          <w:rFonts w:ascii="Cambria" w:hAnsi="Cambria"/>
          <w:b/>
        </w:rPr>
        <w:t>Inspections or testing for freedom from regulated pests</w:t>
      </w:r>
      <w:r>
        <w:rPr>
          <w:rFonts w:ascii="Cambria" w:hAnsi="Cambria"/>
        </w:rPr>
        <w:t>—this is a practical measure for visible pests or for pests which produce visible symptoms on plants.</w:t>
      </w:r>
    </w:p>
    <w:p w:rsidR="00C74066" w:rsidRDefault="00F10705">
      <w:pPr>
        <w:pStyle w:val="ListBullet"/>
        <w:tabs>
          <w:tab w:val="clear" w:pos="360"/>
          <w:tab w:val="num" w:pos="284"/>
        </w:tabs>
        <w:ind w:left="284" w:hanging="284"/>
        <w:rPr>
          <w:rFonts w:ascii="Cambria" w:hAnsi="Cambria"/>
        </w:rPr>
      </w:pPr>
      <w:r>
        <w:rPr>
          <w:rFonts w:ascii="Cambria" w:hAnsi="Cambria"/>
          <w:b/>
        </w:rPr>
        <w:t>Inspection and certification</w:t>
      </w:r>
      <w:r>
        <w:rPr>
          <w:rFonts w:ascii="Cambria" w:hAnsi="Cambria"/>
        </w:rPr>
        <w:t xml:space="preserve"> (</w:t>
      </w:r>
      <w:r>
        <w:rPr>
          <w:rFonts w:ascii="Cambria" w:hAnsi="Cambria"/>
          <w:b/>
        </w:rPr>
        <w:t>ISPM 7, 12, 23</w:t>
      </w:r>
      <w:r>
        <w:rPr>
          <w:rFonts w:ascii="Cambria" w:hAnsi="Cambria"/>
        </w:rPr>
        <w:t>)—the exporting country may be asked to inspect the shipment and certify that the shipment is free from regulated pests before export.</w:t>
      </w:r>
    </w:p>
    <w:p w:rsidR="00C74066" w:rsidRDefault="00F10705">
      <w:pPr>
        <w:pStyle w:val="ListBullet"/>
        <w:tabs>
          <w:tab w:val="clear" w:pos="360"/>
          <w:tab w:val="num" w:pos="284"/>
        </w:tabs>
        <w:ind w:left="284" w:hanging="284"/>
        <w:rPr>
          <w:rFonts w:ascii="Cambria" w:hAnsi="Cambria"/>
        </w:rPr>
      </w:pPr>
      <w:r>
        <w:rPr>
          <w:rFonts w:ascii="Cambria" w:hAnsi="Cambria"/>
          <w:b/>
        </w:rPr>
        <w:t>Specified conditions for preparation of the consignment</w:t>
      </w:r>
      <w:r>
        <w:rPr>
          <w:rFonts w:ascii="Cambria" w:hAnsi="Cambria"/>
        </w:rPr>
        <w:t>—the importing country may specify steps that must be followed in order to prepare the consignment for shipment. These conditions can include the requirement for plants to be produced from appropriately tested parent material.</w:t>
      </w:r>
    </w:p>
    <w:p w:rsidR="00C74066" w:rsidRDefault="00F10705">
      <w:pPr>
        <w:pStyle w:val="ListBullet"/>
        <w:tabs>
          <w:tab w:val="clear" w:pos="360"/>
          <w:tab w:val="num" w:pos="284"/>
        </w:tabs>
        <w:ind w:left="284" w:hanging="284"/>
        <w:rPr>
          <w:rFonts w:ascii="Cambria" w:hAnsi="Cambria"/>
        </w:rPr>
      </w:pPr>
      <w:r>
        <w:rPr>
          <w:rFonts w:ascii="Cambria" w:hAnsi="Cambria"/>
          <w:b/>
        </w:rPr>
        <w:t>Pre-entry or post-entry quarantine</w:t>
      </w:r>
      <w:r>
        <w:rPr>
          <w:rFonts w:ascii="Cambria" w:hAnsi="Cambria"/>
        </w:rPr>
        <w:t>—the importing country may define certain control conditions, inspection and possible treatment of shipments upon their entry into the country. Post-entry quarantine (PEQ) of dormant cuttings, seed and even tissue cultures (</w:t>
      </w:r>
      <w:r>
        <w:rPr>
          <w:rFonts w:ascii="Cambria" w:hAnsi="Cambria"/>
          <w:i/>
        </w:rPr>
        <w:t>in vitro</w:t>
      </w:r>
      <w:r>
        <w:rPr>
          <w:rFonts w:ascii="Cambria" w:hAnsi="Cambria"/>
        </w:rPr>
        <w:t xml:space="preserve"> plantlets) can help avoid the introduction of new viruses or allied pathogens into the importing countries.</w:t>
      </w:r>
    </w:p>
    <w:p w:rsidR="00C74066" w:rsidRDefault="00F10705">
      <w:pPr>
        <w:pStyle w:val="ListBullet"/>
        <w:tabs>
          <w:tab w:val="clear" w:pos="360"/>
          <w:tab w:val="num" w:pos="284"/>
        </w:tabs>
        <w:ind w:left="284" w:hanging="284"/>
        <w:rPr>
          <w:rFonts w:ascii="Cambria" w:hAnsi="Cambria"/>
        </w:rPr>
      </w:pPr>
      <w:r>
        <w:rPr>
          <w:rFonts w:ascii="Cambria" w:hAnsi="Cambria"/>
          <w:b/>
        </w:rPr>
        <w:t>Removal of the pest from the consignment by treatment or other methods</w:t>
      </w:r>
      <w:r>
        <w:rPr>
          <w:rFonts w:ascii="Cambria" w:hAnsi="Cambria"/>
        </w:rPr>
        <w:t>—the importing country may specify chemical or physical treatments that must be applied to the consignment before it may be imported.</w:t>
      </w:r>
    </w:p>
    <w:p w:rsidR="00C74066" w:rsidRDefault="00F10705">
      <w:pPr>
        <w:pStyle w:val="AQISText"/>
        <w:spacing w:before="200" w:line="276" w:lineRule="auto"/>
        <w:jc w:val="left"/>
        <w:rPr>
          <w:rFonts w:ascii="Cambria" w:hAnsi="Cambria"/>
          <w:szCs w:val="22"/>
        </w:rPr>
      </w:pPr>
      <w:r>
        <w:rPr>
          <w:rFonts w:ascii="Cambria" w:hAnsi="Cambria"/>
          <w:szCs w:val="22"/>
        </w:rPr>
        <w:t>Measures can range from total prohibition to permitting imports subject to visual inspection. In some cases, more than one phytosanitary measure may be required in order to reduce the pest risk to an acceptable level.</w:t>
      </w:r>
    </w:p>
    <w:p w:rsidR="00C74066" w:rsidRDefault="00C74066">
      <w:pPr>
        <w:spacing w:line="280" w:lineRule="atLeast"/>
      </w:pPr>
    </w:p>
    <w:p w:rsidR="00C74066" w:rsidRDefault="00C74066">
      <w:pPr>
        <w:pStyle w:val="Heading1Numbered"/>
        <w:sectPr w:rsidR="00C74066">
          <w:headerReference w:type="default" r:id="rId30"/>
          <w:pgSz w:w="11906" w:h="16838"/>
          <w:pgMar w:top="1418" w:right="1418" w:bottom="1418" w:left="1418" w:header="567" w:footer="283" w:gutter="0"/>
          <w:cols w:space="708"/>
          <w:docGrid w:linePitch="360"/>
        </w:sectPr>
      </w:pPr>
      <w:bookmarkStart w:id="92" w:name="_Toc384279550"/>
    </w:p>
    <w:p w:rsidR="00C74066" w:rsidRDefault="00F10705">
      <w:pPr>
        <w:pStyle w:val="Heading1"/>
        <w:pageBreakBefore w:val="0"/>
        <w:numPr>
          <w:ilvl w:val="0"/>
          <w:numId w:val="21"/>
        </w:numPr>
        <w:tabs>
          <w:tab w:val="clear" w:pos="432"/>
        </w:tabs>
        <w:spacing w:before="480" w:after="120"/>
        <w:ind w:left="357" w:hanging="357"/>
        <w:rPr>
          <w:rFonts w:eastAsiaTheme="majorEastAsia" w:cstheme="majorBidi"/>
          <w:b/>
          <w:color w:val="D52B1E"/>
          <w:sz w:val="34"/>
        </w:rPr>
      </w:pPr>
      <w:bookmarkStart w:id="93" w:name="_Toc434247469"/>
      <w:r>
        <w:rPr>
          <w:rFonts w:eastAsiaTheme="majorEastAsia" w:cstheme="majorBidi"/>
          <w:b/>
          <w:color w:val="D52B1E"/>
          <w:sz w:val="34"/>
        </w:rPr>
        <w:lastRenderedPageBreak/>
        <w:t>The pathogens</w:t>
      </w:r>
      <w:bookmarkEnd w:id="92"/>
      <w:bookmarkEnd w:id="93"/>
    </w:p>
    <w:p w:rsidR="00C74066" w:rsidRDefault="00F10705">
      <w:pPr>
        <w:autoSpaceDE w:val="0"/>
        <w:autoSpaceDN w:val="0"/>
        <w:adjustRightInd w:val="0"/>
        <w:spacing w:before="200"/>
        <w:rPr>
          <w:rFonts w:ascii="Cambria" w:hAnsi="Cambria"/>
        </w:rPr>
      </w:pPr>
      <w:r>
        <w:rPr>
          <w:rFonts w:ascii="Cambria" w:hAnsi="Cambria"/>
        </w:rPr>
        <w:t xml:space="preserve">The genus </w:t>
      </w:r>
      <w:r>
        <w:rPr>
          <w:rFonts w:ascii="Cambria" w:hAnsi="Cambria"/>
          <w:i/>
          <w:iCs/>
        </w:rPr>
        <w:t xml:space="preserve">Phytophthora </w:t>
      </w:r>
      <w:r>
        <w:rPr>
          <w:rFonts w:ascii="Cambria" w:hAnsi="Cambria"/>
        </w:rPr>
        <w:t xml:space="preserve">comprises over 117 described species worldwide (Martin </w:t>
      </w:r>
      <w:r>
        <w:rPr>
          <w:rFonts w:ascii="Cambria" w:hAnsi="Cambria"/>
          <w:iCs/>
        </w:rPr>
        <w:t>et al</w:t>
      </w:r>
      <w:r>
        <w:rPr>
          <w:rFonts w:ascii="Cambria" w:hAnsi="Cambria"/>
        </w:rPr>
        <w:t>. 2012)</w:t>
      </w:r>
      <w:r w:rsidR="008452DE">
        <w:rPr>
          <w:rFonts w:ascii="Cambria" w:hAnsi="Cambria"/>
        </w:rPr>
        <w:t>,</w:t>
      </w:r>
      <w:r>
        <w:rPr>
          <w:rFonts w:ascii="Cambria" w:hAnsi="Cambria"/>
        </w:rPr>
        <w:t xml:space="preserve"> with some species being well known pathogens of agriculture, nursery and forestry industries (Weste &amp; Marks 1987; Erwin &amp; Ribeiro 1996; Birch &amp; Whisson 2001; Orlikowski et al. 2010). Since 1990, there has been a dramatic increase in the number of </w:t>
      </w:r>
      <w:r>
        <w:rPr>
          <w:rFonts w:ascii="Cambria" w:hAnsi="Cambria"/>
          <w:i/>
          <w:iCs/>
        </w:rPr>
        <w:t xml:space="preserve">Phytophthora </w:t>
      </w:r>
      <w:r>
        <w:rPr>
          <w:rFonts w:ascii="Cambria" w:hAnsi="Cambria"/>
        </w:rPr>
        <w:t xml:space="preserve">species isolated, </w:t>
      </w:r>
      <w:r>
        <w:rPr>
          <w:rFonts w:ascii="Cambria" w:hAnsi="Cambria"/>
          <w:color w:val="000000" w:themeColor="text1"/>
        </w:rPr>
        <w:t xml:space="preserve">identified and described (Werres </w:t>
      </w:r>
      <w:r>
        <w:rPr>
          <w:rFonts w:ascii="Cambria" w:hAnsi="Cambria"/>
          <w:iCs/>
          <w:color w:val="000000" w:themeColor="text1"/>
        </w:rPr>
        <w:t>et al</w:t>
      </w:r>
      <w:r>
        <w:rPr>
          <w:rFonts w:ascii="Cambria" w:hAnsi="Cambria"/>
          <w:color w:val="000000" w:themeColor="text1"/>
        </w:rPr>
        <w:t xml:space="preserve">. 2001; Hansen </w:t>
      </w:r>
      <w:r>
        <w:rPr>
          <w:rFonts w:ascii="Cambria" w:hAnsi="Cambria"/>
          <w:iCs/>
          <w:color w:val="000000" w:themeColor="text1"/>
        </w:rPr>
        <w:t>et al</w:t>
      </w:r>
      <w:r>
        <w:rPr>
          <w:rFonts w:ascii="Cambria" w:hAnsi="Cambria"/>
          <w:color w:val="000000" w:themeColor="text1"/>
        </w:rPr>
        <w:t xml:space="preserve">. 2003a; Jung </w:t>
      </w:r>
      <w:r>
        <w:rPr>
          <w:rFonts w:ascii="Cambria" w:hAnsi="Cambria"/>
          <w:iCs/>
          <w:color w:val="000000" w:themeColor="text1"/>
        </w:rPr>
        <w:t>et al</w:t>
      </w:r>
      <w:r>
        <w:rPr>
          <w:rFonts w:ascii="Cambria" w:hAnsi="Cambria"/>
          <w:color w:val="000000" w:themeColor="text1"/>
        </w:rPr>
        <w:t xml:space="preserve">. 2003; Brasier </w:t>
      </w:r>
      <w:r>
        <w:rPr>
          <w:rFonts w:ascii="Cambria" w:hAnsi="Cambria"/>
          <w:iCs/>
          <w:color w:val="000000" w:themeColor="text1"/>
        </w:rPr>
        <w:t>et al</w:t>
      </w:r>
      <w:r>
        <w:rPr>
          <w:rFonts w:ascii="Cambria" w:hAnsi="Cambria"/>
          <w:color w:val="000000" w:themeColor="text1"/>
        </w:rPr>
        <w:t xml:space="preserve">. 2005; Donahoo </w:t>
      </w:r>
      <w:r>
        <w:rPr>
          <w:rFonts w:ascii="Cambria" w:hAnsi="Cambria"/>
          <w:iCs/>
          <w:color w:val="000000" w:themeColor="text1"/>
        </w:rPr>
        <w:t>et al</w:t>
      </w:r>
      <w:r>
        <w:rPr>
          <w:rFonts w:ascii="Cambria" w:hAnsi="Cambria"/>
          <w:color w:val="000000" w:themeColor="text1"/>
        </w:rPr>
        <w:t xml:space="preserve">. 2006; Durán </w:t>
      </w:r>
      <w:r>
        <w:rPr>
          <w:rFonts w:ascii="Cambria" w:hAnsi="Cambria"/>
          <w:iCs/>
          <w:color w:val="000000" w:themeColor="text1"/>
        </w:rPr>
        <w:t>et al</w:t>
      </w:r>
      <w:r>
        <w:rPr>
          <w:rFonts w:ascii="Cambria" w:hAnsi="Cambria"/>
          <w:color w:val="000000" w:themeColor="text1"/>
        </w:rPr>
        <w:t xml:space="preserve">. 2008; Mostowfizadeh-Ghalamfarsa </w:t>
      </w:r>
      <w:r>
        <w:rPr>
          <w:rFonts w:ascii="Cambria" w:hAnsi="Cambria"/>
          <w:iCs/>
          <w:color w:val="000000" w:themeColor="text1"/>
        </w:rPr>
        <w:t>et al</w:t>
      </w:r>
      <w:r>
        <w:rPr>
          <w:rFonts w:ascii="Cambria" w:hAnsi="Cambria"/>
          <w:color w:val="000000" w:themeColor="text1"/>
        </w:rPr>
        <w:t xml:space="preserve">. 2008). </w:t>
      </w:r>
      <w:r>
        <w:rPr>
          <w:rFonts w:ascii="Cambria" w:hAnsi="Cambria"/>
        </w:rPr>
        <w:t xml:space="preserve">Surveys conducted in response to </w:t>
      </w:r>
      <w:r>
        <w:rPr>
          <w:rFonts w:ascii="Cambria" w:hAnsi="Cambria"/>
          <w:i/>
          <w:iCs/>
        </w:rPr>
        <w:t>P. ramorum</w:t>
      </w:r>
      <w:r>
        <w:rPr>
          <w:rFonts w:ascii="Cambria" w:hAnsi="Cambria"/>
        </w:rPr>
        <w:t xml:space="preserve"> have identified several new species of </w:t>
      </w:r>
      <w:r>
        <w:rPr>
          <w:rFonts w:ascii="Cambria" w:hAnsi="Cambria"/>
          <w:i/>
          <w:iCs/>
        </w:rPr>
        <w:t xml:space="preserve">Phytophthora </w:t>
      </w:r>
      <w:r>
        <w:rPr>
          <w:rFonts w:ascii="Cambria" w:hAnsi="Cambria"/>
        </w:rPr>
        <w:t xml:space="preserve">on ornamental plants and in forests in Europe and the United States of America (USA) (Theman </w:t>
      </w:r>
      <w:r>
        <w:rPr>
          <w:rFonts w:ascii="Cambria" w:hAnsi="Cambria"/>
          <w:iCs/>
        </w:rPr>
        <w:t>et al</w:t>
      </w:r>
      <w:r>
        <w:rPr>
          <w:rFonts w:ascii="Cambria" w:hAnsi="Cambria"/>
        </w:rPr>
        <w:t xml:space="preserve">. 2002; Hansen </w:t>
      </w:r>
      <w:r>
        <w:rPr>
          <w:rFonts w:ascii="Cambria" w:hAnsi="Cambria"/>
          <w:iCs/>
        </w:rPr>
        <w:t>et al</w:t>
      </w:r>
      <w:r>
        <w:rPr>
          <w:rFonts w:ascii="Cambria" w:hAnsi="Cambria"/>
        </w:rPr>
        <w:t xml:space="preserve">. 2003a; Jung </w:t>
      </w:r>
      <w:r>
        <w:rPr>
          <w:rFonts w:ascii="Cambria" w:hAnsi="Cambria"/>
          <w:iCs/>
        </w:rPr>
        <w:t>et al</w:t>
      </w:r>
      <w:r>
        <w:rPr>
          <w:rFonts w:ascii="Cambria" w:hAnsi="Cambria"/>
        </w:rPr>
        <w:t xml:space="preserve">. 2003; Blomquist </w:t>
      </w:r>
      <w:r>
        <w:rPr>
          <w:rFonts w:ascii="Cambria" w:hAnsi="Cambria"/>
          <w:iCs/>
        </w:rPr>
        <w:t>et al</w:t>
      </w:r>
      <w:r>
        <w:rPr>
          <w:rFonts w:ascii="Cambria" w:hAnsi="Cambria"/>
        </w:rPr>
        <w:t xml:space="preserve">. 2005; Donahoo </w:t>
      </w:r>
      <w:r>
        <w:rPr>
          <w:rFonts w:ascii="Cambria" w:hAnsi="Cambria"/>
          <w:iCs/>
        </w:rPr>
        <w:t>et al</w:t>
      </w:r>
      <w:r>
        <w:rPr>
          <w:rFonts w:ascii="Cambria" w:hAnsi="Cambria"/>
        </w:rPr>
        <w:t xml:space="preserve">. 2006; Schwingle </w:t>
      </w:r>
      <w:r>
        <w:rPr>
          <w:rFonts w:ascii="Cambria" w:hAnsi="Cambria"/>
          <w:iCs/>
        </w:rPr>
        <w:t>et al</w:t>
      </w:r>
      <w:r>
        <w:rPr>
          <w:rFonts w:ascii="Cambria" w:hAnsi="Cambria"/>
        </w:rPr>
        <w:t xml:space="preserve">. 2006; 2007; Hong </w:t>
      </w:r>
      <w:r>
        <w:rPr>
          <w:rFonts w:ascii="Cambria" w:hAnsi="Cambria"/>
          <w:iCs/>
        </w:rPr>
        <w:t>et al</w:t>
      </w:r>
      <w:r>
        <w:rPr>
          <w:rFonts w:ascii="Cambria" w:hAnsi="Cambria"/>
        </w:rPr>
        <w:t xml:space="preserve">. 2008; Schwingle &amp; Blanchette 2008; Moralejo </w:t>
      </w:r>
      <w:r>
        <w:rPr>
          <w:rFonts w:ascii="Cambria" w:hAnsi="Cambria"/>
          <w:iCs/>
        </w:rPr>
        <w:t>et al</w:t>
      </w:r>
      <w:r>
        <w:rPr>
          <w:rFonts w:ascii="Cambria" w:hAnsi="Cambria"/>
        </w:rPr>
        <w:t xml:space="preserve">. 2008; Yakabe </w:t>
      </w:r>
      <w:r>
        <w:rPr>
          <w:rFonts w:ascii="Cambria" w:hAnsi="Cambria"/>
          <w:iCs/>
        </w:rPr>
        <w:t>et al</w:t>
      </w:r>
      <w:r>
        <w:rPr>
          <w:rFonts w:ascii="Cambria" w:hAnsi="Cambria"/>
        </w:rPr>
        <w:t xml:space="preserve">. 2009; Grünwald </w:t>
      </w:r>
      <w:r>
        <w:rPr>
          <w:rFonts w:ascii="Cambria" w:hAnsi="Cambria"/>
          <w:iCs/>
        </w:rPr>
        <w:t>et al</w:t>
      </w:r>
      <w:r>
        <w:rPr>
          <w:rFonts w:ascii="Cambria" w:hAnsi="Cambria"/>
        </w:rPr>
        <w:t xml:space="preserve">. 2011). </w:t>
      </w:r>
    </w:p>
    <w:p w:rsidR="00C74066" w:rsidRDefault="00F10705">
      <w:pPr>
        <w:autoSpaceDE w:val="0"/>
        <w:autoSpaceDN w:val="0"/>
        <w:adjustRightInd w:val="0"/>
        <w:spacing w:before="200"/>
        <w:rPr>
          <w:rFonts w:ascii="Cambria" w:hAnsi="Cambria"/>
        </w:rPr>
      </w:pPr>
      <w:r>
        <w:rPr>
          <w:rFonts w:ascii="Cambria" w:hAnsi="Cambria"/>
          <w:iCs/>
        </w:rPr>
        <w:t xml:space="preserve">In 2001, </w:t>
      </w:r>
      <w:r>
        <w:rPr>
          <w:rFonts w:ascii="Cambria" w:hAnsi="Cambria"/>
          <w:i/>
          <w:iCs/>
        </w:rPr>
        <w:t xml:space="preserve">Phytophthora ramorum </w:t>
      </w:r>
      <w:r>
        <w:rPr>
          <w:rFonts w:ascii="Cambria" w:hAnsi="Cambria"/>
        </w:rPr>
        <w:t xml:space="preserve">was first described as a new </w:t>
      </w:r>
      <w:r>
        <w:rPr>
          <w:rFonts w:ascii="Cambria" w:hAnsi="Cambria"/>
          <w:i/>
          <w:iCs/>
        </w:rPr>
        <w:t xml:space="preserve">Phytophthora </w:t>
      </w:r>
      <w:r>
        <w:rPr>
          <w:rFonts w:ascii="Cambria" w:hAnsi="Cambria"/>
        </w:rPr>
        <w:t xml:space="preserve">species on </w:t>
      </w:r>
      <w:r>
        <w:rPr>
          <w:rFonts w:ascii="Cambria" w:hAnsi="Cambria"/>
          <w:i/>
          <w:iCs/>
        </w:rPr>
        <w:t xml:space="preserve">Rhododendron </w:t>
      </w:r>
      <w:r>
        <w:rPr>
          <w:rFonts w:ascii="Cambria" w:hAnsi="Cambria"/>
        </w:rPr>
        <w:t xml:space="preserve">and </w:t>
      </w:r>
      <w:r>
        <w:rPr>
          <w:rFonts w:ascii="Cambria" w:hAnsi="Cambria"/>
          <w:i/>
          <w:iCs/>
        </w:rPr>
        <w:t xml:space="preserve">Viburnum </w:t>
      </w:r>
      <w:r>
        <w:rPr>
          <w:rFonts w:ascii="Cambria" w:hAnsi="Cambria"/>
          <w:iCs/>
        </w:rPr>
        <w:t xml:space="preserve">species </w:t>
      </w:r>
      <w:r>
        <w:rPr>
          <w:rFonts w:ascii="Cambria" w:hAnsi="Cambria"/>
        </w:rPr>
        <w:t xml:space="preserve">in Germany and the Netherlands (Werres </w:t>
      </w:r>
      <w:r>
        <w:rPr>
          <w:rFonts w:ascii="Cambria" w:hAnsi="Cambria"/>
          <w:iCs/>
        </w:rPr>
        <w:t>et al</w:t>
      </w:r>
      <w:r>
        <w:rPr>
          <w:rFonts w:ascii="Cambria" w:hAnsi="Cambria"/>
        </w:rPr>
        <w:t xml:space="preserve">. 2001). </w:t>
      </w:r>
      <w:r>
        <w:rPr>
          <w:rFonts w:ascii="Cambria" w:hAnsi="Cambria"/>
          <w:i/>
          <w:iCs/>
        </w:rPr>
        <w:t xml:space="preserve">Phytophthora kernoviae </w:t>
      </w:r>
      <w:r>
        <w:rPr>
          <w:rFonts w:ascii="Cambria" w:hAnsi="Cambria"/>
        </w:rPr>
        <w:t xml:space="preserve">was first recorded in New Zealand in the 1950s but </w:t>
      </w:r>
      <w:r>
        <w:rPr>
          <w:rFonts w:ascii="Cambria" w:hAnsi="Cambria"/>
          <w:iCs/>
        </w:rPr>
        <w:t>was</w:t>
      </w:r>
      <w:r>
        <w:rPr>
          <w:rFonts w:ascii="Cambria" w:hAnsi="Cambria"/>
        </w:rPr>
        <w:t xml:space="preserve"> described only in 2005 (Brasier </w:t>
      </w:r>
      <w:r>
        <w:rPr>
          <w:rFonts w:ascii="Cambria" w:hAnsi="Cambria"/>
          <w:iCs/>
        </w:rPr>
        <w:t>et al</w:t>
      </w:r>
      <w:r>
        <w:rPr>
          <w:rFonts w:ascii="Cambria" w:hAnsi="Cambria"/>
        </w:rPr>
        <w:t xml:space="preserve">. 2005) and was previously known as </w:t>
      </w:r>
      <w:r>
        <w:rPr>
          <w:rFonts w:ascii="Cambria" w:hAnsi="Cambria"/>
          <w:i/>
        </w:rPr>
        <w:t xml:space="preserve">Phytophthora </w:t>
      </w:r>
      <w:r>
        <w:rPr>
          <w:rFonts w:ascii="Cambria" w:hAnsi="Cambria"/>
        </w:rPr>
        <w:t xml:space="preserve">taxon C (Hughes et al. 2005). Two </w:t>
      </w:r>
      <w:r>
        <w:rPr>
          <w:rFonts w:ascii="Cambria" w:hAnsi="Cambria"/>
          <w:i/>
          <w:iCs/>
        </w:rPr>
        <w:t>Phytophthora</w:t>
      </w:r>
      <w:r>
        <w:rPr>
          <w:rFonts w:ascii="Cambria" w:hAnsi="Cambria"/>
        </w:rPr>
        <w:t xml:space="preserve"> species that have an aerial habit were frequently isolated from the foliage and stems of some of the same hosts as </w:t>
      </w:r>
      <w:r>
        <w:rPr>
          <w:rFonts w:ascii="Cambria" w:hAnsi="Cambria"/>
          <w:i/>
        </w:rPr>
        <w:t xml:space="preserve">P. ramorum </w:t>
      </w:r>
      <w:r>
        <w:rPr>
          <w:rFonts w:ascii="Cambria" w:hAnsi="Cambria"/>
        </w:rPr>
        <w:t xml:space="preserve">in California and Oregon, USA (Rizzo et al. 2002a; Hansen et al. 2003a; Martin &amp; Tooley 2003). These </w:t>
      </w:r>
      <w:r>
        <w:rPr>
          <w:rFonts w:ascii="Cambria" w:hAnsi="Cambria"/>
          <w:i/>
        </w:rPr>
        <w:t>Phytophthora</w:t>
      </w:r>
      <w:r>
        <w:rPr>
          <w:rFonts w:ascii="Cambria" w:hAnsi="Cambria"/>
        </w:rPr>
        <w:t xml:space="preserve"> species were initially referred to as </w:t>
      </w:r>
      <w:r>
        <w:rPr>
          <w:rFonts w:ascii="Cambria" w:hAnsi="Cambria"/>
          <w:i/>
        </w:rPr>
        <w:t>P. ilicis</w:t>
      </w:r>
      <w:r>
        <w:rPr>
          <w:rFonts w:ascii="Cambria" w:hAnsi="Cambria"/>
        </w:rPr>
        <w:t xml:space="preserve">-like due to morphological and DNA sequence similarities with the leaf and twig blight pathogen of English holly (Rizzo et al. 2002a). However, later on it was determined that the </w:t>
      </w:r>
      <w:r>
        <w:rPr>
          <w:rFonts w:ascii="Cambria" w:hAnsi="Cambria"/>
          <w:i/>
        </w:rPr>
        <w:t>P. ilicis</w:t>
      </w:r>
      <w:r>
        <w:rPr>
          <w:rFonts w:ascii="Cambria" w:hAnsi="Cambria"/>
        </w:rPr>
        <w:t xml:space="preserve">-like species comprised of two separate taxa; one species was subsequently described as </w:t>
      </w:r>
      <w:r>
        <w:rPr>
          <w:rFonts w:ascii="Cambria" w:hAnsi="Cambria"/>
          <w:i/>
        </w:rPr>
        <w:t>P. nemorosa</w:t>
      </w:r>
      <w:r>
        <w:rPr>
          <w:rFonts w:ascii="Cambria" w:hAnsi="Cambria"/>
        </w:rPr>
        <w:t xml:space="preserve"> (Hansen et al. 2003a) and the other</w:t>
      </w:r>
      <w:r w:rsidR="004D7502">
        <w:rPr>
          <w:rFonts w:ascii="Cambria" w:hAnsi="Cambria"/>
        </w:rPr>
        <w:t xml:space="preserve"> was</w:t>
      </w:r>
      <w:r>
        <w:rPr>
          <w:rFonts w:ascii="Cambria" w:hAnsi="Cambria"/>
        </w:rPr>
        <w:t xml:space="preserve"> identified as </w:t>
      </w:r>
      <w:r>
        <w:rPr>
          <w:rFonts w:ascii="Cambria" w:hAnsi="Cambria"/>
          <w:i/>
        </w:rPr>
        <w:t>P. pseudosyringae</w:t>
      </w:r>
      <w:r>
        <w:rPr>
          <w:rFonts w:ascii="Cambria" w:hAnsi="Cambria"/>
        </w:rPr>
        <w:t xml:space="preserve"> (Martin &amp; Tooley 2003; Ivors et al. 2004; Martin et al. 2004). </w:t>
      </w:r>
      <w:r>
        <w:rPr>
          <w:rFonts w:ascii="Cambria" w:hAnsi="Cambria"/>
          <w:i/>
        </w:rPr>
        <w:t>Phytophthora nemorosa</w:t>
      </w:r>
      <w:r>
        <w:rPr>
          <w:rFonts w:ascii="Cambria" w:hAnsi="Cambria"/>
        </w:rPr>
        <w:t xml:space="preserve"> is known only from California and Oregon (Hansen et al. 2003a), while </w:t>
      </w:r>
      <w:r>
        <w:rPr>
          <w:rFonts w:ascii="Cambria" w:hAnsi="Cambria"/>
          <w:i/>
        </w:rPr>
        <w:t>P. pseudosyringae</w:t>
      </w:r>
      <w:r>
        <w:rPr>
          <w:rFonts w:ascii="Cambria" w:hAnsi="Cambria"/>
        </w:rPr>
        <w:t xml:space="preserve"> was originally isolated from soil in European oak and beech forests (Jung et al. 2003). </w:t>
      </w:r>
      <w:r>
        <w:rPr>
          <w:rFonts w:ascii="Cambria" w:hAnsi="Cambria"/>
          <w:i/>
          <w:iCs/>
        </w:rPr>
        <w:t xml:space="preserve">Phytophthora pseudosyringae </w:t>
      </w:r>
      <w:r>
        <w:rPr>
          <w:rFonts w:ascii="Cambria" w:hAnsi="Cambria"/>
        </w:rPr>
        <w:t xml:space="preserve">was described in 2003 based on European isolates which had been collected since 1996 from forest soil collected in France, Germany and Italy, and from roots of European beech and European alder (Jung </w:t>
      </w:r>
      <w:r>
        <w:rPr>
          <w:rFonts w:ascii="Cambria" w:hAnsi="Cambria"/>
          <w:iCs/>
        </w:rPr>
        <w:t>et al.</w:t>
      </w:r>
      <w:r>
        <w:rPr>
          <w:rFonts w:ascii="Cambria" w:hAnsi="Cambria"/>
        </w:rPr>
        <w:t xml:space="preserve"> 2003).</w:t>
      </w:r>
    </w:p>
    <w:p w:rsidR="00C74066" w:rsidRDefault="00F10705">
      <w:pPr>
        <w:autoSpaceDE w:val="0"/>
        <w:autoSpaceDN w:val="0"/>
        <w:adjustRightInd w:val="0"/>
        <w:spacing w:before="200"/>
        <w:rPr>
          <w:rFonts w:ascii="Cambria" w:hAnsi="Cambria"/>
        </w:rPr>
      </w:pPr>
      <w:r>
        <w:rPr>
          <w:rFonts w:ascii="Cambria" w:hAnsi="Cambria"/>
          <w:i/>
          <w:iCs/>
        </w:rPr>
        <w:t xml:space="preserve">Phytophthora kernoviae </w:t>
      </w:r>
      <w:r>
        <w:rPr>
          <w:rFonts w:ascii="Cambria" w:hAnsi="Cambria"/>
        </w:rPr>
        <w:t xml:space="preserve">has been detected as a shrub and tree pathogen, and has now been detected in ornamental nurseries in the United Kingdom (UK) (Brasier </w:t>
      </w:r>
      <w:r>
        <w:rPr>
          <w:rFonts w:ascii="Cambria" w:hAnsi="Cambria"/>
          <w:iCs/>
        </w:rPr>
        <w:t>et al</w:t>
      </w:r>
      <w:r>
        <w:rPr>
          <w:rFonts w:ascii="Cambria" w:hAnsi="Cambria"/>
        </w:rPr>
        <w:t xml:space="preserve">. 2005). </w:t>
      </w:r>
      <w:r>
        <w:rPr>
          <w:rFonts w:ascii="Cambria" w:hAnsi="Cambria"/>
          <w:i/>
          <w:iCs/>
        </w:rPr>
        <w:t xml:space="preserve">Phytophthora pseudosyringae </w:t>
      </w:r>
      <w:r>
        <w:rPr>
          <w:rFonts w:ascii="Cambria" w:hAnsi="Cambria"/>
        </w:rPr>
        <w:t xml:space="preserve">was reported from Italy causing stem canker on European beech and stem damage on chestnut in Spain </w:t>
      </w:r>
      <w:r>
        <w:rPr>
          <w:rFonts w:ascii="Cambria" w:hAnsi="Cambria"/>
          <w:color w:val="000000" w:themeColor="text1"/>
        </w:rPr>
        <w:t>(Sansford 2012).</w:t>
      </w:r>
      <w:r>
        <w:rPr>
          <w:rFonts w:ascii="Cambria" w:hAnsi="Cambria"/>
        </w:rPr>
        <w:t xml:space="preserve"> </w:t>
      </w:r>
      <w:r>
        <w:rPr>
          <w:rFonts w:ascii="Cambria" w:hAnsi="Cambria"/>
          <w:i/>
          <w:iCs/>
        </w:rPr>
        <w:t xml:space="preserve">Phytophthora pseudosyringae </w:t>
      </w:r>
      <w:r>
        <w:rPr>
          <w:rFonts w:ascii="Cambria" w:hAnsi="Cambria"/>
        </w:rPr>
        <w:t>has also been reported from the USA affecting various tree and non-tree species in California and Oregon, and from forest streams in North Carolina</w:t>
      </w:r>
      <w:r>
        <w:rPr>
          <w:rFonts w:ascii="Cambria" w:hAnsi="Cambria"/>
          <w:i/>
        </w:rPr>
        <w:t>. Phytophthora</w:t>
      </w:r>
      <w:r>
        <w:rPr>
          <w:rFonts w:ascii="Cambria" w:hAnsi="Cambria"/>
          <w:i/>
          <w:iCs/>
        </w:rPr>
        <w:t xml:space="preserve"> nemorosa </w:t>
      </w:r>
      <w:r>
        <w:rPr>
          <w:rFonts w:ascii="Cambria" w:hAnsi="Cambria"/>
        </w:rPr>
        <w:t xml:space="preserve">and </w:t>
      </w:r>
      <w:r>
        <w:rPr>
          <w:rFonts w:ascii="Cambria" w:hAnsi="Cambria"/>
          <w:i/>
          <w:iCs/>
        </w:rPr>
        <w:t xml:space="preserve">P. pseudosyringae </w:t>
      </w:r>
      <w:r>
        <w:rPr>
          <w:rFonts w:ascii="Cambria" w:hAnsi="Cambria"/>
        </w:rPr>
        <w:t xml:space="preserve">were initially detected as forest pathogens (Hansen </w:t>
      </w:r>
      <w:r>
        <w:rPr>
          <w:rFonts w:ascii="Cambria" w:hAnsi="Cambria"/>
          <w:iCs/>
        </w:rPr>
        <w:t>et al.</w:t>
      </w:r>
      <w:r>
        <w:rPr>
          <w:rFonts w:ascii="Cambria" w:hAnsi="Cambria"/>
          <w:i/>
          <w:iCs/>
        </w:rPr>
        <w:t xml:space="preserve"> </w:t>
      </w:r>
      <w:r>
        <w:rPr>
          <w:rFonts w:ascii="Cambria" w:hAnsi="Cambria"/>
        </w:rPr>
        <w:t xml:space="preserve">2003a; Jung </w:t>
      </w:r>
      <w:r>
        <w:rPr>
          <w:rFonts w:ascii="Cambria" w:hAnsi="Cambria"/>
          <w:iCs/>
        </w:rPr>
        <w:t>et al</w:t>
      </w:r>
      <w:r>
        <w:rPr>
          <w:rFonts w:ascii="Cambria" w:hAnsi="Cambria"/>
        </w:rPr>
        <w:t xml:space="preserve">. 2003) but have now also been detected on ornamentals (Yakabe </w:t>
      </w:r>
      <w:r>
        <w:rPr>
          <w:rFonts w:ascii="Cambria" w:hAnsi="Cambria"/>
          <w:iCs/>
        </w:rPr>
        <w:t>et al</w:t>
      </w:r>
      <w:r>
        <w:rPr>
          <w:rFonts w:ascii="Cambria" w:hAnsi="Cambria"/>
        </w:rPr>
        <w:t xml:space="preserve">. 2009; Grünwald </w:t>
      </w:r>
      <w:r>
        <w:rPr>
          <w:rFonts w:ascii="Cambria" w:hAnsi="Cambria"/>
          <w:iCs/>
        </w:rPr>
        <w:t>et al</w:t>
      </w:r>
      <w:r>
        <w:rPr>
          <w:rFonts w:ascii="Cambria" w:hAnsi="Cambria"/>
        </w:rPr>
        <w:t>. 2011).</w:t>
      </w:r>
    </w:p>
    <w:p w:rsidR="00C74066" w:rsidRDefault="00F10705">
      <w:pPr>
        <w:autoSpaceDE w:val="0"/>
        <w:autoSpaceDN w:val="0"/>
        <w:adjustRightInd w:val="0"/>
        <w:spacing w:before="200"/>
        <w:rPr>
          <w:rFonts w:ascii="Cambria" w:hAnsi="Cambria"/>
        </w:rPr>
      </w:pPr>
      <w:r>
        <w:rPr>
          <w:rFonts w:ascii="Cambria" w:hAnsi="Cambria"/>
          <w:i/>
          <w:iCs/>
        </w:rPr>
        <w:t xml:space="preserve">Phytophthora nemorosa </w:t>
      </w:r>
      <w:r>
        <w:rPr>
          <w:rFonts w:ascii="Cambria" w:hAnsi="Cambria"/>
        </w:rPr>
        <w:t xml:space="preserve">and </w:t>
      </w:r>
      <w:r>
        <w:rPr>
          <w:rFonts w:ascii="Cambria" w:hAnsi="Cambria"/>
          <w:i/>
          <w:iCs/>
        </w:rPr>
        <w:t>P. pseudosyringae</w:t>
      </w:r>
      <w:r>
        <w:rPr>
          <w:rFonts w:ascii="Cambria" w:hAnsi="Cambria"/>
        </w:rPr>
        <w:t xml:space="preserve"> have similar host ranges and occur in generally the same geographic region as </w:t>
      </w:r>
      <w:r>
        <w:rPr>
          <w:rFonts w:ascii="Cambria" w:hAnsi="Cambria"/>
          <w:i/>
          <w:iCs/>
        </w:rPr>
        <w:t xml:space="preserve">P. ramorum </w:t>
      </w:r>
      <w:r>
        <w:rPr>
          <w:rFonts w:ascii="Cambria" w:hAnsi="Cambria"/>
        </w:rPr>
        <w:t xml:space="preserve">(Martin &amp; Tooley 2003; Martin </w:t>
      </w:r>
      <w:r>
        <w:rPr>
          <w:rFonts w:ascii="Cambria" w:hAnsi="Cambria"/>
          <w:iCs/>
        </w:rPr>
        <w:t>et al</w:t>
      </w:r>
      <w:r>
        <w:rPr>
          <w:rFonts w:ascii="Cambria" w:hAnsi="Cambria"/>
        </w:rPr>
        <w:t xml:space="preserve">. 2004; Wickland </w:t>
      </w:r>
      <w:r>
        <w:rPr>
          <w:rFonts w:ascii="Cambria" w:hAnsi="Cambria"/>
          <w:iCs/>
        </w:rPr>
        <w:t>et al</w:t>
      </w:r>
      <w:r>
        <w:rPr>
          <w:rFonts w:ascii="Cambria" w:hAnsi="Cambria"/>
        </w:rPr>
        <w:t xml:space="preserve">. 2008). </w:t>
      </w:r>
      <w:r>
        <w:rPr>
          <w:rFonts w:ascii="Cambria" w:hAnsi="Cambria"/>
          <w:i/>
          <w:iCs/>
        </w:rPr>
        <w:t>Phytophthora nemorosa</w:t>
      </w:r>
      <w:r>
        <w:rPr>
          <w:rFonts w:ascii="Cambria" w:hAnsi="Cambria"/>
        </w:rPr>
        <w:t xml:space="preserve"> is commonly isolated from leaf spots (Yakabe </w:t>
      </w:r>
      <w:r>
        <w:rPr>
          <w:rFonts w:ascii="Cambria" w:hAnsi="Cambria"/>
          <w:iCs/>
        </w:rPr>
        <w:t>et al</w:t>
      </w:r>
      <w:r>
        <w:rPr>
          <w:rFonts w:ascii="Cambria" w:hAnsi="Cambria"/>
        </w:rPr>
        <w:t xml:space="preserve">. 2009) and twig cankers but occasionally has been observed causing lethal cankers (Hansen </w:t>
      </w:r>
      <w:r>
        <w:rPr>
          <w:rFonts w:ascii="Cambria" w:hAnsi="Cambria"/>
          <w:iCs/>
        </w:rPr>
        <w:t>et al</w:t>
      </w:r>
      <w:r>
        <w:rPr>
          <w:rFonts w:ascii="Cambria" w:hAnsi="Cambria"/>
        </w:rPr>
        <w:t xml:space="preserve">. 2003a). </w:t>
      </w:r>
      <w:r>
        <w:rPr>
          <w:rFonts w:ascii="Cambria" w:hAnsi="Cambria"/>
          <w:i/>
        </w:rPr>
        <w:t>Phytophthora pseudosyringae</w:t>
      </w:r>
      <w:r>
        <w:rPr>
          <w:rFonts w:ascii="Cambria" w:hAnsi="Cambria"/>
        </w:rPr>
        <w:t xml:space="preserve"> is associated with declining oaks, beeches and alders in Europe, where it has been described as a root and stem pathogen (Jung et al. 2003; Diana et al. </w:t>
      </w:r>
      <w:r>
        <w:rPr>
          <w:rFonts w:ascii="Cambria" w:hAnsi="Cambria"/>
        </w:rPr>
        <w:lastRenderedPageBreak/>
        <w:t xml:space="preserve">2006; Hwang et al. 2007). </w:t>
      </w:r>
      <w:r>
        <w:rPr>
          <w:rFonts w:ascii="Cambria" w:hAnsi="Cambria"/>
          <w:i/>
          <w:iCs/>
        </w:rPr>
        <w:t xml:space="preserve">Phytophthora pseudosyringae </w:t>
      </w:r>
      <w:r>
        <w:rPr>
          <w:rFonts w:ascii="Cambria" w:hAnsi="Cambria"/>
        </w:rPr>
        <w:t xml:space="preserve">has also been observed as a leaf and twig pathogen (Martin &amp; Tooley 2003) and has been reported causing disease on chestnut nursery stock in Spain (Varela </w:t>
      </w:r>
      <w:r>
        <w:rPr>
          <w:rFonts w:ascii="Cambria" w:hAnsi="Cambria"/>
          <w:iCs/>
        </w:rPr>
        <w:t>et al</w:t>
      </w:r>
      <w:r>
        <w:rPr>
          <w:rFonts w:ascii="Cambria" w:hAnsi="Cambria"/>
        </w:rPr>
        <w:t>. 2007).</w:t>
      </w:r>
    </w:p>
    <w:p w:rsidR="00C74066" w:rsidRDefault="00F10705">
      <w:pPr>
        <w:autoSpaceDE w:val="0"/>
        <w:autoSpaceDN w:val="0"/>
        <w:adjustRightInd w:val="0"/>
        <w:spacing w:before="200"/>
        <w:rPr>
          <w:rFonts w:ascii="Cambria" w:hAnsi="Cambria"/>
        </w:rPr>
      </w:pPr>
      <w:r>
        <w:rPr>
          <w:rFonts w:ascii="Cambria" w:hAnsi="Cambria"/>
        </w:rPr>
        <w:t xml:space="preserve">Some plants are a host to multiple </w:t>
      </w:r>
      <w:r>
        <w:rPr>
          <w:rFonts w:ascii="Cambria" w:hAnsi="Cambria"/>
          <w:i/>
          <w:iCs/>
        </w:rPr>
        <w:t xml:space="preserve">Phytophthora </w:t>
      </w:r>
      <w:r>
        <w:rPr>
          <w:rFonts w:ascii="Cambria" w:hAnsi="Cambria"/>
        </w:rPr>
        <w:t xml:space="preserve">species, thus increasing the probability of the inadvertent introduction of exotic pathogens. Among these newly described </w:t>
      </w:r>
      <w:r>
        <w:rPr>
          <w:rFonts w:ascii="Cambria" w:hAnsi="Cambria"/>
          <w:i/>
          <w:iCs/>
        </w:rPr>
        <w:t xml:space="preserve">Phytophthora </w:t>
      </w:r>
      <w:r>
        <w:rPr>
          <w:rFonts w:ascii="Cambria" w:hAnsi="Cambria"/>
        </w:rPr>
        <w:t xml:space="preserve">species, </w:t>
      </w:r>
      <w:r>
        <w:rPr>
          <w:rFonts w:ascii="Cambria" w:hAnsi="Cambria"/>
          <w:i/>
          <w:iCs/>
        </w:rPr>
        <w:t>P. kernoviae</w:t>
      </w:r>
      <w:r>
        <w:rPr>
          <w:rFonts w:ascii="Cambria" w:hAnsi="Cambria"/>
        </w:rPr>
        <w:t xml:space="preserve">, </w:t>
      </w:r>
      <w:r>
        <w:rPr>
          <w:rFonts w:ascii="Cambria" w:hAnsi="Cambria"/>
          <w:i/>
          <w:iCs/>
        </w:rPr>
        <w:t>P. nemorosa</w:t>
      </w:r>
      <w:r>
        <w:rPr>
          <w:rFonts w:ascii="Cambria" w:hAnsi="Cambria"/>
        </w:rPr>
        <w:t>, and</w:t>
      </w:r>
      <w:r>
        <w:rPr>
          <w:rFonts w:ascii="Cambria" w:hAnsi="Cambria"/>
          <w:i/>
          <w:iCs/>
        </w:rPr>
        <w:t xml:space="preserve"> P. pseudosyringae </w:t>
      </w:r>
      <w:r>
        <w:rPr>
          <w:rFonts w:ascii="Cambria" w:hAnsi="Cambria"/>
        </w:rPr>
        <w:t xml:space="preserve">have multiple overlapping hosts and are established in temperate forest ecosystems and ornamental nurseries (Webber 2008; Yakabe </w:t>
      </w:r>
      <w:r>
        <w:rPr>
          <w:rFonts w:ascii="Cambria" w:hAnsi="Cambria"/>
          <w:iCs/>
        </w:rPr>
        <w:t>et al</w:t>
      </w:r>
      <w:r>
        <w:rPr>
          <w:rFonts w:ascii="Cambria" w:hAnsi="Cambria"/>
        </w:rPr>
        <w:t xml:space="preserve">. 2009; Grünwald </w:t>
      </w:r>
      <w:r>
        <w:rPr>
          <w:rFonts w:ascii="Cambria" w:hAnsi="Cambria"/>
          <w:iCs/>
        </w:rPr>
        <w:t>et al</w:t>
      </w:r>
      <w:r>
        <w:rPr>
          <w:rFonts w:ascii="Cambria" w:hAnsi="Cambria"/>
        </w:rPr>
        <w:t xml:space="preserve">. 2011). These </w:t>
      </w:r>
      <w:r>
        <w:rPr>
          <w:rFonts w:ascii="Cambria" w:hAnsi="Cambria"/>
          <w:i/>
          <w:iCs/>
        </w:rPr>
        <w:t xml:space="preserve">Phytophthora </w:t>
      </w:r>
      <w:r>
        <w:rPr>
          <w:rFonts w:ascii="Cambria" w:hAnsi="Cambria"/>
        </w:rPr>
        <w:t xml:space="preserve">species produce symptoms indistinguishable from </w:t>
      </w:r>
      <w:r>
        <w:rPr>
          <w:rFonts w:ascii="Cambria" w:hAnsi="Cambria"/>
          <w:i/>
          <w:iCs/>
        </w:rPr>
        <w:t xml:space="preserve">P. ramorum </w:t>
      </w:r>
      <w:r>
        <w:rPr>
          <w:rFonts w:ascii="Cambria" w:hAnsi="Cambria"/>
        </w:rPr>
        <w:t xml:space="preserve">on shared hosts and have a significant aerial component in their life cycle (Davidson </w:t>
      </w:r>
      <w:r>
        <w:rPr>
          <w:rFonts w:ascii="Cambria" w:hAnsi="Cambria"/>
          <w:iCs/>
        </w:rPr>
        <w:t>et al</w:t>
      </w:r>
      <w:r>
        <w:rPr>
          <w:rFonts w:ascii="Cambria" w:hAnsi="Cambria"/>
        </w:rPr>
        <w:t xml:space="preserve">. 2005; 2008; Martin </w:t>
      </w:r>
      <w:r>
        <w:rPr>
          <w:rFonts w:ascii="Cambria" w:hAnsi="Cambria"/>
          <w:iCs/>
        </w:rPr>
        <w:t>et al</w:t>
      </w:r>
      <w:r>
        <w:rPr>
          <w:rFonts w:ascii="Cambria" w:hAnsi="Cambria"/>
        </w:rPr>
        <w:t>. 2012).</w:t>
      </w:r>
    </w:p>
    <w:p w:rsidR="00C74066" w:rsidRDefault="00F10705">
      <w:pPr>
        <w:pStyle w:val="Heading2"/>
        <w:numPr>
          <w:ilvl w:val="1"/>
          <w:numId w:val="21"/>
        </w:numPr>
        <w:tabs>
          <w:tab w:val="clear" w:pos="576"/>
        </w:tabs>
        <w:spacing w:before="200" w:after="120"/>
        <w:ind w:left="357" w:hanging="357"/>
        <w:rPr>
          <w:rFonts w:eastAsiaTheme="majorEastAsia" w:cstheme="majorBidi"/>
          <w:color w:val="773141"/>
          <w:sz w:val="28"/>
        </w:rPr>
      </w:pPr>
      <w:bookmarkStart w:id="94" w:name="_Toc434247470"/>
      <w:bookmarkStart w:id="95" w:name="_Toc384279552"/>
      <w:r>
        <w:rPr>
          <w:rFonts w:eastAsiaTheme="majorEastAsia" w:cstheme="majorBidi"/>
          <w:color w:val="773141"/>
          <w:sz w:val="28"/>
        </w:rPr>
        <w:t xml:space="preserve">Symptoms produced by the </w:t>
      </w:r>
      <w:r>
        <w:rPr>
          <w:rFonts w:eastAsiaTheme="majorEastAsia" w:cstheme="majorBidi"/>
          <w:i/>
          <w:color w:val="773141"/>
          <w:sz w:val="28"/>
        </w:rPr>
        <w:t>Phytophthora</w:t>
      </w:r>
      <w:r>
        <w:rPr>
          <w:rFonts w:eastAsiaTheme="majorEastAsia" w:cstheme="majorBidi"/>
          <w:color w:val="773141"/>
          <w:sz w:val="28"/>
        </w:rPr>
        <w:t xml:space="preserve"> species</w:t>
      </w:r>
      <w:bookmarkEnd w:id="94"/>
    </w:p>
    <w:bookmarkEnd w:id="95"/>
    <w:p w:rsidR="00C74066" w:rsidRDefault="00F10705">
      <w:pPr>
        <w:autoSpaceDE w:val="0"/>
        <w:autoSpaceDN w:val="0"/>
        <w:adjustRightInd w:val="0"/>
        <w:spacing w:before="200"/>
        <w:rPr>
          <w:rFonts w:ascii="Cambria" w:hAnsi="Cambria"/>
        </w:rPr>
      </w:pPr>
      <w:r>
        <w:rPr>
          <w:rFonts w:ascii="Cambria" w:hAnsi="Cambria"/>
        </w:rPr>
        <w:t xml:space="preserve">Symptoms caused by </w:t>
      </w:r>
      <w:r>
        <w:rPr>
          <w:rFonts w:ascii="Cambria" w:hAnsi="Cambria"/>
          <w:i/>
          <w:iCs/>
        </w:rPr>
        <w:t>Phytophthora kernoviae</w:t>
      </w:r>
      <w:r>
        <w:rPr>
          <w:rFonts w:ascii="Cambria" w:hAnsi="Cambria"/>
        </w:rPr>
        <w:t xml:space="preserve">, </w:t>
      </w:r>
      <w:r>
        <w:rPr>
          <w:rFonts w:ascii="Cambria" w:hAnsi="Cambria"/>
          <w:i/>
          <w:iCs/>
        </w:rPr>
        <w:t>P. nemorosa</w:t>
      </w:r>
      <w:r>
        <w:rPr>
          <w:rFonts w:ascii="Cambria" w:hAnsi="Cambria"/>
        </w:rPr>
        <w:t>,</w:t>
      </w:r>
      <w:r>
        <w:rPr>
          <w:rFonts w:ascii="Cambria" w:hAnsi="Cambria"/>
          <w:i/>
          <w:iCs/>
        </w:rPr>
        <w:t xml:space="preserve"> P. pseudosyringae </w:t>
      </w:r>
      <w:r>
        <w:rPr>
          <w:rFonts w:ascii="Cambria" w:hAnsi="Cambria"/>
        </w:rPr>
        <w:t xml:space="preserve">and </w:t>
      </w:r>
      <w:r>
        <w:rPr>
          <w:rFonts w:ascii="Cambria" w:hAnsi="Cambria"/>
          <w:i/>
          <w:iCs/>
        </w:rPr>
        <w:t xml:space="preserve">P. ramorum </w:t>
      </w:r>
      <w:r>
        <w:rPr>
          <w:rFonts w:ascii="Cambria" w:hAnsi="Cambria"/>
        </w:rPr>
        <w:t xml:space="preserve">include leaf necrosis, shoot tip dieback and bleeding cankers on a wide range of plant species (Denman </w:t>
      </w:r>
      <w:r>
        <w:rPr>
          <w:rFonts w:ascii="Cambria" w:hAnsi="Cambria"/>
          <w:iCs/>
        </w:rPr>
        <w:t>et al</w:t>
      </w:r>
      <w:r>
        <w:rPr>
          <w:rFonts w:ascii="Cambria" w:hAnsi="Cambria"/>
        </w:rPr>
        <w:t xml:space="preserve">. 2005; Linzer &amp; Garbelotto 2008; Linzer </w:t>
      </w:r>
      <w:r>
        <w:rPr>
          <w:rFonts w:ascii="Cambria" w:hAnsi="Cambria"/>
          <w:iCs/>
        </w:rPr>
        <w:t>et al</w:t>
      </w:r>
      <w:r>
        <w:rPr>
          <w:rFonts w:ascii="Cambria" w:hAnsi="Cambria"/>
        </w:rPr>
        <w:t>. 2009)</w:t>
      </w:r>
      <w:r>
        <w:rPr>
          <w:rFonts w:ascii="Cambria" w:hAnsi="Cambria"/>
          <w:i/>
        </w:rPr>
        <w:t xml:space="preserve">. </w:t>
      </w:r>
      <w:r>
        <w:rPr>
          <w:rFonts w:ascii="Cambria" w:hAnsi="Cambria"/>
        </w:rPr>
        <w:t xml:space="preserve">Symptoms caused by these species are indistinguishable on shared hosts; therefore, the biological information of </w:t>
      </w:r>
      <w:r>
        <w:rPr>
          <w:rFonts w:ascii="Cambria" w:hAnsi="Cambria"/>
          <w:i/>
          <w:iCs/>
        </w:rPr>
        <w:t>P. ramorum</w:t>
      </w:r>
      <w:r>
        <w:rPr>
          <w:rFonts w:ascii="Cambria" w:hAnsi="Cambria"/>
        </w:rPr>
        <w:t xml:space="preserve"> will be used for the purposes of this review.</w:t>
      </w:r>
    </w:p>
    <w:p w:rsidR="00C74066" w:rsidRDefault="00F10705">
      <w:pPr>
        <w:autoSpaceDE w:val="0"/>
        <w:autoSpaceDN w:val="0"/>
        <w:adjustRightInd w:val="0"/>
        <w:spacing w:before="200"/>
        <w:rPr>
          <w:rFonts w:ascii="Cambria" w:hAnsi="Cambria"/>
        </w:rPr>
      </w:pPr>
      <w:r>
        <w:rPr>
          <w:rFonts w:ascii="Cambria" w:hAnsi="Cambria"/>
          <w:i/>
          <w:iCs/>
        </w:rPr>
        <w:t>Phytophthora</w:t>
      </w:r>
      <w:r>
        <w:rPr>
          <w:rFonts w:ascii="Cambria" w:hAnsi="Cambria"/>
        </w:rPr>
        <w:t xml:space="preserve"> </w:t>
      </w:r>
      <w:r>
        <w:rPr>
          <w:rFonts w:ascii="Cambria" w:hAnsi="Cambria"/>
          <w:i/>
          <w:iCs/>
        </w:rPr>
        <w:t xml:space="preserve">ramorum </w:t>
      </w:r>
      <w:r>
        <w:rPr>
          <w:rFonts w:ascii="Cambria" w:hAnsi="Cambria"/>
        </w:rPr>
        <w:t xml:space="preserve">produces symptoms that include bleeding lesions, stem cankers, twig dieback and/or foliar lesions (Hansen </w:t>
      </w:r>
      <w:r>
        <w:rPr>
          <w:rFonts w:ascii="Cambria" w:hAnsi="Cambria"/>
          <w:iCs/>
        </w:rPr>
        <w:t>et al</w:t>
      </w:r>
      <w:r>
        <w:rPr>
          <w:rFonts w:ascii="Cambria" w:hAnsi="Cambria"/>
        </w:rPr>
        <w:t xml:space="preserve">. 2005; Rizzo </w:t>
      </w:r>
      <w:r>
        <w:rPr>
          <w:rFonts w:ascii="Cambria" w:hAnsi="Cambria"/>
          <w:iCs/>
        </w:rPr>
        <w:t>et al</w:t>
      </w:r>
      <w:r>
        <w:rPr>
          <w:rFonts w:ascii="Cambria" w:hAnsi="Cambria"/>
        </w:rPr>
        <w:t xml:space="preserve">. 2005). Lethal trunk cankers are produced on members of the Fagaceae family; for example, oaks, tanoak and European beech (Parke &amp; Lucas 2008; Parke &amp; Rizzo 2011; Dick &amp; Parke 2012). Non-lethal shoot die-back symptoms are produced on some Ericaceae and conifers, and foliar blight on a diverse group of hosts (Parke &amp; Rizzo 2011; Dick &amp; Parke 2012). Foliar infections are not fatal but these foliar hosts play an important role in spreading the inoculum of the pathogen (Alexander 2012). In addition, </w:t>
      </w:r>
      <w:r>
        <w:rPr>
          <w:rFonts w:ascii="Cambria" w:hAnsi="Cambria"/>
          <w:i/>
          <w:iCs/>
        </w:rPr>
        <w:t>P. kernoviae</w:t>
      </w:r>
      <w:r>
        <w:rPr>
          <w:rFonts w:ascii="Cambria" w:hAnsi="Cambria"/>
        </w:rPr>
        <w:t xml:space="preserve"> also produces symptoms on the fruits of custard apples (</w:t>
      </w:r>
      <w:r>
        <w:rPr>
          <w:rFonts w:ascii="Cambria" w:hAnsi="Cambria"/>
          <w:i/>
        </w:rPr>
        <w:t>Annona cherimola</w:t>
      </w:r>
      <w:r>
        <w:rPr>
          <w:rFonts w:ascii="Cambria" w:hAnsi="Cambria"/>
        </w:rPr>
        <w:t>)</w:t>
      </w:r>
      <w:r w:rsidR="004D7502">
        <w:rPr>
          <w:rFonts w:ascii="Cambria" w:hAnsi="Cambria"/>
        </w:rPr>
        <w:t>,</w:t>
      </w:r>
      <w:r>
        <w:rPr>
          <w:rFonts w:ascii="Cambria" w:hAnsi="Cambria"/>
        </w:rPr>
        <w:t xml:space="preserve"> with infected fruits becoming mummified (Ramsfield </w:t>
      </w:r>
      <w:r>
        <w:rPr>
          <w:rFonts w:ascii="Cambria" w:hAnsi="Cambria"/>
          <w:iCs/>
        </w:rPr>
        <w:t>et al.</w:t>
      </w:r>
      <w:r>
        <w:rPr>
          <w:rFonts w:ascii="Cambria" w:hAnsi="Cambria"/>
        </w:rPr>
        <w:t xml:space="preserve"> 2009). </w:t>
      </w:r>
    </w:p>
    <w:p w:rsidR="00C74066" w:rsidRDefault="00F10705">
      <w:pPr>
        <w:pStyle w:val="Heading2"/>
        <w:numPr>
          <w:ilvl w:val="1"/>
          <w:numId w:val="21"/>
        </w:numPr>
        <w:tabs>
          <w:tab w:val="clear" w:pos="576"/>
        </w:tabs>
        <w:spacing w:before="200" w:after="120"/>
        <w:ind w:left="357" w:hanging="357"/>
        <w:rPr>
          <w:rFonts w:eastAsiaTheme="majorEastAsia" w:cstheme="majorBidi"/>
          <w:color w:val="773141"/>
          <w:sz w:val="28"/>
        </w:rPr>
      </w:pPr>
      <w:bookmarkStart w:id="96" w:name="_Toc434247471"/>
      <w:r>
        <w:rPr>
          <w:rFonts w:eastAsiaTheme="majorEastAsia" w:cstheme="majorBidi"/>
          <w:color w:val="773141"/>
          <w:sz w:val="28"/>
        </w:rPr>
        <w:t xml:space="preserve">Biology of the </w:t>
      </w:r>
      <w:r>
        <w:rPr>
          <w:rFonts w:eastAsiaTheme="majorEastAsia" w:cstheme="majorBidi"/>
          <w:i/>
          <w:color w:val="773141"/>
          <w:sz w:val="28"/>
        </w:rPr>
        <w:t>Phytophthora</w:t>
      </w:r>
      <w:r>
        <w:rPr>
          <w:rFonts w:eastAsiaTheme="majorEastAsia" w:cstheme="majorBidi"/>
          <w:color w:val="773141"/>
          <w:sz w:val="28"/>
        </w:rPr>
        <w:t xml:space="preserve"> species</w:t>
      </w:r>
      <w:bookmarkEnd w:id="96"/>
    </w:p>
    <w:p w:rsidR="00C74066" w:rsidRDefault="00F10705">
      <w:pPr>
        <w:autoSpaceDE w:val="0"/>
        <w:autoSpaceDN w:val="0"/>
        <w:adjustRightInd w:val="0"/>
        <w:spacing w:before="200"/>
        <w:rPr>
          <w:rFonts w:ascii="Cambria" w:hAnsi="Cambria"/>
          <w:i/>
          <w:iCs/>
        </w:rPr>
      </w:pPr>
      <w:r>
        <w:rPr>
          <w:rFonts w:ascii="Cambria" w:hAnsi="Cambria"/>
          <w:i/>
          <w:iCs/>
        </w:rPr>
        <w:t xml:space="preserve">Phytophthora </w:t>
      </w:r>
      <w:r>
        <w:rPr>
          <w:rFonts w:ascii="Cambria" w:hAnsi="Cambria"/>
        </w:rPr>
        <w:t xml:space="preserve">species are oomycetes (water moulds) and require a moist environment (abundant water in soil or on foliage) to actively grow and reproduce (Erwin &amp; Ribeiro 1996). Reproduction in </w:t>
      </w:r>
      <w:r>
        <w:rPr>
          <w:rFonts w:ascii="Cambria" w:hAnsi="Cambria"/>
          <w:i/>
          <w:iCs/>
        </w:rPr>
        <w:t>Phytophthora</w:t>
      </w:r>
      <w:r>
        <w:rPr>
          <w:rFonts w:ascii="Cambria" w:hAnsi="Cambria"/>
        </w:rPr>
        <w:t xml:space="preserve"> species is either sexual or asexual, although some species have not been observed in the sexual phase.</w:t>
      </w:r>
      <w:r>
        <w:rPr>
          <w:rFonts w:ascii="Cambria" w:hAnsi="Cambria"/>
          <w:i/>
          <w:iCs/>
        </w:rPr>
        <w:t xml:space="preserve"> </w:t>
      </w:r>
    </w:p>
    <w:p w:rsidR="00C74066" w:rsidRDefault="00F10705">
      <w:pPr>
        <w:autoSpaceDE w:val="0"/>
        <w:autoSpaceDN w:val="0"/>
        <w:adjustRightInd w:val="0"/>
        <w:spacing w:before="200"/>
        <w:rPr>
          <w:rFonts w:ascii="Cambria" w:hAnsi="Cambria"/>
        </w:rPr>
      </w:pPr>
      <w:r>
        <w:rPr>
          <w:rFonts w:ascii="Cambria" w:hAnsi="Cambria"/>
        </w:rPr>
        <w:t xml:space="preserve">During the asexual life cycle, these pathogens can be observed in different life stages including mycelia, sporangia, zoospores, cysts and germinating cysts (Savidor </w:t>
      </w:r>
      <w:r>
        <w:rPr>
          <w:rFonts w:ascii="Cambria" w:hAnsi="Cambria"/>
          <w:iCs/>
        </w:rPr>
        <w:t>et al</w:t>
      </w:r>
      <w:r>
        <w:rPr>
          <w:rFonts w:ascii="Cambria" w:hAnsi="Cambria"/>
        </w:rPr>
        <w:t xml:space="preserve">. 2008). Asexual reproduction occurs through the production of sporangia, which can germinate directly or release motile zoospores. These zoospores are water-borne and move with the aid of two flagella (Dick 2001). Subsequently, a zoospore encysts, losing its flagella, and attaches to its host and germinates (Nogueira </w:t>
      </w:r>
      <w:r>
        <w:rPr>
          <w:rFonts w:ascii="Cambria" w:hAnsi="Cambria"/>
          <w:iCs/>
        </w:rPr>
        <w:t>et al</w:t>
      </w:r>
      <w:r>
        <w:rPr>
          <w:rFonts w:ascii="Cambria" w:hAnsi="Cambria"/>
        </w:rPr>
        <w:t xml:space="preserve">. 1977; Blanco &amp; Judelson 2005). Zoospores are spread in water through rain-splash, wind-blown rain or run-off into water ways. Wind-dispersal of </w:t>
      </w:r>
      <w:r>
        <w:rPr>
          <w:rFonts w:ascii="Cambria" w:hAnsi="Cambria"/>
          <w:i/>
        </w:rPr>
        <w:t xml:space="preserve">P. ramorum </w:t>
      </w:r>
      <w:r>
        <w:rPr>
          <w:rFonts w:ascii="Cambria" w:hAnsi="Cambria"/>
        </w:rPr>
        <w:t xml:space="preserve">sporangia has also been reported in the forests of the Pacific Northwest USA (Davidson </w:t>
      </w:r>
      <w:r>
        <w:rPr>
          <w:rFonts w:ascii="Cambria" w:hAnsi="Cambria"/>
          <w:iCs/>
        </w:rPr>
        <w:t>et al</w:t>
      </w:r>
      <w:r>
        <w:rPr>
          <w:rFonts w:ascii="Cambria" w:hAnsi="Cambria"/>
        </w:rPr>
        <w:t xml:space="preserve">. 2002a; Denman </w:t>
      </w:r>
      <w:r>
        <w:rPr>
          <w:rFonts w:ascii="Cambria" w:hAnsi="Cambria"/>
          <w:iCs/>
        </w:rPr>
        <w:t>et al</w:t>
      </w:r>
      <w:r>
        <w:rPr>
          <w:rFonts w:ascii="Cambria" w:hAnsi="Cambria"/>
        </w:rPr>
        <w:t xml:space="preserve">. 2006). Some </w:t>
      </w:r>
      <w:r>
        <w:rPr>
          <w:rFonts w:ascii="Cambria" w:hAnsi="Cambria"/>
          <w:i/>
          <w:iCs/>
        </w:rPr>
        <w:t xml:space="preserve">Phytophthora </w:t>
      </w:r>
      <w:r>
        <w:rPr>
          <w:rFonts w:ascii="Cambria" w:hAnsi="Cambria"/>
        </w:rPr>
        <w:t xml:space="preserve">species can also produce asexual chlamydospores that are able to survive unfavourable conditions for longer periods than sporangia or zoospores (Erwin &amp; Ribeiro 1996). Soil contaminated with sporangia, oospores or </w:t>
      </w:r>
      <w:r>
        <w:rPr>
          <w:rFonts w:ascii="Cambria" w:hAnsi="Cambria"/>
        </w:rPr>
        <w:lastRenderedPageBreak/>
        <w:t xml:space="preserve">chlamydospores is another mode of dispersal in the forest which can be spread on muddy vehicle tyres or boots (Hansen </w:t>
      </w:r>
      <w:r>
        <w:rPr>
          <w:rFonts w:ascii="Cambria" w:hAnsi="Cambria"/>
          <w:iCs/>
        </w:rPr>
        <w:t>et al</w:t>
      </w:r>
      <w:r>
        <w:rPr>
          <w:rFonts w:ascii="Cambria" w:hAnsi="Cambria"/>
        </w:rPr>
        <w:t>. 2000).</w:t>
      </w:r>
    </w:p>
    <w:p w:rsidR="00C74066" w:rsidRDefault="00F10705">
      <w:pPr>
        <w:autoSpaceDE w:val="0"/>
        <w:autoSpaceDN w:val="0"/>
        <w:adjustRightInd w:val="0"/>
        <w:spacing w:before="200"/>
        <w:rPr>
          <w:rFonts w:ascii="Cambria" w:hAnsi="Cambria"/>
        </w:rPr>
      </w:pPr>
      <w:r>
        <w:rPr>
          <w:rFonts w:ascii="Cambria" w:hAnsi="Cambria"/>
        </w:rPr>
        <w:t xml:space="preserve">Sexual reproduction can be homothallic or heterothallic, requiring the interaction of opposite mating types for sexual recombination (Erwin &amp; Ribeiro 1996; Ivors et al. 2004). During the sexual life cycle, oospores (sexual spores) that can survive in the soil for years are produced, thus allowing re-infection of their host plant in subsequent growing seasons (Savidor </w:t>
      </w:r>
      <w:r>
        <w:rPr>
          <w:rFonts w:ascii="Cambria" w:hAnsi="Cambria"/>
          <w:iCs/>
        </w:rPr>
        <w:t>et al.</w:t>
      </w:r>
      <w:r>
        <w:rPr>
          <w:rFonts w:ascii="Cambria" w:hAnsi="Cambria"/>
        </w:rPr>
        <w:t xml:space="preserve"> 2008). However, because the oospores require a dormancy period of several weeks before germination, it is the asexual life cycle (sporangia, zoospores, chlamydospores) that is responsible for the rapid propagation and spread of </w:t>
      </w:r>
      <w:r>
        <w:rPr>
          <w:rFonts w:ascii="Cambria" w:hAnsi="Cambria"/>
          <w:i/>
          <w:iCs/>
        </w:rPr>
        <w:t xml:space="preserve">P. ramorum </w:t>
      </w:r>
      <w:r>
        <w:rPr>
          <w:rFonts w:ascii="Cambria" w:hAnsi="Cambria"/>
          <w:iCs/>
        </w:rPr>
        <w:t>(</w:t>
      </w:r>
      <w:r>
        <w:rPr>
          <w:rFonts w:ascii="Cambria" w:hAnsi="Cambria"/>
        </w:rPr>
        <w:t xml:space="preserve">Savidor </w:t>
      </w:r>
      <w:r>
        <w:rPr>
          <w:rFonts w:ascii="Cambria" w:hAnsi="Cambria"/>
          <w:iCs/>
        </w:rPr>
        <w:t>et al</w:t>
      </w:r>
      <w:r>
        <w:rPr>
          <w:rFonts w:ascii="Cambria" w:hAnsi="Cambria"/>
        </w:rPr>
        <w:t>. 2008</w:t>
      </w:r>
      <w:r>
        <w:rPr>
          <w:rFonts w:ascii="Cambria" w:hAnsi="Cambria"/>
          <w:iCs/>
        </w:rPr>
        <w:t>)</w:t>
      </w:r>
      <w:r>
        <w:rPr>
          <w:rFonts w:ascii="Cambria" w:hAnsi="Cambria"/>
        </w:rPr>
        <w:t>.</w:t>
      </w:r>
    </w:p>
    <w:p w:rsidR="00C74066" w:rsidRDefault="00F10705">
      <w:pPr>
        <w:autoSpaceDE w:val="0"/>
        <w:autoSpaceDN w:val="0"/>
        <w:adjustRightInd w:val="0"/>
        <w:spacing w:before="200"/>
        <w:rPr>
          <w:rFonts w:ascii="Cambria" w:hAnsi="Cambria"/>
        </w:rPr>
      </w:pPr>
      <w:r>
        <w:rPr>
          <w:rFonts w:ascii="Cambria" w:hAnsi="Cambria"/>
        </w:rPr>
        <w:t xml:space="preserve">The morphological characteristics of </w:t>
      </w:r>
      <w:r>
        <w:rPr>
          <w:rFonts w:ascii="Cambria" w:hAnsi="Cambria"/>
          <w:i/>
          <w:iCs/>
        </w:rPr>
        <w:t>P. kernoviae</w:t>
      </w:r>
      <w:r>
        <w:rPr>
          <w:rFonts w:ascii="Cambria" w:hAnsi="Cambria"/>
        </w:rPr>
        <w:t xml:space="preserve">, </w:t>
      </w:r>
      <w:r>
        <w:rPr>
          <w:rFonts w:ascii="Cambria" w:hAnsi="Cambria"/>
          <w:i/>
          <w:iCs/>
        </w:rPr>
        <w:t>P. nemorosa</w:t>
      </w:r>
      <w:r>
        <w:rPr>
          <w:rFonts w:ascii="Cambria" w:hAnsi="Cambria"/>
        </w:rPr>
        <w:t>,</w:t>
      </w:r>
      <w:r>
        <w:rPr>
          <w:rFonts w:ascii="Cambria" w:hAnsi="Cambria"/>
          <w:i/>
          <w:iCs/>
        </w:rPr>
        <w:t xml:space="preserve"> P. pseudosyringae </w:t>
      </w:r>
      <w:r>
        <w:rPr>
          <w:rFonts w:ascii="Cambria" w:hAnsi="Cambria"/>
        </w:rPr>
        <w:t xml:space="preserve">and </w:t>
      </w:r>
      <w:r>
        <w:rPr>
          <w:rFonts w:ascii="Cambria" w:hAnsi="Cambria"/>
          <w:i/>
          <w:iCs/>
        </w:rPr>
        <w:t xml:space="preserve">P. ramorum </w:t>
      </w:r>
      <w:r>
        <w:rPr>
          <w:rFonts w:ascii="Cambria" w:hAnsi="Cambria"/>
        </w:rPr>
        <w:t>are presented in Table 6.</w:t>
      </w:r>
    </w:p>
    <w:p w:rsidR="00C74066" w:rsidRDefault="00F10705">
      <w:pPr>
        <w:pStyle w:val="Caption"/>
        <w:keepNext w:val="0"/>
        <w:rPr>
          <w:rFonts w:asciiTheme="majorHAnsi" w:eastAsiaTheme="majorEastAsia" w:hAnsiTheme="majorHAnsi" w:cstheme="majorBidi"/>
          <w:color w:val="595959" w:themeColor="text1" w:themeTint="A6"/>
          <w:sz w:val="20"/>
        </w:rPr>
      </w:pPr>
      <w:bookmarkStart w:id="97" w:name="_Toc386710908"/>
      <w:bookmarkStart w:id="98" w:name="_Toc388949922"/>
      <w:bookmarkStart w:id="99" w:name="_Toc434244762"/>
      <w:r>
        <w:rPr>
          <w:rFonts w:asciiTheme="majorHAnsi" w:eastAsiaTheme="majorEastAsia" w:hAnsiTheme="majorHAnsi" w:cstheme="majorBidi"/>
          <w:color w:val="595959" w:themeColor="text1" w:themeTint="A6"/>
          <w:sz w:val="20"/>
        </w:rPr>
        <w:t xml:space="preserve">Table </w:t>
      </w:r>
      <w:r w:rsidR="00C57DCF">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Table \* ARABIC </w:instrText>
      </w:r>
      <w:r w:rsidR="00C57DCF">
        <w:rPr>
          <w:rFonts w:asciiTheme="majorHAnsi" w:eastAsiaTheme="majorEastAsia" w:hAnsiTheme="majorHAnsi" w:cstheme="majorBidi"/>
          <w:color w:val="595959" w:themeColor="text1" w:themeTint="A6"/>
          <w:sz w:val="20"/>
        </w:rPr>
        <w:fldChar w:fldCharType="separate"/>
      </w:r>
      <w:r w:rsidR="00AF2121">
        <w:rPr>
          <w:rFonts w:asciiTheme="majorHAnsi" w:eastAsiaTheme="majorEastAsia" w:hAnsiTheme="majorHAnsi" w:cstheme="majorBidi"/>
          <w:noProof/>
          <w:color w:val="595959" w:themeColor="text1" w:themeTint="A6"/>
          <w:sz w:val="20"/>
        </w:rPr>
        <w:t>6</w:t>
      </w:r>
      <w:r w:rsidR="00C57DCF">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Characteristics of the </w:t>
      </w:r>
      <w:r>
        <w:rPr>
          <w:rFonts w:asciiTheme="majorHAnsi" w:eastAsiaTheme="majorEastAsia" w:hAnsiTheme="majorHAnsi" w:cstheme="majorBidi"/>
          <w:i/>
          <w:color w:val="595959" w:themeColor="text1" w:themeTint="A6"/>
          <w:sz w:val="20"/>
        </w:rPr>
        <w:t>Phytophthora</w:t>
      </w:r>
      <w:r>
        <w:rPr>
          <w:rFonts w:asciiTheme="majorHAnsi" w:eastAsiaTheme="majorEastAsia" w:hAnsiTheme="majorHAnsi" w:cstheme="majorBidi"/>
          <w:color w:val="595959" w:themeColor="text1" w:themeTint="A6"/>
          <w:sz w:val="20"/>
        </w:rPr>
        <w:t xml:space="preserve"> species under review</w:t>
      </w:r>
      <w:bookmarkEnd w:id="97"/>
      <w:bookmarkEnd w:id="98"/>
      <w:bookmarkEnd w:id="99"/>
    </w:p>
    <w:tbl>
      <w:tblPr>
        <w:tblW w:w="0" w:type="auto"/>
        <w:tblInd w:w="108" w:type="dxa"/>
        <w:tblBorders>
          <w:top w:val="single" w:sz="12" w:space="0" w:color="990000"/>
          <w:bottom w:val="single" w:sz="12" w:space="0" w:color="990000"/>
        </w:tblBorders>
        <w:tblLook w:val="04A0"/>
      </w:tblPr>
      <w:tblGrid>
        <w:gridCol w:w="1985"/>
        <w:gridCol w:w="1843"/>
        <w:gridCol w:w="1417"/>
        <w:gridCol w:w="1701"/>
        <w:gridCol w:w="2232"/>
      </w:tblGrid>
      <w:tr w:rsidR="00C74066">
        <w:trPr>
          <w:tblHeader/>
        </w:trPr>
        <w:tc>
          <w:tcPr>
            <w:tcW w:w="1985" w:type="dxa"/>
            <w:vMerge w:val="restart"/>
            <w:tcBorders>
              <w:top w:val="single" w:sz="4" w:space="0" w:color="auto"/>
              <w:bottom w:val="single" w:sz="4" w:space="0" w:color="auto"/>
              <w:tl2br w:val="nil"/>
            </w:tcBorders>
          </w:tcPr>
          <w:p w:rsidR="00C74066" w:rsidRDefault="00C74066">
            <w:pPr>
              <w:pStyle w:val="TableHeading"/>
              <w:jc w:val="center"/>
              <w:rPr>
                <w:rFonts w:ascii="Cambria" w:hAnsi="Cambria"/>
                <w:szCs w:val="18"/>
              </w:rPr>
            </w:pPr>
          </w:p>
        </w:tc>
        <w:tc>
          <w:tcPr>
            <w:tcW w:w="7193" w:type="dxa"/>
            <w:gridSpan w:val="4"/>
            <w:tcBorders>
              <w:top w:val="single" w:sz="4" w:space="0" w:color="auto"/>
              <w:bottom w:val="single" w:sz="4" w:space="0" w:color="auto"/>
            </w:tcBorders>
          </w:tcPr>
          <w:p w:rsidR="00C74066" w:rsidRDefault="00F10705">
            <w:pPr>
              <w:pStyle w:val="TableHeading"/>
              <w:jc w:val="center"/>
              <w:rPr>
                <w:rFonts w:ascii="Cambria" w:hAnsi="Cambria"/>
                <w:szCs w:val="18"/>
              </w:rPr>
            </w:pPr>
            <w:r>
              <w:rPr>
                <w:rFonts w:ascii="Cambria" w:hAnsi="Cambria"/>
                <w:i/>
                <w:szCs w:val="18"/>
              </w:rPr>
              <w:t>Phytophthora</w:t>
            </w:r>
            <w:r>
              <w:rPr>
                <w:rFonts w:ascii="Cambria" w:hAnsi="Cambria"/>
                <w:szCs w:val="18"/>
              </w:rPr>
              <w:t xml:space="preserve"> species</w:t>
            </w:r>
          </w:p>
        </w:tc>
      </w:tr>
      <w:tr w:rsidR="00C74066">
        <w:trPr>
          <w:tblHeader/>
        </w:trPr>
        <w:tc>
          <w:tcPr>
            <w:tcW w:w="1985" w:type="dxa"/>
            <w:vMerge/>
            <w:tcBorders>
              <w:top w:val="single" w:sz="4" w:space="0" w:color="auto"/>
              <w:bottom w:val="single" w:sz="4" w:space="0" w:color="auto"/>
              <w:tl2br w:val="nil"/>
            </w:tcBorders>
          </w:tcPr>
          <w:p w:rsidR="00C74066" w:rsidRDefault="00C74066">
            <w:pPr>
              <w:pStyle w:val="TableText"/>
              <w:rPr>
                <w:rFonts w:ascii="Cambria" w:hAnsi="Cambria"/>
                <w:szCs w:val="18"/>
                <w:vertAlign w:val="superscript"/>
              </w:rPr>
            </w:pPr>
          </w:p>
        </w:tc>
        <w:tc>
          <w:tcPr>
            <w:tcW w:w="1843" w:type="dxa"/>
            <w:tcBorders>
              <w:top w:val="single" w:sz="4" w:space="0" w:color="auto"/>
              <w:bottom w:val="single" w:sz="4" w:space="0" w:color="auto"/>
            </w:tcBorders>
          </w:tcPr>
          <w:p w:rsidR="00C74066" w:rsidRDefault="00F10705">
            <w:pPr>
              <w:pStyle w:val="TableHeading"/>
              <w:rPr>
                <w:rFonts w:ascii="Cambria" w:hAnsi="Cambria"/>
                <w:i/>
                <w:szCs w:val="18"/>
              </w:rPr>
            </w:pPr>
            <w:r>
              <w:rPr>
                <w:rFonts w:ascii="Cambria" w:hAnsi="Cambria"/>
                <w:i/>
                <w:szCs w:val="18"/>
              </w:rPr>
              <w:t>P. kernoviae</w:t>
            </w:r>
          </w:p>
        </w:tc>
        <w:tc>
          <w:tcPr>
            <w:tcW w:w="1417" w:type="dxa"/>
            <w:tcBorders>
              <w:top w:val="single" w:sz="4" w:space="0" w:color="auto"/>
              <w:bottom w:val="single" w:sz="4" w:space="0" w:color="auto"/>
            </w:tcBorders>
          </w:tcPr>
          <w:p w:rsidR="00C74066" w:rsidRDefault="00F10705">
            <w:pPr>
              <w:pStyle w:val="TableHeading"/>
              <w:rPr>
                <w:rFonts w:ascii="Cambria" w:hAnsi="Cambria"/>
                <w:i/>
                <w:szCs w:val="18"/>
              </w:rPr>
            </w:pPr>
            <w:r>
              <w:rPr>
                <w:rFonts w:ascii="Cambria" w:hAnsi="Cambria"/>
                <w:i/>
                <w:szCs w:val="18"/>
              </w:rPr>
              <w:t>P. nemorosa</w:t>
            </w:r>
          </w:p>
        </w:tc>
        <w:tc>
          <w:tcPr>
            <w:tcW w:w="1701" w:type="dxa"/>
            <w:tcBorders>
              <w:top w:val="single" w:sz="4" w:space="0" w:color="auto"/>
              <w:bottom w:val="single" w:sz="4" w:space="0" w:color="auto"/>
            </w:tcBorders>
          </w:tcPr>
          <w:p w:rsidR="00C74066" w:rsidRDefault="00F10705">
            <w:pPr>
              <w:pStyle w:val="TableHeading"/>
              <w:rPr>
                <w:rFonts w:ascii="Cambria" w:hAnsi="Cambria"/>
                <w:i/>
                <w:szCs w:val="18"/>
              </w:rPr>
            </w:pPr>
            <w:r>
              <w:rPr>
                <w:rFonts w:ascii="Cambria" w:hAnsi="Cambria"/>
                <w:i/>
                <w:szCs w:val="18"/>
              </w:rPr>
              <w:t>P. pseudosyringae</w:t>
            </w:r>
          </w:p>
        </w:tc>
        <w:tc>
          <w:tcPr>
            <w:tcW w:w="2232" w:type="dxa"/>
            <w:tcBorders>
              <w:top w:val="single" w:sz="4" w:space="0" w:color="auto"/>
              <w:bottom w:val="single" w:sz="4" w:space="0" w:color="auto"/>
            </w:tcBorders>
          </w:tcPr>
          <w:p w:rsidR="00C74066" w:rsidRDefault="00F10705">
            <w:pPr>
              <w:pStyle w:val="TableHeading"/>
              <w:rPr>
                <w:rFonts w:ascii="Cambria" w:hAnsi="Cambria"/>
                <w:i/>
                <w:szCs w:val="18"/>
              </w:rPr>
            </w:pPr>
            <w:r>
              <w:rPr>
                <w:rFonts w:ascii="Cambria" w:hAnsi="Cambria"/>
                <w:i/>
                <w:szCs w:val="18"/>
              </w:rPr>
              <w:t>P. ramorum</w:t>
            </w:r>
          </w:p>
        </w:tc>
      </w:tr>
      <w:tr w:rsidR="00C74066">
        <w:tc>
          <w:tcPr>
            <w:tcW w:w="1985" w:type="dxa"/>
          </w:tcPr>
          <w:p w:rsidR="00C74066" w:rsidRDefault="00F10705">
            <w:pPr>
              <w:pStyle w:val="TableText"/>
              <w:rPr>
                <w:rFonts w:ascii="Cambria" w:hAnsi="Cambria" w:cs="Helvetica"/>
                <w:szCs w:val="18"/>
              </w:rPr>
            </w:pPr>
            <w:r>
              <w:rPr>
                <w:rFonts w:ascii="Cambria" w:hAnsi="Cambria" w:cs="Helvetica"/>
                <w:szCs w:val="18"/>
              </w:rPr>
              <w:t>Common name</w:t>
            </w:r>
          </w:p>
        </w:tc>
        <w:tc>
          <w:tcPr>
            <w:tcW w:w="1843" w:type="dxa"/>
          </w:tcPr>
          <w:p w:rsidR="00C74066" w:rsidRDefault="00F10705">
            <w:pPr>
              <w:pStyle w:val="TableText"/>
              <w:rPr>
                <w:rFonts w:ascii="Cambria" w:hAnsi="Cambria" w:cs="Helvetica"/>
                <w:szCs w:val="18"/>
              </w:rPr>
            </w:pPr>
            <w:r>
              <w:rPr>
                <w:rFonts w:ascii="Cambria" w:hAnsi="Cambria" w:cs="Helvetica"/>
                <w:szCs w:val="18"/>
              </w:rPr>
              <w:t>Kernoviae bleeding, canker/leaf blight</w:t>
            </w:r>
          </w:p>
        </w:tc>
        <w:tc>
          <w:tcPr>
            <w:tcW w:w="1417" w:type="dxa"/>
          </w:tcPr>
          <w:p w:rsidR="00C74066" w:rsidRDefault="00F10705">
            <w:pPr>
              <w:pStyle w:val="TableText"/>
              <w:rPr>
                <w:rFonts w:ascii="Cambria" w:hAnsi="Cambria" w:cs="Helvetica"/>
                <w:szCs w:val="18"/>
              </w:rPr>
            </w:pPr>
            <w:r>
              <w:rPr>
                <w:rFonts w:ascii="Cambria" w:hAnsi="Cambria" w:cs="Helvetica"/>
                <w:szCs w:val="18"/>
              </w:rPr>
              <w:t>Leaf blight, twig canker</w:t>
            </w:r>
          </w:p>
        </w:tc>
        <w:tc>
          <w:tcPr>
            <w:tcW w:w="1701" w:type="dxa"/>
          </w:tcPr>
          <w:p w:rsidR="00C74066" w:rsidRDefault="00F10705">
            <w:pPr>
              <w:pStyle w:val="TableText"/>
              <w:rPr>
                <w:rFonts w:ascii="Cambria" w:hAnsi="Cambria" w:cs="Helvetica"/>
                <w:szCs w:val="18"/>
              </w:rPr>
            </w:pPr>
            <w:r>
              <w:rPr>
                <w:rFonts w:ascii="Cambria" w:hAnsi="Cambria" w:cs="Helvetica"/>
                <w:szCs w:val="18"/>
              </w:rPr>
              <w:t>Leaf blight, twig canker</w:t>
            </w:r>
          </w:p>
        </w:tc>
        <w:tc>
          <w:tcPr>
            <w:tcW w:w="2232" w:type="dxa"/>
          </w:tcPr>
          <w:p w:rsidR="00C74066" w:rsidRDefault="00F10705">
            <w:pPr>
              <w:pStyle w:val="TableText"/>
              <w:rPr>
                <w:rFonts w:ascii="Cambria" w:hAnsi="Cambria" w:cs="Helvetica"/>
                <w:szCs w:val="18"/>
              </w:rPr>
            </w:pPr>
            <w:r>
              <w:rPr>
                <w:rFonts w:ascii="Cambria" w:hAnsi="Cambria" w:cs="Helvetica"/>
                <w:szCs w:val="18"/>
              </w:rPr>
              <w:t>Sudden oak death, ramorum dieback/ leaf blight</w:t>
            </w:r>
          </w:p>
        </w:tc>
      </w:tr>
      <w:tr w:rsidR="00C74066">
        <w:tc>
          <w:tcPr>
            <w:tcW w:w="1985" w:type="dxa"/>
          </w:tcPr>
          <w:p w:rsidR="00C74066" w:rsidRDefault="00F10705">
            <w:pPr>
              <w:spacing w:before="60" w:after="60"/>
              <w:rPr>
                <w:rFonts w:ascii="Cambria" w:hAnsi="Cambria" w:cs="Helvetica"/>
                <w:sz w:val="18"/>
                <w:szCs w:val="18"/>
              </w:rPr>
            </w:pPr>
            <w:r>
              <w:rPr>
                <w:rFonts w:ascii="Cambria" w:hAnsi="Cambria" w:cs="Helvetica"/>
                <w:sz w:val="18"/>
                <w:szCs w:val="18"/>
              </w:rPr>
              <w:t>Geographic distribution</w:t>
            </w:r>
          </w:p>
        </w:tc>
        <w:tc>
          <w:tcPr>
            <w:tcW w:w="1843" w:type="dxa"/>
          </w:tcPr>
          <w:p w:rsidR="00C74066" w:rsidRDefault="00F10705">
            <w:pPr>
              <w:spacing w:before="60" w:after="60"/>
              <w:rPr>
                <w:rFonts w:ascii="Cambria" w:hAnsi="Cambria" w:cs="Helvetica"/>
                <w:sz w:val="18"/>
                <w:szCs w:val="18"/>
              </w:rPr>
            </w:pPr>
            <w:r>
              <w:rPr>
                <w:rFonts w:ascii="Cambria" w:hAnsi="Cambria" w:cs="Helvetica"/>
                <w:sz w:val="18"/>
                <w:szCs w:val="18"/>
              </w:rPr>
              <w:t xml:space="preserve">Ireland, New Zealand, UK </w:t>
            </w:r>
          </w:p>
        </w:tc>
        <w:tc>
          <w:tcPr>
            <w:tcW w:w="1417" w:type="dxa"/>
          </w:tcPr>
          <w:p w:rsidR="00C74066" w:rsidRDefault="00F10705">
            <w:pPr>
              <w:spacing w:before="60" w:after="60"/>
              <w:rPr>
                <w:rFonts w:ascii="Cambria" w:hAnsi="Cambria" w:cs="Helvetica"/>
                <w:sz w:val="18"/>
                <w:szCs w:val="18"/>
              </w:rPr>
            </w:pPr>
            <w:r>
              <w:rPr>
                <w:rFonts w:ascii="Cambria" w:hAnsi="Cambria" w:cs="Helvetica"/>
                <w:sz w:val="18"/>
                <w:szCs w:val="18"/>
              </w:rPr>
              <w:t>USA</w:t>
            </w:r>
          </w:p>
        </w:tc>
        <w:tc>
          <w:tcPr>
            <w:tcW w:w="1701" w:type="dxa"/>
          </w:tcPr>
          <w:p w:rsidR="00C74066" w:rsidRDefault="00F10705">
            <w:pPr>
              <w:spacing w:before="60" w:after="60"/>
              <w:rPr>
                <w:rFonts w:ascii="Cambria" w:hAnsi="Cambria" w:cs="Helvetica"/>
                <w:sz w:val="18"/>
                <w:szCs w:val="18"/>
              </w:rPr>
            </w:pPr>
            <w:r>
              <w:rPr>
                <w:rFonts w:ascii="Cambria" w:hAnsi="Cambria" w:cs="Helvetica"/>
                <w:sz w:val="18"/>
                <w:szCs w:val="18"/>
              </w:rPr>
              <w:t>USA, Europe</w:t>
            </w:r>
          </w:p>
        </w:tc>
        <w:tc>
          <w:tcPr>
            <w:tcW w:w="2232" w:type="dxa"/>
          </w:tcPr>
          <w:p w:rsidR="00C74066" w:rsidRDefault="00F10705">
            <w:pPr>
              <w:spacing w:before="60" w:after="60"/>
              <w:rPr>
                <w:rFonts w:ascii="Cambria" w:hAnsi="Cambria" w:cs="Helvetica"/>
                <w:sz w:val="18"/>
                <w:szCs w:val="18"/>
              </w:rPr>
            </w:pPr>
            <w:r>
              <w:rPr>
                <w:rFonts w:ascii="Cambria" w:hAnsi="Cambria" w:cs="Helvetica"/>
                <w:sz w:val="18"/>
                <w:szCs w:val="18"/>
              </w:rPr>
              <w:t>Canada, Europe, USA</w:t>
            </w:r>
          </w:p>
        </w:tc>
      </w:tr>
      <w:tr w:rsidR="00C74066">
        <w:tc>
          <w:tcPr>
            <w:tcW w:w="1985" w:type="dxa"/>
          </w:tcPr>
          <w:p w:rsidR="00C74066" w:rsidRDefault="00F10705">
            <w:pPr>
              <w:spacing w:before="60" w:after="60"/>
              <w:rPr>
                <w:rFonts w:ascii="Cambria" w:hAnsi="Cambria" w:cs="Helvetica"/>
                <w:sz w:val="18"/>
                <w:szCs w:val="18"/>
              </w:rPr>
            </w:pPr>
            <w:r>
              <w:rPr>
                <w:rFonts w:ascii="Cambria" w:hAnsi="Cambria" w:cs="Helvetica"/>
                <w:sz w:val="18"/>
                <w:szCs w:val="18"/>
              </w:rPr>
              <w:t>Host</w:t>
            </w:r>
            <w:r w:rsidR="008452DE">
              <w:rPr>
                <w:rFonts w:ascii="Cambria" w:hAnsi="Cambria" w:cs="Helvetica"/>
                <w:sz w:val="18"/>
                <w:szCs w:val="18"/>
              </w:rPr>
              <w:t>s</w:t>
            </w:r>
            <w:r>
              <w:rPr>
                <w:rFonts w:ascii="Cambria" w:hAnsi="Cambria" w:cs="Helvetica"/>
                <w:sz w:val="18"/>
                <w:szCs w:val="18"/>
              </w:rPr>
              <w:t xml:space="preserve"> </w:t>
            </w:r>
          </w:p>
        </w:tc>
        <w:tc>
          <w:tcPr>
            <w:tcW w:w="1843" w:type="dxa"/>
          </w:tcPr>
          <w:p w:rsidR="00C74066" w:rsidRDefault="00F10705">
            <w:pPr>
              <w:spacing w:before="60" w:after="60"/>
              <w:rPr>
                <w:rFonts w:ascii="Cambria" w:hAnsi="Cambria" w:cs="Helvetica"/>
                <w:sz w:val="18"/>
                <w:szCs w:val="18"/>
              </w:rPr>
            </w:pPr>
            <w:r>
              <w:rPr>
                <w:rFonts w:ascii="Cambria" w:hAnsi="Cambria" w:cs="Helvetica"/>
                <w:sz w:val="18"/>
                <w:szCs w:val="18"/>
              </w:rPr>
              <w:t>Multiple</w:t>
            </w:r>
          </w:p>
        </w:tc>
        <w:tc>
          <w:tcPr>
            <w:tcW w:w="1417" w:type="dxa"/>
          </w:tcPr>
          <w:p w:rsidR="00C74066" w:rsidRDefault="00F10705">
            <w:pPr>
              <w:spacing w:before="60" w:after="60"/>
              <w:rPr>
                <w:rFonts w:ascii="Cambria" w:hAnsi="Cambria" w:cs="Helvetica"/>
                <w:sz w:val="18"/>
                <w:szCs w:val="18"/>
              </w:rPr>
            </w:pPr>
            <w:r>
              <w:rPr>
                <w:rFonts w:ascii="Cambria" w:hAnsi="Cambria" w:cs="Helvetica"/>
                <w:sz w:val="18"/>
                <w:szCs w:val="18"/>
              </w:rPr>
              <w:t>Multiple</w:t>
            </w:r>
          </w:p>
        </w:tc>
        <w:tc>
          <w:tcPr>
            <w:tcW w:w="1701" w:type="dxa"/>
          </w:tcPr>
          <w:p w:rsidR="00C74066" w:rsidRDefault="00F10705">
            <w:pPr>
              <w:spacing w:before="60" w:after="60"/>
              <w:rPr>
                <w:rFonts w:ascii="Cambria" w:hAnsi="Cambria" w:cs="Helvetica"/>
                <w:sz w:val="18"/>
                <w:szCs w:val="18"/>
              </w:rPr>
            </w:pPr>
            <w:r>
              <w:rPr>
                <w:rFonts w:ascii="Cambria" w:hAnsi="Cambria" w:cs="Helvetica"/>
                <w:sz w:val="18"/>
                <w:szCs w:val="18"/>
              </w:rPr>
              <w:t>Multiple</w:t>
            </w:r>
          </w:p>
        </w:tc>
        <w:tc>
          <w:tcPr>
            <w:tcW w:w="2232" w:type="dxa"/>
          </w:tcPr>
          <w:p w:rsidR="00C74066" w:rsidRDefault="00F10705">
            <w:pPr>
              <w:spacing w:before="60" w:after="60"/>
              <w:rPr>
                <w:rFonts w:ascii="Cambria" w:hAnsi="Cambria" w:cs="Helvetica"/>
                <w:sz w:val="18"/>
                <w:szCs w:val="18"/>
              </w:rPr>
            </w:pPr>
            <w:r>
              <w:rPr>
                <w:rFonts w:ascii="Cambria" w:hAnsi="Cambria" w:cs="Helvetica"/>
                <w:sz w:val="18"/>
                <w:szCs w:val="18"/>
              </w:rPr>
              <w:t>Multiple</w:t>
            </w:r>
          </w:p>
        </w:tc>
      </w:tr>
      <w:tr w:rsidR="00C74066">
        <w:tc>
          <w:tcPr>
            <w:tcW w:w="1985" w:type="dxa"/>
          </w:tcPr>
          <w:p w:rsidR="00C74066" w:rsidRDefault="00F10705">
            <w:pPr>
              <w:spacing w:before="60" w:after="60"/>
              <w:rPr>
                <w:rFonts w:ascii="Cambria" w:hAnsi="Cambria" w:cs="Helvetica"/>
                <w:sz w:val="18"/>
                <w:szCs w:val="18"/>
              </w:rPr>
            </w:pPr>
            <w:r>
              <w:rPr>
                <w:rFonts w:ascii="Cambria" w:hAnsi="Cambria" w:cs="Helvetica"/>
                <w:sz w:val="18"/>
                <w:szCs w:val="18"/>
              </w:rPr>
              <w:t xml:space="preserve">Infected tissues </w:t>
            </w:r>
          </w:p>
        </w:tc>
        <w:tc>
          <w:tcPr>
            <w:tcW w:w="1843" w:type="dxa"/>
          </w:tcPr>
          <w:p w:rsidR="00C74066" w:rsidRDefault="00F10705">
            <w:pPr>
              <w:spacing w:before="60" w:after="60"/>
              <w:rPr>
                <w:rFonts w:ascii="Cambria" w:hAnsi="Cambria" w:cs="Helvetica"/>
                <w:sz w:val="18"/>
                <w:szCs w:val="18"/>
              </w:rPr>
            </w:pPr>
            <w:r>
              <w:rPr>
                <w:rFonts w:ascii="Cambria" w:hAnsi="Cambria" w:cs="Helvetica"/>
                <w:sz w:val="18"/>
                <w:szCs w:val="18"/>
              </w:rPr>
              <w:t>Stem/foliage</w:t>
            </w:r>
          </w:p>
        </w:tc>
        <w:tc>
          <w:tcPr>
            <w:tcW w:w="1417" w:type="dxa"/>
          </w:tcPr>
          <w:p w:rsidR="00C74066" w:rsidRDefault="00F10705">
            <w:pPr>
              <w:spacing w:before="60" w:after="60"/>
              <w:rPr>
                <w:rFonts w:ascii="Cambria" w:hAnsi="Cambria" w:cs="Helvetica"/>
                <w:sz w:val="18"/>
                <w:szCs w:val="18"/>
              </w:rPr>
            </w:pPr>
            <w:r>
              <w:rPr>
                <w:rFonts w:ascii="Cambria" w:hAnsi="Cambria" w:cs="Helvetica"/>
                <w:sz w:val="18"/>
                <w:szCs w:val="18"/>
              </w:rPr>
              <w:t>Stem/foliage</w:t>
            </w:r>
          </w:p>
        </w:tc>
        <w:tc>
          <w:tcPr>
            <w:tcW w:w="1701" w:type="dxa"/>
          </w:tcPr>
          <w:p w:rsidR="00C74066" w:rsidRDefault="00F10705">
            <w:pPr>
              <w:spacing w:before="60" w:after="60"/>
              <w:rPr>
                <w:rFonts w:ascii="Cambria" w:hAnsi="Cambria" w:cs="Helvetica"/>
                <w:sz w:val="18"/>
                <w:szCs w:val="18"/>
              </w:rPr>
            </w:pPr>
            <w:r>
              <w:rPr>
                <w:rFonts w:ascii="Cambria" w:hAnsi="Cambria" w:cs="Helvetica"/>
                <w:sz w:val="18"/>
                <w:szCs w:val="18"/>
              </w:rPr>
              <w:t>Foliage</w:t>
            </w:r>
          </w:p>
        </w:tc>
        <w:tc>
          <w:tcPr>
            <w:tcW w:w="2232" w:type="dxa"/>
          </w:tcPr>
          <w:p w:rsidR="00C74066" w:rsidRDefault="00F10705">
            <w:pPr>
              <w:spacing w:before="60" w:after="60"/>
              <w:rPr>
                <w:rFonts w:ascii="Cambria" w:hAnsi="Cambria" w:cs="Helvetica"/>
                <w:sz w:val="18"/>
                <w:szCs w:val="18"/>
              </w:rPr>
            </w:pPr>
            <w:r>
              <w:rPr>
                <w:rFonts w:ascii="Cambria" w:hAnsi="Cambria" w:cs="Helvetica"/>
                <w:sz w:val="18"/>
                <w:szCs w:val="18"/>
              </w:rPr>
              <w:t>Stem/foliage</w:t>
            </w:r>
          </w:p>
        </w:tc>
      </w:tr>
      <w:tr w:rsidR="00C74066">
        <w:tc>
          <w:tcPr>
            <w:tcW w:w="1985" w:type="dxa"/>
          </w:tcPr>
          <w:p w:rsidR="00C74066" w:rsidRDefault="00F10705">
            <w:pPr>
              <w:spacing w:before="60" w:after="60"/>
              <w:rPr>
                <w:rFonts w:ascii="Cambria" w:hAnsi="Cambria" w:cs="Helvetica"/>
                <w:sz w:val="18"/>
                <w:szCs w:val="18"/>
              </w:rPr>
            </w:pPr>
            <w:r>
              <w:rPr>
                <w:rFonts w:ascii="Cambria" w:hAnsi="Cambria" w:cs="Helvetica"/>
                <w:sz w:val="18"/>
                <w:szCs w:val="18"/>
              </w:rPr>
              <w:t>Caducous sporangia</w:t>
            </w:r>
          </w:p>
        </w:tc>
        <w:tc>
          <w:tcPr>
            <w:tcW w:w="1843" w:type="dxa"/>
          </w:tcPr>
          <w:p w:rsidR="00C74066" w:rsidRDefault="00F10705">
            <w:pPr>
              <w:spacing w:before="60" w:after="60"/>
              <w:rPr>
                <w:rFonts w:ascii="Cambria" w:hAnsi="Cambria" w:cs="Helvetica"/>
                <w:sz w:val="18"/>
                <w:szCs w:val="18"/>
              </w:rPr>
            </w:pPr>
            <w:r>
              <w:rPr>
                <w:rFonts w:ascii="Cambria" w:hAnsi="Cambria" w:cs="Helvetica"/>
                <w:sz w:val="18"/>
                <w:szCs w:val="18"/>
              </w:rPr>
              <w:t>Yes</w:t>
            </w:r>
          </w:p>
        </w:tc>
        <w:tc>
          <w:tcPr>
            <w:tcW w:w="1417" w:type="dxa"/>
          </w:tcPr>
          <w:p w:rsidR="00C74066" w:rsidRDefault="00F10705">
            <w:pPr>
              <w:spacing w:before="60" w:after="60"/>
              <w:rPr>
                <w:rFonts w:ascii="Cambria" w:hAnsi="Cambria" w:cs="Helvetica"/>
                <w:sz w:val="18"/>
                <w:szCs w:val="18"/>
              </w:rPr>
            </w:pPr>
            <w:r>
              <w:rPr>
                <w:rFonts w:ascii="Cambria" w:hAnsi="Cambria" w:cs="Helvetica"/>
                <w:sz w:val="18"/>
                <w:szCs w:val="18"/>
              </w:rPr>
              <w:t>Yes</w:t>
            </w:r>
          </w:p>
        </w:tc>
        <w:tc>
          <w:tcPr>
            <w:tcW w:w="1701" w:type="dxa"/>
          </w:tcPr>
          <w:p w:rsidR="00C74066" w:rsidRDefault="00F10705">
            <w:pPr>
              <w:spacing w:before="60" w:after="60"/>
              <w:rPr>
                <w:rFonts w:ascii="Cambria" w:hAnsi="Cambria" w:cs="Helvetica"/>
                <w:sz w:val="18"/>
                <w:szCs w:val="18"/>
              </w:rPr>
            </w:pPr>
            <w:r>
              <w:rPr>
                <w:rFonts w:ascii="Cambria" w:hAnsi="Cambria" w:cs="Helvetica"/>
                <w:sz w:val="18"/>
                <w:szCs w:val="18"/>
              </w:rPr>
              <w:t>Yes</w:t>
            </w:r>
          </w:p>
        </w:tc>
        <w:tc>
          <w:tcPr>
            <w:tcW w:w="2232" w:type="dxa"/>
          </w:tcPr>
          <w:p w:rsidR="00C74066" w:rsidRDefault="00F10705">
            <w:pPr>
              <w:spacing w:before="60" w:after="60"/>
              <w:rPr>
                <w:rFonts w:ascii="Cambria" w:hAnsi="Cambria" w:cs="Helvetica"/>
                <w:sz w:val="18"/>
                <w:szCs w:val="18"/>
              </w:rPr>
            </w:pPr>
            <w:r>
              <w:rPr>
                <w:rFonts w:ascii="Cambria" w:hAnsi="Cambria" w:cs="Helvetica"/>
                <w:sz w:val="18"/>
                <w:szCs w:val="18"/>
              </w:rPr>
              <w:t>Yes</w:t>
            </w:r>
          </w:p>
        </w:tc>
      </w:tr>
      <w:tr w:rsidR="00C74066">
        <w:tc>
          <w:tcPr>
            <w:tcW w:w="1985" w:type="dxa"/>
          </w:tcPr>
          <w:p w:rsidR="00C74066" w:rsidRDefault="00F10705">
            <w:pPr>
              <w:spacing w:before="60" w:after="60"/>
              <w:rPr>
                <w:rFonts w:ascii="Cambria" w:hAnsi="Cambria" w:cs="Helvetica"/>
                <w:sz w:val="18"/>
                <w:szCs w:val="18"/>
              </w:rPr>
            </w:pPr>
            <w:r>
              <w:rPr>
                <w:rFonts w:ascii="Cambria" w:hAnsi="Cambria" w:cs="Helvetica"/>
                <w:sz w:val="18"/>
                <w:szCs w:val="18"/>
              </w:rPr>
              <w:t xml:space="preserve">Reproduction </w:t>
            </w:r>
          </w:p>
        </w:tc>
        <w:tc>
          <w:tcPr>
            <w:tcW w:w="1843" w:type="dxa"/>
          </w:tcPr>
          <w:p w:rsidR="00C74066" w:rsidRDefault="00F10705">
            <w:pPr>
              <w:spacing w:before="60" w:after="60"/>
              <w:rPr>
                <w:rFonts w:ascii="Cambria" w:hAnsi="Cambria" w:cs="Helvetica"/>
                <w:sz w:val="18"/>
                <w:szCs w:val="18"/>
              </w:rPr>
            </w:pPr>
            <w:r>
              <w:rPr>
                <w:rFonts w:ascii="Cambria" w:hAnsi="Cambria" w:cs="Helvetica"/>
                <w:sz w:val="18"/>
                <w:szCs w:val="18"/>
              </w:rPr>
              <w:t>Homothallic</w:t>
            </w:r>
          </w:p>
        </w:tc>
        <w:tc>
          <w:tcPr>
            <w:tcW w:w="1417" w:type="dxa"/>
          </w:tcPr>
          <w:p w:rsidR="00C74066" w:rsidRDefault="00F10705">
            <w:pPr>
              <w:spacing w:before="60" w:after="60"/>
              <w:rPr>
                <w:rFonts w:ascii="Cambria" w:hAnsi="Cambria" w:cs="Helvetica"/>
                <w:sz w:val="18"/>
                <w:szCs w:val="18"/>
              </w:rPr>
            </w:pPr>
            <w:r>
              <w:rPr>
                <w:rFonts w:ascii="Cambria" w:hAnsi="Cambria" w:cs="Helvetica"/>
                <w:sz w:val="18"/>
                <w:szCs w:val="18"/>
              </w:rPr>
              <w:t>Homothallic</w:t>
            </w:r>
          </w:p>
        </w:tc>
        <w:tc>
          <w:tcPr>
            <w:tcW w:w="1701" w:type="dxa"/>
          </w:tcPr>
          <w:p w:rsidR="00C74066" w:rsidRDefault="00F10705">
            <w:pPr>
              <w:spacing w:before="60" w:after="60"/>
              <w:rPr>
                <w:rFonts w:ascii="Cambria" w:hAnsi="Cambria" w:cs="Helvetica"/>
                <w:sz w:val="18"/>
                <w:szCs w:val="18"/>
              </w:rPr>
            </w:pPr>
            <w:r>
              <w:rPr>
                <w:rFonts w:ascii="Cambria" w:hAnsi="Cambria" w:cs="Helvetica"/>
                <w:sz w:val="18"/>
                <w:szCs w:val="18"/>
              </w:rPr>
              <w:t>Homothallic</w:t>
            </w:r>
          </w:p>
        </w:tc>
        <w:tc>
          <w:tcPr>
            <w:tcW w:w="2232" w:type="dxa"/>
          </w:tcPr>
          <w:p w:rsidR="00C74066" w:rsidRDefault="00F10705">
            <w:pPr>
              <w:spacing w:before="60" w:after="60"/>
              <w:rPr>
                <w:rFonts w:ascii="Cambria" w:hAnsi="Cambria" w:cs="Helvetica"/>
                <w:sz w:val="18"/>
                <w:szCs w:val="18"/>
              </w:rPr>
            </w:pPr>
            <w:r>
              <w:rPr>
                <w:rFonts w:ascii="Cambria" w:hAnsi="Cambria" w:cs="Helvetica"/>
                <w:sz w:val="18"/>
                <w:szCs w:val="18"/>
              </w:rPr>
              <w:t>Heterothallic</w:t>
            </w:r>
          </w:p>
        </w:tc>
      </w:tr>
      <w:tr w:rsidR="00C74066">
        <w:tc>
          <w:tcPr>
            <w:tcW w:w="1985" w:type="dxa"/>
          </w:tcPr>
          <w:p w:rsidR="00C74066" w:rsidRDefault="00F10705">
            <w:pPr>
              <w:spacing w:before="60" w:after="60"/>
              <w:rPr>
                <w:rFonts w:ascii="Cambria" w:hAnsi="Cambria" w:cs="Helvetica"/>
                <w:sz w:val="18"/>
                <w:szCs w:val="18"/>
              </w:rPr>
            </w:pPr>
            <w:r>
              <w:rPr>
                <w:rFonts w:ascii="Cambria" w:hAnsi="Cambria" w:cs="Helvetica"/>
                <w:sz w:val="18"/>
                <w:szCs w:val="18"/>
              </w:rPr>
              <w:t>Chlamydospores</w:t>
            </w:r>
          </w:p>
        </w:tc>
        <w:tc>
          <w:tcPr>
            <w:tcW w:w="1843" w:type="dxa"/>
          </w:tcPr>
          <w:p w:rsidR="00C74066" w:rsidRDefault="00F10705">
            <w:pPr>
              <w:spacing w:before="60" w:after="60"/>
              <w:rPr>
                <w:rFonts w:ascii="Cambria" w:hAnsi="Cambria" w:cs="Helvetica"/>
                <w:sz w:val="18"/>
                <w:szCs w:val="18"/>
              </w:rPr>
            </w:pPr>
            <w:r>
              <w:rPr>
                <w:rFonts w:ascii="Cambria" w:hAnsi="Cambria" w:cs="Helvetica"/>
                <w:sz w:val="18"/>
                <w:szCs w:val="18"/>
              </w:rPr>
              <w:t>No</w:t>
            </w:r>
          </w:p>
        </w:tc>
        <w:tc>
          <w:tcPr>
            <w:tcW w:w="1417" w:type="dxa"/>
          </w:tcPr>
          <w:p w:rsidR="00C74066" w:rsidRDefault="00F10705">
            <w:pPr>
              <w:spacing w:before="60" w:after="60"/>
              <w:rPr>
                <w:rFonts w:ascii="Cambria" w:hAnsi="Cambria" w:cs="Helvetica"/>
                <w:sz w:val="18"/>
                <w:szCs w:val="18"/>
              </w:rPr>
            </w:pPr>
            <w:r>
              <w:rPr>
                <w:rFonts w:ascii="Cambria" w:hAnsi="Cambria" w:cs="Helvetica"/>
                <w:sz w:val="18"/>
                <w:szCs w:val="18"/>
              </w:rPr>
              <w:t>No</w:t>
            </w:r>
          </w:p>
        </w:tc>
        <w:tc>
          <w:tcPr>
            <w:tcW w:w="1701" w:type="dxa"/>
          </w:tcPr>
          <w:p w:rsidR="00C74066" w:rsidRDefault="00F10705">
            <w:pPr>
              <w:spacing w:before="60" w:after="60"/>
              <w:rPr>
                <w:rFonts w:ascii="Cambria" w:hAnsi="Cambria" w:cs="Helvetica"/>
                <w:sz w:val="18"/>
                <w:szCs w:val="18"/>
              </w:rPr>
            </w:pPr>
            <w:r>
              <w:rPr>
                <w:rFonts w:ascii="Cambria" w:hAnsi="Cambria" w:cs="Helvetica"/>
                <w:sz w:val="18"/>
                <w:szCs w:val="18"/>
              </w:rPr>
              <w:t>No</w:t>
            </w:r>
          </w:p>
        </w:tc>
        <w:tc>
          <w:tcPr>
            <w:tcW w:w="2232" w:type="dxa"/>
          </w:tcPr>
          <w:p w:rsidR="00C74066" w:rsidRDefault="00F10705">
            <w:pPr>
              <w:spacing w:before="60" w:after="60"/>
              <w:rPr>
                <w:rFonts w:ascii="Cambria" w:hAnsi="Cambria" w:cs="Helvetica"/>
                <w:sz w:val="18"/>
                <w:szCs w:val="18"/>
              </w:rPr>
            </w:pPr>
            <w:r>
              <w:rPr>
                <w:rFonts w:ascii="Cambria" w:hAnsi="Cambria" w:cs="Helvetica"/>
                <w:sz w:val="18"/>
                <w:szCs w:val="18"/>
              </w:rPr>
              <w:t>Yes</w:t>
            </w:r>
          </w:p>
        </w:tc>
      </w:tr>
      <w:tr w:rsidR="00C74066">
        <w:tc>
          <w:tcPr>
            <w:tcW w:w="1985" w:type="dxa"/>
          </w:tcPr>
          <w:p w:rsidR="00C74066" w:rsidRDefault="00F10705">
            <w:pPr>
              <w:spacing w:before="60" w:after="60"/>
              <w:rPr>
                <w:rFonts w:ascii="Cambria" w:hAnsi="Cambria" w:cs="Helvetica"/>
                <w:sz w:val="18"/>
                <w:szCs w:val="18"/>
              </w:rPr>
            </w:pPr>
            <w:r>
              <w:rPr>
                <w:rFonts w:ascii="Cambria" w:hAnsi="Cambria" w:cs="Helvetica"/>
                <w:sz w:val="18"/>
                <w:szCs w:val="18"/>
              </w:rPr>
              <w:t>Morphological group</w:t>
            </w:r>
          </w:p>
        </w:tc>
        <w:tc>
          <w:tcPr>
            <w:tcW w:w="1843" w:type="dxa"/>
          </w:tcPr>
          <w:p w:rsidR="00C74066" w:rsidRDefault="00F10705">
            <w:pPr>
              <w:spacing w:before="60" w:after="60"/>
              <w:rPr>
                <w:rFonts w:ascii="Cambria" w:hAnsi="Cambria" w:cs="Helvetica"/>
                <w:sz w:val="18"/>
                <w:szCs w:val="18"/>
              </w:rPr>
            </w:pPr>
            <w:r>
              <w:rPr>
                <w:rFonts w:ascii="Cambria" w:hAnsi="Cambria" w:cs="Helvetica"/>
                <w:sz w:val="18"/>
                <w:szCs w:val="18"/>
              </w:rPr>
              <w:t>I</w:t>
            </w:r>
          </w:p>
        </w:tc>
        <w:tc>
          <w:tcPr>
            <w:tcW w:w="1417" w:type="dxa"/>
          </w:tcPr>
          <w:p w:rsidR="00C74066" w:rsidRDefault="00F10705">
            <w:pPr>
              <w:spacing w:before="60" w:after="60"/>
              <w:rPr>
                <w:rFonts w:ascii="Cambria" w:hAnsi="Cambria" w:cs="Helvetica"/>
                <w:sz w:val="18"/>
                <w:szCs w:val="18"/>
              </w:rPr>
            </w:pPr>
            <w:r>
              <w:rPr>
                <w:rFonts w:ascii="Cambria" w:hAnsi="Cambria" w:cs="Helvetica"/>
                <w:sz w:val="18"/>
                <w:szCs w:val="18"/>
              </w:rPr>
              <w:t>III</w:t>
            </w:r>
          </w:p>
        </w:tc>
        <w:tc>
          <w:tcPr>
            <w:tcW w:w="1701" w:type="dxa"/>
          </w:tcPr>
          <w:p w:rsidR="00C74066" w:rsidRDefault="00F10705">
            <w:pPr>
              <w:spacing w:before="60" w:after="60"/>
              <w:rPr>
                <w:rFonts w:ascii="Cambria" w:hAnsi="Cambria" w:cs="Helvetica"/>
                <w:sz w:val="18"/>
                <w:szCs w:val="18"/>
              </w:rPr>
            </w:pPr>
            <w:r>
              <w:rPr>
                <w:rFonts w:ascii="Cambria" w:hAnsi="Cambria" w:cs="Helvetica"/>
                <w:sz w:val="18"/>
                <w:szCs w:val="18"/>
              </w:rPr>
              <w:t>III</w:t>
            </w:r>
          </w:p>
        </w:tc>
        <w:tc>
          <w:tcPr>
            <w:tcW w:w="2232" w:type="dxa"/>
          </w:tcPr>
          <w:p w:rsidR="00C74066" w:rsidRDefault="00F10705">
            <w:pPr>
              <w:spacing w:before="60" w:after="60"/>
              <w:rPr>
                <w:rFonts w:ascii="Cambria" w:hAnsi="Cambria" w:cs="Helvetica"/>
                <w:sz w:val="18"/>
                <w:szCs w:val="18"/>
              </w:rPr>
            </w:pPr>
            <w:r>
              <w:rPr>
                <w:rFonts w:ascii="Cambria" w:hAnsi="Cambria" w:cs="Helvetica"/>
                <w:sz w:val="18"/>
                <w:szCs w:val="18"/>
              </w:rPr>
              <w:t>IV</w:t>
            </w:r>
          </w:p>
        </w:tc>
      </w:tr>
      <w:tr w:rsidR="00C74066">
        <w:tc>
          <w:tcPr>
            <w:tcW w:w="1985" w:type="dxa"/>
            <w:tcBorders>
              <w:bottom w:val="single" w:sz="4" w:space="0" w:color="auto"/>
            </w:tcBorders>
          </w:tcPr>
          <w:p w:rsidR="00C74066" w:rsidRDefault="00F10705">
            <w:pPr>
              <w:spacing w:before="60" w:after="60"/>
              <w:rPr>
                <w:rFonts w:ascii="Cambria" w:hAnsi="Cambria" w:cs="Helvetica"/>
                <w:sz w:val="18"/>
                <w:szCs w:val="18"/>
              </w:rPr>
            </w:pPr>
            <w:r>
              <w:rPr>
                <w:rFonts w:ascii="Cambria" w:hAnsi="Cambria" w:cs="Helvetica"/>
                <w:sz w:val="18"/>
                <w:szCs w:val="18"/>
              </w:rPr>
              <w:t>Phylogenetic clade</w:t>
            </w:r>
          </w:p>
        </w:tc>
        <w:tc>
          <w:tcPr>
            <w:tcW w:w="1843" w:type="dxa"/>
            <w:tcBorders>
              <w:bottom w:val="single" w:sz="4" w:space="0" w:color="auto"/>
            </w:tcBorders>
          </w:tcPr>
          <w:p w:rsidR="00C74066" w:rsidRDefault="00F10705">
            <w:pPr>
              <w:spacing w:before="60" w:after="60"/>
              <w:rPr>
                <w:rFonts w:ascii="Cambria" w:hAnsi="Cambria" w:cs="Helvetica"/>
                <w:sz w:val="18"/>
                <w:szCs w:val="18"/>
              </w:rPr>
            </w:pPr>
            <w:r>
              <w:rPr>
                <w:rFonts w:ascii="Cambria" w:hAnsi="Cambria" w:cs="Helvetica"/>
                <w:sz w:val="18"/>
                <w:szCs w:val="18"/>
              </w:rPr>
              <w:t>10</w:t>
            </w:r>
          </w:p>
        </w:tc>
        <w:tc>
          <w:tcPr>
            <w:tcW w:w="1417" w:type="dxa"/>
            <w:tcBorders>
              <w:bottom w:val="single" w:sz="4" w:space="0" w:color="auto"/>
            </w:tcBorders>
          </w:tcPr>
          <w:p w:rsidR="00C74066" w:rsidRDefault="00F10705">
            <w:pPr>
              <w:spacing w:before="60" w:after="60"/>
              <w:rPr>
                <w:rFonts w:ascii="Cambria" w:hAnsi="Cambria" w:cs="Helvetica"/>
                <w:sz w:val="18"/>
                <w:szCs w:val="18"/>
              </w:rPr>
            </w:pPr>
            <w:r>
              <w:rPr>
                <w:rFonts w:ascii="Cambria" w:hAnsi="Cambria" w:cs="Helvetica"/>
                <w:sz w:val="18"/>
                <w:szCs w:val="18"/>
              </w:rPr>
              <w:t>3</w:t>
            </w:r>
          </w:p>
        </w:tc>
        <w:tc>
          <w:tcPr>
            <w:tcW w:w="1701" w:type="dxa"/>
            <w:tcBorders>
              <w:bottom w:val="single" w:sz="4" w:space="0" w:color="auto"/>
            </w:tcBorders>
          </w:tcPr>
          <w:p w:rsidR="00C74066" w:rsidRDefault="00F10705">
            <w:pPr>
              <w:spacing w:before="60" w:after="60"/>
              <w:rPr>
                <w:rFonts w:ascii="Cambria" w:hAnsi="Cambria" w:cs="Helvetica"/>
                <w:sz w:val="18"/>
                <w:szCs w:val="18"/>
              </w:rPr>
            </w:pPr>
            <w:r>
              <w:rPr>
                <w:rFonts w:ascii="Cambria" w:hAnsi="Cambria" w:cs="Helvetica"/>
                <w:sz w:val="18"/>
                <w:szCs w:val="18"/>
              </w:rPr>
              <w:t>3</w:t>
            </w:r>
          </w:p>
        </w:tc>
        <w:tc>
          <w:tcPr>
            <w:tcW w:w="2232" w:type="dxa"/>
            <w:tcBorders>
              <w:bottom w:val="single" w:sz="4" w:space="0" w:color="auto"/>
            </w:tcBorders>
          </w:tcPr>
          <w:p w:rsidR="00C74066" w:rsidRDefault="00F10705">
            <w:pPr>
              <w:spacing w:before="60" w:after="60"/>
              <w:rPr>
                <w:rFonts w:ascii="Cambria" w:hAnsi="Cambria" w:cs="Helvetica"/>
                <w:sz w:val="18"/>
                <w:szCs w:val="18"/>
              </w:rPr>
            </w:pPr>
            <w:r>
              <w:rPr>
                <w:rFonts w:ascii="Cambria" w:hAnsi="Cambria" w:cs="Helvetica"/>
                <w:sz w:val="18"/>
                <w:szCs w:val="18"/>
              </w:rPr>
              <w:t>8c</w:t>
            </w:r>
          </w:p>
        </w:tc>
      </w:tr>
    </w:tbl>
    <w:p w:rsidR="00C74066" w:rsidRDefault="00F10705">
      <w:pPr>
        <w:pStyle w:val="FigureTableNoteSource"/>
        <w:spacing w:before="200" w:line="276" w:lineRule="auto"/>
        <w:rPr>
          <w:rFonts w:ascii="Cambria" w:hAnsi="Cambria" w:cs="Verdana"/>
          <w:szCs w:val="18"/>
        </w:rPr>
      </w:pPr>
      <w:r>
        <w:t>Source: Waterhouse (1963); Blair et al. (2008); Chimento et al. (2012); Martin et al. (2012).</w:t>
      </w:r>
    </w:p>
    <w:p w:rsidR="00C74066" w:rsidRDefault="00F10705">
      <w:pPr>
        <w:autoSpaceDE w:val="0"/>
        <w:autoSpaceDN w:val="0"/>
        <w:adjustRightInd w:val="0"/>
        <w:spacing w:before="200"/>
        <w:rPr>
          <w:rFonts w:ascii="Cambria" w:hAnsi="Cambria"/>
        </w:rPr>
      </w:pPr>
      <w:r>
        <w:rPr>
          <w:rFonts w:ascii="Cambria" w:hAnsi="Cambria"/>
          <w:i/>
        </w:rPr>
        <w:t>Phytophthora ramorum</w:t>
      </w:r>
      <w:r>
        <w:rPr>
          <w:rFonts w:ascii="Cambria" w:hAnsi="Cambria"/>
        </w:rPr>
        <w:t xml:space="preserve"> is known to produce large numbers of chlamydospores and caducous sporangia (Martin et al. 2012). </w:t>
      </w:r>
      <w:r>
        <w:rPr>
          <w:rFonts w:ascii="Cambria" w:hAnsi="Cambria"/>
          <w:i/>
        </w:rPr>
        <w:t>Phytophthora ramorum</w:t>
      </w:r>
      <w:r>
        <w:rPr>
          <w:rFonts w:ascii="Cambria" w:hAnsi="Cambria"/>
        </w:rPr>
        <w:t xml:space="preserve"> is heterothallic and requires two different mating types known as A1 and A2 to reproduce sexually. The A1 mating type is found predominantly in Europe and the A2 predominantly in the USA (Ivors et al. 2004). </w:t>
      </w:r>
      <w:r>
        <w:rPr>
          <w:rFonts w:ascii="Cambria" w:hAnsi="Cambria"/>
          <w:i/>
        </w:rPr>
        <w:t>Phytophthora ramorum</w:t>
      </w:r>
      <w:r>
        <w:rPr>
          <w:rFonts w:ascii="Cambria" w:hAnsi="Cambria"/>
        </w:rPr>
        <w:t xml:space="preserve"> is adapted to cool temperatures with optimal growth at 20 °C. Molecular phylogeny shows that </w:t>
      </w:r>
      <w:r>
        <w:rPr>
          <w:rFonts w:ascii="Cambria" w:hAnsi="Cambria"/>
          <w:i/>
        </w:rPr>
        <w:t>P. ramorum</w:t>
      </w:r>
      <w:r>
        <w:rPr>
          <w:rFonts w:ascii="Cambria" w:hAnsi="Cambria"/>
        </w:rPr>
        <w:t xml:space="preserve"> is most closely related to </w:t>
      </w:r>
      <w:r>
        <w:rPr>
          <w:rFonts w:ascii="Cambria" w:hAnsi="Cambria"/>
          <w:i/>
        </w:rPr>
        <w:t>P. lateralis</w:t>
      </w:r>
      <w:r>
        <w:rPr>
          <w:rFonts w:ascii="Cambria" w:hAnsi="Cambria"/>
        </w:rPr>
        <w:t xml:space="preserve"> and </w:t>
      </w:r>
      <w:r>
        <w:rPr>
          <w:rFonts w:ascii="Cambria" w:hAnsi="Cambria"/>
          <w:i/>
        </w:rPr>
        <w:t>P. hibernalis</w:t>
      </w:r>
      <w:r>
        <w:rPr>
          <w:rFonts w:ascii="Cambria" w:hAnsi="Cambria"/>
        </w:rPr>
        <w:t xml:space="preserve"> (Parke &amp; Lucas 2008). Currently, three clonal lineages of </w:t>
      </w:r>
      <w:r>
        <w:rPr>
          <w:rFonts w:ascii="Cambria" w:hAnsi="Cambria"/>
          <w:i/>
        </w:rPr>
        <w:t>P. ramorum</w:t>
      </w:r>
      <w:r>
        <w:rPr>
          <w:rFonts w:ascii="Cambria" w:hAnsi="Cambria"/>
        </w:rPr>
        <w:t xml:space="preserve"> are recognized and have been named after the continent (NA = North America; EU = Europe) on which they were first found: EU1, NA1 and NA2 (Grünwald </w:t>
      </w:r>
      <w:r>
        <w:rPr>
          <w:rFonts w:ascii="Cambria" w:hAnsi="Cambria"/>
          <w:bCs/>
          <w:iCs/>
        </w:rPr>
        <w:t>et al</w:t>
      </w:r>
      <w:r>
        <w:rPr>
          <w:rFonts w:ascii="Cambria" w:hAnsi="Cambria"/>
        </w:rPr>
        <w:t xml:space="preserve">. 2009). EU1 only affects Europe, while all three lineages are found in the USA (Goss et al. 2009a, b; 2011). It has also become evident that the EU1 clonal lineage was moved from Europe to North America most likely via the movement of ornamental plants such as </w:t>
      </w:r>
      <w:r>
        <w:rPr>
          <w:rFonts w:ascii="Cambria" w:hAnsi="Cambria"/>
          <w:bCs/>
          <w:i/>
          <w:iCs/>
        </w:rPr>
        <w:t xml:space="preserve">Rhododendron </w:t>
      </w:r>
      <w:r>
        <w:rPr>
          <w:rFonts w:ascii="Cambria" w:hAnsi="Cambria"/>
        </w:rPr>
        <w:t>species (Goss et al. 2011). Despite the occasional presence of both mating types in nursery environments of western USA, sexual reproduction has to date not been found (</w:t>
      </w:r>
      <w:r>
        <w:rPr>
          <w:rFonts w:ascii="Cambria" w:hAnsi="Cambria"/>
          <w:color w:val="000000"/>
          <w:lang w:bidi="en-US"/>
        </w:rPr>
        <w:t>Kliejunas 2010;</w:t>
      </w:r>
      <w:r>
        <w:rPr>
          <w:rFonts w:ascii="Cambria" w:hAnsi="Cambria"/>
        </w:rPr>
        <w:t xml:space="preserve"> Goss et al. 2011; Grünwald et al. 2012).</w:t>
      </w:r>
    </w:p>
    <w:p w:rsidR="00C74066" w:rsidRDefault="00F10705">
      <w:pPr>
        <w:autoSpaceDE w:val="0"/>
        <w:autoSpaceDN w:val="0"/>
        <w:adjustRightInd w:val="0"/>
        <w:spacing w:before="200"/>
        <w:rPr>
          <w:rFonts w:ascii="Cambria" w:hAnsi="Cambria"/>
        </w:rPr>
      </w:pPr>
      <w:r>
        <w:rPr>
          <w:rFonts w:ascii="Cambria" w:hAnsi="Cambria"/>
          <w:i/>
          <w:iCs/>
          <w:color w:val="000000"/>
        </w:rPr>
        <w:lastRenderedPageBreak/>
        <w:t xml:space="preserve">Phytophthora kernoviae </w:t>
      </w:r>
      <w:r>
        <w:rPr>
          <w:rFonts w:ascii="Cambria" w:hAnsi="Cambria"/>
          <w:color w:val="000000"/>
        </w:rPr>
        <w:t xml:space="preserve">is known to be </w:t>
      </w:r>
      <w:r>
        <w:rPr>
          <w:rFonts w:ascii="Cambria" w:hAnsi="Cambria"/>
        </w:rPr>
        <w:t>homothallic,</w:t>
      </w:r>
      <w:r>
        <w:rPr>
          <w:rFonts w:ascii="Cambria" w:hAnsi="Cambria"/>
          <w:color w:val="000000"/>
        </w:rPr>
        <w:t xml:space="preserve"> lacking chlamydospores (Widmer 2011) and produces large numbers of oospores and caducous sporangia (Brasier </w:t>
      </w:r>
      <w:r>
        <w:rPr>
          <w:rFonts w:ascii="Cambria" w:hAnsi="Cambria"/>
          <w:iCs/>
          <w:color w:val="000000"/>
        </w:rPr>
        <w:t>et al</w:t>
      </w:r>
      <w:r>
        <w:rPr>
          <w:rFonts w:ascii="Cambria" w:hAnsi="Cambria"/>
          <w:color w:val="000000"/>
        </w:rPr>
        <w:t xml:space="preserve">. 2005). The optimal temperature range for the growth of </w:t>
      </w:r>
      <w:r>
        <w:rPr>
          <w:rFonts w:ascii="Cambria" w:hAnsi="Cambria"/>
          <w:i/>
          <w:iCs/>
          <w:color w:val="000000"/>
        </w:rPr>
        <w:t>P. kernoviae</w:t>
      </w:r>
      <w:r>
        <w:rPr>
          <w:rFonts w:ascii="Cambria" w:hAnsi="Cambria"/>
          <w:color w:val="000000"/>
        </w:rPr>
        <w:t xml:space="preserve"> is between 18 °C and 26 °C (Brasier </w:t>
      </w:r>
      <w:r>
        <w:rPr>
          <w:rFonts w:ascii="Cambria" w:hAnsi="Cambria"/>
          <w:iCs/>
          <w:color w:val="000000"/>
        </w:rPr>
        <w:t>et al.</w:t>
      </w:r>
      <w:r>
        <w:rPr>
          <w:rFonts w:ascii="Cambria" w:hAnsi="Cambria"/>
          <w:color w:val="000000"/>
        </w:rPr>
        <w:t xml:space="preserve"> 2005), which indicates that </w:t>
      </w:r>
      <w:r>
        <w:rPr>
          <w:rFonts w:ascii="Cambria" w:hAnsi="Cambria"/>
          <w:i/>
          <w:iCs/>
          <w:color w:val="000000"/>
        </w:rPr>
        <w:t>P.</w:t>
      </w:r>
      <w:r>
        <w:rPr>
          <w:rFonts w:ascii="Cambria" w:hAnsi="Cambria"/>
          <w:i/>
          <w:iCs/>
        </w:rPr>
        <w:t> </w:t>
      </w:r>
      <w:r>
        <w:rPr>
          <w:rFonts w:ascii="Cambria" w:hAnsi="Cambria"/>
          <w:i/>
          <w:iCs/>
          <w:color w:val="000000"/>
        </w:rPr>
        <w:t>kernoviae</w:t>
      </w:r>
      <w:r>
        <w:rPr>
          <w:rFonts w:ascii="Cambria" w:hAnsi="Cambria"/>
          <w:color w:val="000000"/>
        </w:rPr>
        <w:t xml:space="preserve"> may be adapted to a temperate climate. Oospores of </w:t>
      </w:r>
      <w:r>
        <w:rPr>
          <w:rFonts w:ascii="Cambria" w:hAnsi="Cambria"/>
          <w:i/>
          <w:iCs/>
          <w:color w:val="000000"/>
        </w:rPr>
        <w:t>P</w:t>
      </w:r>
      <w:r w:rsidR="00957654">
        <w:rPr>
          <w:rFonts w:ascii="Cambria" w:hAnsi="Cambria"/>
          <w:i/>
          <w:iCs/>
          <w:color w:val="000000"/>
        </w:rPr>
        <w:t>.</w:t>
      </w:r>
      <w:r>
        <w:rPr>
          <w:rFonts w:ascii="Cambria" w:hAnsi="Cambria"/>
          <w:i/>
          <w:iCs/>
          <w:color w:val="000000"/>
        </w:rPr>
        <w:t xml:space="preserve"> kernoviae </w:t>
      </w:r>
      <w:r>
        <w:rPr>
          <w:rFonts w:ascii="Cambria" w:hAnsi="Cambria"/>
          <w:color w:val="000000"/>
        </w:rPr>
        <w:t xml:space="preserve">can survive for long periods at temperatures of 30 °C and below; however, viability is reduced by exposure to higher temperatures (Widmer </w:t>
      </w:r>
      <w:r>
        <w:rPr>
          <w:rFonts w:ascii="Cambria" w:hAnsi="Cambria"/>
        </w:rPr>
        <w:t>2011)</w:t>
      </w:r>
      <w:r>
        <w:rPr>
          <w:rFonts w:ascii="Cambria" w:hAnsi="Cambria"/>
          <w:i/>
        </w:rPr>
        <w:t>. Phytophthora</w:t>
      </w:r>
      <w:r>
        <w:rPr>
          <w:rFonts w:ascii="Cambria" w:hAnsi="Cambria"/>
          <w:i/>
          <w:iCs/>
          <w:color w:val="000000"/>
        </w:rPr>
        <w:t xml:space="preserve"> kernoviae</w:t>
      </w:r>
      <w:r>
        <w:rPr>
          <w:rFonts w:ascii="Cambria" w:hAnsi="Cambria"/>
          <w:color w:val="000000"/>
        </w:rPr>
        <w:t xml:space="preserve"> is closely related to </w:t>
      </w:r>
      <w:r>
        <w:rPr>
          <w:rFonts w:ascii="Cambria" w:hAnsi="Cambria"/>
          <w:i/>
          <w:iCs/>
          <w:color w:val="000000"/>
        </w:rPr>
        <w:t xml:space="preserve">P. boehmeriae </w:t>
      </w:r>
      <w:r>
        <w:rPr>
          <w:rFonts w:ascii="Cambria" w:hAnsi="Cambria"/>
          <w:color w:val="000000"/>
        </w:rPr>
        <w:t xml:space="preserve">(Brasier </w:t>
      </w:r>
      <w:r>
        <w:rPr>
          <w:rFonts w:ascii="Cambria" w:hAnsi="Cambria"/>
          <w:iCs/>
          <w:color w:val="000000"/>
        </w:rPr>
        <w:t xml:space="preserve">et al. </w:t>
      </w:r>
      <w:r>
        <w:rPr>
          <w:rFonts w:ascii="Cambria" w:hAnsi="Cambria"/>
          <w:color w:val="000000"/>
        </w:rPr>
        <w:t xml:space="preserve">2005). </w:t>
      </w:r>
      <w:r>
        <w:rPr>
          <w:rFonts w:ascii="Cambria" w:hAnsi="Cambria"/>
        </w:rPr>
        <w:t xml:space="preserve">Morphologically, </w:t>
      </w:r>
      <w:r>
        <w:rPr>
          <w:rFonts w:ascii="Cambria" w:hAnsi="Cambria"/>
          <w:i/>
          <w:iCs/>
        </w:rPr>
        <w:t xml:space="preserve">P. kernoviae </w:t>
      </w:r>
      <w:r>
        <w:rPr>
          <w:rFonts w:ascii="Cambria" w:hAnsi="Cambria"/>
        </w:rPr>
        <w:t xml:space="preserve">(homothallic and lacking chlamydospores) is readily distinguished from </w:t>
      </w:r>
      <w:r>
        <w:rPr>
          <w:rFonts w:ascii="Cambria" w:hAnsi="Cambria"/>
          <w:i/>
          <w:iCs/>
        </w:rPr>
        <w:t xml:space="preserve">P. ramorum </w:t>
      </w:r>
      <w:r>
        <w:rPr>
          <w:rFonts w:ascii="Cambria" w:hAnsi="Cambria"/>
        </w:rPr>
        <w:t xml:space="preserve">(Werres </w:t>
      </w:r>
      <w:r>
        <w:rPr>
          <w:rFonts w:ascii="Cambria" w:hAnsi="Cambria"/>
          <w:iCs/>
        </w:rPr>
        <w:t>et al</w:t>
      </w:r>
      <w:r>
        <w:rPr>
          <w:rFonts w:ascii="Cambria" w:hAnsi="Cambria"/>
        </w:rPr>
        <w:t xml:space="preserve">. 2001). Phylogenetically, </w:t>
      </w:r>
      <w:r>
        <w:rPr>
          <w:rFonts w:ascii="Cambria" w:hAnsi="Cambria"/>
          <w:i/>
          <w:iCs/>
        </w:rPr>
        <w:t xml:space="preserve">P. kernoviae </w:t>
      </w:r>
      <w:r>
        <w:rPr>
          <w:rFonts w:ascii="Cambria" w:hAnsi="Cambria"/>
        </w:rPr>
        <w:t xml:space="preserve">falls in ITS DNA Clade 10 (Cooke </w:t>
      </w:r>
      <w:r>
        <w:rPr>
          <w:rFonts w:ascii="Cambria" w:hAnsi="Cambria"/>
          <w:iCs/>
        </w:rPr>
        <w:t>et al</w:t>
      </w:r>
      <w:r>
        <w:rPr>
          <w:rFonts w:ascii="Cambria" w:hAnsi="Cambria"/>
        </w:rPr>
        <w:t xml:space="preserve">. 2000; Blair et al. 2008) with </w:t>
      </w:r>
      <w:r>
        <w:rPr>
          <w:rFonts w:ascii="Cambria" w:hAnsi="Cambria"/>
          <w:i/>
          <w:iCs/>
        </w:rPr>
        <w:t xml:space="preserve">P. boehmeriae, P. gallica </w:t>
      </w:r>
      <w:r>
        <w:rPr>
          <w:rFonts w:ascii="Cambria" w:hAnsi="Cambria"/>
        </w:rPr>
        <w:t xml:space="preserve">and </w:t>
      </w:r>
      <w:r>
        <w:rPr>
          <w:rFonts w:ascii="Cambria" w:hAnsi="Cambria"/>
          <w:i/>
          <w:iCs/>
        </w:rPr>
        <w:t>P. morindae</w:t>
      </w:r>
      <w:r>
        <w:rPr>
          <w:rFonts w:ascii="Cambria" w:hAnsi="Cambria"/>
        </w:rPr>
        <w:t>.</w:t>
      </w:r>
    </w:p>
    <w:p w:rsidR="00C74066" w:rsidRDefault="00F10705">
      <w:pPr>
        <w:autoSpaceDE w:val="0"/>
        <w:autoSpaceDN w:val="0"/>
        <w:adjustRightInd w:val="0"/>
        <w:spacing w:before="200"/>
        <w:rPr>
          <w:rFonts w:ascii="Cambria" w:hAnsi="Cambria"/>
        </w:rPr>
      </w:pPr>
      <w:r>
        <w:rPr>
          <w:rFonts w:ascii="Cambria" w:hAnsi="Cambria"/>
          <w:i/>
          <w:iCs/>
        </w:rPr>
        <w:t xml:space="preserve">Phytophthora nemorosa </w:t>
      </w:r>
      <w:r>
        <w:rPr>
          <w:rFonts w:ascii="Cambria" w:hAnsi="Cambria"/>
        </w:rPr>
        <w:t xml:space="preserve">and </w:t>
      </w:r>
      <w:r>
        <w:rPr>
          <w:rFonts w:ascii="Cambria" w:hAnsi="Cambria"/>
          <w:i/>
          <w:iCs/>
        </w:rPr>
        <w:t>P. pseudosyringae</w:t>
      </w:r>
      <w:r>
        <w:rPr>
          <w:rFonts w:ascii="Cambria" w:hAnsi="Cambria"/>
        </w:rPr>
        <w:t xml:space="preserve"> are both homothallic (Linzer </w:t>
      </w:r>
      <w:r>
        <w:rPr>
          <w:rFonts w:ascii="Cambria" w:hAnsi="Cambria"/>
          <w:iCs/>
        </w:rPr>
        <w:t>et al</w:t>
      </w:r>
      <w:r>
        <w:rPr>
          <w:rFonts w:ascii="Cambria" w:hAnsi="Cambria"/>
        </w:rPr>
        <w:t xml:space="preserve">. 2009), have similar host ranges and occur in generally the same geographic region as </w:t>
      </w:r>
      <w:r>
        <w:rPr>
          <w:rFonts w:ascii="Cambria" w:hAnsi="Cambria"/>
          <w:i/>
          <w:iCs/>
        </w:rPr>
        <w:t xml:space="preserve">P. ramorum </w:t>
      </w:r>
      <w:r>
        <w:rPr>
          <w:rFonts w:ascii="Cambria" w:hAnsi="Cambria"/>
        </w:rPr>
        <w:t xml:space="preserve">in Californian forests. </w:t>
      </w:r>
      <w:r>
        <w:rPr>
          <w:rFonts w:ascii="Cambria" w:hAnsi="Cambria"/>
          <w:i/>
          <w:iCs/>
        </w:rPr>
        <w:t xml:space="preserve">Phytophthora nemorosa </w:t>
      </w:r>
      <w:r>
        <w:rPr>
          <w:rFonts w:ascii="Cambria" w:hAnsi="Cambria"/>
        </w:rPr>
        <w:t xml:space="preserve">and </w:t>
      </w:r>
      <w:r>
        <w:rPr>
          <w:rFonts w:ascii="Cambria" w:hAnsi="Cambria"/>
          <w:i/>
          <w:iCs/>
        </w:rPr>
        <w:t xml:space="preserve">P. ramorum </w:t>
      </w:r>
      <w:r>
        <w:rPr>
          <w:rFonts w:ascii="Cambria" w:hAnsi="Cambria"/>
        </w:rPr>
        <w:t xml:space="preserve">are similar in host range and symptomology (Hansen </w:t>
      </w:r>
      <w:r>
        <w:rPr>
          <w:rFonts w:ascii="Cambria" w:hAnsi="Cambria"/>
          <w:iCs/>
        </w:rPr>
        <w:t>et al</w:t>
      </w:r>
      <w:r>
        <w:rPr>
          <w:rFonts w:ascii="Cambria" w:hAnsi="Cambria"/>
        </w:rPr>
        <w:t xml:space="preserve">. 2003a); however in culture, </w:t>
      </w:r>
      <w:r>
        <w:rPr>
          <w:rFonts w:ascii="Cambria" w:hAnsi="Cambria"/>
          <w:i/>
          <w:iCs/>
        </w:rPr>
        <w:t xml:space="preserve">P. nemorosa </w:t>
      </w:r>
      <w:r>
        <w:rPr>
          <w:rFonts w:ascii="Cambria" w:hAnsi="Cambria"/>
        </w:rPr>
        <w:t xml:space="preserve">grows more slowly, with a lower temperature optimum (15 </w:t>
      </w:r>
      <w:r>
        <w:rPr>
          <w:rFonts w:ascii="Cambria" w:hAnsi="Cambria"/>
          <w:color w:val="000000"/>
        </w:rPr>
        <w:t>°C</w:t>
      </w:r>
      <w:r>
        <w:rPr>
          <w:rFonts w:ascii="Cambria" w:hAnsi="Cambria"/>
        </w:rPr>
        <w:t xml:space="preserve">) </w:t>
      </w:r>
      <w:r>
        <w:rPr>
          <w:rFonts w:ascii="Cambria" w:hAnsi="Cambria"/>
          <w:color w:val="000000"/>
        </w:rPr>
        <w:t>than</w:t>
      </w:r>
      <w:r>
        <w:rPr>
          <w:rFonts w:ascii="Cambria" w:hAnsi="Cambria"/>
        </w:rPr>
        <w:t xml:space="preserve"> </w:t>
      </w:r>
      <w:r>
        <w:rPr>
          <w:rFonts w:ascii="Cambria" w:hAnsi="Cambria"/>
          <w:i/>
          <w:iCs/>
        </w:rPr>
        <w:t xml:space="preserve">P. ramorum </w:t>
      </w:r>
      <w:r>
        <w:rPr>
          <w:rFonts w:ascii="Cambria" w:hAnsi="Cambria"/>
        </w:rPr>
        <w:t xml:space="preserve">(20 </w:t>
      </w:r>
      <w:r>
        <w:rPr>
          <w:rFonts w:ascii="Cambria" w:hAnsi="Cambria"/>
          <w:color w:val="000000"/>
        </w:rPr>
        <w:t>°C</w:t>
      </w:r>
      <w:r>
        <w:rPr>
          <w:rFonts w:ascii="Cambria" w:hAnsi="Cambria"/>
        </w:rPr>
        <w:t xml:space="preserve">) (Hansen </w:t>
      </w:r>
      <w:r>
        <w:rPr>
          <w:rFonts w:ascii="Cambria" w:hAnsi="Cambria"/>
          <w:iCs/>
        </w:rPr>
        <w:t>et al.</w:t>
      </w:r>
      <w:r>
        <w:rPr>
          <w:rFonts w:ascii="Cambria" w:hAnsi="Cambria"/>
        </w:rPr>
        <w:t xml:space="preserve"> 2003a). Morphologically, </w:t>
      </w:r>
      <w:r>
        <w:rPr>
          <w:rFonts w:ascii="Cambria" w:hAnsi="Cambria"/>
          <w:i/>
          <w:iCs/>
        </w:rPr>
        <w:t xml:space="preserve">P. nemorosa </w:t>
      </w:r>
      <w:r>
        <w:rPr>
          <w:rFonts w:ascii="Cambria" w:hAnsi="Cambria"/>
          <w:iCs/>
        </w:rPr>
        <w:t xml:space="preserve">is </w:t>
      </w:r>
      <w:r>
        <w:rPr>
          <w:rFonts w:ascii="Cambria" w:hAnsi="Cambria"/>
        </w:rPr>
        <w:t xml:space="preserve">homothallic and lacking chlamydospores, so it is readily distinguished from </w:t>
      </w:r>
      <w:r>
        <w:rPr>
          <w:rFonts w:ascii="Cambria" w:hAnsi="Cambria"/>
          <w:i/>
          <w:iCs/>
        </w:rPr>
        <w:t xml:space="preserve">P. ramorum </w:t>
      </w:r>
      <w:r>
        <w:rPr>
          <w:rFonts w:ascii="Cambria" w:hAnsi="Cambria"/>
        </w:rPr>
        <w:t xml:space="preserve">(Werres </w:t>
      </w:r>
      <w:r>
        <w:rPr>
          <w:rFonts w:ascii="Cambria" w:hAnsi="Cambria"/>
          <w:iCs/>
        </w:rPr>
        <w:t>et al</w:t>
      </w:r>
      <w:r>
        <w:rPr>
          <w:rFonts w:ascii="Cambria" w:hAnsi="Cambria"/>
        </w:rPr>
        <w:t xml:space="preserve">. 2001). Phylogenetically, </w:t>
      </w:r>
      <w:r>
        <w:rPr>
          <w:rFonts w:ascii="Cambria" w:hAnsi="Cambria"/>
          <w:i/>
          <w:iCs/>
        </w:rPr>
        <w:t xml:space="preserve">P. nemorosa </w:t>
      </w:r>
      <w:r>
        <w:rPr>
          <w:rFonts w:ascii="Cambria" w:hAnsi="Cambria"/>
        </w:rPr>
        <w:t xml:space="preserve">falls in ITS DNA Clade 3 (Cooke </w:t>
      </w:r>
      <w:r>
        <w:rPr>
          <w:rFonts w:ascii="Cambria" w:hAnsi="Cambria"/>
          <w:iCs/>
        </w:rPr>
        <w:t>et al</w:t>
      </w:r>
      <w:r>
        <w:rPr>
          <w:rFonts w:ascii="Cambria" w:hAnsi="Cambria"/>
        </w:rPr>
        <w:t xml:space="preserve">. 2000) with </w:t>
      </w:r>
      <w:r>
        <w:rPr>
          <w:rFonts w:ascii="Cambria" w:hAnsi="Cambria"/>
          <w:i/>
          <w:iCs/>
        </w:rPr>
        <w:t xml:space="preserve">P. ilicis, P. psychrophila, P. pseudosyringae </w:t>
      </w:r>
      <w:r>
        <w:rPr>
          <w:rFonts w:ascii="Cambria" w:hAnsi="Cambria"/>
        </w:rPr>
        <w:t xml:space="preserve">(Jung </w:t>
      </w:r>
      <w:r>
        <w:rPr>
          <w:rFonts w:ascii="Cambria" w:hAnsi="Cambria"/>
          <w:iCs/>
        </w:rPr>
        <w:t>et al</w:t>
      </w:r>
      <w:r>
        <w:rPr>
          <w:rFonts w:ascii="Cambria" w:hAnsi="Cambria"/>
        </w:rPr>
        <w:t xml:space="preserve">. 2003) and </w:t>
      </w:r>
      <w:r>
        <w:rPr>
          <w:rFonts w:ascii="Cambria" w:hAnsi="Cambria"/>
          <w:i/>
          <w:iCs/>
        </w:rPr>
        <w:t xml:space="preserve">P. quercine </w:t>
      </w:r>
      <w:r>
        <w:rPr>
          <w:rFonts w:ascii="Cambria" w:hAnsi="Cambria"/>
        </w:rPr>
        <w:t xml:space="preserve">(Jung </w:t>
      </w:r>
      <w:r>
        <w:rPr>
          <w:rFonts w:ascii="Cambria" w:hAnsi="Cambria"/>
          <w:iCs/>
        </w:rPr>
        <w:t>et al</w:t>
      </w:r>
      <w:r>
        <w:rPr>
          <w:rFonts w:ascii="Cambria" w:hAnsi="Cambria"/>
        </w:rPr>
        <w:t>. 1999).</w:t>
      </w:r>
    </w:p>
    <w:p w:rsidR="00C74066" w:rsidRDefault="00F10705">
      <w:pPr>
        <w:pStyle w:val="Heading2"/>
        <w:numPr>
          <w:ilvl w:val="1"/>
          <w:numId w:val="21"/>
        </w:numPr>
        <w:tabs>
          <w:tab w:val="clear" w:pos="576"/>
        </w:tabs>
        <w:spacing w:before="200" w:after="120"/>
        <w:ind w:left="357" w:hanging="357"/>
        <w:rPr>
          <w:rFonts w:eastAsiaTheme="majorEastAsia" w:cstheme="majorBidi"/>
          <w:color w:val="773141"/>
          <w:sz w:val="28"/>
        </w:rPr>
      </w:pPr>
      <w:bookmarkStart w:id="100" w:name="_Toc434247472"/>
      <w:r>
        <w:rPr>
          <w:rFonts w:eastAsiaTheme="majorEastAsia" w:cstheme="majorBidi"/>
          <w:color w:val="773141"/>
          <w:sz w:val="28"/>
        </w:rPr>
        <w:t xml:space="preserve">Global occurrence of the </w:t>
      </w:r>
      <w:r>
        <w:rPr>
          <w:rFonts w:eastAsiaTheme="majorEastAsia" w:cstheme="majorBidi"/>
          <w:i/>
          <w:color w:val="773141"/>
          <w:sz w:val="28"/>
        </w:rPr>
        <w:t>Phytophthora</w:t>
      </w:r>
      <w:r>
        <w:rPr>
          <w:rFonts w:eastAsiaTheme="majorEastAsia" w:cstheme="majorBidi"/>
          <w:color w:val="773141"/>
          <w:sz w:val="28"/>
        </w:rPr>
        <w:t xml:space="preserve"> species</w:t>
      </w:r>
      <w:bookmarkEnd w:id="100"/>
    </w:p>
    <w:p w:rsidR="00C74066" w:rsidRDefault="00F10705">
      <w:pPr>
        <w:autoSpaceDE w:val="0"/>
        <w:autoSpaceDN w:val="0"/>
        <w:adjustRightInd w:val="0"/>
        <w:spacing w:before="200"/>
        <w:rPr>
          <w:rFonts w:ascii="Cambria" w:hAnsi="Cambria"/>
        </w:rPr>
      </w:pPr>
      <w:r>
        <w:rPr>
          <w:rFonts w:ascii="Cambria" w:hAnsi="Cambria"/>
          <w:i/>
          <w:iCs/>
        </w:rPr>
        <w:t xml:space="preserve">Phytophthora ramorum </w:t>
      </w:r>
      <w:r>
        <w:rPr>
          <w:rFonts w:ascii="Cambria" w:hAnsi="Cambria"/>
        </w:rPr>
        <w:t xml:space="preserve">was first reported to be associated with twig blight disease on </w:t>
      </w:r>
      <w:r>
        <w:rPr>
          <w:rFonts w:ascii="Cambria" w:hAnsi="Cambria"/>
          <w:i/>
          <w:iCs/>
        </w:rPr>
        <w:t xml:space="preserve">Rhododendron </w:t>
      </w:r>
      <w:r>
        <w:rPr>
          <w:rFonts w:ascii="Cambria" w:hAnsi="Cambria"/>
        </w:rPr>
        <w:t xml:space="preserve">and </w:t>
      </w:r>
      <w:r>
        <w:rPr>
          <w:rFonts w:ascii="Cambria" w:hAnsi="Cambria"/>
          <w:i/>
          <w:iCs/>
        </w:rPr>
        <w:t xml:space="preserve">Viburnum </w:t>
      </w:r>
      <w:r>
        <w:rPr>
          <w:rFonts w:ascii="Cambria" w:hAnsi="Cambria"/>
          <w:iCs/>
        </w:rPr>
        <w:t xml:space="preserve">species </w:t>
      </w:r>
      <w:r>
        <w:rPr>
          <w:rFonts w:ascii="Cambria" w:hAnsi="Cambria"/>
        </w:rPr>
        <w:t xml:space="preserve">in Germany and the Netherlands (Werres </w:t>
      </w:r>
      <w:r>
        <w:rPr>
          <w:rFonts w:ascii="Cambria" w:hAnsi="Cambria"/>
          <w:iCs/>
        </w:rPr>
        <w:t>et al.</w:t>
      </w:r>
      <w:r>
        <w:rPr>
          <w:rFonts w:ascii="Cambria" w:hAnsi="Cambria"/>
          <w:i/>
          <w:iCs/>
        </w:rPr>
        <w:t xml:space="preserve"> </w:t>
      </w:r>
      <w:r>
        <w:rPr>
          <w:rFonts w:ascii="Cambria" w:hAnsi="Cambria"/>
        </w:rPr>
        <w:t xml:space="preserve">2001) and on </w:t>
      </w:r>
      <w:r>
        <w:rPr>
          <w:rFonts w:ascii="Cambria" w:hAnsi="Cambria"/>
          <w:i/>
          <w:iCs/>
        </w:rPr>
        <w:t xml:space="preserve">Quercus </w:t>
      </w:r>
      <w:r>
        <w:rPr>
          <w:rFonts w:ascii="Cambria" w:hAnsi="Cambria"/>
        </w:rPr>
        <w:t xml:space="preserve">and </w:t>
      </w:r>
      <w:r>
        <w:rPr>
          <w:rFonts w:ascii="Cambria" w:hAnsi="Cambria"/>
          <w:i/>
          <w:iCs/>
        </w:rPr>
        <w:t xml:space="preserve">Lithocarpus </w:t>
      </w:r>
      <w:r>
        <w:rPr>
          <w:rFonts w:ascii="Cambria" w:hAnsi="Cambria"/>
        </w:rPr>
        <w:t xml:space="preserve">species in California, USA (Rizzo </w:t>
      </w:r>
      <w:r>
        <w:rPr>
          <w:rFonts w:ascii="Cambria" w:hAnsi="Cambria"/>
          <w:iCs/>
        </w:rPr>
        <w:t>et al.</w:t>
      </w:r>
      <w:r>
        <w:rPr>
          <w:rFonts w:ascii="Cambria" w:hAnsi="Cambria"/>
          <w:i/>
          <w:iCs/>
        </w:rPr>
        <w:t xml:space="preserve"> </w:t>
      </w:r>
      <w:r>
        <w:rPr>
          <w:rFonts w:ascii="Cambria" w:hAnsi="Cambria"/>
        </w:rPr>
        <w:t xml:space="preserve">2002b). Since then, it has been reported from Belgium, Canada, Czech Republic, Denmark, Estonia, Finland, France, Germany, Ireland, Italy, Latvia, Lithuania, Luxembourg, the Netherlands, Norway, Poland, Portugal, Slovenia, Spain, Sweden, Switzerland, the UK and the USA (Goheen &amp; Frankel 2009) (Map 3). </w:t>
      </w:r>
    </w:p>
    <w:p w:rsidR="00C74066" w:rsidRDefault="00F10705">
      <w:pPr>
        <w:autoSpaceDE w:val="0"/>
        <w:autoSpaceDN w:val="0"/>
        <w:adjustRightInd w:val="0"/>
        <w:spacing w:before="200"/>
        <w:rPr>
          <w:rFonts w:ascii="Cambria" w:hAnsi="Cambria"/>
        </w:rPr>
      </w:pPr>
      <w:r>
        <w:rPr>
          <w:rFonts w:ascii="Cambria" w:hAnsi="Cambria"/>
          <w:i/>
          <w:iCs/>
        </w:rPr>
        <w:t xml:space="preserve">Phytophthora ramorum </w:t>
      </w:r>
      <w:r>
        <w:rPr>
          <w:rFonts w:ascii="Cambria" w:hAnsi="Cambria"/>
        </w:rPr>
        <w:t xml:space="preserve">is speculated to </w:t>
      </w:r>
      <w:r>
        <w:rPr>
          <w:rFonts w:ascii="Cambria" w:hAnsi="Cambria"/>
          <w:iCs/>
        </w:rPr>
        <w:t>have</w:t>
      </w:r>
      <w:r>
        <w:rPr>
          <w:rFonts w:ascii="Cambria" w:hAnsi="Cambria"/>
        </w:rPr>
        <w:t xml:space="preserve"> originated from East Asia; however, a closely related species, </w:t>
      </w:r>
      <w:r>
        <w:rPr>
          <w:rFonts w:ascii="Cambria" w:hAnsi="Cambria"/>
          <w:i/>
          <w:iCs/>
        </w:rPr>
        <w:t>Phytophthora lateralis</w:t>
      </w:r>
      <w:r>
        <w:rPr>
          <w:rFonts w:ascii="Cambria" w:hAnsi="Cambria"/>
        </w:rPr>
        <w:t>,</w:t>
      </w:r>
      <w:r>
        <w:rPr>
          <w:rFonts w:ascii="Cambria" w:hAnsi="Cambria"/>
          <w:i/>
          <w:iCs/>
        </w:rPr>
        <w:t xml:space="preserve"> </w:t>
      </w:r>
      <w:r>
        <w:rPr>
          <w:rFonts w:ascii="Cambria" w:hAnsi="Cambria"/>
        </w:rPr>
        <w:t xml:space="preserve">has been found on </w:t>
      </w:r>
      <w:r>
        <w:rPr>
          <w:rFonts w:ascii="Cambria" w:hAnsi="Cambria"/>
          <w:i/>
          <w:iCs/>
        </w:rPr>
        <w:t xml:space="preserve">Chamaecyparis </w:t>
      </w:r>
      <w:r>
        <w:rPr>
          <w:rFonts w:ascii="Cambria" w:hAnsi="Cambria"/>
          <w:iCs/>
        </w:rPr>
        <w:t xml:space="preserve">species </w:t>
      </w:r>
      <w:r>
        <w:rPr>
          <w:rFonts w:ascii="Cambria" w:hAnsi="Cambria"/>
        </w:rPr>
        <w:t xml:space="preserve">in Taiwan (Brasier </w:t>
      </w:r>
      <w:r>
        <w:rPr>
          <w:rFonts w:ascii="Cambria" w:hAnsi="Cambria"/>
          <w:iCs/>
        </w:rPr>
        <w:t>et al</w:t>
      </w:r>
      <w:r>
        <w:rPr>
          <w:rFonts w:ascii="Cambria" w:hAnsi="Cambria"/>
        </w:rPr>
        <w:t>. 2010)</w:t>
      </w:r>
      <w:r>
        <w:rPr>
          <w:rFonts w:ascii="Cambria" w:hAnsi="Cambria"/>
          <w:i/>
        </w:rPr>
        <w:t>. Phytophthora</w:t>
      </w:r>
      <w:r>
        <w:rPr>
          <w:rFonts w:ascii="Cambria" w:hAnsi="Cambria"/>
          <w:i/>
          <w:iCs/>
        </w:rPr>
        <w:t xml:space="preserve"> lateralis </w:t>
      </w:r>
      <w:r>
        <w:rPr>
          <w:rFonts w:ascii="Cambria" w:hAnsi="Cambria"/>
        </w:rPr>
        <w:t xml:space="preserve">and </w:t>
      </w:r>
      <w:r>
        <w:rPr>
          <w:rFonts w:ascii="Cambria" w:hAnsi="Cambria"/>
          <w:i/>
          <w:iCs/>
        </w:rPr>
        <w:t>P. ramorum</w:t>
      </w:r>
      <w:r>
        <w:rPr>
          <w:rFonts w:ascii="Cambria" w:hAnsi="Cambria"/>
        </w:rPr>
        <w:t xml:space="preserve"> are phylogenetically related; they have various common features and are thus likely to share a common region of origin (Brasier </w:t>
      </w:r>
      <w:r>
        <w:rPr>
          <w:rFonts w:ascii="Cambria" w:hAnsi="Cambria"/>
          <w:iCs/>
        </w:rPr>
        <w:t>et al</w:t>
      </w:r>
      <w:r>
        <w:rPr>
          <w:rFonts w:ascii="Cambria" w:hAnsi="Cambria"/>
        </w:rPr>
        <w:t>. 2010).</w:t>
      </w:r>
      <w:r>
        <w:rPr>
          <w:rFonts w:ascii="Cambria" w:hAnsi="Cambria"/>
          <w:i/>
          <w:iCs/>
        </w:rPr>
        <w:t xml:space="preserve"> Chamaecyparis </w:t>
      </w:r>
      <w:r>
        <w:rPr>
          <w:rFonts w:ascii="Cambria" w:hAnsi="Cambria"/>
          <w:iCs/>
        </w:rPr>
        <w:t>species (conifers) are</w:t>
      </w:r>
      <w:r>
        <w:rPr>
          <w:rFonts w:ascii="Cambria" w:hAnsi="Cambria"/>
        </w:rPr>
        <w:t xml:space="preserve"> present both in Taiwan and Japan; therefore, both </w:t>
      </w:r>
      <w:r>
        <w:rPr>
          <w:rFonts w:ascii="Cambria" w:hAnsi="Cambria"/>
          <w:i/>
          <w:iCs/>
        </w:rPr>
        <w:t xml:space="preserve">Phytophthora </w:t>
      </w:r>
      <w:r>
        <w:rPr>
          <w:rFonts w:ascii="Cambria" w:hAnsi="Cambria"/>
        </w:rPr>
        <w:t xml:space="preserve">species could have originated from one of these two countries (Brasier </w:t>
      </w:r>
      <w:r>
        <w:rPr>
          <w:rFonts w:ascii="Cambria" w:hAnsi="Cambria"/>
          <w:iCs/>
        </w:rPr>
        <w:t>et al</w:t>
      </w:r>
      <w:r>
        <w:rPr>
          <w:rFonts w:ascii="Cambria" w:hAnsi="Cambria"/>
        </w:rPr>
        <w:t xml:space="preserve">. 2010). The known distribution of </w:t>
      </w:r>
      <w:r>
        <w:rPr>
          <w:rFonts w:ascii="Cambria" w:hAnsi="Cambria"/>
          <w:i/>
        </w:rPr>
        <w:t xml:space="preserve">P. ramorum </w:t>
      </w:r>
      <w:r>
        <w:rPr>
          <w:rFonts w:ascii="Cambria" w:hAnsi="Cambria"/>
        </w:rPr>
        <w:t>includes nurseries of ornamental plants in Europe and North America as well as in wild woodlands of western USA (Werres et al. 2001; Rizzo et al. 2002b; Davidson et al. 2003b) and forests in Europe (Brasier et al. 2004a;</w:t>
      </w:r>
      <w:r>
        <w:rPr>
          <w:rFonts w:ascii="Cambria" w:hAnsi="Cambria"/>
          <w:color w:val="FF0000"/>
        </w:rPr>
        <w:t xml:space="preserve"> </w:t>
      </w:r>
      <w:r>
        <w:rPr>
          <w:rFonts w:ascii="Cambria" w:hAnsi="Cambria"/>
        </w:rPr>
        <w:t xml:space="preserve">Brasier &amp; Webber 2010). </w:t>
      </w:r>
      <w:r>
        <w:rPr>
          <w:rFonts w:ascii="Cambria" w:hAnsi="Cambria"/>
          <w:i/>
        </w:rPr>
        <w:t>Phytophthora ramorum</w:t>
      </w:r>
      <w:r>
        <w:rPr>
          <w:rFonts w:ascii="Cambria" w:hAnsi="Cambria"/>
        </w:rPr>
        <w:t xml:space="preserve"> is regarded as an exotic pathogen of unknown origin to both Europe and the USA (Rizzo &amp; Garbelotto 2003; Ivors et al. 2004; 2006). </w:t>
      </w:r>
      <w:r>
        <w:rPr>
          <w:rFonts w:ascii="Cambria" w:hAnsi="Cambria"/>
          <w:i/>
          <w:iCs/>
        </w:rPr>
        <w:t xml:space="preserve">Phytophthora nemorosa </w:t>
      </w:r>
      <w:r>
        <w:rPr>
          <w:rFonts w:ascii="Cambria" w:hAnsi="Cambria"/>
        </w:rPr>
        <w:t xml:space="preserve">and </w:t>
      </w:r>
      <w:r>
        <w:rPr>
          <w:rFonts w:ascii="Cambria" w:hAnsi="Cambria"/>
          <w:i/>
          <w:iCs/>
        </w:rPr>
        <w:t>P. pseudosyringae</w:t>
      </w:r>
      <w:r>
        <w:rPr>
          <w:rFonts w:ascii="Cambria" w:hAnsi="Cambria"/>
        </w:rPr>
        <w:t xml:space="preserve"> are also considered exotic and have been introduced into California and Oregon, USA (Linzer </w:t>
      </w:r>
      <w:r>
        <w:rPr>
          <w:rFonts w:ascii="Cambria" w:hAnsi="Cambria"/>
          <w:iCs/>
        </w:rPr>
        <w:t>et al</w:t>
      </w:r>
      <w:r>
        <w:rPr>
          <w:rFonts w:ascii="Cambria" w:hAnsi="Cambria"/>
        </w:rPr>
        <w:t xml:space="preserve">. 2006). </w:t>
      </w:r>
    </w:p>
    <w:p w:rsidR="00C74066" w:rsidRDefault="00C74066">
      <w:pPr>
        <w:autoSpaceDE w:val="0"/>
        <w:autoSpaceDN w:val="0"/>
        <w:adjustRightInd w:val="0"/>
        <w:spacing w:before="200"/>
        <w:rPr>
          <w:rFonts w:ascii="Cambria" w:hAnsi="Cambria"/>
        </w:rPr>
      </w:pPr>
    </w:p>
    <w:p w:rsidR="00C74066" w:rsidRDefault="00C74066">
      <w:pPr>
        <w:autoSpaceDE w:val="0"/>
        <w:autoSpaceDN w:val="0"/>
        <w:adjustRightInd w:val="0"/>
        <w:spacing w:before="200"/>
        <w:rPr>
          <w:rFonts w:ascii="Cambria" w:hAnsi="Cambria"/>
        </w:rPr>
      </w:pPr>
    </w:p>
    <w:p w:rsidR="00C74066" w:rsidRDefault="00C74066">
      <w:pPr>
        <w:pStyle w:val="Caption"/>
        <w:keepNext w:val="0"/>
        <w:rPr>
          <w:rFonts w:asciiTheme="majorHAnsi" w:eastAsiaTheme="majorEastAsia" w:hAnsiTheme="majorHAnsi" w:cstheme="majorBidi"/>
          <w:color w:val="595959" w:themeColor="text1" w:themeTint="A6"/>
          <w:sz w:val="20"/>
        </w:rPr>
        <w:sectPr w:rsidR="00C74066">
          <w:headerReference w:type="default" r:id="rId31"/>
          <w:pgSz w:w="11906" w:h="16838"/>
          <w:pgMar w:top="1418" w:right="1418" w:bottom="1418" w:left="1418" w:header="567" w:footer="283" w:gutter="0"/>
          <w:cols w:space="708"/>
          <w:docGrid w:linePitch="360"/>
        </w:sectPr>
      </w:pPr>
      <w:bookmarkStart w:id="101" w:name="_Toc356671314"/>
      <w:bookmarkStart w:id="102" w:name="_Toc386638380"/>
      <w:bookmarkStart w:id="103" w:name="_Toc386709917"/>
      <w:bookmarkStart w:id="104" w:name="_Toc388882527"/>
      <w:bookmarkStart w:id="105" w:name="_Toc388949923"/>
      <w:bookmarkStart w:id="106" w:name="_Toc392494636"/>
      <w:bookmarkStart w:id="107" w:name="_Toc392503879"/>
      <w:bookmarkStart w:id="108" w:name="_Toc409685806"/>
      <w:bookmarkStart w:id="109" w:name="_Toc412625745"/>
      <w:bookmarkStart w:id="110" w:name="_Toc428793972"/>
      <w:bookmarkStart w:id="111" w:name="_Toc429406123"/>
      <w:bookmarkStart w:id="112" w:name="_Toc429406251"/>
      <w:bookmarkStart w:id="113" w:name="_Toc429469962"/>
      <w:bookmarkStart w:id="114" w:name="_Toc430268655"/>
    </w:p>
    <w:p w:rsidR="00C74066" w:rsidRDefault="00F10705">
      <w:pPr>
        <w:pStyle w:val="Caption"/>
        <w:keepNext w:val="0"/>
        <w:rPr>
          <w:rFonts w:asciiTheme="majorHAnsi" w:eastAsiaTheme="majorEastAsia" w:hAnsiTheme="majorHAnsi" w:cstheme="majorBidi"/>
          <w:color w:val="595959" w:themeColor="text1" w:themeTint="A6"/>
          <w:sz w:val="20"/>
        </w:rPr>
      </w:pPr>
      <w:bookmarkStart w:id="115" w:name="_Toc433118111"/>
      <w:bookmarkStart w:id="116" w:name="_Toc433979958"/>
      <w:bookmarkStart w:id="117" w:name="_Toc434241812"/>
      <w:bookmarkStart w:id="118" w:name="_Toc434244225"/>
      <w:bookmarkStart w:id="119" w:name="_Toc434244240"/>
      <w:bookmarkStart w:id="120" w:name="_Toc434244763"/>
      <w:r>
        <w:rPr>
          <w:rFonts w:asciiTheme="majorHAnsi" w:eastAsiaTheme="majorEastAsia" w:hAnsiTheme="majorHAnsi" w:cstheme="majorBidi"/>
          <w:color w:val="595959" w:themeColor="text1" w:themeTint="A6"/>
          <w:sz w:val="20"/>
        </w:rPr>
        <w:lastRenderedPageBreak/>
        <w:t xml:space="preserve">Map </w:t>
      </w:r>
      <w:r w:rsidR="00C57DCF">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Map \* ARABIC </w:instrText>
      </w:r>
      <w:r w:rsidR="00C57DCF">
        <w:rPr>
          <w:rFonts w:asciiTheme="majorHAnsi" w:eastAsiaTheme="majorEastAsia" w:hAnsiTheme="majorHAnsi" w:cstheme="majorBidi"/>
          <w:color w:val="595959" w:themeColor="text1" w:themeTint="A6"/>
          <w:sz w:val="20"/>
        </w:rPr>
        <w:fldChar w:fldCharType="separate"/>
      </w:r>
      <w:r w:rsidR="00AF2121">
        <w:rPr>
          <w:rFonts w:asciiTheme="majorHAnsi" w:eastAsiaTheme="majorEastAsia" w:hAnsiTheme="majorHAnsi" w:cstheme="majorBidi"/>
          <w:noProof/>
          <w:color w:val="595959" w:themeColor="text1" w:themeTint="A6"/>
          <w:sz w:val="20"/>
        </w:rPr>
        <w:t>3</w:t>
      </w:r>
      <w:r w:rsidR="00C57DCF">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Global occurrences of </w:t>
      </w:r>
      <w:r>
        <w:rPr>
          <w:rFonts w:asciiTheme="majorHAnsi" w:eastAsiaTheme="majorEastAsia" w:hAnsiTheme="majorHAnsi" w:cstheme="majorBidi"/>
          <w:i/>
          <w:color w:val="595959" w:themeColor="text1" w:themeTint="A6"/>
          <w:sz w:val="20"/>
        </w:rPr>
        <w:t>Phytophthora</w:t>
      </w:r>
      <w:r>
        <w:rPr>
          <w:rFonts w:asciiTheme="majorHAnsi" w:eastAsiaTheme="majorEastAsia" w:hAnsiTheme="majorHAnsi" w:cstheme="majorBidi"/>
          <w:color w:val="595959" w:themeColor="text1" w:themeTint="A6"/>
          <w:sz w:val="20"/>
        </w:rPr>
        <w:t xml:space="preserve"> species</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rsidR="00C74066" w:rsidRDefault="00F10705">
      <w:pPr>
        <w:pStyle w:val="AQISText"/>
        <w:rPr>
          <w:rFonts w:ascii="Verdana" w:hAnsi="Verdana" w:cs="Verdana"/>
          <w:color w:val="000000"/>
          <w:sz w:val="16"/>
          <w:szCs w:val="16"/>
        </w:rPr>
      </w:pPr>
      <w:r>
        <w:rPr>
          <w:rFonts w:ascii="Verdana" w:hAnsi="Verdana" w:cs="Verdana"/>
          <w:noProof/>
          <w:color w:val="000000"/>
          <w:sz w:val="16"/>
          <w:szCs w:val="16"/>
          <w:lang w:eastAsia="en-AU"/>
        </w:rPr>
        <w:drawing>
          <wp:inline distT="0" distB="0" distL="0" distR="0">
            <wp:extent cx="5617419" cy="2907323"/>
            <wp:effectExtent l="19050" t="0" r="2331"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5622037" cy="2909713"/>
                    </a:xfrm>
                    <a:prstGeom prst="rect">
                      <a:avLst/>
                    </a:prstGeom>
                    <a:noFill/>
                    <a:ln w="9525">
                      <a:noFill/>
                      <a:miter lim="800000"/>
                      <a:headEnd/>
                      <a:tailEnd/>
                    </a:ln>
                  </pic:spPr>
                </pic:pic>
              </a:graphicData>
            </a:graphic>
          </wp:inline>
        </w:drawing>
      </w:r>
    </w:p>
    <w:p w:rsidR="00C74066" w:rsidRDefault="00F10705">
      <w:pPr>
        <w:autoSpaceDE w:val="0"/>
        <w:autoSpaceDN w:val="0"/>
        <w:adjustRightInd w:val="0"/>
        <w:spacing w:before="200"/>
        <w:rPr>
          <w:rFonts w:ascii="Cambria" w:hAnsi="Cambria"/>
        </w:rPr>
      </w:pPr>
      <w:r>
        <w:rPr>
          <w:rFonts w:ascii="Cambria" w:hAnsi="Cambria"/>
          <w:i/>
          <w:iCs/>
        </w:rPr>
        <w:t xml:space="preserve">Phytophthora kernoviae </w:t>
      </w:r>
      <w:r>
        <w:rPr>
          <w:rFonts w:ascii="Cambria" w:hAnsi="Cambria"/>
        </w:rPr>
        <w:t xml:space="preserve">was speculated to have </w:t>
      </w:r>
      <w:r>
        <w:rPr>
          <w:rFonts w:ascii="Cambria" w:hAnsi="Cambria"/>
          <w:iCs/>
        </w:rPr>
        <w:t>been</w:t>
      </w:r>
      <w:r>
        <w:rPr>
          <w:rFonts w:ascii="Cambria" w:hAnsi="Cambria"/>
        </w:rPr>
        <w:t xml:space="preserve"> introduced into the UK from Asia or South America (Ramsfield </w:t>
      </w:r>
      <w:r>
        <w:rPr>
          <w:rFonts w:ascii="Cambria" w:hAnsi="Cambria"/>
          <w:iCs/>
        </w:rPr>
        <w:t>et al</w:t>
      </w:r>
      <w:r>
        <w:rPr>
          <w:rFonts w:ascii="Cambria" w:hAnsi="Cambria"/>
        </w:rPr>
        <w:t xml:space="preserve">. 2007); however, historical data indicates that it was first recorded in New Zealand as a </w:t>
      </w:r>
      <w:r>
        <w:rPr>
          <w:rFonts w:ascii="Cambria" w:hAnsi="Cambria"/>
          <w:i/>
          <w:iCs/>
        </w:rPr>
        <w:t xml:space="preserve">Phytophthora </w:t>
      </w:r>
      <w:r>
        <w:rPr>
          <w:rFonts w:ascii="Cambria" w:hAnsi="Cambria"/>
        </w:rPr>
        <w:t xml:space="preserve">species in the 1950s (Brasier </w:t>
      </w:r>
      <w:r>
        <w:rPr>
          <w:rFonts w:ascii="Cambria" w:hAnsi="Cambria"/>
          <w:iCs/>
        </w:rPr>
        <w:t>et al</w:t>
      </w:r>
      <w:r>
        <w:rPr>
          <w:rFonts w:ascii="Cambria" w:hAnsi="Cambria"/>
        </w:rPr>
        <w:t xml:space="preserve">. 2005). Molecular studies of </w:t>
      </w:r>
      <w:r>
        <w:rPr>
          <w:rFonts w:ascii="Cambria" w:hAnsi="Cambria"/>
          <w:i/>
          <w:iCs/>
        </w:rPr>
        <w:t xml:space="preserve">Phytophthora </w:t>
      </w:r>
      <w:r>
        <w:rPr>
          <w:rFonts w:ascii="Cambria" w:hAnsi="Cambria"/>
        </w:rPr>
        <w:t xml:space="preserve">species in New Zealand culture collections revealed an isolate of </w:t>
      </w:r>
      <w:r>
        <w:rPr>
          <w:rFonts w:ascii="Cambria" w:hAnsi="Cambria"/>
          <w:i/>
          <w:iCs/>
        </w:rPr>
        <w:t xml:space="preserve">P. kernoviae </w:t>
      </w:r>
      <w:r>
        <w:rPr>
          <w:rFonts w:ascii="Cambria" w:hAnsi="Cambria"/>
        </w:rPr>
        <w:t>recovered in 2002 from custard apple (</w:t>
      </w:r>
      <w:r>
        <w:rPr>
          <w:rFonts w:ascii="Cambria" w:hAnsi="Cambria"/>
          <w:i/>
        </w:rPr>
        <w:t>Annona cherimola</w:t>
      </w:r>
      <w:r>
        <w:rPr>
          <w:rFonts w:ascii="Cambria" w:hAnsi="Cambria"/>
        </w:rPr>
        <w:t>) orchards</w:t>
      </w:r>
      <w:r>
        <w:rPr>
          <w:rFonts w:ascii="Cambria" w:hAnsi="Cambria"/>
          <w:i/>
        </w:rPr>
        <w:t>. Phytophthora</w:t>
      </w:r>
      <w:r>
        <w:rPr>
          <w:rFonts w:ascii="Cambria" w:hAnsi="Cambria"/>
          <w:i/>
          <w:iCs/>
        </w:rPr>
        <w:t xml:space="preserve"> kernoviae </w:t>
      </w:r>
      <w:r>
        <w:rPr>
          <w:rFonts w:ascii="Cambria" w:hAnsi="Cambria"/>
        </w:rPr>
        <w:t xml:space="preserve">was causing leaf, shoot and fruit disease of </w:t>
      </w:r>
      <w:r>
        <w:rPr>
          <w:rFonts w:ascii="Cambria" w:hAnsi="Cambria"/>
          <w:i/>
        </w:rPr>
        <w:t>Annona cherimola</w:t>
      </w:r>
      <w:r>
        <w:rPr>
          <w:rFonts w:ascii="Cambria" w:hAnsi="Cambria"/>
        </w:rPr>
        <w:t xml:space="preserve"> in the North Island, New Zealand (Ramsfield </w:t>
      </w:r>
      <w:r>
        <w:rPr>
          <w:rFonts w:ascii="Cambria" w:hAnsi="Cambria"/>
          <w:iCs/>
        </w:rPr>
        <w:t>et al</w:t>
      </w:r>
      <w:r>
        <w:rPr>
          <w:rFonts w:ascii="Cambria" w:hAnsi="Cambria"/>
        </w:rPr>
        <w:t xml:space="preserve">. 2009). Further studies have shown that </w:t>
      </w:r>
      <w:r>
        <w:rPr>
          <w:rFonts w:ascii="Cambria" w:hAnsi="Cambria"/>
          <w:i/>
          <w:iCs/>
        </w:rPr>
        <w:t xml:space="preserve">P. kernoviae </w:t>
      </w:r>
      <w:r>
        <w:rPr>
          <w:rFonts w:ascii="Cambria" w:hAnsi="Cambria"/>
        </w:rPr>
        <w:t xml:space="preserve">is present in soils in both indigenous and exotic forests in several regions of the North Island, New Zealand (Ramsfield </w:t>
      </w:r>
      <w:r>
        <w:rPr>
          <w:rFonts w:ascii="Cambria" w:hAnsi="Cambria"/>
          <w:iCs/>
        </w:rPr>
        <w:t>et al</w:t>
      </w:r>
      <w:r>
        <w:rPr>
          <w:rFonts w:ascii="Cambria" w:hAnsi="Cambria"/>
        </w:rPr>
        <w:t>. 2009).</w:t>
      </w:r>
    </w:p>
    <w:p w:rsidR="00C74066" w:rsidRDefault="00F10705">
      <w:pPr>
        <w:autoSpaceDE w:val="0"/>
        <w:autoSpaceDN w:val="0"/>
        <w:adjustRightInd w:val="0"/>
        <w:spacing w:before="200"/>
        <w:rPr>
          <w:rFonts w:ascii="Cambria" w:hAnsi="Cambria"/>
        </w:rPr>
      </w:pPr>
      <w:r>
        <w:rPr>
          <w:rFonts w:ascii="Cambria" w:hAnsi="Cambria"/>
          <w:i/>
          <w:iCs/>
        </w:rPr>
        <w:t xml:space="preserve">Phytophthora nemorosa </w:t>
      </w:r>
      <w:r>
        <w:rPr>
          <w:rFonts w:ascii="Cambria" w:hAnsi="Cambria"/>
        </w:rPr>
        <w:t xml:space="preserve">and </w:t>
      </w:r>
      <w:r>
        <w:rPr>
          <w:rFonts w:ascii="Cambria" w:hAnsi="Cambria"/>
          <w:i/>
          <w:iCs/>
        </w:rPr>
        <w:t>P. pseudosyringae</w:t>
      </w:r>
      <w:r>
        <w:rPr>
          <w:rFonts w:ascii="Cambria" w:hAnsi="Cambria"/>
        </w:rPr>
        <w:t xml:space="preserve"> have similar host and geographic ranges and cause similar disease symptoms</w:t>
      </w:r>
      <w:r w:rsidR="004D7502">
        <w:rPr>
          <w:rFonts w:ascii="Cambria" w:hAnsi="Cambria"/>
        </w:rPr>
        <w:t xml:space="preserve"> to</w:t>
      </w:r>
      <w:r>
        <w:rPr>
          <w:rFonts w:ascii="Cambria" w:hAnsi="Cambria"/>
        </w:rPr>
        <w:t xml:space="preserve"> </w:t>
      </w:r>
      <w:r>
        <w:rPr>
          <w:rFonts w:ascii="Cambria" w:hAnsi="Cambria"/>
          <w:i/>
          <w:iCs/>
        </w:rPr>
        <w:t xml:space="preserve">P. ramorum </w:t>
      </w:r>
      <w:r>
        <w:rPr>
          <w:rFonts w:ascii="Cambria" w:hAnsi="Cambria"/>
        </w:rPr>
        <w:t xml:space="preserve">(Hansen </w:t>
      </w:r>
      <w:r>
        <w:rPr>
          <w:rFonts w:ascii="Cambria" w:hAnsi="Cambria"/>
          <w:iCs/>
        </w:rPr>
        <w:t>et</w:t>
      </w:r>
      <w:r>
        <w:rPr>
          <w:rFonts w:ascii="Cambria" w:hAnsi="Cambria"/>
          <w:i/>
          <w:iCs/>
        </w:rPr>
        <w:t xml:space="preserve"> </w:t>
      </w:r>
      <w:r>
        <w:rPr>
          <w:rFonts w:ascii="Cambria" w:hAnsi="Cambria"/>
        </w:rPr>
        <w:t xml:space="preserve">al. 2003a; Murphy &amp; Rizzo 2006; Wickland &amp; Rizzo 2006). However, </w:t>
      </w:r>
      <w:r>
        <w:rPr>
          <w:rFonts w:ascii="Cambria" w:hAnsi="Cambria"/>
          <w:i/>
          <w:iCs/>
        </w:rPr>
        <w:t xml:space="preserve">P. nemorosa </w:t>
      </w:r>
      <w:r>
        <w:rPr>
          <w:rFonts w:ascii="Cambria" w:hAnsi="Cambria"/>
        </w:rPr>
        <w:t xml:space="preserve">and </w:t>
      </w:r>
      <w:r>
        <w:rPr>
          <w:rFonts w:ascii="Cambria" w:hAnsi="Cambria"/>
          <w:i/>
          <w:iCs/>
        </w:rPr>
        <w:t xml:space="preserve">P. pseudosyringae </w:t>
      </w:r>
      <w:r>
        <w:rPr>
          <w:rFonts w:ascii="Cambria" w:hAnsi="Cambria"/>
        </w:rPr>
        <w:t xml:space="preserve">do not appear to cause mortality of oaks or tanoak and infect fewer plant species than </w:t>
      </w:r>
      <w:r>
        <w:rPr>
          <w:rFonts w:ascii="Cambria" w:hAnsi="Cambria"/>
          <w:i/>
          <w:iCs/>
        </w:rPr>
        <w:t xml:space="preserve">P. ramorum </w:t>
      </w:r>
      <w:r>
        <w:rPr>
          <w:rFonts w:ascii="Cambria" w:hAnsi="Cambria"/>
        </w:rPr>
        <w:t xml:space="preserve">(Murphy </w:t>
      </w:r>
      <w:r>
        <w:rPr>
          <w:rFonts w:ascii="Cambria" w:hAnsi="Cambria"/>
          <w:iCs/>
        </w:rPr>
        <w:t>et al</w:t>
      </w:r>
      <w:r>
        <w:rPr>
          <w:rFonts w:ascii="Cambria" w:hAnsi="Cambria"/>
        </w:rPr>
        <w:t xml:space="preserve">. 2008). While all three pathogens are patchy over the landscape, </w:t>
      </w:r>
      <w:r>
        <w:rPr>
          <w:rFonts w:ascii="Cambria" w:hAnsi="Cambria"/>
          <w:i/>
          <w:iCs/>
        </w:rPr>
        <w:t xml:space="preserve">P. nemorosa </w:t>
      </w:r>
      <w:r>
        <w:rPr>
          <w:rFonts w:ascii="Cambria" w:hAnsi="Cambria"/>
        </w:rPr>
        <w:t xml:space="preserve">and </w:t>
      </w:r>
      <w:r>
        <w:rPr>
          <w:rFonts w:ascii="Cambria" w:hAnsi="Cambria"/>
          <w:i/>
          <w:iCs/>
        </w:rPr>
        <w:t xml:space="preserve">P. pseudosyringae </w:t>
      </w:r>
      <w:r>
        <w:rPr>
          <w:rFonts w:ascii="Cambria" w:hAnsi="Cambria"/>
        </w:rPr>
        <w:t xml:space="preserve">are distributed over a broader geographical area than </w:t>
      </w:r>
      <w:r>
        <w:rPr>
          <w:rFonts w:ascii="Cambria" w:hAnsi="Cambria"/>
          <w:i/>
          <w:iCs/>
        </w:rPr>
        <w:t xml:space="preserve">P. ramorum, </w:t>
      </w:r>
      <w:r>
        <w:rPr>
          <w:rFonts w:ascii="Cambria" w:hAnsi="Cambria"/>
        </w:rPr>
        <w:t xml:space="preserve">extending into the Sierra Nevada, USA (Murphy </w:t>
      </w:r>
      <w:r>
        <w:rPr>
          <w:rFonts w:ascii="Cambria" w:hAnsi="Cambria"/>
          <w:iCs/>
        </w:rPr>
        <w:t>et al</w:t>
      </w:r>
      <w:r>
        <w:rPr>
          <w:rFonts w:ascii="Cambria" w:hAnsi="Cambria"/>
        </w:rPr>
        <w:t>. 2008).</w:t>
      </w:r>
    </w:p>
    <w:p w:rsidR="00C74066" w:rsidRDefault="00F10705">
      <w:pPr>
        <w:pStyle w:val="Heading2"/>
        <w:numPr>
          <w:ilvl w:val="1"/>
          <w:numId w:val="21"/>
        </w:numPr>
        <w:tabs>
          <w:tab w:val="clear" w:pos="576"/>
        </w:tabs>
        <w:spacing w:before="200" w:after="120"/>
        <w:ind w:left="357" w:hanging="357"/>
        <w:rPr>
          <w:rFonts w:eastAsiaTheme="majorEastAsia" w:cstheme="majorBidi"/>
          <w:color w:val="773141"/>
          <w:sz w:val="28"/>
        </w:rPr>
      </w:pPr>
      <w:bookmarkStart w:id="121" w:name="_Toc434247473"/>
      <w:r>
        <w:rPr>
          <w:rFonts w:eastAsiaTheme="majorEastAsia" w:cstheme="majorBidi"/>
          <w:color w:val="773141"/>
          <w:sz w:val="28"/>
        </w:rPr>
        <w:t xml:space="preserve">Hosts of the </w:t>
      </w:r>
      <w:r>
        <w:rPr>
          <w:rFonts w:eastAsiaTheme="majorEastAsia" w:cstheme="majorBidi"/>
          <w:i/>
          <w:color w:val="773141"/>
          <w:sz w:val="28"/>
        </w:rPr>
        <w:t>Phytophthora</w:t>
      </w:r>
      <w:r>
        <w:rPr>
          <w:rFonts w:eastAsiaTheme="majorEastAsia" w:cstheme="majorBidi"/>
          <w:color w:val="773141"/>
          <w:sz w:val="28"/>
        </w:rPr>
        <w:t xml:space="preserve"> species</w:t>
      </w:r>
      <w:bookmarkEnd w:id="121"/>
    </w:p>
    <w:p w:rsidR="00C74066" w:rsidRDefault="00F10705">
      <w:pPr>
        <w:autoSpaceDE w:val="0"/>
        <w:autoSpaceDN w:val="0"/>
        <w:adjustRightInd w:val="0"/>
        <w:spacing w:before="200"/>
        <w:rPr>
          <w:rFonts w:ascii="Cambria" w:hAnsi="Cambria"/>
        </w:rPr>
      </w:pPr>
      <w:r>
        <w:rPr>
          <w:rFonts w:ascii="Cambria" w:hAnsi="Cambria"/>
        </w:rPr>
        <w:t xml:space="preserve">Known hosts of the </w:t>
      </w:r>
      <w:r>
        <w:rPr>
          <w:rFonts w:ascii="Cambria" w:hAnsi="Cambria"/>
          <w:i/>
          <w:iCs/>
        </w:rPr>
        <w:t xml:space="preserve">Phytophthora </w:t>
      </w:r>
      <w:r>
        <w:rPr>
          <w:rFonts w:ascii="Cambria" w:hAnsi="Cambria"/>
        </w:rPr>
        <w:t>species (</w:t>
      </w:r>
      <w:r>
        <w:rPr>
          <w:rFonts w:ascii="Cambria" w:hAnsi="Cambria"/>
          <w:i/>
          <w:iCs/>
        </w:rPr>
        <w:t>P. kernoviae</w:t>
      </w:r>
      <w:r>
        <w:rPr>
          <w:rFonts w:ascii="Cambria" w:hAnsi="Cambria"/>
        </w:rPr>
        <w:t xml:space="preserve">, </w:t>
      </w:r>
      <w:r>
        <w:rPr>
          <w:rFonts w:ascii="Cambria" w:hAnsi="Cambria"/>
          <w:i/>
          <w:iCs/>
        </w:rPr>
        <w:t>P. nemorosa</w:t>
      </w:r>
      <w:r>
        <w:rPr>
          <w:rFonts w:ascii="Cambria" w:hAnsi="Cambria"/>
        </w:rPr>
        <w:t>,</w:t>
      </w:r>
      <w:r>
        <w:rPr>
          <w:rFonts w:ascii="Cambria" w:hAnsi="Cambria"/>
          <w:i/>
          <w:iCs/>
        </w:rPr>
        <w:t xml:space="preserve"> P. pseudosyringae </w:t>
      </w:r>
      <w:r>
        <w:rPr>
          <w:rFonts w:ascii="Cambria" w:hAnsi="Cambria"/>
        </w:rPr>
        <w:t xml:space="preserve">and </w:t>
      </w:r>
      <w:r>
        <w:rPr>
          <w:rFonts w:ascii="Cambria" w:hAnsi="Cambria"/>
          <w:i/>
          <w:iCs/>
        </w:rPr>
        <w:t>P. ramorum</w:t>
      </w:r>
      <w:r>
        <w:rPr>
          <w:rFonts w:ascii="Cambria" w:hAnsi="Cambria"/>
        </w:rPr>
        <w:t>)</w:t>
      </w:r>
      <w:r>
        <w:rPr>
          <w:rFonts w:ascii="Cambria" w:hAnsi="Cambria"/>
          <w:i/>
          <w:iCs/>
        </w:rPr>
        <w:t xml:space="preserve"> </w:t>
      </w:r>
      <w:r>
        <w:rPr>
          <w:rFonts w:ascii="Cambria" w:hAnsi="Cambria"/>
        </w:rPr>
        <w:t>include numerous species in a wide range of plant families (Appendix A). However, it should be noted that an increasing number of new hosts of these pathogens</w:t>
      </w:r>
      <w:r>
        <w:rPr>
          <w:rFonts w:ascii="Cambria" w:hAnsi="Cambria"/>
          <w:i/>
          <w:iCs/>
        </w:rPr>
        <w:t xml:space="preserve"> </w:t>
      </w:r>
      <w:r>
        <w:rPr>
          <w:rFonts w:ascii="Cambria" w:hAnsi="Cambria"/>
          <w:iCs/>
        </w:rPr>
        <w:t>are being identified; therefore, the department will continue to review the host list as necessary.</w:t>
      </w:r>
      <w:r>
        <w:rPr>
          <w:rFonts w:ascii="Cambria" w:hAnsi="Cambria"/>
        </w:rPr>
        <w:t xml:space="preserve"> Details of the important hosts of </w:t>
      </w:r>
      <w:r>
        <w:rPr>
          <w:rFonts w:ascii="Cambria" w:hAnsi="Cambria"/>
          <w:i/>
          <w:iCs/>
        </w:rPr>
        <w:t>P. ramorum</w:t>
      </w:r>
      <w:r>
        <w:rPr>
          <w:rFonts w:ascii="Cambria" w:hAnsi="Cambria"/>
          <w:iCs/>
        </w:rPr>
        <w:t xml:space="preserve">—with mention of </w:t>
      </w:r>
      <w:r>
        <w:rPr>
          <w:rFonts w:ascii="Cambria" w:hAnsi="Cambria"/>
          <w:i/>
        </w:rPr>
        <w:t>P. kernoviae</w:t>
      </w:r>
      <w:r>
        <w:rPr>
          <w:rFonts w:ascii="Cambria" w:hAnsi="Cambria"/>
        </w:rPr>
        <w:t xml:space="preserve">, </w:t>
      </w:r>
      <w:r>
        <w:rPr>
          <w:rFonts w:ascii="Cambria" w:hAnsi="Cambria"/>
          <w:i/>
        </w:rPr>
        <w:t xml:space="preserve">P. nemorosa </w:t>
      </w:r>
      <w:r>
        <w:rPr>
          <w:rFonts w:ascii="Cambria" w:hAnsi="Cambria"/>
        </w:rPr>
        <w:t xml:space="preserve">and </w:t>
      </w:r>
      <w:r>
        <w:rPr>
          <w:rFonts w:ascii="Cambria" w:hAnsi="Cambria"/>
          <w:i/>
        </w:rPr>
        <w:t>P. pseudosyringae</w:t>
      </w:r>
      <w:r>
        <w:rPr>
          <w:rFonts w:ascii="Cambria" w:hAnsi="Cambria"/>
        </w:rPr>
        <w:t>—are provided below.</w:t>
      </w:r>
    </w:p>
    <w:p w:rsidR="00C74066" w:rsidRDefault="00F10705">
      <w:pPr>
        <w:pStyle w:val="ListBullet"/>
        <w:tabs>
          <w:tab w:val="clear" w:pos="360"/>
          <w:tab w:val="num" w:pos="284"/>
        </w:tabs>
        <w:spacing w:line="269" w:lineRule="auto"/>
        <w:ind w:left="284" w:hanging="284"/>
        <w:rPr>
          <w:rFonts w:ascii="Cambria" w:hAnsi="Cambria"/>
        </w:rPr>
      </w:pPr>
      <w:r>
        <w:rPr>
          <w:rFonts w:ascii="Cambria" w:hAnsi="Cambria"/>
          <w:b/>
          <w:bCs/>
        </w:rPr>
        <w:t>Caprifoliaceae</w:t>
      </w:r>
      <w:r>
        <w:rPr>
          <w:rFonts w:ascii="Cambria" w:hAnsi="Cambria"/>
        </w:rPr>
        <w:t xml:space="preserve"> includes nursery and landscape species worldwide, particularly the genus </w:t>
      </w:r>
      <w:r>
        <w:rPr>
          <w:rFonts w:ascii="Cambria" w:hAnsi="Cambria"/>
          <w:i/>
          <w:iCs/>
        </w:rPr>
        <w:t>Viburnum</w:t>
      </w:r>
      <w:r>
        <w:rPr>
          <w:rFonts w:ascii="Cambria" w:hAnsi="Cambria"/>
          <w:iCs/>
        </w:rPr>
        <w:t>—</w:t>
      </w:r>
      <w:r w:rsidR="00957654">
        <w:rPr>
          <w:rFonts w:ascii="Cambria" w:hAnsi="Cambria"/>
        </w:rPr>
        <w:t>one</w:t>
      </w:r>
      <w:r>
        <w:rPr>
          <w:rFonts w:ascii="Cambria" w:hAnsi="Cambria"/>
        </w:rPr>
        <w:t xml:space="preserve"> of the first plants </w:t>
      </w:r>
      <w:r>
        <w:rPr>
          <w:rFonts w:ascii="Cambria" w:hAnsi="Cambria"/>
          <w:i/>
        </w:rPr>
        <w:t>P. ramorum</w:t>
      </w:r>
      <w:r>
        <w:rPr>
          <w:rFonts w:ascii="Cambria" w:hAnsi="Cambria"/>
        </w:rPr>
        <w:t xml:space="preserve"> was isolated from was </w:t>
      </w:r>
      <w:r>
        <w:rPr>
          <w:rFonts w:ascii="Cambria" w:hAnsi="Cambria"/>
          <w:i/>
          <w:iCs/>
        </w:rPr>
        <w:t xml:space="preserve">Viburnum bodnantense </w:t>
      </w:r>
      <w:r>
        <w:rPr>
          <w:rFonts w:ascii="Cambria" w:hAnsi="Cambria"/>
        </w:rPr>
        <w:lastRenderedPageBreak/>
        <w:t xml:space="preserve">in Europe (Werres </w:t>
      </w:r>
      <w:r>
        <w:rPr>
          <w:rFonts w:ascii="Cambria" w:hAnsi="Cambria"/>
          <w:iCs/>
        </w:rPr>
        <w:t>et al.</w:t>
      </w:r>
      <w:r>
        <w:rPr>
          <w:rFonts w:ascii="Cambria" w:hAnsi="Cambria"/>
        </w:rPr>
        <w:t xml:space="preserve"> 2001). This genus has been implicated in the introduction of </w:t>
      </w:r>
      <w:r>
        <w:rPr>
          <w:rFonts w:ascii="Cambria" w:hAnsi="Cambria"/>
          <w:i/>
          <w:iCs/>
        </w:rPr>
        <w:t xml:space="preserve">P. ramorum </w:t>
      </w:r>
      <w:r>
        <w:rPr>
          <w:rFonts w:ascii="Cambria" w:hAnsi="Cambria"/>
        </w:rPr>
        <w:t>into new areas (Sansford et al. 2009).</w:t>
      </w:r>
    </w:p>
    <w:p w:rsidR="00C74066" w:rsidRDefault="00F10705">
      <w:pPr>
        <w:pStyle w:val="ListBullet"/>
        <w:tabs>
          <w:tab w:val="clear" w:pos="360"/>
          <w:tab w:val="num" w:pos="284"/>
        </w:tabs>
        <w:spacing w:line="269" w:lineRule="auto"/>
        <w:ind w:left="284" w:hanging="284"/>
        <w:rPr>
          <w:rFonts w:ascii="Cambria" w:hAnsi="Cambria"/>
          <w:i/>
          <w:iCs/>
        </w:rPr>
      </w:pPr>
      <w:r>
        <w:rPr>
          <w:rFonts w:ascii="Cambria" w:hAnsi="Cambria"/>
          <w:b/>
          <w:bCs/>
        </w:rPr>
        <w:t>Ericaceae</w:t>
      </w:r>
      <w:r>
        <w:rPr>
          <w:rFonts w:ascii="Cambria" w:hAnsi="Cambria"/>
        </w:rPr>
        <w:t xml:space="preserve"> includes groups of nursery, landscape, environmental and small fruit production plants (</w:t>
      </w:r>
      <w:r>
        <w:rPr>
          <w:rFonts w:ascii="Cambria" w:hAnsi="Cambria"/>
          <w:i/>
          <w:iCs/>
        </w:rPr>
        <w:t>Calluna vulgaris</w:t>
      </w:r>
      <w:r>
        <w:rPr>
          <w:rFonts w:ascii="Cambria" w:hAnsi="Cambria"/>
        </w:rPr>
        <w:t>,</w:t>
      </w:r>
      <w:r>
        <w:rPr>
          <w:rFonts w:ascii="Cambria" w:hAnsi="Cambria"/>
          <w:i/>
          <w:iCs/>
        </w:rPr>
        <w:t xml:space="preserve"> Kalmia </w:t>
      </w:r>
      <w:r>
        <w:rPr>
          <w:rFonts w:ascii="Cambria" w:hAnsi="Cambria"/>
        </w:rPr>
        <w:t xml:space="preserve">species, </w:t>
      </w:r>
      <w:r>
        <w:rPr>
          <w:rFonts w:ascii="Cambria" w:hAnsi="Cambria"/>
          <w:i/>
          <w:iCs/>
        </w:rPr>
        <w:t xml:space="preserve">Pieris </w:t>
      </w:r>
      <w:r>
        <w:rPr>
          <w:rFonts w:ascii="Cambria" w:hAnsi="Cambria"/>
        </w:rPr>
        <w:t xml:space="preserve">species, </w:t>
      </w:r>
      <w:r>
        <w:rPr>
          <w:rFonts w:ascii="Cambria" w:hAnsi="Cambria"/>
          <w:i/>
          <w:iCs/>
        </w:rPr>
        <w:t xml:space="preserve">Rhododendron </w:t>
      </w:r>
      <w:r>
        <w:rPr>
          <w:rFonts w:ascii="Cambria" w:hAnsi="Cambria"/>
        </w:rPr>
        <w:t xml:space="preserve">species and </w:t>
      </w:r>
      <w:r>
        <w:rPr>
          <w:rFonts w:ascii="Cambria" w:hAnsi="Cambria"/>
          <w:i/>
          <w:iCs/>
        </w:rPr>
        <w:t xml:space="preserve">Vaccinium </w:t>
      </w:r>
      <w:r>
        <w:rPr>
          <w:rFonts w:ascii="Cambria" w:hAnsi="Cambria"/>
        </w:rPr>
        <w:t xml:space="preserve">species). One of the first plants </w:t>
      </w:r>
      <w:r>
        <w:rPr>
          <w:rFonts w:ascii="Cambria" w:hAnsi="Cambria"/>
          <w:i/>
        </w:rPr>
        <w:t>P. ramorum</w:t>
      </w:r>
      <w:r>
        <w:rPr>
          <w:rFonts w:ascii="Cambria" w:hAnsi="Cambria"/>
        </w:rPr>
        <w:t xml:space="preserve"> was isolated from was </w:t>
      </w:r>
      <w:r>
        <w:rPr>
          <w:rFonts w:ascii="Cambria" w:hAnsi="Cambria"/>
          <w:i/>
        </w:rPr>
        <w:t>Rhododendron</w:t>
      </w:r>
      <w:r>
        <w:rPr>
          <w:rFonts w:ascii="Cambria" w:hAnsi="Cambria"/>
        </w:rPr>
        <w:t xml:space="preserve"> species in Europe (Werres </w:t>
      </w:r>
      <w:r>
        <w:rPr>
          <w:rFonts w:ascii="Cambria" w:hAnsi="Cambria"/>
          <w:iCs/>
        </w:rPr>
        <w:t>et al.</w:t>
      </w:r>
      <w:r>
        <w:rPr>
          <w:rFonts w:ascii="Cambria" w:hAnsi="Cambria"/>
        </w:rPr>
        <w:t xml:space="preserve"> 2001). </w:t>
      </w:r>
      <w:r>
        <w:rPr>
          <w:rFonts w:ascii="Cambria" w:hAnsi="Cambria"/>
          <w:i/>
        </w:rPr>
        <w:t>Rhododendron</w:t>
      </w:r>
      <w:r>
        <w:rPr>
          <w:rFonts w:ascii="Cambria" w:hAnsi="Cambria"/>
        </w:rPr>
        <w:t xml:space="preserve"> species are a host of several </w:t>
      </w:r>
      <w:r>
        <w:rPr>
          <w:rFonts w:ascii="Cambria" w:hAnsi="Cambria"/>
          <w:i/>
          <w:iCs/>
        </w:rPr>
        <w:t xml:space="preserve">Phytophthora </w:t>
      </w:r>
      <w:r>
        <w:rPr>
          <w:rFonts w:ascii="Cambria" w:hAnsi="Cambria"/>
        </w:rPr>
        <w:t xml:space="preserve">species and have been implicated in the introduction of </w:t>
      </w:r>
      <w:r>
        <w:rPr>
          <w:rFonts w:ascii="Cambria" w:hAnsi="Cambria"/>
          <w:i/>
          <w:iCs/>
        </w:rPr>
        <w:t xml:space="preserve">P. ramorum </w:t>
      </w:r>
      <w:r>
        <w:rPr>
          <w:rFonts w:ascii="Cambria" w:hAnsi="Cambria"/>
        </w:rPr>
        <w:t xml:space="preserve">into new areas. </w:t>
      </w:r>
      <w:r>
        <w:rPr>
          <w:rFonts w:ascii="Cambria" w:hAnsi="Cambria"/>
          <w:i/>
          <w:iCs/>
        </w:rPr>
        <w:t xml:space="preserve">Rhododendron </w:t>
      </w:r>
      <w:r>
        <w:rPr>
          <w:rFonts w:ascii="Cambria" w:hAnsi="Cambria"/>
        </w:rPr>
        <w:t xml:space="preserve">species play an important role in </w:t>
      </w:r>
      <w:r>
        <w:rPr>
          <w:rFonts w:ascii="Cambria" w:hAnsi="Cambria"/>
          <w:i/>
          <w:iCs/>
        </w:rPr>
        <w:t xml:space="preserve">P. ramorum </w:t>
      </w:r>
      <w:r>
        <w:rPr>
          <w:rFonts w:ascii="Cambria" w:hAnsi="Cambria"/>
        </w:rPr>
        <w:t xml:space="preserve">epidemics as the pathogen sporulates profusely on this host (Sansford et al. 2009). </w:t>
      </w:r>
      <w:r>
        <w:rPr>
          <w:rFonts w:ascii="Cambria" w:hAnsi="Cambria"/>
          <w:i/>
          <w:iCs/>
        </w:rPr>
        <w:t xml:space="preserve">Rhododendron </w:t>
      </w:r>
      <w:r>
        <w:rPr>
          <w:rFonts w:ascii="Cambria" w:hAnsi="Cambria"/>
        </w:rPr>
        <w:t xml:space="preserve">species are asymptomatic hosts of </w:t>
      </w:r>
      <w:r>
        <w:rPr>
          <w:rFonts w:ascii="Cambria" w:hAnsi="Cambria"/>
          <w:i/>
          <w:iCs/>
        </w:rPr>
        <w:t>P. ramorum</w:t>
      </w:r>
      <w:r>
        <w:rPr>
          <w:rFonts w:ascii="Cambria" w:hAnsi="Cambria"/>
        </w:rPr>
        <w:t xml:space="preserve"> and </w:t>
      </w:r>
      <w:r>
        <w:rPr>
          <w:rFonts w:ascii="Cambria" w:hAnsi="Cambria"/>
          <w:i/>
          <w:iCs/>
        </w:rPr>
        <w:t xml:space="preserve">P. kernoviae </w:t>
      </w:r>
      <w:r>
        <w:rPr>
          <w:rFonts w:ascii="Cambria" w:hAnsi="Cambria"/>
        </w:rPr>
        <w:t xml:space="preserve">(Brasier 2007). </w:t>
      </w:r>
      <w:r>
        <w:rPr>
          <w:rFonts w:ascii="Cambria" w:hAnsi="Cambria"/>
          <w:i/>
          <w:iCs/>
        </w:rPr>
        <w:t>Rhododendron</w:t>
      </w:r>
      <w:r>
        <w:rPr>
          <w:rFonts w:ascii="Cambria" w:hAnsi="Cambria"/>
        </w:rPr>
        <w:t xml:space="preserve"> species are a host of several </w:t>
      </w:r>
      <w:r>
        <w:rPr>
          <w:rFonts w:ascii="Cambria" w:hAnsi="Cambria"/>
          <w:i/>
          <w:iCs/>
        </w:rPr>
        <w:t xml:space="preserve">Phytophthora </w:t>
      </w:r>
      <w:r>
        <w:rPr>
          <w:rFonts w:ascii="Cambria" w:hAnsi="Cambria"/>
        </w:rPr>
        <w:t xml:space="preserve">species that can attack woody hosts; therefore, </w:t>
      </w:r>
      <w:r>
        <w:rPr>
          <w:rFonts w:ascii="Cambria" w:hAnsi="Cambria"/>
          <w:i/>
          <w:iCs/>
        </w:rPr>
        <w:t xml:space="preserve">Rhododendron </w:t>
      </w:r>
      <w:r>
        <w:rPr>
          <w:rFonts w:ascii="Cambria" w:hAnsi="Cambria"/>
        </w:rPr>
        <w:t>may be the ideal universal ‘</w:t>
      </w:r>
      <w:r>
        <w:rPr>
          <w:rFonts w:ascii="Cambria" w:hAnsi="Cambria"/>
          <w:i/>
          <w:iCs/>
        </w:rPr>
        <w:t xml:space="preserve">Phytophthora </w:t>
      </w:r>
      <w:r>
        <w:rPr>
          <w:rFonts w:ascii="Cambria" w:hAnsi="Cambria"/>
        </w:rPr>
        <w:t xml:space="preserve">carrier’ (Brasier 2007). </w:t>
      </w:r>
      <w:r>
        <w:rPr>
          <w:rFonts w:ascii="Cambria" w:hAnsi="Cambria"/>
          <w:i/>
          <w:iCs/>
        </w:rPr>
        <w:t xml:space="preserve">Phytophthora pseudosyringae </w:t>
      </w:r>
      <w:r>
        <w:rPr>
          <w:rFonts w:ascii="Cambria" w:hAnsi="Cambria"/>
        </w:rPr>
        <w:t xml:space="preserve">was first reported on </w:t>
      </w:r>
      <w:r>
        <w:rPr>
          <w:rFonts w:ascii="Cambria" w:hAnsi="Cambria"/>
          <w:i/>
          <w:iCs/>
        </w:rPr>
        <w:t xml:space="preserve">Vaccinium myrtillus </w:t>
      </w:r>
      <w:r>
        <w:rPr>
          <w:rFonts w:ascii="Cambria" w:hAnsi="Cambria"/>
        </w:rPr>
        <w:t xml:space="preserve">(Beales </w:t>
      </w:r>
      <w:r>
        <w:rPr>
          <w:rFonts w:ascii="Cambria" w:hAnsi="Cambria"/>
          <w:iCs/>
        </w:rPr>
        <w:t>et al</w:t>
      </w:r>
      <w:r>
        <w:rPr>
          <w:rFonts w:ascii="Cambria" w:hAnsi="Cambria"/>
        </w:rPr>
        <w:t>. 2009).</w:t>
      </w:r>
    </w:p>
    <w:p w:rsidR="00C74066" w:rsidRDefault="00F10705">
      <w:pPr>
        <w:pStyle w:val="ListBullet"/>
        <w:tabs>
          <w:tab w:val="clear" w:pos="360"/>
          <w:tab w:val="num" w:pos="284"/>
        </w:tabs>
        <w:spacing w:line="269" w:lineRule="auto"/>
        <w:ind w:left="284" w:hanging="284"/>
        <w:rPr>
          <w:rFonts w:ascii="Cambria" w:hAnsi="Cambria"/>
        </w:rPr>
      </w:pPr>
      <w:r>
        <w:rPr>
          <w:rFonts w:ascii="Cambria" w:hAnsi="Cambria"/>
          <w:b/>
          <w:bCs/>
        </w:rPr>
        <w:t>Fagaceae</w:t>
      </w:r>
      <w:r>
        <w:rPr>
          <w:rFonts w:ascii="Cambria" w:hAnsi="Cambria"/>
        </w:rPr>
        <w:t xml:space="preserve"> includes forest species (oaks) where </w:t>
      </w:r>
      <w:r>
        <w:rPr>
          <w:rFonts w:ascii="Cambria" w:hAnsi="Cambria"/>
          <w:i/>
          <w:iCs/>
        </w:rPr>
        <w:t xml:space="preserve">P. ramorum </w:t>
      </w:r>
      <w:r>
        <w:rPr>
          <w:rFonts w:ascii="Cambria" w:hAnsi="Cambria"/>
        </w:rPr>
        <w:t>was first re</w:t>
      </w:r>
      <w:r w:rsidR="009F7A4C">
        <w:rPr>
          <w:rFonts w:ascii="Cambria" w:hAnsi="Cambria"/>
        </w:rPr>
        <w:t>ported from California causing S</w:t>
      </w:r>
      <w:r>
        <w:rPr>
          <w:rFonts w:ascii="Cambria" w:hAnsi="Cambria"/>
        </w:rPr>
        <w:t>udden oak death (Sansford et al. 2009). Oak infection is a comparatively rare event and usually occurs with the association of infected bay laurel (Kelly &amp; Meentemeyer 2002; Swiecki &amp; Bernhardt 2002a, b; Davidson et al. 2005). The infection process is followed by a much slower process of host colonisation, lasting between six months to several years (Rizzo &amp; Garbelotto 2003).</w:t>
      </w:r>
    </w:p>
    <w:p w:rsidR="00C74066" w:rsidRDefault="00F10705">
      <w:pPr>
        <w:pStyle w:val="ListBullet"/>
        <w:tabs>
          <w:tab w:val="clear" w:pos="360"/>
          <w:tab w:val="num" w:pos="284"/>
        </w:tabs>
        <w:spacing w:line="269" w:lineRule="auto"/>
        <w:ind w:left="284" w:hanging="284"/>
        <w:rPr>
          <w:rFonts w:ascii="Cambria" w:hAnsi="Cambria"/>
        </w:rPr>
      </w:pPr>
      <w:r>
        <w:rPr>
          <w:rFonts w:ascii="Cambria" w:hAnsi="Cambria"/>
          <w:b/>
          <w:bCs/>
        </w:rPr>
        <w:t>Lauraceae</w:t>
      </w:r>
      <w:r>
        <w:rPr>
          <w:rFonts w:ascii="Cambria" w:hAnsi="Cambria"/>
        </w:rPr>
        <w:t xml:space="preserve"> includes </w:t>
      </w:r>
      <w:r>
        <w:rPr>
          <w:rFonts w:ascii="Cambria" w:hAnsi="Cambria"/>
          <w:i/>
          <w:iCs/>
        </w:rPr>
        <w:t xml:space="preserve">Umbellularia californica </w:t>
      </w:r>
      <w:r>
        <w:rPr>
          <w:rFonts w:ascii="Cambria" w:hAnsi="Cambria"/>
          <w:iCs/>
        </w:rPr>
        <w:t>(bay laurel)</w:t>
      </w:r>
      <w:r>
        <w:rPr>
          <w:rFonts w:ascii="Cambria" w:hAnsi="Cambria"/>
          <w:i/>
          <w:iCs/>
        </w:rPr>
        <w:t xml:space="preserve">, </w:t>
      </w:r>
      <w:r>
        <w:rPr>
          <w:rFonts w:ascii="Cambria" w:hAnsi="Cambria"/>
        </w:rPr>
        <w:t xml:space="preserve">a sporulating host that can act as an important source of inoculum of </w:t>
      </w:r>
      <w:r>
        <w:rPr>
          <w:rFonts w:ascii="Cambria" w:hAnsi="Cambria"/>
          <w:i/>
          <w:iCs/>
        </w:rPr>
        <w:t>P. ramorum</w:t>
      </w:r>
      <w:r>
        <w:rPr>
          <w:rFonts w:ascii="Cambria" w:hAnsi="Cambria"/>
        </w:rPr>
        <w:t xml:space="preserve">. The presence of </w:t>
      </w:r>
      <w:r>
        <w:rPr>
          <w:rFonts w:ascii="Cambria" w:hAnsi="Cambria"/>
          <w:i/>
          <w:iCs/>
        </w:rPr>
        <w:t xml:space="preserve">U. californica </w:t>
      </w:r>
      <w:r>
        <w:rPr>
          <w:rFonts w:ascii="Cambria" w:hAnsi="Cambria"/>
        </w:rPr>
        <w:t xml:space="preserve">plays an important role in sudden oak death incidence in </w:t>
      </w:r>
      <w:r>
        <w:rPr>
          <w:rFonts w:ascii="Cambria" w:hAnsi="Cambria"/>
          <w:i/>
          <w:iCs/>
        </w:rPr>
        <w:t xml:space="preserve">Quercus </w:t>
      </w:r>
      <w:r>
        <w:rPr>
          <w:rFonts w:ascii="Cambria" w:hAnsi="Cambria"/>
        </w:rPr>
        <w:t xml:space="preserve">and </w:t>
      </w:r>
      <w:r>
        <w:rPr>
          <w:rFonts w:ascii="Cambria" w:hAnsi="Cambria"/>
          <w:i/>
          <w:iCs/>
        </w:rPr>
        <w:t xml:space="preserve">Lithocarpus </w:t>
      </w:r>
      <w:r>
        <w:rPr>
          <w:rFonts w:ascii="Cambria" w:hAnsi="Cambria"/>
          <w:iCs/>
        </w:rPr>
        <w:t xml:space="preserve">species </w:t>
      </w:r>
      <w:r>
        <w:rPr>
          <w:rFonts w:ascii="Cambria" w:hAnsi="Cambria"/>
        </w:rPr>
        <w:t>in California (Kelly &amp; Meentemeyer 2002; Swiecki &amp; Bernhardt</w:t>
      </w:r>
      <w:r>
        <w:rPr>
          <w:rFonts w:ascii="Cambria" w:hAnsi="Cambria"/>
          <w:i/>
          <w:iCs/>
        </w:rPr>
        <w:t xml:space="preserve"> </w:t>
      </w:r>
      <w:r>
        <w:rPr>
          <w:rFonts w:ascii="Cambria" w:hAnsi="Cambria"/>
        </w:rPr>
        <w:t xml:space="preserve">2002a, b; Meshriy </w:t>
      </w:r>
      <w:r>
        <w:rPr>
          <w:rFonts w:ascii="Cambria" w:hAnsi="Cambria"/>
          <w:iCs/>
        </w:rPr>
        <w:t>et al.</w:t>
      </w:r>
      <w:r>
        <w:rPr>
          <w:rFonts w:ascii="Cambria" w:hAnsi="Cambria"/>
        </w:rPr>
        <w:t xml:space="preserve"> 2006).</w:t>
      </w:r>
    </w:p>
    <w:p w:rsidR="00C74066" w:rsidRDefault="00F10705">
      <w:pPr>
        <w:pStyle w:val="ListBullet"/>
        <w:tabs>
          <w:tab w:val="clear" w:pos="360"/>
          <w:tab w:val="num" w:pos="284"/>
        </w:tabs>
        <w:spacing w:line="269" w:lineRule="auto"/>
        <w:ind w:left="284" w:hanging="284"/>
        <w:rPr>
          <w:rFonts w:ascii="Cambria" w:hAnsi="Cambria"/>
        </w:rPr>
      </w:pPr>
      <w:r>
        <w:rPr>
          <w:rFonts w:ascii="Cambria" w:hAnsi="Cambria"/>
          <w:b/>
          <w:bCs/>
        </w:rPr>
        <w:t>Magnoliaceae</w:t>
      </w:r>
      <w:r>
        <w:rPr>
          <w:rFonts w:ascii="Cambria" w:hAnsi="Cambria"/>
        </w:rPr>
        <w:t xml:space="preserve"> includes ornamental and forest plants; for example, </w:t>
      </w:r>
      <w:r>
        <w:rPr>
          <w:rFonts w:ascii="Cambria" w:hAnsi="Cambria"/>
          <w:i/>
          <w:iCs/>
        </w:rPr>
        <w:t xml:space="preserve">Manglietia insignis, Magnolia </w:t>
      </w:r>
      <w:r>
        <w:rPr>
          <w:rFonts w:ascii="Cambria" w:hAnsi="Cambria"/>
        </w:rPr>
        <w:t xml:space="preserve">species, </w:t>
      </w:r>
      <w:r>
        <w:rPr>
          <w:rFonts w:ascii="Cambria" w:hAnsi="Cambria"/>
          <w:i/>
          <w:iCs/>
        </w:rPr>
        <w:t xml:space="preserve">Michelia </w:t>
      </w:r>
      <w:r>
        <w:rPr>
          <w:rFonts w:ascii="Cambria" w:hAnsi="Cambria"/>
        </w:rPr>
        <w:t xml:space="preserve">species and </w:t>
      </w:r>
      <w:r>
        <w:rPr>
          <w:rFonts w:ascii="Cambria" w:hAnsi="Cambria"/>
          <w:i/>
          <w:iCs/>
        </w:rPr>
        <w:t>Parak</w:t>
      </w:r>
      <w:r w:rsidR="004D7502">
        <w:rPr>
          <w:rFonts w:ascii="Cambria" w:hAnsi="Cambria"/>
          <w:i/>
          <w:iCs/>
        </w:rPr>
        <w:t>m</w:t>
      </w:r>
      <w:r>
        <w:rPr>
          <w:rFonts w:ascii="Cambria" w:hAnsi="Cambria"/>
          <w:i/>
          <w:iCs/>
        </w:rPr>
        <w:t>eria lotungensis.</w:t>
      </w:r>
      <w:r>
        <w:rPr>
          <w:rFonts w:ascii="Cambria" w:hAnsi="Cambria"/>
          <w:iCs/>
        </w:rPr>
        <w:t xml:space="preserve"> These</w:t>
      </w:r>
      <w:r>
        <w:rPr>
          <w:rFonts w:ascii="Cambria" w:hAnsi="Cambria"/>
          <w:i/>
          <w:iCs/>
        </w:rPr>
        <w:t xml:space="preserve"> </w:t>
      </w:r>
      <w:r>
        <w:rPr>
          <w:rFonts w:ascii="Cambria" w:hAnsi="Cambria"/>
        </w:rPr>
        <w:t xml:space="preserve">are all primarily foliar hosts of </w:t>
      </w:r>
      <w:r>
        <w:rPr>
          <w:rFonts w:ascii="Cambria" w:hAnsi="Cambria"/>
          <w:i/>
          <w:iCs/>
        </w:rPr>
        <w:t>P. ramorum</w:t>
      </w:r>
      <w:r>
        <w:rPr>
          <w:rFonts w:ascii="Cambria" w:hAnsi="Cambria"/>
        </w:rPr>
        <w:t xml:space="preserve"> and </w:t>
      </w:r>
      <w:r>
        <w:rPr>
          <w:rFonts w:ascii="Cambria" w:hAnsi="Cambria"/>
          <w:i/>
          <w:iCs/>
        </w:rPr>
        <w:t>P. kernoviae</w:t>
      </w:r>
      <w:r>
        <w:rPr>
          <w:rFonts w:ascii="Cambria" w:hAnsi="Cambria"/>
        </w:rPr>
        <w:t xml:space="preserve">. It has been suggested that </w:t>
      </w:r>
      <w:r>
        <w:rPr>
          <w:rFonts w:ascii="Cambria" w:hAnsi="Cambria"/>
          <w:i/>
          <w:iCs/>
        </w:rPr>
        <w:t>P. kernoviae</w:t>
      </w:r>
      <w:r>
        <w:rPr>
          <w:rFonts w:ascii="Cambria" w:hAnsi="Cambria"/>
        </w:rPr>
        <w:t xml:space="preserve"> might be more of a ‘magnolia specialist’ in its natural habitat (Brasier </w:t>
      </w:r>
      <w:r>
        <w:rPr>
          <w:rFonts w:ascii="Cambria" w:hAnsi="Cambria"/>
          <w:iCs/>
        </w:rPr>
        <w:t>et al.</w:t>
      </w:r>
      <w:r>
        <w:rPr>
          <w:rFonts w:ascii="Cambria" w:hAnsi="Cambria"/>
        </w:rPr>
        <w:t xml:space="preserve"> 2005), although its host range in the UK extends beyond the </w:t>
      </w:r>
      <w:r>
        <w:rPr>
          <w:rFonts w:ascii="Cambria" w:hAnsi="Cambria"/>
          <w:iCs/>
        </w:rPr>
        <w:t>Magnoliaceae</w:t>
      </w:r>
      <w:r>
        <w:rPr>
          <w:rFonts w:ascii="Cambria" w:hAnsi="Cambria"/>
        </w:rPr>
        <w:t>.</w:t>
      </w:r>
    </w:p>
    <w:p w:rsidR="00C74066" w:rsidRDefault="00F10705">
      <w:pPr>
        <w:pStyle w:val="ListBullet"/>
        <w:tabs>
          <w:tab w:val="clear" w:pos="360"/>
          <w:tab w:val="num" w:pos="284"/>
        </w:tabs>
        <w:spacing w:line="269" w:lineRule="auto"/>
        <w:ind w:left="284" w:hanging="284"/>
        <w:rPr>
          <w:rFonts w:ascii="Cambria" w:hAnsi="Cambria"/>
        </w:rPr>
      </w:pPr>
      <w:r>
        <w:rPr>
          <w:rFonts w:ascii="Cambria" w:hAnsi="Cambria"/>
          <w:b/>
          <w:bCs/>
        </w:rPr>
        <w:t>Myrtaceae</w:t>
      </w:r>
      <w:r>
        <w:rPr>
          <w:rFonts w:ascii="Cambria" w:hAnsi="Cambria"/>
        </w:rPr>
        <w:t xml:space="preserve"> include</w:t>
      </w:r>
      <w:r w:rsidR="009F7A4C">
        <w:rPr>
          <w:rFonts w:ascii="Cambria" w:hAnsi="Cambria"/>
        </w:rPr>
        <w:t>s forest and timber species</w:t>
      </w:r>
      <w:r>
        <w:rPr>
          <w:rFonts w:ascii="Cambria" w:hAnsi="Cambria"/>
        </w:rPr>
        <w:t xml:space="preserve"> (</w:t>
      </w:r>
      <w:r>
        <w:rPr>
          <w:rFonts w:ascii="Cambria" w:hAnsi="Cambria"/>
          <w:i/>
          <w:iCs/>
        </w:rPr>
        <w:t>Eucalyptus</w:t>
      </w:r>
      <w:r>
        <w:rPr>
          <w:rFonts w:ascii="Cambria" w:hAnsi="Cambria"/>
        </w:rPr>
        <w:t xml:space="preserve"> species).</w:t>
      </w:r>
    </w:p>
    <w:p w:rsidR="00C74066" w:rsidRDefault="00F10705">
      <w:pPr>
        <w:pStyle w:val="ListBullet"/>
        <w:tabs>
          <w:tab w:val="clear" w:pos="360"/>
          <w:tab w:val="num" w:pos="284"/>
        </w:tabs>
        <w:spacing w:line="269" w:lineRule="auto"/>
        <w:ind w:left="284" w:hanging="284"/>
        <w:rPr>
          <w:rFonts w:ascii="Cambria" w:hAnsi="Cambria"/>
        </w:rPr>
      </w:pPr>
      <w:r>
        <w:rPr>
          <w:rFonts w:ascii="Cambria" w:hAnsi="Cambria"/>
          <w:b/>
          <w:bCs/>
        </w:rPr>
        <w:t>Oleaceae</w:t>
      </w:r>
      <w:r>
        <w:rPr>
          <w:rFonts w:ascii="Cambria" w:hAnsi="Cambria"/>
        </w:rPr>
        <w:t xml:space="preserve"> includes horticultural plants (</w:t>
      </w:r>
      <w:r>
        <w:rPr>
          <w:rFonts w:ascii="Cambria" w:hAnsi="Cambria"/>
          <w:i/>
          <w:iCs/>
        </w:rPr>
        <w:t>Fraxinus latifolia</w:t>
      </w:r>
      <w:r>
        <w:rPr>
          <w:rFonts w:ascii="Cambria" w:hAnsi="Cambria"/>
        </w:rPr>
        <w:t>,</w:t>
      </w:r>
      <w:r>
        <w:rPr>
          <w:rFonts w:ascii="Cambria" w:hAnsi="Cambria"/>
          <w:i/>
          <w:iCs/>
        </w:rPr>
        <w:t xml:space="preserve"> Osmanthus </w:t>
      </w:r>
      <w:r>
        <w:rPr>
          <w:rFonts w:ascii="Cambria" w:hAnsi="Cambria"/>
        </w:rPr>
        <w:t xml:space="preserve">species and </w:t>
      </w:r>
      <w:r>
        <w:rPr>
          <w:rFonts w:ascii="Cambria" w:hAnsi="Cambria"/>
          <w:i/>
          <w:iCs/>
        </w:rPr>
        <w:t>Syringa vulgaris</w:t>
      </w:r>
      <w:r>
        <w:rPr>
          <w:rFonts w:ascii="Cambria" w:hAnsi="Cambria"/>
          <w:iCs/>
        </w:rPr>
        <w:t xml:space="preserve">), which are </w:t>
      </w:r>
      <w:r>
        <w:rPr>
          <w:rFonts w:ascii="Cambria" w:hAnsi="Cambria"/>
        </w:rPr>
        <w:t xml:space="preserve">foliar and shoot dieback </w:t>
      </w:r>
      <w:r>
        <w:rPr>
          <w:rFonts w:ascii="Cambria" w:hAnsi="Cambria"/>
          <w:i/>
        </w:rPr>
        <w:t>Phytophthora</w:t>
      </w:r>
      <w:r>
        <w:rPr>
          <w:rFonts w:ascii="Cambria" w:hAnsi="Cambria"/>
        </w:rPr>
        <w:t xml:space="preserve"> hosts.</w:t>
      </w:r>
    </w:p>
    <w:p w:rsidR="00C74066" w:rsidRDefault="00F10705">
      <w:pPr>
        <w:pStyle w:val="ListBullet"/>
        <w:tabs>
          <w:tab w:val="clear" w:pos="360"/>
          <w:tab w:val="num" w:pos="284"/>
        </w:tabs>
        <w:spacing w:line="269" w:lineRule="auto"/>
        <w:ind w:left="284" w:hanging="284"/>
        <w:rPr>
          <w:rFonts w:ascii="Cambria" w:hAnsi="Cambria"/>
          <w:i/>
          <w:iCs/>
        </w:rPr>
      </w:pPr>
      <w:r>
        <w:rPr>
          <w:rFonts w:ascii="Cambria" w:hAnsi="Cambria"/>
          <w:b/>
          <w:bCs/>
        </w:rPr>
        <w:t>Pinaceae</w:t>
      </w:r>
      <w:r>
        <w:rPr>
          <w:rFonts w:ascii="Cambria" w:hAnsi="Cambria"/>
        </w:rPr>
        <w:t xml:space="preserve"> includes timber species (</w:t>
      </w:r>
      <w:r>
        <w:rPr>
          <w:rFonts w:ascii="Cambria" w:hAnsi="Cambria"/>
          <w:i/>
          <w:iCs/>
        </w:rPr>
        <w:t>Abies</w:t>
      </w:r>
      <w:r>
        <w:rPr>
          <w:rFonts w:ascii="Cambria" w:hAnsi="Cambria"/>
        </w:rPr>
        <w:t xml:space="preserve"> species, </w:t>
      </w:r>
      <w:r>
        <w:rPr>
          <w:rFonts w:ascii="Cambria" w:hAnsi="Cambria"/>
          <w:i/>
          <w:iCs/>
        </w:rPr>
        <w:t>Larix kaempferi, Pinus radiata</w:t>
      </w:r>
      <w:r>
        <w:rPr>
          <w:rFonts w:ascii="Cambria" w:hAnsi="Cambria"/>
        </w:rPr>
        <w:t xml:space="preserve"> and </w:t>
      </w:r>
      <w:r>
        <w:rPr>
          <w:rFonts w:ascii="Cambria" w:hAnsi="Cambria"/>
          <w:i/>
          <w:iCs/>
        </w:rPr>
        <w:t>Pseudotsuga menziesii</w:t>
      </w:r>
      <w:r>
        <w:rPr>
          <w:rFonts w:ascii="Cambria" w:hAnsi="Cambria"/>
          <w:iCs/>
        </w:rPr>
        <w:t>).</w:t>
      </w:r>
    </w:p>
    <w:p w:rsidR="00C74066" w:rsidRDefault="00F10705">
      <w:pPr>
        <w:pStyle w:val="ListBullet"/>
        <w:tabs>
          <w:tab w:val="clear" w:pos="360"/>
          <w:tab w:val="num" w:pos="284"/>
        </w:tabs>
        <w:spacing w:line="269" w:lineRule="auto"/>
        <w:ind w:left="284" w:hanging="284"/>
        <w:rPr>
          <w:rFonts w:ascii="Cambria" w:hAnsi="Cambria"/>
        </w:rPr>
      </w:pPr>
      <w:r>
        <w:rPr>
          <w:rFonts w:ascii="Cambria" w:hAnsi="Cambria"/>
          <w:b/>
          <w:bCs/>
        </w:rPr>
        <w:t>Taxodiaceae</w:t>
      </w:r>
      <w:r>
        <w:rPr>
          <w:rFonts w:ascii="Cambria" w:hAnsi="Cambria"/>
        </w:rPr>
        <w:t xml:space="preserve"> includes timber species (</w:t>
      </w:r>
      <w:r>
        <w:rPr>
          <w:rFonts w:ascii="Cambria" w:hAnsi="Cambria"/>
          <w:i/>
          <w:iCs/>
        </w:rPr>
        <w:t>Sequoia sempervirens</w:t>
      </w:r>
      <w:r>
        <w:rPr>
          <w:rFonts w:ascii="Cambria" w:hAnsi="Cambria"/>
          <w:iCs/>
        </w:rPr>
        <w:t>)</w:t>
      </w:r>
      <w:r>
        <w:rPr>
          <w:rFonts w:ascii="Cambria" w:hAnsi="Cambria"/>
          <w:i/>
          <w:iCs/>
        </w:rPr>
        <w:t>.</w:t>
      </w:r>
    </w:p>
    <w:p w:rsidR="00C74066" w:rsidRDefault="00F10705">
      <w:pPr>
        <w:pStyle w:val="ListBullet"/>
        <w:tabs>
          <w:tab w:val="clear" w:pos="360"/>
          <w:tab w:val="num" w:pos="284"/>
        </w:tabs>
        <w:spacing w:line="269" w:lineRule="auto"/>
        <w:ind w:left="284" w:hanging="284"/>
        <w:rPr>
          <w:rFonts w:ascii="Cambria" w:hAnsi="Cambria"/>
        </w:rPr>
      </w:pPr>
      <w:r>
        <w:rPr>
          <w:rFonts w:ascii="Cambria" w:hAnsi="Cambria"/>
          <w:b/>
          <w:bCs/>
        </w:rPr>
        <w:t>Theaceae</w:t>
      </w:r>
      <w:r>
        <w:rPr>
          <w:rFonts w:ascii="Cambria" w:hAnsi="Cambria"/>
        </w:rPr>
        <w:t xml:space="preserve"> includes nursery and landscape plants (</w:t>
      </w:r>
      <w:r>
        <w:rPr>
          <w:rFonts w:ascii="Cambria" w:hAnsi="Cambria"/>
          <w:i/>
          <w:iCs/>
        </w:rPr>
        <w:t xml:space="preserve">Camellia </w:t>
      </w:r>
      <w:r>
        <w:rPr>
          <w:rFonts w:ascii="Cambria" w:hAnsi="Cambria"/>
        </w:rPr>
        <w:t xml:space="preserve">species). </w:t>
      </w:r>
      <w:r>
        <w:rPr>
          <w:rFonts w:ascii="Cambria" w:hAnsi="Cambria"/>
          <w:i/>
          <w:iCs/>
        </w:rPr>
        <w:t>Phytophthora ramorum</w:t>
      </w:r>
      <w:r>
        <w:rPr>
          <w:rFonts w:ascii="Cambria" w:hAnsi="Cambria"/>
        </w:rPr>
        <w:t xml:space="preserve"> infected </w:t>
      </w:r>
      <w:r>
        <w:rPr>
          <w:rFonts w:ascii="Cambria" w:hAnsi="Cambria"/>
          <w:i/>
          <w:iCs/>
        </w:rPr>
        <w:t xml:space="preserve">Camellia </w:t>
      </w:r>
      <w:r>
        <w:rPr>
          <w:rFonts w:ascii="Cambria" w:hAnsi="Cambria"/>
        </w:rPr>
        <w:t>plants have been implicated in the introduction of the pathogen into new areas.</w:t>
      </w:r>
    </w:p>
    <w:p w:rsidR="00C74066" w:rsidRDefault="00F10705">
      <w:pPr>
        <w:pStyle w:val="ListBullet"/>
        <w:tabs>
          <w:tab w:val="clear" w:pos="360"/>
          <w:tab w:val="num" w:pos="284"/>
        </w:tabs>
        <w:spacing w:line="269" w:lineRule="auto"/>
        <w:ind w:left="284" w:hanging="284"/>
        <w:rPr>
          <w:rFonts w:ascii="Cambria" w:hAnsi="Cambria"/>
          <w:b/>
          <w:bCs/>
        </w:rPr>
      </w:pPr>
      <w:r>
        <w:rPr>
          <w:rFonts w:ascii="Cambria" w:hAnsi="Cambria"/>
          <w:b/>
          <w:bCs/>
        </w:rPr>
        <w:t xml:space="preserve">Winteraceae </w:t>
      </w:r>
      <w:r>
        <w:rPr>
          <w:rFonts w:ascii="Cambria" w:hAnsi="Cambria"/>
        </w:rPr>
        <w:t>includes ornamental species (</w:t>
      </w:r>
      <w:r>
        <w:rPr>
          <w:rFonts w:ascii="Cambria" w:hAnsi="Cambria"/>
          <w:i/>
          <w:iCs/>
        </w:rPr>
        <w:t xml:space="preserve">Drimys </w:t>
      </w:r>
      <w:r>
        <w:rPr>
          <w:rFonts w:ascii="Cambria" w:hAnsi="Cambria"/>
          <w:iCs/>
        </w:rPr>
        <w:t xml:space="preserve">species), which </w:t>
      </w:r>
      <w:r>
        <w:rPr>
          <w:rFonts w:ascii="Cambria" w:hAnsi="Cambria"/>
        </w:rPr>
        <w:t xml:space="preserve">are foliar hosts of </w:t>
      </w:r>
      <w:r>
        <w:rPr>
          <w:rFonts w:ascii="Cambria" w:hAnsi="Cambria"/>
          <w:i/>
          <w:iCs/>
        </w:rPr>
        <w:t>P. kernoviae</w:t>
      </w:r>
      <w:r>
        <w:rPr>
          <w:rFonts w:ascii="Cambria" w:hAnsi="Cambria"/>
        </w:rPr>
        <w:t>.</w:t>
      </w:r>
    </w:p>
    <w:p w:rsidR="00C74066" w:rsidRDefault="00F10705">
      <w:pPr>
        <w:autoSpaceDE w:val="0"/>
        <w:autoSpaceDN w:val="0"/>
        <w:adjustRightInd w:val="0"/>
        <w:spacing w:before="200"/>
        <w:rPr>
          <w:rFonts w:ascii="Cambria" w:hAnsi="Cambria"/>
        </w:rPr>
      </w:pPr>
      <w:r>
        <w:rPr>
          <w:rFonts w:ascii="Cambria" w:hAnsi="Cambria"/>
          <w:iCs/>
        </w:rPr>
        <w:t xml:space="preserve">Hosts of </w:t>
      </w:r>
      <w:r>
        <w:rPr>
          <w:rFonts w:ascii="Cambria" w:hAnsi="Cambria"/>
          <w:i/>
          <w:iCs/>
        </w:rPr>
        <w:t xml:space="preserve">P. ramorum </w:t>
      </w:r>
      <w:r>
        <w:rPr>
          <w:rFonts w:ascii="Cambria" w:hAnsi="Cambria"/>
          <w:iCs/>
        </w:rPr>
        <w:t>include lethal hosts (coast live oak, Californian black oak, shreve oak, canyon live oak and tanoak), non-lethal hosts (</w:t>
      </w:r>
      <w:r>
        <w:rPr>
          <w:rFonts w:ascii="Cambria" w:hAnsi="Cambria"/>
        </w:rPr>
        <w:t>bay laurel, bigleaf maple, douglas-fir, honeysuckle, huckleberry and maidenhair ferns) and ornamentals (</w:t>
      </w:r>
      <w:r>
        <w:rPr>
          <w:rFonts w:ascii="Cambria" w:hAnsi="Cambria"/>
          <w:i/>
        </w:rPr>
        <w:t xml:space="preserve">Rhododendron </w:t>
      </w:r>
      <w:r>
        <w:rPr>
          <w:rFonts w:ascii="Cambria" w:hAnsi="Cambria"/>
        </w:rPr>
        <w:t xml:space="preserve">species, </w:t>
      </w:r>
      <w:r>
        <w:rPr>
          <w:rFonts w:ascii="Cambria" w:hAnsi="Cambria"/>
          <w:i/>
        </w:rPr>
        <w:t xml:space="preserve">Camellia </w:t>
      </w:r>
      <w:r>
        <w:rPr>
          <w:rFonts w:ascii="Cambria" w:hAnsi="Cambria"/>
        </w:rPr>
        <w:t xml:space="preserve">species, </w:t>
      </w:r>
      <w:r>
        <w:rPr>
          <w:rFonts w:ascii="Cambria" w:hAnsi="Cambria"/>
          <w:i/>
        </w:rPr>
        <w:t xml:space="preserve">Viburnum </w:t>
      </w:r>
      <w:r>
        <w:rPr>
          <w:rFonts w:ascii="Cambria" w:hAnsi="Cambria"/>
        </w:rPr>
        <w:t xml:space="preserve">species, </w:t>
      </w:r>
      <w:r>
        <w:rPr>
          <w:rFonts w:ascii="Cambria" w:hAnsi="Cambria"/>
          <w:i/>
        </w:rPr>
        <w:t xml:space="preserve">Pieris </w:t>
      </w:r>
      <w:r>
        <w:rPr>
          <w:rFonts w:ascii="Cambria" w:hAnsi="Cambria"/>
        </w:rPr>
        <w:t xml:space="preserve">species and wood rose). The host range for </w:t>
      </w:r>
      <w:r>
        <w:rPr>
          <w:rFonts w:ascii="Cambria" w:hAnsi="Cambria"/>
          <w:i/>
        </w:rPr>
        <w:lastRenderedPageBreak/>
        <w:t xml:space="preserve">P. kernoviae </w:t>
      </w:r>
      <w:r>
        <w:rPr>
          <w:rFonts w:ascii="Cambria" w:hAnsi="Cambria"/>
        </w:rPr>
        <w:t xml:space="preserve">is less well known than for </w:t>
      </w:r>
      <w:r>
        <w:rPr>
          <w:rFonts w:ascii="Cambria" w:hAnsi="Cambria"/>
          <w:i/>
        </w:rPr>
        <w:t>P. ramorum</w:t>
      </w:r>
      <w:r>
        <w:rPr>
          <w:rFonts w:ascii="Cambria" w:hAnsi="Cambria"/>
        </w:rPr>
        <w:t xml:space="preserve">; however, </w:t>
      </w:r>
      <w:r>
        <w:rPr>
          <w:rFonts w:ascii="Cambria" w:hAnsi="Cambria"/>
          <w:i/>
        </w:rPr>
        <w:t xml:space="preserve">P. kernoviae </w:t>
      </w:r>
      <w:r>
        <w:rPr>
          <w:rFonts w:ascii="Cambria" w:hAnsi="Cambria"/>
        </w:rPr>
        <w:t>is more aggressive on beech tree stems (</w:t>
      </w:r>
      <w:r>
        <w:rPr>
          <w:rFonts w:ascii="Cambria" w:hAnsi="Cambria"/>
          <w:i/>
        </w:rPr>
        <w:t>Fagus sylvatica</w:t>
      </w:r>
      <w:r>
        <w:rPr>
          <w:rFonts w:ascii="Cambria" w:hAnsi="Cambria"/>
        </w:rPr>
        <w:t>) and the foliage of tulip trees (</w:t>
      </w:r>
      <w:r>
        <w:rPr>
          <w:rFonts w:ascii="Cambria" w:hAnsi="Cambria"/>
          <w:i/>
        </w:rPr>
        <w:t>Liriodendron tulipifera</w:t>
      </w:r>
      <w:r>
        <w:rPr>
          <w:rFonts w:ascii="Cambria" w:hAnsi="Cambria"/>
        </w:rPr>
        <w:t xml:space="preserve">) (Brasier et al. 2006). In addition, </w:t>
      </w:r>
      <w:r>
        <w:rPr>
          <w:rStyle w:val="Emphasis"/>
          <w:rFonts w:ascii="Cambria" w:hAnsi="Cambria"/>
        </w:rPr>
        <w:t>P. kernoviae</w:t>
      </w:r>
      <w:r>
        <w:rPr>
          <w:rFonts w:ascii="Cambria" w:hAnsi="Cambria"/>
        </w:rPr>
        <w:t xml:space="preserve"> is considered more pathogenic to </w:t>
      </w:r>
      <w:r>
        <w:rPr>
          <w:rFonts w:ascii="Cambria" w:hAnsi="Cambria"/>
          <w:i/>
          <w:iCs/>
        </w:rPr>
        <w:t xml:space="preserve">Rhododendron </w:t>
      </w:r>
      <w:r>
        <w:rPr>
          <w:rFonts w:ascii="Cambria" w:hAnsi="Cambria"/>
          <w:iCs/>
        </w:rPr>
        <w:t>species</w:t>
      </w:r>
      <w:r>
        <w:rPr>
          <w:rFonts w:ascii="Cambria" w:hAnsi="Cambria"/>
        </w:rPr>
        <w:t xml:space="preserve"> than </w:t>
      </w:r>
      <w:r>
        <w:rPr>
          <w:rStyle w:val="Emphasis"/>
          <w:rFonts w:ascii="Cambria" w:hAnsi="Cambria"/>
        </w:rPr>
        <w:t>P. ramorum</w:t>
      </w:r>
      <w:r>
        <w:rPr>
          <w:rFonts w:ascii="Cambria" w:hAnsi="Cambria"/>
        </w:rPr>
        <w:t xml:space="preserve"> and is capable of causing serious damage to </w:t>
      </w:r>
      <w:r>
        <w:rPr>
          <w:rFonts w:ascii="Cambria" w:hAnsi="Cambria"/>
          <w:i/>
          <w:iCs/>
        </w:rPr>
        <w:t xml:space="preserve">Fagus sylvatica </w:t>
      </w:r>
      <w:r>
        <w:rPr>
          <w:rFonts w:ascii="Cambria" w:hAnsi="Cambria"/>
        </w:rPr>
        <w:t xml:space="preserve">(NAPPO 2006). Therefore, </w:t>
      </w:r>
      <w:r>
        <w:rPr>
          <w:rFonts w:ascii="Cambria" w:hAnsi="Cambria"/>
          <w:i/>
        </w:rPr>
        <w:t xml:space="preserve">P. kernoviae </w:t>
      </w:r>
      <w:r>
        <w:rPr>
          <w:rFonts w:ascii="Cambria" w:hAnsi="Cambria"/>
        </w:rPr>
        <w:t xml:space="preserve">may be more of a specific threat to some species than </w:t>
      </w:r>
      <w:r>
        <w:rPr>
          <w:rFonts w:ascii="Cambria" w:hAnsi="Cambria"/>
          <w:i/>
        </w:rPr>
        <w:t xml:space="preserve">P. ramorum </w:t>
      </w:r>
      <w:r>
        <w:rPr>
          <w:rFonts w:ascii="Cambria" w:hAnsi="Cambria"/>
        </w:rPr>
        <w:t>(Widmer 2010).</w:t>
      </w:r>
    </w:p>
    <w:p w:rsidR="00C74066" w:rsidRDefault="00F10705">
      <w:pPr>
        <w:pStyle w:val="Heading2"/>
        <w:numPr>
          <w:ilvl w:val="1"/>
          <w:numId w:val="21"/>
        </w:numPr>
        <w:tabs>
          <w:tab w:val="clear" w:pos="576"/>
        </w:tabs>
        <w:spacing w:before="200" w:after="120"/>
        <w:ind w:left="357" w:hanging="357"/>
        <w:rPr>
          <w:rFonts w:eastAsiaTheme="majorEastAsia" w:cstheme="majorBidi"/>
          <w:color w:val="773141"/>
          <w:sz w:val="28"/>
        </w:rPr>
      </w:pPr>
      <w:bookmarkStart w:id="122" w:name="_Toc434247474"/>
      <w:r>
        <w:rPr>
          <w:rFonts w:eastAsiaTheme="majorEastAsia" w:cstheme="majorBidi"/>
          <w:color w:val="773141"/>
          <w:sz w:val="28"/>
        </w:rPr>
        <w:t xml:space="preserve">Spread of the </w:t>
      </w:r>
      <w:r>
        <w:rPr>
          <w:rFonts w:eastAsiaTheme="majorEastAsia" w:cstheme="majorBidi"/>
          <w:i/>
          <w:color w:val="773141"/>
          <w:sz w:val="28"/>
        </w:rPr>
        <w:t>Phytophthora</w:t>
      </w:r>
      <w:r>
        <w:rPr>
          <w:rFonts w:eastAsiaTheme="majorEastAsia" w:cstheme="majorBidi"/>
          <w:color w:val="773141"/>
          <w:sz w:val="28"/>
        </w:rPr>
        <w:t xml:space="preserve"> species</w:t>
      </w:r>
      <w:bookmarkEnd w:id="122"/>
    </w:p>
    <w:p w:rsidR="00C74066" w:rsidRDefault="00F10705">
      <w:pPr>
        <w:autoSpaceDE w:val="0"/>
        <w:autoSpaceDN w:val="0"/>
        <w:adjustRightInd w:val="0"/>
        <w:spacing w:before="200"/>
        <w:rPr>
          <w:rFonts w:ascii="Cambria" w:hAnsi="Cambria"/>
        </w:rPr>
      </w:pPr>
      <w:r>
        <w:rPr>
          <w:rFonts w:ascii="Cambria" w:hAnsi="Cambria"/>
          <w:i/>
          <w:iCs/>
        </w:rPr>
        <w:t xml:space="preserve">Phytophthora </w:t>
      </w:r>
      <w:r>
        <w:rPr>
          <w:rFonts w:ascii="Cambria" w:hAnsi="Cambria"/>
        </w:rPr>
        <w:t xml:space="preserve">species are capable of natural spread in the ecosystem and through human activities. </w:t>
      </w:r>
      <w:r>
        <w:rPr>
          <w:rFonts w:ascii="Cambria" w:hAnsi="Cambria"/>
          <w:i/>
          <w:iCs/>
        </w:rPr>
        <w:t xml:space="preserve">Phytophthora ramorum </w:t>
      </w:r>
      <w:r>
        <w:rPr>
          <w:rFonts w:ascii="Cambria" w:hAnsi="Cambria"/>
        </w:rPr>
        <w:t xml:space="preserve">has been found in water, which can lead to plant infection (Tjosvold </w:t>
      </w:r>
      <w:r>
        <w:rPr>
          <w:rFonts w:ascii="Cambria" w:hAnsi="Cambria"/>
          <w:iCs/>
        </w:rPr>
        <w:t>et al</w:t>
      </w:r>
      <w:r w:rsidR="009F7A4C">
        <w:rPr>
          <w:rFonts w:ascii="Cambria" w:hAnsi="Cambria"/>
        </w:rPr>
        <w:t>. 2009)</w:t>
      </w:r>
      <w:r>
        <w:rPr>
          <w:rFonts w:ascii="Cambria" w:hAnsi="Cambria"/>
        </w:rPr>
        <w:t xml:space="preserve">. This fungus spreads locally through rain-splash of sporangia formed on the foliage of certain hosts; for example, </w:t>
      </w:r>
      <w:r>
        <w:rPr>
          <w:rFonts w:ascii="Cambria" w:hAnsi="Cambria"/>
          <w:i/>
          <w:iCs/>
        </w:rPr>
        <w:t>Larix kaempferi</w:t>
      </w:r>
      <w:r>
        <w:rPr>
          <w:rFonts w:ascii="Cambria" w:hAnsi="Cambria"/>
        </w:rPr>
        <w:t xml:space="preserve">, </w:t>
      </w:r>
      <w:r>
        <w:rPr>
          <w:rFonts w:ascii="Cambria" w:hAnsi="Cambria"/>
          <w:i/>
          <w:iCs/>
        </w:rPr>
        <w:t>Rhododendron ponticum</w:t>
      </w:r>
      <w:r>
        <w:rPr>
          <w:rFonts w:ascii="Cambria" w:hAnsi="Cambria"/>
        </w:rPr>
        <w:t xml:space="preserve">, </w:t>
      </w:r>
      <w:r>
        <w:rPr>
          <w:rFonts w:ascii="Cambria" w:hAnsi="Cambria"/>
          <w:i/>
          <w:iCs/>
        </w:rPr>
        <w:t>Umbellularia californica</w:t>
      </w:r>
      <w:r>
        <w:rPr>
          <w:rFonts w:ascii="Cambria" w:hAnsi="Cambria"/>
        </w:rPr>
        <w:t xml:space="preserve">, or on twigs of </w:t>
      </w:r>
      <w:r>
        <w:rPr>
          <w:rFonts w:ascii="Cambria" w:hAnsi="Cambria"/>
          <w:i/>
          <w:iCs/>
        </w:rPr>
        <w:t>Lithocarpus densiflorus</w:t>
      </w:r>
      <w:r>
        <w:rPr>
          <w:rFonts w:ascii="Cambria" w:hAnsi="Cambria"/>
        </w:rPr>
        <w:t xml:space="preserve">. Long distance aerial dispersal of sporangia may occur during storms (Hansen </w:t>
      </w:r>
      <w:r>
        <w:rPr>
          <w:rFonts w:ascii="Cambria" w:hAnsi="Cambria"/>
          <w:iCs/>
        </w:rPr>
        <w:t>et al</w:t>
      </w:r>
      <w:r>
        <w:rPr>
          <w:rFonts w:ascii="Cambria" w:hAnsi="Cambria"/>
        </w:rPr>
        <w:t xml:space="preserve">. 2008); however, sporangia generally do not survive long distance transport due to desiccation (Ristaino &amp; Gumpertz 2000) and it is unlikely that </w:t>
      </w:r>
      <w:r>
        <w:rPr>
          <w:rFonts w:ascii="Cambria" w:hAnsi="Cambria"/>
          <w:i/>
          <w:iCs/>
        </w:rPr>
        <w:t xml:space="preserve">Phytophthora </w:t>
      </w:r>
      <w:r>
        <w:rPr>
          <w:rFonts w:ascii="Cambria" w:hAnsi="Cambria"/>
        </w:rPr>
        <w:t xml:space="preserve">species will spread to other areas through this mechanism. Therefore, long distance spread will most likely be through human mediated transport of live plant material and/or infested soil (Widmer 2010). </w:t>
      </w:r>
      <w:r>
        <w:rPr>
          <w:rFonts w:ascii="Cambria" w:hAnsi="Cambria"/>
          <w:i/>
          <w:iCs/>
        </w:rPr>
        <w:t>Phytophthora kernoviae</w:t>
      </w:r>
      <w:r>
        <w:rPr>
          <w:rFonts w:ascii="Cambria" w:hAnsi="Cambria"/>
        </w:rPr>
        <w:t xml:space="preserve"> is not known to produce chlamydospores; therefore, the propagules most likely involved in soil infestation will be oospores (Widmer 2010).</w:t>
      </w:r>
    </w:p>
    <w:p w:rsidR="00C74066" w:rsidRDefault="00F10705">
      <w:pPr>
        <w:pStyle w:val="Heading3"/>
        <w:keepLines/>
        <w:numPr>
          <w:ilvl w:val="2"/>
          <w:numId w:val="21"/>
        </w:numPr>
        <w:tabs>
          <w:tab w:val="clear" w:pos="720"/>
        </w:tabs>
        <w:spacing w:before="120" w:after="200"/>
        <w:ind w:left="357" w:hanging="357"/>
        <w:rPr>
          <w:rFonts w:ascii="Calibri" w:hAnsi="Calibri" w:cstheme="minorBidi"/>
          <w:sz w:val="24"/>
          <w:szCs w:val="22"/>
        </w:rPr>
      </w:pPr>
      <w:r>
        <w:rPr>
          <w:rFonts w:ascii="Calibri" w:hAnsi="Calibri" w:cstheme="minorBidi"/>
          <w:sz w:val="24"/>
          <w:szCs w:val="22"/>
        </w:rPr>
        <w:t>Spread in natural ecosystems</w:t>
      </w:r>
    </w:p>
    <w:p w:rsidR="00C74066" w:rsidRDefault="00F10705">
      <w:pPr>
        <w:autoSpaceDE w:val="0"/>
        <w:autoSpaceDN w:val="0"/>
        <w:adjustRightInd w:val="0"/>
        <w:spacing w:before="200"/>
        <w:rPr>
          <w:rFonts w:ascii="Cambria" w:hAnsi="Cambria"/>
        </w:rPr>
      </w:pPr>
      <w:r>
        <w:rPr>
          <w:rFonts w:ascii="Cambria" w:hAnsi="Cambria"/>
          <w:i/>
          <w:iCs/>
        </w:rPr>
        <w:t>Phytophthora kernoviae</w:t>
      </w:r>
      <w:r>
        <w:rPr>
          <w:rFonts w:ascii="Cambria" w:hAnsi="Cambria"/>
        </w:rPr>
        <w:t xml:space="preserve">, </w:t>
      </w:r>
      <w:r>
        <w:rPr>
          <w:rFonts w:ascii="Cambria" w:hAnsi="Cambria"/>
          <w:i/>
          <w:iCs/>
        </w:rPr>
        <w:t>P. nemorosa</w:t>
      </w:r>
      <w:r>
        <w:rPr>
          <w:rFonts w:ascii="Cambria" w:hAnsi="Cambria"/>
        </w:rPr>
        <w:t>,</w:t>
      </w:r>
      <w:r>
        <w:rPr>
          <w:rFonts w:ascii="Cambria" w:hAnsi="Cambria"/>
          <w:i/>
          <w:iCs/>
        </w:rPr>
        <w:t xml:space="preserve"> P. pseudosyringae </w:t>
      </w:r>
      <w:r>
        <w:rPr>
          <w:rFonts w:ascii="Cambria" w:hAnsi="Cambria"/>
        </w:rPr>
        <w:t xml:space="preserve">and </w:t>
      </w:r>
      <w:r>
        <w:rPr>
          <w:rFonts w:ascii="Cambria" w:hAnsi="Cambria"/>
          <w:i/>
          <w:iCs/>
        </w:rPr>
        <w:t xml:space="preserve">P. ramorum </w:t>
      </w:r>
      <w:r>
        <w:rPr>
          <w:rFonts w:ascii="Cambria" w:hAnsi="Cambria"/>
        </w:rPr>
        <w:t xml:space="preserve">have a significant aerial component of their life cycle (Davidson </w:t>
      </w:r>
      <w:r>
        <w:rPr>
          <w:rFonts w:ascii="Cambria" w:hAnsi="Cambria"/>
          <w:iCs/>
        </w:rPr>
        <w:t>et al</w:t>
      </w:r>
      <w:r>
        <w:rPr>
          <w:rFonts w:ascii="Cambria" w:hAnsi="Cambria"/>
        </w:rPr>
        <w:t xml:space="preserve">. 2005; 2008; Martin </w:t>
      </w:r>
      <w:r>
        <w:rPr>
          <w:rFonts w:ascii="Cambria" w:hAnsi="Cambria"/>
          <w:iCs/>
        </w:rPr>
        <w:t>et al</w:t>
      </w:r>
      <w:r>
        <w:rPr>
          <w:rFonts w:ascii="Cambria" w:hAnsi="Cambria"/>
        </w:rPr>
        <w:t xml:space="preserve">. 2012). These species spread through a cycle consisting of the production of asexual spores (sporangia and zoospores), movement of these spores and infection of new hosts. The new infection can then serve as another source of spores to begin the cycle again (Erwin &amp; Ribeiro 1996; Werres </w:t>
      </w:r>
      <w:r>
        <w:rPr>
          <w:rFonts w:ascii="Cambria" w:hAnsi="Cambria"/>
          <w:iCs/>
        </w:rPr>
        <w:t>et al</w:t>
      </w:r>
      <w:r>
        <w:rPr>
          <w:rFonts w:ascii="Cambria" w:hAnsi="Cambria"/>
        </w:rPr>
        <w:t xml:space="preserve">. 2001; Davidson </w:t>
      </w:r>
      <w:r>
        <w:rPr>
          <w:rFonts w:ascii="Cambria" w:hAnsi="Cambria"/>
          <w:iCs/>
        </w:rPr>
        <w:t>et al</w:t>
      </w:r>
      <w:r>
        <w:rPr>
          <w:rFonts w:ascii="Cambria" w:hAnsi="Cambria"/>
        </w:rPr>
        <w:t xml:space="preserve">. 2005). Appropriate environmental conditions (temperature and relative humidity), as well as survival of the pathogen (either as spores or mycelia on a foliar host or in the soil), are necessary for each step of the cycle. </w:t>
      </w:r>
    </w:p>
    <w:p w:rsidR="00C74066" w:rsidRDefault="00F10705">
      <w:pPr>
        <w:autoSpaceDE w:val="0"/>
        <w:autoSpaceDN w:val="0"/>
        <w:adjustRightInd w:val="0"/>
        <w:spacing w:before="200"/>
        <w:rPr>
          <w:rFonts w:ascii="Cambria" w:hAnsi="Cambria"/>
        </w:rPr>
      </w:pPr>
      <w:r>
        <w:rPr>
          <w:rFonts w:ascii="Cambria" w:hAnsi="Cambria"/>
        </w:rPr>
        <w:t xml:space="preserve">The first step in the life cycle of aerially dispersed </w:t>
      </w:r>
      <w:r>
        <w:rPr>
          <w:rFonts w:ascii="Cambria" w:hAnsi="Cambria"/>
          <w:i/>
          <w:iCs/>
        </w:rPr>
        <w:t xml:space="preserve">Phytophthora </w:t>
      </w:r>
      <w:r>
        <w:rPr>
          <w:rFonts w:ascii="Cambria" w:hAnsi="Cambria"/>
        </w:rPr>
        <w:t xml:space="preserve">species is the production of infective spores on or within living plant tissue (foliage, green stems and woody stems). Foliar hosts (bay laurel, Japanese larch and </w:t>
      </w:r>
      <w:r>
        <w:rPr>
          <w:rFonts w:ascii="Cambria" w:hAnsi="Cambria"/>
          <w:i/>
          <w:iCs/>
        </w:rPr>
        <w:t>Rhododendron</w:t>
      </w:r>
      <w:r>
        <w:rPr>
          <w:rFonts w:ascii="Cambria" w:hAnsi="Cambria"/>
        </w:rPr>
        <w:t xml:space="preserve"> species) are an important source of inoculum for initiating plant infection. </w:t>
      </w:r>
      <w:r>
        <w:rPr>
          <w:rFonts w:ascii="Cambria" w:hAnsi="Cambria"/>
          <w:i/>
          <w:iCs/>
        </w:rPr>
        <w:t xml:space="preserve">Phytophthora </w:t>
      </w:r>
      <w:r>
        <w:rPr>
          <w:rFonts w:ascii="Cambria" w:hAnsi="Cambria"/>
        </w:rPr>
        <w:t xml:space="preserve">species produce deciduous sporangia (involved in pathogen dispersal) and chlamydospores on some foliar hosts (involved in survival during adverse conditions) (Figure 1). </w:t>
      </w:r>
    </w:p>
    <w:p w:rsidR="00C74066" w:rsidRDefault="00F10705">
      <w:pPr>
        <w:autoSpaceDE w:val="0"/>
        <w:autoSpaceDN w:val="0"/>
        <w:adjustRightInd w:val="0"/>
        <w:spacing w:before="200"/>
        <w:rPr>
          <w:rFonts w:ascii="Cambria" w:hAnsi="Cambria"/>
          <w:iCs/>
        </w:rPr>
      </w:pPr>
      <w:r>
        <w:rPr>
          <w:rFonts w:ascii="Cambria" w:hAnsi="Cambria"/>
        </w:rPr>
        <w:t xml:space="preserve">In addition, chlamydospores are produced asexually in infected leaves, shoots, bark, phloem and xylem tissues (Parke </w:t>
      </w:r>
      <w:r>
        <w:rPr>
          <w:rFonts w:ascii="Cambria" w:hAnsi="Cambria"/>
          <w:iCs/>
        </w:rPr>
        <w:t>et al.</w:t>
      </w:r>
      <w:r>
        <w:rPr>
          <w:rFonts w:ascii="Cambria" w:hAnsi="Cambria"/>
          <w:i/>
          <w:iCs/>
        </w:rPr>
        <w:t xml:space="preserve"> </w:t>
      </w:r>
      <w:r>
        <w:rPr>
          <w:rFonts w:ascii="Cambria" w:hAnsi="Cambria"/>
        </w:rPr>
        <w:t xml:space="preserve">2008), and have a major role in fungus survival through summer in a dormant or relatively inactive state (Werres </w:t>
      </w:r>
      <w:r>
        <w:rPr>
          <w:rFonts w:ascii="Cambria" w:hAnsi="Cambria"/>
          <w:iCs/>
        </w:rPr>
        <w:t>et al</w:t>
      </w:r>
      <w:r>
        <w:rPr>
          <w:rFonts w:ascii="Cambria" w:hAnsi="Cambria"/>
        </w:rPr>
        <w:t xml:space="preserve">. 2001; Davidson </w:t>
      </w:r>
      <w:r>
        <w:rPr>
          <w:rFonts w:ascii="Cambria" w:hAnsi="Cambria"/>
          <w:iCs/>
        </w:rPr>
        <w:t>et al</w:t>
      </w:r>
      <w:r>
        <w:rPr>
          <w:rFonts w:ascii="Cambria" w:hAnsi="Cambria"/>
        </w:rPr>
        <w:t xml:space="preserve">. 2005). The second step in the life cycle is the dispersal of pathogen propagules. Sporangia and zoospores are dispersed under wet conditions when temperatures are suitable. The final step in the reproductive cycle involves successful infection of new host tissue and reaching a susceptible host is essential. Studies indicate that the optimal infection of bay laurel leaves by zoospores of </w:t>
      </w:r>
      <w:r>
        <w:rPr>
          <w:rFonts w:ascii="Cambria" w:hAnsi="Cambria"/>
          <w:i/>
          <w:iCs/>
        </w:rPr>
        <w:t xml:space="preserve">P. ramorum </w:t>
      </w:r>
      <w:r>
        <w:rPr>
          <w:rFonts w:ascii="Cambria" w:hAnsi="Cambria"/>
        </w:rPr>
        <w:t>occurs at 20 °C.</w:t>
      </w:r>
    </w:p>
    <w:p w:rsidR="00C74066" w:rsidRDefault="00F10705">
      <w:pPr>
        <w:autoSpaceDE w:val="0"/>
        <w:autoSpaceDN w:val="0"/>
        <w:adjustRightInd w:val="0"/>
        <w:spacing w:before="200"/>
        <w:rPr>
          <w:rFonts w:ascii="Cambria" w:hAnsi="Cambria"/>
        </w:rPr>
      </w:pPr>
      <w:r>
        <w:rPr>
          <w:rFonts w:ascii="Cambria" w:hAnsi="Cambria"/>
          <w:i/>
          <w:iCs/>
        </w:rPr>
        <w:lastRenderedPageBreak/>
        <w:t xml:space="preserve">Phytophthora ramorum </w:t>
      </w:r>
      <w:r>
        <w:rPr>
          <w:rFonts w:ascii="Cambria" w:hAnsi="Cambria"/>
        </w:rPr>
        <w:t xml:space="preserve">requires a susceptible foliar host that supports high levels of sporulation (for example, </w:t>
      </w:r>
      <w:r w:rsidR="006934F1">
        <w:rPr>
          <w:rFonts w:ascii="Cambria" w:hAnsi="Cambria"/>
          <w:i/>
          <w:iCs/>
        </w:rPr>
        <w:t>Arbutus unedo</w:t>
      </w:r>
      <w:r w:rsidR="006934F1">
        <w:rPr>
          <w:rFonts w:ascii="Cambria" w:hAnsi="Cambria"/>
          <w:iCs/>
        </w:rPr>
        <w:t>,</w:t>
      </w:r>
      <w:r w:rsidR="006934F1">
        <w:rPr>
          <w:rFonts w:ascii="Cambria" w:hAnsi="Cambria"/>
          <w:i/>
          <w:iCs/>
        </w:rPr>
        <w:t xml:space="preserve"> Quercus ilex</w:t>
      </w:r>
      <w:r w:rsidR="006934F1">
        <w:rPr>
          <w:rFonts w:ascii="Cambria" w:hAnsi="Cambria"/>
        </w:rPr>
        <w:t xml:space="preserve">, </w:t>
      </w:r>
      <w:r w:rsidR="006934F1">
        <w:rPr>
          <w:rFonts w:ascii="Cambria" w:hAnsi="Cambria"/>
          <w:i/>
          <w:iCs/>
        </w:rPr>
        <w:t>Rhamnus alaternus</w:t>
      </w:r>
      <w:r w:rsidR="006934F1">
        <w:rPr>
          <w:rFonts w:ascii="Cambria" w:hAnsi="Cambria"/>
        </w:rPr>
        <w:t xml:space="preserve">, </w:t>
      </w:r>
      <w:r>
        <w:rPr>
          <w:rFonts w:ascii="Cambria" w:hAnsi="Cambria"/>
          <w:i/>
          <w:iCs/>
        </w:rPr>
        <w:t>Rhododendron ponticum</w:t>
      </w:r>
      <w:r>
        <w:rPr>
          <w:rFonts w:ascii="Cambria" w:hAnsi="Cambria"/>
        </w:rPr>
        <w:t xml:space="preserve">, </w:t>
      </w:r>
      <w:r>
        <w:rPr>
          <w:rFonts w:ascii="Cambria" w:hAnsi="Cambria"/>
          <w:i/>
          <w:iCs/>
        </w:rPr>
        <w:t xml:space="preserve">Vaccinium </w:t>
      </w:r>
      <w:r>
        <w:rPr>
          <w:rFonts w:ascii="Cambria" w:hAnsi="Cambria"/>
        </w:rPr>
        <w:t>species</w:t>
      </w:r>
      <w:r w:rsidR="006934F1">
        <w:rPr>
          <w:rFonts w:ascii="Cambria" w:hAnsi="Cambria"/>
        </w:rPr>
        <w:t xml:space="preserve"> and</w:t>
      </w:r>
      <w:r>
        <w:rPr>
          <w:rFonts w:ascii="Cambria" w:hAnsi="Cambria"/>
        </w:rPr>
        <w:t xml:space="preserve"> </w:t>
      </w:r>
      <w:r>
        <w:rPr>
          <w:rFonts w:ascii="Cambria" w:hAnsi="Cambria"/>
          <w:i/>
          <w:iCs/>
        </w:rPr>
        <w:t>Viburnum tinus</w:t>
      </w:r>
      <w:r>
        <w:rPr>
          <w:rFonts w:ascii="Cambria" w:hAnsi="Cambria"/>
        </w:rPr>
        <w:t xml:space="preserve">). Sporulation occurs on infected shoots and foliage but not on bleeding stem cankers; therefore, foliar hosts play an important role in disease epidemiology (Denman </w:t>
      </w:r>
      <w:r>
        <w:rPr>
          <w:rFonts w:ascii="Cambria" w:hAnsi="Cambria"/>
          <w:iCs/>
        </w:rPr>
        <w:t>et al</w:t>
      </w:r>
      <w:r>
        <w:rPr>
          <w:rFonts w:ascii="Cambria" w:hAnsi="Cambria"/>
        </w:rPr>
        <w:t>. 2008). Under wet and som</w:t>
      </w:r>
      <w:r w:rsidR="00981D6B">
        <w:rPr>
          <w:rFonts w:ascii="Cambria" w:hAnsi="Cambria"/>
        </w:rPr>
        <w:t>ewhat warm conditions, up to 17 </w:t>
      </w:r>
      <w:r>
        <w:rPr>
          <w:rFonts w:ascii="Cambria" w:hAnsi="Cambria"/>
        </w:rPr>
        <w:t xml:space="preserve">000 spores per lesion are produced on infected leaves (Davidson </w:t>
      </w:r>
      <w:r>
        <w:rPr>
          <w:rFonts w:ascii="Cambria" w:hAnsi="Cambria"/>
          <w:iCs/>
        </w:rPr>
        <w:t>et al</w:t>
      </w:r>
      <w:r>
        <w:rPr>
          <w:rFonts w:ascii="Cambria" w:hAnsi="Cambria"/>
        </w:rPr>
        <w:t xml:space="preserve">. 2008). Susceptible foliar hosts and suitable climatic conditions </w:t>
      </w:r>
      <w:r w:rsidR="00C94339">
        <w:rPr>
          <w:rFonts w:ascii="Cambria" w:hAnsi="Cambria"/>
        </w:rPr>
        <w:t xml:space="preserve">therefore </w:t>
      </w:r>
      <w:r>
        <w:rPr>
          <w:rFonts w:ascii="Cambria" w:hAnsi="Cambria"/>
        </w:rPr>
        <w:t xml:space="preserve">play a key role in the spread of </w:t>
      </w:r>
      <w:r>
        <w:rPr>
          <w:rFonts w:ascii="Cambria" w:hAnsi="Cambria"/>
          <w:i/>
          <w:iCs/>
        </w:rPr>
        <w:t xml:space="preserve">P. ramorum </w:t>
      </w:r>
      <w:r>
        <w:rPr>
          <w:rFonts w:ascii="Cambria" w:hAnsi="Cambria"/>
        </w:rPr>
        <w:t xml:space="preserve">into natural and semi-natural environments (Denman </w:t>
      </w:r>
      <w:r>
        <w:rPr>
          <w:rFonts w:ascii="Cambria" w:hAnsi="Cambria"/>
          <w:iCs/>
        </w:rPr>
        <w:t>et al</w:t>
      </w:r>
      <w:r>
        <w:rPr>
          <w:rFonts w:ascii="Cambria" w:hAnsi="Cambria"/>
        </w:rPr>
        <w:t>. 2006; Webber 2008).</w:t>
      </w:r>
    </w:p>
    <w:p w:rsidR="00C74066" w:rsidRDefault="00F10705">
      <w:pPr>
        <w:pStyle w:val="Caption"/>
        <w:keepNext w:val="0"/>
        <w:rPr>
          <w:rFonts w:asciiTheme="majorHAnsi" w:eastAsiaTheme="majorEastAsia" w:hAnsiTheme="majorHAnsi" w:cstheme="majorBidi"/>
          <w:color w:val="595959" w:themeColor="text1" w:themeTint="A6"/>
          <w:sz w:val="20"/>
        </w:rPr>
      </w:pPr>
      <w:bookmarkStart w:id="123" w:name="_Toc356671315"/>
      <w:bookmarkStart w:id="124" w:name="_Toc386638138"/>
      <w:bookmarkStart w:id="125" w:name="_Toc386710533"/>
      <w:bookmarkStart w:id="126" w:name="_Toc388882528"/>
      <w:bookmarkStart w:id="127" w:name="_Toc388949924"/>
      <w:bookmarkStart w:id="128" w:name="_Toc392494637"/>
      <w:bookmarkStart w:id="129" w:name="_Toc392503880"/>
      <w:bookmarkStart w:id="130" w:name="_Toc409685807"/>
      <w:bookmarkStart w:id="131" w:name="_Toc412625746"/>
      <w:bookmarkStart w:id="132" w:name="_Toc428793973"/>
      <w:bookmarkStart w:id="133" w:name="_Toc429406124"/>
      <w:bookmarkStart w:id="134" w:name="_Toc429406252"/>
      <w:bookmarkStart w:id="135" w:name="_Toc429469963"/>
      <w:bookmarkStart w:id="136" w:name="_Toc430268656"/>
      <w:bookmarkStart w:id="137" w:name="_Toc433118112"/>
      <w:bookmarkStart w:id="138" w:name="_Toc433979959"/>
      <w:bookmarkStart w:id="139" w:name="_Toc434241813"/>
      <w:bookmarkStart w:id="140" w:name="_Toc434244226"/>
      <w:bookmarkStart w:id="141" w:name="_Toc434244753"/>
      <w:bookmarkStart w:id="142" w:name="_Toc434244764"/>
      <w:r>
        <w:rPr>
          <w:rFonts w:asciiTheme="majorHAnsi" w:eastAsiaTheme="majorEastAsia" w:hAnsiTheme="majorHAnsi" w:cstheme="majorBidi"/>
          <w:color w:val="595959" w:themeColor="text1" w:themeTint="A6"/>
          <w:sz w:val="20"/>
        </w:rPr>
        <w:t xml:space="preserve">Figure </w:t>
      </w:r>
      <w:r w:rsidR="00C57DCF">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Figure \* ARABIC </w:instrText>
      </w:r>
      <w:r w:rsidR="00C57DCF">
        <w:rPr>
          <w:rFonts w:asciiTheme="majorHAnsi" w:eastAsiaTheme="majorEastAsia" w:hAnsiTheme="majorHAnsi" w:cstheme="majorBidi"/>
          <w:color w:val="595959" w:themeColor="text1" w:themeTint="A6"/>
          <w:sz w:val="20"/>
        </w:rPr>
        <w:fldChar w:fldCharType="separate"/>
      </w:r>
      <w:r w:rsidR="00AF2121">
        <w:rPr>
          <w:rFonts w:asciiTheme="majorHAnsi" w:eastAsiaTheme="majorEastAsia" w:hAnsiTheme="majorHAnsi" w:cstheme="majorBidi"/>
          <w:noProof/>
          <w:color w:val="595959" w:themeColor="text1" w:themeTint="A6"/>
          <w:sz w:val="20"/>
        </w:rPr>
        <w:t>1</w:t>
      </w:r>
      <w:r w:rsidR="00C57DCF">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The infection process of </w:t>
      </w:r>
      <w:r>
        <w:rPr>
          <w:rFonts w:asciiTheme="majorHAnsi" w:eastAsiaTheme="majorEastAsia" w:hAnsiTheme="majorHAnsi" w:cstheme="majorBidi"/>
          <w:i/>
          <w:color w:val="595959" w:themeColor="text1" w:themeTint="A6"/>
          <w:sz w:val="20"/>
        </w:rPr>
        <w:t>Phytophthora</w:t>
      </w:r>
      <w:r>
        <w:rPr>
          <w:rFonts w:asciiTheme="majorHAnsi" w:eastAsiaTheme="majorEastAsia" w:hAnsiTheme="majorHAnsi" w:cstheme="majorBidi"/>
          <w:color w:val="595959" w:themeColor="text1" w:themeTint="A6"/>
          <w:sz w:val="20"/>
        </w:rPr>
        <w:t xml:space="preserve"> species</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C74066" w:rsidRDefault="00C57DCF">
      <w:pPr>
        <w:autoSpaceDE w:val="0"/>
        <w:autoSpaceDN w:val="0"/>
        <w:adjustRightInd w:val="0"/>
        <w:spacing w:line="280" w:lineRule="atLeast"/>
        <w:jc w:val="center"/>
      </w:pPr>
      <w:r>
        <w:pict>
          <v:group id="_x0000_s1026" editas="canvas" style="width:446.85pt;height:171.4pt;mso-position-horizontal-relative:char;mso-position-vertical-relative:line" coordorigin="1643,10162" coordsize="7150,2742">
            <o:lock v:ext="edit" aspectratio="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27" type="#_x0000_t105" style="position:absolute;left:1643;top:10162;width:7150;height:2742" filled="f" stroked="f">
              <v:fill o:detectmouseclick="t"/>
              <v:path o:connecttype="none"/>
              <o:lock v:ext="edit" text="t"/>
            </v:shape>
            <v:oval id="_x0000_s1028" style="position:absolute;left:1986;top:10500;width:2368;height:685">
              <v:shadow on="t" opacity=".5" offset="-6pt,-6pt"/>
              <v:textbox style="mso-next-textbox:#_x0000_s1028">
                <w:txbxContent>
                  <w:p w:rsidR="007F6933" w:rsidRDefault="007F6933">
                    <w:pPr>
                      <w:rPr>
                        <w:rFonts w:asciiTheme="majorHAnsi" w:hAnsiTheme="majorHAnsi" w:cs="Verdana"/>
                        <w:b/>
                        <w:bCs/>
                        <w:sz w:val="18"/>
                        <w:szCs w:val="18"/>
                      </w:rPr>
                    </w:pPr>
                    <w:r>
                      <w:rPr>
                        <w:rFonts w:asciiTheme="majorHAnsi" w:hAnsiTheme="majorHAnsi" w:cs="Verdana"/>
                        <w:b/>
                        <w:bCs/>
                        <w:sz w:val="18"/>
                        <w:szCs w:val="18"/>
                      </w:rPr>
                      <w:t>Production of sexual/asexual spores</w:t>
                    </w:r>
                  </w:p>
                </w:txbxContent>
              </v:textbox>
            </v:oval>
            <v:shape id="_x0000_s1029" type="#_x0000_t105" style="position:absolute;left:4439;top:10306;width:1697;height:432"/>
            <v:oval id="_x0000_s1030" style="position:absolute;left:5946;top:10500;width:2468;height:685">
              <v:shadow on="t" opacity=".5" offset="6pt,-6pt"/>
              <v:textbox style="mso-next-textbox:#_x0000_s1030">
                <w:txbxContent>
                  <w:p w:rsidR="007F6933" w:rsidRDefault="007F6933">
                    <w:pPr>
                      <w:rPr>
                        <w:rFonts w:asciiTheme="majorHAnsi" w:hAnsiTheme="majorHAnsi" w:cs="Verdana"/>
                        <w:b/>
                        <w:bCs/>
                        <w:sz w:val="18"/>
                        <w:szCs w:val="18"/>
                      </w:rPr>
                    </w:pPr>
                    <w:r>
                      <w:rPr>
                        <w:rFonts w:asciiTheme="majorHAnsi" w:hAnsiTheme="majorHAnsi" w:cs="Verdana"/>
                        <w:b/>
                        <w:bCs/>
                        <w:sz w:val="18"/>
                        <w:szCs w:val="18"/>
                      </w:rPr>
                      <w:t>Movement of zoospores (wind, rain dispersal)</w:t>
                    </w:r>
                  </w:p>
                </w:txbxContent>
              </v:textbox>
            </v:oval>
            <v:oval id="_x0000_s1031" style="position:absolute;left:3712;top:12333;width:2955;height:416">
              <v:shadow on="t" opacity=".5" offset="6pt,6pt"/>
              <v:textbox style="mso-next-textbox:#_x0000_s1031">
                <w:txbxContent>
                  <w:p w:rsidR="007F6933" w:rsidRDefault="007F6933">
                    <w:pPr>
                      <w:jc w:val="center"/>
                      <w:rPr>
                        <w:rFonts w:asciiTheme="majorHAnsi" w:hAnsiTheme="majorHAnsi" w:cs="Verdana"/>
                        <w:b/>
                        <w:bCs/>
                        <w:sz w:val="18"/>
                        <w:szCs w:val="18"/>
                      </w:rPr>
                    </w:pPr>
                    <w:r>
                      <w:rPr>
                        <w:rFonts w:asciiTheme="majorHAnsi" w:hAnsiTheme="majorHAnsi" w:cs="Verdana"/>
                        <w:b/>
                        <w:bCs/>
                        <w:sz w:val="18"/>
                        <w:szCs w:val="18"/>
                      </w:rPr>
                      <w:t>Infection of new host tissue</w:t>
                    </w:r>
                  </w:p>
                </w:txbxContent>
              </v:textbox>
            </v:oval>
            <v:roundrect id="_x0000_s1032" style="position:absolute;left:3638;top:11473;width:3029;height:572" arcsize="10923f">
              <v:textbox style="mso-next-textbox:#_x0000_s1032">
                <w:txbxContent>
                  <w:p w:rsidR="007F6933" w:rsidRDefault="007F6933">
                    <w:pPr>
                      <w:jc w:val="center"/>
                      <w:rPr>
                        <w:rFonts w:asciiTheme="majorHAnsi" w:hAnsiTheme="majorHAnsi" w:cs="Verdana"/>
                        <w:b/>
                        <w:bCs/>
                        <w:sz w:val="18"/>
                        <w:szCs w:val="18"/>
                      </w:rPr>
                    </w:pPr>
                    <w:r>
                      <w:rPr>
                        <w:rFonts w:asciiTheme="majorHAnsi" w:hAnsiTheme="majorHAnsi" w:cs="Verdana"/>
                        <w:b/>
                        <w:bCs/>
                        <w:sz w:val="18"/>
                        <w:szCs w:val="18"/>
                      </w:rPr>
                      <w:t>Suitable environmental conditions and survival of the pathogen</w:t>
                    </w:r>
                  </w:p>
                </w:txbxContent>
              </v:textbox>
            </v:round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33" type="#_x0000_t103" style="position:absolute;left:7019;top:11548;width:1152;height:1244"/>
            <v:line id="_x0000_s1034" style="position:absolute" from="3638,11185" to="3830,11473">
              <v:stroke startarrow="block" endarrow="block"/>
            </v:line>
            <v:line id="_x0000_s1035" style="position:absolute;flip:x" from="6332,11185" to="6524,11473">
              <v:stroke startarrow="block" endarrow="block"/>
            </v:line>
            <v:line id="_x0000_s1036" style="position:absolute;flip:x y" from="5176,12045" to="5178,12333">
              <v:stroke startarrow="block" endarrow="block"/>
            </v:lin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37" type="#_x0000_t102" style="position:absolute;left:2141;top:11348;width:1258;height:1272;flip:y"/>
            <w10:wrap type="none"/>
            <w10:anchorlock/>
          </v:group>
        </w:pict>
      </w:r>
    </w:p>
    <w:p w:rsidR="00C74066" w:rsidRDefault="00F10705">
      <w:pPr>
        <w:autoSpaceDE w:val="0"/>
        <w:autoSpaceDN w:val="0"/>
        <w:adjustRightInd w:val="0"/>
        <w:spacing w:before="200"/>
        <w:rPr>
          <w:rFonts w:ascii="Cambria" w:hAnsi="Cambria"/>
        </w:rPr>
      </w:pPr>
      <w:r>
        <w:rPr>
          <w:rFonts w:ascii="Cambria" w:hAnsi="Cambria"/>
          <w:i/>
          <w:iCs/>
        </w:rPr>
        <w:t xml:space="preserve">Phytophthora ramorum </w:t>
      </w:r>
      <w:r>
        <w:rPr>
          <w:rFonts w:ascii="Cambria" w:hAnsi="Cambria"/>
        </w:rPr>
        <w:t xml:space="preserve">and </w:t>
      </w:r>
      <w:r>
        <w:rPr>
          <w:rFonts w:ascii="Cambria" w:hAnsi="Cambria"/>
          <w:i/>
          <w:iCs/>
        </w:rPr>
        <w:t xml:space="preserve">P. kernoviae </w:t>
      </w:r>
      <w:r>
        <w:rPr>
          <w:rFonts w:ascii="Cambria" w:hAnsi="Cambria"/>
          <w:iCs/>
        </w:rPr>
        <w:t xml:space="preserve">have been isolated </w:t>
      </w:r>
      <w:r>
        <w:rPr>
          <w:rFonts w:ascii="Cambria" w:hAnsi="Cambria"/>
        </w:rPr>
        <w:t xml:space="preserve">from asymptomatic roots of naturally infected </w:t>
      </w:r>
      <w:r>
        <w:rPr>
          <w:rFonts w:ascii="Cambria" w:hAnsi="Cambria"/>
          <w:i/>
          <w:iCs/>
        </w:rPr>
        <w:t>Rhododendron ponticum</w:t>
      </w:r>
      <w:r>
        <w:rPr>
          <w:rFonts w:ascii="Cambria" w:hAnsi="Cambria"/>
          <w:iCs/>
        </w:rPr>
        <w:t>,</w:t>
      </w:r>
      <w:r>
        <w:rPr>
          <w:rFonts w:ascii="Cambria" w:hAnsi="Cambria"/>
          <w:i/>
          <w:iCs/>
        </w:rPr>
        <w:t xml:space="preserve"> </w:t>
      </w:r>
      <w:r>
        <w:rPr>
          <w:rFonts w:ascii="Cambria" w:hAnsi="Cambria"/>
        </w:rPr>
        <w:t xml:space="preserve">suggesting that these pathogens have the ability to infect and colonize roots (Fichtner </w:t>
      </w:r>
      <w:r>
        <w:rPr>
          <w:rFonts w:ascii="Cambria" w:hAnsi="Cambria"/>
          <w:iCs/>
        </w:rPr>
        <w:t>et al</w:t>
      </w:r>
      <w:r w:rsidR="00C94339">
        <w:rPr>
          <w:rFonts w:ascii="Cambria" w:hAnsi="Cambria"/>
        </w:rPr>
        <w:t>. 2011). This wa</w:t>
      </w:r>
      <w:r>
        <w:rPr>
          <w:rFonts w:ascii="Cambria" w:hAnsi="Cambria"/>
        </w:rPr>
        <w:t xml:space="preserve">s the first report of root infections by </w:t>
      </w:r>
      <w:r>
        <w:rPr>
          <w:rFonts w:ascii="Cambria" w:hAnsi="Cambria"/>
          <w:i/>
          <w:iCs/>
        </w:rPr>
        <w:t xml:space="preserve">P. ramorum </w:t>
      </w:r>
      <w:r>
        <w:rPr>
          <w:rFonts w:ascii="Cambria" w:hAnsi="Cambria"/>
        </w:rPr>
        <w:t xml:space="preserve">and </w:t>
      </w:r>
      <w:r>
        <w:rPr>
          <w:rFonts w:ascii="Cambria" w:hAnsi="Cambria"/>
          <w:i/>
          <w:iCs/>
        </w:rPr>
        <w:t xml:space="preserve">P. kernoviae </w:t>
      </w:r>
      <w:r>
        <w:rPr>
          <w:rFonts w:ascii="Cambria" w:hAnsi="Cambria"/>
        </w:rPr>
        <w:t xml:space="preserve">on </w:t>
      </w:r>
      <w:r>
        <w:rPr>
          <w:rFonts w:ascii="Cambria" w:hAnsi="Cambria"/>
          <w:i/>
          <w:iCs/>
        </w:rPr>
        <w:t>R. ponticum</w:t>
      </w:r>
      <w:r>
        <w:rPr>
          <w:rFonts w:ascii="Cambria" w:hAnsi="Cambria"/>
        </w:rPr>
        <w:t xml:space="preserve">, and the first report of root infections of </w:t>
      </w:r>
      <w:r>
        <w:rPr>
          <w:rFonts w:ascii="Cambria" w:hAnsi="Cambria"/>
          <w:i/>
          <w:iCs/>
        </w:rPr>
        <w:t xml:space="preserve">P. kernoviae </w:t>
      </w:r>
      <w:r>
        <w:rPr>
          <w:rFonts w:ascii="Cambria" w:hAnsi="Cambria"/>
        </w:rPr>
        <w:t xml:space="preserve">on a host (Fichtner </w:t>
      </w:r>
      <w:r>
        <w:rPr>
          <w:rFonts w:ascii="Cambria" w:hAnsi="Cambria"/>
          <w:iCs/>
        </w:rPr>
        <w:t>et al</w:t>
      </w:r>
      <w:r>
        <w:rPr>
          <w:rFonts w:ascii="Cambria" w:hAnsi="Cambria"/>
        </w:rPr>
        <w:t xml:space="preserve">. 2011). Oospores produced in </w:t>
      </w:r>
      <w:r>
        <w:rPr>
          <w:rFonts w:ascii="Cambria" w:hAnsi="Cambria"/>
          <w:i/>
          <w:iCs/>
        </w:rPr>
        <w:t xml:space="preserve">R. ponticum </w:t>
      </w:r>
      <w:r>
        <w:rPr>
          <w:rFonts w:ascii="Cambria" w:hAnsi="Cambria"/>
        </w:rPr>
        <w:t>roots and foliage may serve as survival structures in soil. Additionally, roots may support polycyclic sporulation, thus producing sporangia near the soil surface which can then be splash dispersed to aboveground plant parts or serve as primary inoculum for new root infections.</w:t>
      </w:r>
    </w:p>
    <w:p w:rsidR="00C74066" w:rsidRDefault="00F10705">
      <w:pPr>
        <w:pStyle w:val="Heading4"/>
        <w:spacing w:before="120"/>
      </w:pPr>
      <w:r>
        <w:t>Rivers and streams</w:t>
      </w:r>
    </w:p>
    <w:p w:rsidR="00C74066" w:rsidRDefault="00F10705">
      <w:pPr>
        <w:autoSpaceDE w:val="0"/>
        <w:autoSpaceDN w:val="0"/>
        <w:adjustRightInd w:val="0"/>
        <w:spacing w:before="200"/>
        <w:rPr>
          <w:rFonts w:ascii="Cambria" w:hAnsi="Cambria"/>
        </w:rPr>
      </w:pPr>
      <w:r>
        <w:rPr>
          <w:rFonts w:ascii="Cambria" w:hAnsi="Cambria"/>
          <w:i/>
        </w:rPr>
        <w:t xml:space="preserve">Phytophthora </w:t>
      </w:r>
      <w:r>
        <w:rPr>
          <w:rFonts w:ascii="Cambria" w:hAnsi="Cambria"/>
        </w:rPr>
        <w:t>species</w:t>
      </w:r>
      <w:r>
        <w:rPr>
          <w:rFonts w:ascii="Cambria" w:hAnsi="Cambria"/>
          <w:i/>
        </w:rPr>
        <w:t xml:space="preserve"> </w:t>
      </w:r>
      <w:r w:rsidR="00C94339">
        <w:rPr>
          <w:rFonts w:ascii="Cambria" w:hAnsi="Cambria"/>
        </w:rPr>
        <w:t xml:space="preserve">may </w:t>
      </w:r>
      <w:r>
        <w:rPr>
          <w:rFonts w:ascii="Cambria" w:hAnsi="Cambria"/>
        </w:rPr>
        <w:t xml:space="preserve">disperse over long distances in rivers and streams with propagules having been detected </w:t>
      </w:r>
      <w:r w:rsidR="00981D6B">
        <w:rPr>
          <w:rFonts w:ascii="Cambria" w:hAnsi="Cambria"/>
        </w:rPr>
        <w:t>from</w:t>
      </w:r>
      <w:r>
        <w:rPr>
          <w:rFonts w:ascii="Cambria" w:hAnsi="Cambria"/>
        </w:rPr>
        <w:t xml:space="preserve"> one to 20 kilometres downstream from probable inoculum sources (Davidson et al. 2005; Sutton et al. 2009; Reeser et al. 2011).</w:t>
      </w:r>
    </w:p>
    <w:p w:rsidR="00C74066" w:rsidRDefault="00F10705">
      <w:pPr>
        <w:pStyle w:val="Heading4"/>
        <w:spacing w:before="120"/>
      </w:pPr>
      <w:r>
        <w:t>Rain and wind</w:t>
      </w:r>
    </w:p>
    <w:p w:rsidR="00C74066" w:rsidRDefault="00F10705">
      <w:pPr>
        <w:autoSpaceDE w:val="0"/>
        <w:autoSpaceDN w:val="0"/>
        <w:adjustRightInd w:val="0"/>
        <w:spacing w:before="200"/>
        <w:rPr>
          <w:rFonts w:ascii="Cambria" w:hAnsi="Cambria"/>
        </w:rPr>
      </w:pPr>
      <w:r>
        <w:rPr>
          <w:rFonts w:ascii="Cambria" w:hAnsi="Cambria"/>
        </w:rPr>
        <w:t xml:space="preserve">Rain and wind play an important role in the dispersal of aerial </w:t>
      </w:r>
      <w:r>
        <w:rPr>
          <w:rFonts w:ascii="Cambria" w:hAnsi="Cambria"/>
          <w:i/>
        </w:rPr>
        <w:t xml:space="preserve">Phytophthora </w:t>
      </w:r>
      <w:r>
        <w:rPr>
          <w:rFonts w:ascii="Cambria" w:hAnsi="Cambria"/>
        </w:rPr>
        <w:t xml:space="preserve">species propagules in the ecosystem. Rain-splash and wind driven rain are important factors in the rapid spread of </w:t>
      </w:r>
      <w:r>
        <w:rPr>
          <w:rFonts w:ascii="Cambria" w:hAnsi="Cambria"/>
          <w:i/>
        </w:rPr>
        <w:t xml:space="preserve">Phytophthora </w:t>
      </w:r>
      <w:r>
        <w:rPr>
          <w:rFonts w:ascii="Cambria" w:hAnsi="Cambria"/>
        </w:rPr>
        <w:t>species</w:t>
      </w:r>
      <w:r>
        <w:rPr>
          <w:rFonts w:ascii="Cambria" w:hAnsi="Cambria"/>
          <w:i/>
        </w:rPr>
        <w:t xml:space="preserve"> </w:t>
      </w:r>
      <w:r>
        <w:rPr>
          <w:rFonts w:ascii="Cambria" w:hAnsi="Cambria"/>
        </w:rPr>
        <w:t xml:space="preserve">within forests. Short distance rain-splash dispersal (10 to 15 meters) of </w:t>
      </w:r>
      <w:r>
        <w:rPr>
          <w:rFonts w:ascii="Cambria" w:hAnsi="Cambria"/>
          <w:i/>
        </w:rPr>
        <w:t xml:space="preserve">P. ramorum </w:t>
      </w:r>
      <w:r>
        <w:rPr>
          <w:rFonts w:ascii="Cambria" w:hAnsi="Cambria"/>
        </w:rPr>
        <w:t xml:space="preserve">has been reported in evergreen forests in California (Davidson et al. 2005). In Oregon, rain-splash and long distance </w:t>
      </w:r>
      <w:r>
        <w:rPr>
          <w:rFonts w:ascii="Cambria" w:hAnsi="Cambria"/>
          <w:i/>
        </w:rPr>
        <w:t>P</w:t>
      </w:r>
      <w:r w:rsidR="00981D6B">
        <w:rPr>
          <w:rFonts w:ascii="Cambria" w:hAnsi="Cambria"/>
          <w:i/>
        </w:rPr>
        <w:t>.</w:t>
      </w:r>
      <w:r>
        <w:rPr>
          <w:rFonts w:ascii="Cambria" w:hAnsi="Cambria"/>
          <w:i/>
        </w:rPr>
        <w:t xml:space="preserve"> ramorum </w:t>
      </w:r>
      <w:r>
        <w:rPr>
          <w:rFonts w:ascii="Cambria" w:hAnsi="Cambria"/>
        </w:rPr>
        <w:t>dispersal (zero to four kilometres) in turbulent air currents has been reported (Hansen et al. 2008; Mascheretti et al. 2008).</w:t>
      </w:r>
    </w:p>
    <w:p w:rsidR="00C74066" w:rsidRDefault="00F10705">
      <w:pPr>
        <w:pStyle w:val="Heading3"/>
        <w:keepLines/>
        <w:numPr>
          <w:ilvl w:val="2"/>
          <w:numId w:val="21"/>
        </w:numPr>
        <w:tabs>
          <w:tab w:val="clear" w:pos="720"/>
        </w:tabs>
        <w:spacing w:before="120" w:after="200"/>
        <w:ind w:left="357" w:hanging="357"/>
        <w:rPr>
          <w:rFonts w:ascii="Calibri" w:hAnsi="Calibri" w:cstheme="minorBidi"/>
          <w:sz w:val="24"/>
          <w:szCs w:val="22"/>
        </w:rPr>
      </w:pPr>
      <w:r>
        <w:rPr>
          <w:rFonts w:ascii="Calibri" w:hAnsi="Calibri" w:cstheme="minorBidi"/>
          <w:sz w:val="24"/>
          <w:szCs w:val="22"/>
        </w:rPr>
        <w:lastRenderedPageBreak/>
        <w:t>Spread through human activity</w:t>
      </w:r>
    </w:p>
    <w:p w:rsidR="00C74066" w:rsidRDefault="00F10705">
      <w:pPr>
        <w:autoSpaceDE w:val="0"/>
        <w:autoSpaceDN w:val="0"/>
        <w:adjustRightInd w:val="0"/>
        <w:spacing w:before="200"/>
        <w:rPr>
          <w:rFonts w:ascii="Cambria" w:hAnsi="Cambria"/>
        </w:rPr>
      </w:pPr>
      <w:r>
        <w:rPr>
          <w:rFonts w:ascii="Cambria" w:hAnsi="Cambria"/>
        </w:rPr>
        <w:t xml:space="preserve">Spread of these </w:t>
      </w:r>
      <w:r>
        <w:rPr>
          <w:rFonts w:ascii="Cambria" w:hAnsi="Cambria"/>
          <w:i/>
          <w:iCs/>
        </w:rPr>
        <w:t xml:space="preserve">Phytophthora </w:t>
      </w:r>
      <w:r>
        <w:rPr>
          <w:rFonts w:ascii="Cambria" w:hAnsi="Cambria"/>
        </w:rPr>
        <w:t xml:space="preserve">species via human-mediated means will be rapid and is significant through the commercial movement of infected plants for planting (Ivors </w:t>
      </w:r>
      <w:r>
        <w:rPr>
          <w:rFonts w:ascii="Cambria" w:hAnsi="Cambria"/>
          <w:iCs/>
        </w:rPr>
        <w:t>et al</w:t>
      </w:r>
      <w:r>
        <w:rPr>
          <w:rFonts w:ascii="Cambria" w:hAnsi="Cambria"/>
        </w:rPr>
        <w:t xml:space="preserve">. 2006; Grünwald </w:t>
      </w:r>
      <w:r>
        <w:rPr>
          <w:rFonts w:ascii="Cambria" w:hAnsi="Cambria"/>
          <w:iCs/>
        </w:rPr>
        <w:t>et al</w:t>
      </w:r>
      <w:r>
        <w:rPr>
          <w:rFonts w:ascii="Cambria" w:hAnsi="Cambria"/>
        </w:rPr>
        <w:t xml:space="preserve">. 2008a; Prospero </w:t>
      </w:r>
      <w:r>
        <w:rPr>
          <w:rFonts w:ascii="Cambria" w:hAnsi="Cambria"/>
          <w:iCs/>
        </w:rPr>
        <w:t>et al</w:t>
      </w:r>
      <w:r>
        <w:rPr>
          <w:rFonts w:ascii="Cambria" w:hAnsi="Cambria"/>
        </w:rPr>
        <w:t xml:space="preserve">. 2009). </w:t>
      </w:r>
      <w:r w:rsidR="00981D6B">
        <w:rPr>
          <w:rFonts w:ascii="Cambria" w:hAnsi="Cambria"/>
        </w:rPr>
        <w:t>S</w:t>
      </w:r>
      <w:r>
        <w:rPr>
          <w:rFonts w:ascii="Cambria" w:hAnsi="Cambria"/>
        </w:rPr>
        <w:t>pread through other human-mediated means include</w:t>
      </w:r>
      <w:r w:rsidR="00C94339">
        <w:rPr>
          <w:rFonts w:ascii="Cambria" w:hAnsi="Cambria"/>
        </w:rPr>
        <w:t>s</w:t>
      </w:r>
      <w:r>
        <w:rPr>
          <w:rFonts w:ascii="Cambria" w:hAnsi="Cambria"/>
        </w:rPr>
        <w:t xml:space="preserve"> soil/debris attached to footwear and on the tyres of bikes and cars (Brasier </w:t>
      </w:r>
      <w:r>
        <w:rPr>
          <w:rFonts w:ascii="Cambria" w:hAnsi="Cambria"/>
          <w:iCs/>
        </w:rPr>
        <w:t>et al</w:t>
      </w:r>
      <w:r>
        <w:rPr>
          <w:rFonts w:ascii="Cambria" w:hAnsi="Cambria"/>
        </w:rPr>
        <w:t>. 2007).</w:t>
      </w:r>
    </w:p>
    <w:p w:rsidR="00C74066" w:rsidRDefault="00F10705">
      <w:pPr>
        <w:pStyle w:val="Heading4"/>
        <w:spacing w:before="200"/>
      </w:pPr>
      <w:r>
        <w:t>Nursery stock</w:t>
      </w:r>
    </w:p>
    <w:p w:rsidR="00C74066" w:rsidRDefault="00F10705">
      <w:pPr>
        <w:autoSpaceDE w:val="0"/>
        <w:autoSpaceDN w:val="0"/>
        <w:adjustRightInd w:val="0"/>
        <w:spacing w:before="200"/>
        <w:rPr>
          <w:rFonts w:ascii="Cambria" w:hAnsi="Cambria"/>
        </w:rPr>
      </w:pPr>
      <w:r>
        <w:rPr>
          <w:rFonts w:ascii="Cambria" w:hAnsi="Cambria"/>
        </w:rPr>
        <w:t xml:space="preserve">The nursery trade is the main pathway for the worldwide introduction and spread of exotic pathogens including </w:t>
      </w:r>
      <w:r>
        <w:rPr>
          <w:rFonts w:ascii="Cambria" w:hAnsi="Cambria"/>
          <w:i/>
          <w:iCs/>
        </w:rPr>
        <w:t xml:space="preserve">P. ramorum </w:t>
      </w:r>
      <w:r>
        <w:rPr>
          <w:rFonts w:ascii="Cambria" w:hAnsi="Cambria"/>
        </w:rPr>
        <w:t xml:space="preserve">(Ivors </w:t>
      </w:r>
      <w:r>
        <w:rPr>
          <w:rFonts w:ascii="Cambria" w:hAnsi="Cambria"/>
          <w:iCs/>
        </w:rPr>
        <w:t>et al</w:t>
      </w:r>
      <w:r>
        <w:rPr>
          <w:rFonts w:ascii="Cambria" w:hAnsi="Cambria"/>
        </w:rPr>
        <w:t xml:space="preserve">. 2006; Grünwald </w:t>
      </w:r>
      <w:r>
        <w:rPr>
          <w:rFonts w:ascii="Cambria" w:hAnsi="Cambria"/>
          <w:iCs/>
        </w:rPr>
        <w:t>et al</w:t>
      </w:r>
      <w:r>
        <w:rPr>
          <w:rFonts w:ascii="Cambria" w:hAnsi="Cambria"/>
        </w:rPr>
        <w:t xml:space="preserve">. 2008a; Prospero </w:t>
      </w:r>
      <w:r>
        <w:rPr>
          <w:rFonts w:ascii="Cambria" w:hAnsi="Cambria"/>
          <w:iCs/>
        </w:rPr>
        <w:t>et al</w:t>
      </w:r>
      <w:r>
        <w:rPr>
          <w:rFonts w:ascii="Cambria" w:hAnsi="Cambria"/>
        </w:rPr>
        <w:t xml:space="preserve">. 2009). The introduction of </w:t>
      </w:r>
      <w:r>
        <w:rPr>
          <w:rFonts w:ascii="Cambria" w:hAnsi="Cambria"/>
          <w:i/>
          <w:iCs/>
        </w:rPr>
        <w:t xml:space="preserve">P. ramorum </w:t>
      </w:r>
      <w:r>
        <w:rPr>
          <w:rFonts w:ascii="Cambria" w:hAnsi="Cambria"/>
        </w:rPr>
        <w:t xml:space="preserve">into California is linked to the nursery trade (Ivors </w:t>
      </w:r>
      <w:r>
        <w:rPr>
          <w:rFonts w:ascii="Cambria" w:hAnsi="Cambria"/>
          <w:iCs/>
        </w:rPr>
        <w:t>et al</w:t>
      </w:r>
      <w:r>
        <w:rPr>
          <w:rFonts w:ascii="Cambria" w:hAnsi="Cambria"/>
        </w:rPr>
        <w:t xml:space="preserve">. 2006; Mascheretti </w:t>
      </w:r>
      <w:r>
        <w:rPr>
          <w:rFonts w:ascii="Cambria" w:hAnsi="Cambria"/>
          <w:iCs/>
        </w:rPr>
        <w:t>et al</w:t>
      </w:r>
      <w:r>
        <w:rPr>
          <w:rFonts w:ascii="Cambria" w:hAnsi="Cambria"/>
        </w:rPr>
        <w:t xml:space="preserve">. 2008). The rapid spread of </w:t>
      </w:r>
      <w:r>
        <w:rPr>
          <w:rFonts w:ascii="Cambria" w:hAnsi="Cambria"/>
          <w:i/>
          <w:iCs/>
        </w:rPr>
        <w:t xml:space="preserve">P. ramorum </w:t>
      </w:r>
      <w:r>
        <w:rPr>
          <w:rFonts w:ascii="Cambria" w:hAnsi="Cambria"/>
        </w:rPr>
        <w:t>within Europe and the USA through the trade of infected host plants is confirmed by the expansion of the geographical distribution of the pathogen.</w:t>
      </w:r>
    </w:p>
    <w:p w:rsidR="00C74066" w:rsidRDefault="00F10705">
      <w:pPr>
        <w:pStyle w:val="ListBullet"/>
        <w:tabs>
          <w:tab w:val="clear" w:pos="360"/>
          <w:tab w:val="num" w:pos="284"/>
        </w:tabs>
        <w:ind w:left="284" w:hanging="284"/>
        <w:rPr>
          <w:rFonts w:ascii="Cambria" w:hAnsi="Cambria"/>
        </w:rPr>
      </w:pPr>
      <w:r>
        <w:rPr>
          <w:rFonts w:ascii="Cambria" w:hAnsi="Cambria"/>
        </w:rPr>
        <w:t xml:space="preserve">Plant trade has introduced </w:t>
      </w:r>
      <w:r>
        <w:rPr>
          <w:rFonts w:ascii="Cambria" w:hAnsi="Cambria"/>
          <w:i/>
          <w:iCs/>
        </w:rPr>
        <w:t xml:space="preserve">P. ramorum </w:t>
      </w:r>
      <w:r>
        <w:rPr>
          <w:rFonts w:ascii="Cambria" w:hAnsi="Cambria"/>
        </w:rPr>
        <w:t xml:space="preserve">and new genotypes of this pathogen into North America and Europe (Goss </w:t>
      </w:r>
      <w:r>
        <w:rPr>
          <w:rFonts w:ascii="Cambria" w:hAnsi="Cambria"/>
          <w:iCs/>
        </w:rPr>
        <w:t>et al</w:t>
      </w:r>
      <w:r>
        <w:rPr>
          <w:rFonts w:ascii="Cambria" w:hAnsi="Cambria"/>
        </w:rPr>
        <w:t xml:space="preserve">. 2011). The increased trade of plants </w:t>
      </w:r>
      <w:r w:rsidR="00981D6B">
        <w:rPr>
          <w:rFonts w:ascii="Cambria" w:hAnsi="Cambria"/>
        </w:rPr>
        <w:t>between</w:t>
      </w:r>
      <w:r>
        <w:rPr>
          <w:rFonts w:ascii="Cambria" w:hAnsi="Cambria"/>
        </w:rPr>
        <w:t xml:space="preserve"> and within countries has provided new opportunities for plant pathogens to be moved to new areas or countries (Dehnen-Schmutz </w:t>
      </w:r>
      <w:r>
        <w:rPr>
          <w:rFonts w:ascii="Cambria" w:hAnsi="Cambria"/>
          <w:iCs/>
        </w:rPr>
        <w:t>et al</w:t>
      </w:r>
      <w:r>
        <w:rPr>
          <w:rFonts w:ascii="Cambria" w:hAnsi="Cambria"/>
        </w:rPr>
        <w:t xml:space="preserve">. 2010; Webber 2010; Wingfield </w:t>
      </w:r>
      <w:r>
        <w:rPr>
          <w:rFonts w:ascii="Cambria" w:hAnsi="Cambria"/>
          <w:iCs/>
        </w:rPr>
        <w:t>et al</w:t>
      </w:r>
      <w:r>
        <w:rPr>
          <w:rFonts w:ascii="Cambria" w:hAnsi="Cambria"/>
        </w:rPr>
        <w:t xml:space="preserve">. 2010; Stenlid </w:t>
      </w:r>
      <w:r>
        <w:rPr>
          <w:rFonts w:ascii="Cambria" w:hAnsi="Cambria"/>
          <w:iCs/>
        </w:rPr>
        <w:t>et al</w:t>
      </w:r>
      <w:r>
        <w:rPr>
          <w:rFonts w:ascii="Cambria" w:hAnsi="Cambria"/>
        </w:rPr>
        <w:t>. 2011).</w:t>
      </w:r>
      <w:r>
        <w:rPr>
          <w:rFonts w:ascii="Cambria" w:hAnsi="Cambria"/>
          <w:shd w:val="clear" w:color="auto" w:fill="FFFFFF"/>
        </w:rPr>
        <w:t xml:space="preserve"> In Europe, </w:t>
      </w:r>
      <w:r>
        <w:rPr>
          <w:rFonts w:ascii="Cambria" w:hAnsi="Cambria"/>
          <w:i/>
          <w:iCs/>
          <w:shd w:val="clear" w:color="auto" w:fill="FFFFFF"/>
        </w:rPr>
        <w:t xml:space="preserve">P. ramorum </w:t>
      </w:r>
      <w:r>
        <w:rPr>
          <w:rFonts w:ascii="Cambria" w:hAnsi="Cambria"/>
          <w:shd w:val="clear" w:color="auto" w:fill="FFFFFF"/>
        </w:rPr>
        <w:t xml:space="preserve">has spread to many countries, primarily on nursery plants of </w:t>
      </w:r>
      <w:r>
        <w:rPr>
          <w:rFonts w:ascii="Cambria" w:hAnsi="Cambria"/>
          <w:i/>
          <w:iCs/>
          <w:shd w:val="clear" w:color="auto" w:fill="FFFFFF"/>
        </w:rPr>
        <w:t>Rhododendron</w:t>
      </w:r>
      <w:r>
        <w:rPr>
          <w:rStyle w:val="apple-converted-space"/>
          <w:rFonts w:ascii="Cambria" w:hAnsi="Cambria"/>
          <w:shd w:val="clear" w:color="auto" w:fill="FFFFFF"/>
        </w:rPr>
        <w:t xml:space="preserve"> </w:t>
      </w:r>
      <w:r>
        <w:rPr>
          <w:rFonts w:ascii="Cambria" w:hAnsi="Cambria"/>
          <w:shd w:val="clear" w:color="auto" w:fill="FFFFFF"/>
        </w:rPr>
        <w:t xml:space="preserve">and </w:t>
      </w:r>
      <w:r>
        <w:rPr>
          <w:rFonts w:ascii="Cambria" w:hAnsi="Cambria"/>
          <w:i/>
          <w:iCs/>
          <w:shd w:val="clear" w:color="auto" w:fill="FFFFFF"/>
        </w:rPr>
        <w:t xml:space="preserve">Viburnum </w:t>
      </w:r>
      <w:r>
        <w:rPr>
          <w:rFonts w:ascii="Cambria" w:hAnsi="Cambria"/>
          <w:shd w:val="clear" w:color="auto" w:fill="FFFFFF"/>
        </w:rPr>
        <w:t xml:space="preserve">species and recently on </w:t>
      </w:r>
      <w:r>
        <w:rPr>
          <w:rFonts w:ascii="Cambria" w:hAnsi="Cambria"/>
          <w:i/>
          <w:iCs/>
          <w:shd w:val="clear" w:color="auto" w:fill="FFFFFF"/>
        </w:rPr>
        <w:t xml:space="preserve">Camellia japonica, Kalmia latifolia, Leucothoe </w:t>
      </w:r>
      <w:r>
        <w:rPr>
          <w:rFonts w:ascii="Cambria" w:hAnsi="Cambria"/>
          <w:shd w:val="clear" w:color="auto" w:fill="FFFFFF"/>
        </w:rPr>
        <w:t xml:space="preserve">species, </w:t>
      </w:r>
      <w:r>
        <w:rPr>
          <w:rFonts w:ascii="Cambria" w:hAnsi="Cambria"/>
          <w:i/>
          <w:iCs/>
          <w:shd w:val="clear" w:color="auto" w:fill="FFFFFF"/>
        </w:rPr>
        <w:t xml:space="preserve">Pieris formosa </w:t>
      </w:r>
      <w:r>
        <w:rPr>
          <w:rFonts w:ascii="Cambria" w:hAnsi="Cambria"/>
          <w:shd w:val="clear" w:color="auto" w:fill="FFFFFF"/>
        </w:rPr>
        <w:t xml:space="preserve">var. </w:t>
      </w:r>
      <w:r>
        <w:rPr>
          <w:rFonts w:ascii="Cambria" w:hAnsi="Cambria"/>
          <w:i/>
          <w:iCs/>
          <w:shd w:val="clear" w:color="auto" w:fill="FFFFFF"/>
        </w:rPr>
        <w:t xml:space="preserve">forrestii, Pieris japonica, Syringa vulgaris, Taxus baccata </w:t>
      </w:r>
      <w:r>
        <w:rPr>
          <w:rFonts w:ascii="Cambria" w:hAnsi="Cambria"/>
          <w:iCs/>
          <w:shd w:val="clear" w:color="auto" w:fill="FFFFFF"/>
        </w:rPr>
        <w:t>and</w:t>
      </w:r>
      <w:r>
        <w:rPr>
          <w:rFonts w:ascii="Cambria" w:hAnsi="Cambria"/>
          <w:i/>
          <w:iCs/>
          <w:shd w:val="clear" w:color="auto" w:fill="FFFFFF"/>
        </w:rPr>
        <w:t xml:space="preserve"> Viburnum bodnantense </w:t>
      </w:r>
      <w:r>
        <w:rPr>
          <w:rFonts w:ascii="Cambria" w:hAnsi="Cambria"/>
          <w:shd w:val="clear" w:color="auto" w:fill="FFFFFF"/>
        </w:rPr>
        <w:t xml:space="preserve">(Werres &amp; De Merlier 2003; Husson </w:t>
      </w:r>
      <w:r>
        <w:rPr>
          <w:rFonts w:ascii="Cambria" w:hAnsi="Cambria"/>
          <w:iCs/>
          <w:shd w:val="clear" w:color="auto" w:fill="FFFFFF"/>
        </w:rPr>
        <w:t>et al</w:t>
      </w:r>
      <w:r>
        <w:rPr>
          <w:rFonts w:ascii="Cambria" w:hAnsi="Cambria"/>
          <w:shd w:val="clear" w:color="auto" w:fill="FFFFFF"/>
        </w:rPr>
        <w:t>. 2007)</w:t>
      </w:r>
      <w:r>
        <w:rPr>
          <w:rFonts w:ascii="Cambria" w:hAnsi="Cambria"/>
          <w:i/>
          <w:iCs/>
          <w:shd w:val="clear" w:color="auto" w:fill="FFFFFF"/>
        </w:rPr>
        <w:t>.</w:t>
      </w:r>
    </w:p>
    <w:p w:rsidR="00C74066" w:rsidRDefault="00F10705">
      <w:pPr>
        <w:pStyle w:val="ListBullet"/>
        <w:tabs>
          <w:tab w:val="clear" w:pos="360"/>
          <w:tab w:val="num" w:pos="284"/>
        </w:tabs>
        <w:ind w:left="284" w:hanging="284"/>
        <w:rPr>
          <w:rFonts w:ascii="Cambria" w:hAnsi="Cambria"/>
        </w:rPr>
      </w:pPr>
      <w:r>
        <w:rPr>
          <w:rFonts w:ascii="Cambria" w:hAnsi="Cambria"/>
          <w:i/>
          <w:iCs/>
          <w:spacing w:val="7"/>
        </w:rPr>
        <w:t>P</w:t>
      </w:r>
      <w:r>
        <w:rPr>
          <w:rFonts w:ascii="Cambria" w:hAnsi="Cambria"/>
          <w:i/>
          <w:iCs/>
        </w:rPr>
        <w:t>hytophthora</w:t>
      </w:r>
      <w:r>
        <w:rPr>
          <w:rFonts w:ascii="Cambria" w:hAnsi="Cambria"/>
          <w:i/>
          <w:iCs/>
          <w:spacing w:val="7"/>
        </w:rPr>
        <w:t xml:space="preserve"> ramorum </w:t>
      </w:r>
      <w:r>
        <w:rPr>
          <w:rFonts w:ascii="Cambria" w:hAnsi="Cambria"/>
        </w:rPr>
        <w:t xml:space="preserve">was introduced from one infected </w:t>
      </w:r>
      <w:r>
        <w:rPr>
          <w:rFonts w:ascii="Cambria" w:hAnsi="Cambria"/>
          <w:i/>
          <w:iCs/>
        </w:rPr>
        <w:t>Camellia</w:t>
      </w:r>
      <w:r>
        <w:rPr>
          <w:rFonts w:ascii="Cambria" w:hAnsi="Cambria"/>
        </w:rPr>
        <w:t xml:space="preserve"> nursery to several states in the USA (Cave </w:t>
      </w:r>
      <w:r>
        <w:rPr>
          <w:rFonts w:ascii="Cambria" w:hAnsi="Cambria"/>
          <w:iCs/>
        </w:rPr>
        <w:t>et al</w:t>
      </w:r>
      <w:r>
        <w:rPr>
          <w:rFonts w:ascii="Cambria" w:hAnsi="Cambria"/>
        </w:rPr>
        <w:t>. 2008)</w:t>
      </w:r>
      <w:r w:rsidR="00C94339">
        <w:rPr>
          <w:rFonts w:ascii="Cambria" w:hAnsi="Cambria"/>
        </w:rPr>
        <w:t>,</w:t>
      </w:r>
      <w:r>
        <w:rPr>
          <w:rFonts w:ascii="Cambria" w:hAnsi="Cambria"/>
        </w:rPr>
        <w:t xml:space="preserve"> indicating that the movement of nursery plants is the main pathway for the introduction of this pathogen into new areas (Alexander 2012).</w:t>
      </w:r>
    </w:p>
    <w:p w:rsidR="00C74066" w:rsidRDefault="00F10705">
      <w:pPr>
        <w:pStyle w:val="ListBullet"/>
        <w:tabs>
          <w:tab w:val="clear" w:pos="360"/>
          <w:tab w:val="num" w:pos="284"/>
        </w:tabs>
        <w:ind w:left="284" w:hanging="284"/>
        <w:rPr>
          <w:rFonts w:ascii="Cambria" w:hAnsi="Cambria"/>
        </w:rPr>
      </w:pPr>
      <w:r>
        <w:rPr>
          <w:rFonts w:ascii="Cambria" w:hAnsi="Cambria"/>
          <w:i/>
          <w:iCs/>
        </w:rPr>
        <w:t xml:space="preserve">Phytophthora ramorum </w:t>
      </w:r>
      <w:r>
        <w:rPr>
          <w:rFonts w:ascii="Cambria" w:hAnsi="Cambria"/>
        </w:rPr>
        <w:t xml:space="preserve">has been introduced with </w:t>
      </w:r>
      <w:r>
        <w:rPr>
          <w:rFonts w:ascii="Cambria" w:hAnsi="Cambria"/>
          <w:i/>
          <w:iCs/>
        </w:rPr>
        <w:t xml:space="preserve">Rhododendron </w:t>
      </w:r>
      <w:r>
        <w:rPr>
          <w:rFonts w:ascii="Cambria" w:hAnsi="Cambria"/>
          <w:iCs/>
        </w:rPr>
        <w:t xml:space="preserve">species </w:t>
      </w:r>
      <w:r>
        <w:rPr>
          <w:rFonts w:ascii="Cambria" w:hAnsi="Cambria"/>
        </w:rPr>
        <w:t xml:space="preserve">shipments from Germany and the Netherlands into Norway (Sundheim </w:t>
      </w:r>
      <w:r>
        <w:rPr>
          <w:rFonts w:ascii="Cambria" w:hAnsi="Cambria"/>
          <w:iCs/>
        </w:rPr>
        <w:t>et al</w:t>
      </w:r>
      <w:r>
        <w:rPr>
          <w:rFonts w:ascii="Cambria" w:hAnsi="Cambria"/>
        </w:rPr>
        <w:t xml:space="preserve">. 2009); and from Belgium into Greece (Tsopelas </w:t>
      </w:r>
      <w:r>
        <w:rPr>
          <w:rFonts w:ascii="Cambria" w:hAnsi="Cambria"/>
          <w:iCs/>
        </w:rPr>
        <w:t>et al</w:t>
      </w:r>
      <w:r>
        <w:rPr>
          <w:rFonts w:ascii="Cambria" w:hAnsi="Cambria"/>
        </w:rPr>
        <w:t>. 2011)</w:t>
      </w:r>
      <w:r>
        <w:rPr>
          <w:rFonts w:ascii="Cambria" w:hAnsi="Cambria"/>
          <w:i/>
        </w:rPr>
        <w:t>. Phytophthora</w:t>
      </w:r>
      <w:r>
        <w:rPr>
          <w:rFonts w:ascii="Cambria" w:hAnsi="Cambria"/>
          <w:i/>
          <w:iCs/>
        </w:rPr>
        <w:t xml:space="preserve"> ramorum </w:t>
      </w:r>
      <w:r>
        <w:rPr>
          <w:rFonts w:ascii="Cambria" w:hAnsi="Cambria"/>
        </w:rPr>
        <w:t>was detected on plant material from the USA in 2003 and from Canada in 2004 (Frankel 2008; Wong 2008).</w:t>
      </w:r>
    </w:p>
    <w:p w:rsidR="00C74066" w:rsidRDefault="00F10705">
      <w:pPr>
        <w:pStyle w:val="Heading4"/>
        <w:spacing w:before="120"/>
      </w:pPr>
      <w:r>
        <w:t>Recreation and tourism</w:t>
      </w:r>
    </w:p>
    <w:p w:rsidR="00C74066" w:rsidRDefault="00F10705">
      <w:pPr>
        <w:spacing w:before="200"/>
        <w:rPr>
          <w:rFonts w:ascii="Cambria" w:hAnsi="Cambria"/>
        </w:rPr>
      </w:pPr>
      <w:r>
        <w:rPr>
          <w:rFonts w:ascii="Cambria" w:hAnsi="Cambria"/>
        </w:rPr>
        <w:t xml:space="preserve">Spores of </w:t>
      </w:r>
      <w:r>
        <w:rPr>
          <w:rFonts w:ascii="Cambria" w:hAnsi="Cambria"/>
          <w:i/>
          <w:iCs/>
        </w:rPr>
        <w:t>P. ramorum</w:t>
      </w:r>
      <w:r>
        <w:rPr>
          <w:rFonts w:ascii="Cambria" w:hAnsi="Cambria"/>
        </w:rPr>
        <w:t xml:space="preserve"> and </w:t>
      </w:r>
      <w:r>
        <w:rPr>
          <w:rFonts w:ascii="Cambria" w:hAnsi="Cambria"/>
          <w:i/>
          <w:iCs/>
        </w:rPr>
        <w:t xml:space="preserve">P. kernoviae </w:t>
      </w:r>
      <w:r>
        <w:rPr>
          <w:rFonts w:ascii="Cambria" w:hAnsi="Cambria"/>
        </w:rPr>
        <w:t xml:space="preserve">have been detected in soil adhering to the shoes of hikers and on the tyres of mountain bikes and vehicles leaving infested woodlands in California (Brasier </w:t>
      </w:r>
      <w:r>
        <w:rPr>
          <w:rFonts w:ascii="Cambria" w:hAnsi="Cambria"/>
          <w:iCs/>
        </w:rPr>
        <w:t>et al</w:t>
      </w:r>
      <w:r>
        <w:rPr>
          <w:rFonts w:ascii="Cambria" w:hAnsi="Cambria"/>
        </w:rPr>
        <w:t xml:space="preserve">. 2005; 2007; Shishkoff 2007) and the UK (Webber &amp; Rose 2007). </w:t>
      </w:r>
      <w:r>
        <w:rPr>
          <w:rFonts w:ascii="Cambria" w:hAnsi="Cambria"/>
          <w:i/>
          <w:iCs/>
        </w:rPr>
        <w:t>Phytophthora ramorum</w:t>
      </w:r>
      <w:r w:rsidR="00DF6D81">
        <w:rPr>
          <w:rFonts w:ascii="Cambria" w:hAnsi="Cambria"/>
        </w:rPr>
        <w:t xml:space="preserve"> can survive eight</w:t>
      </w:r>
      <w:r w:rsidR="00253AA5">
        <w:rPr>
          <w:rFonts w:ascii="Cambria" w:hAnsi="Cambria"/>
        </w:rPr>
        <w:t xml:space="preserve"> to </w:t>
      </w:r>
      <w:r>
        <w:rPr>
          <w:rFonts w:ascii="Cambria" w:hAnsi="Cambria"/>
        </w:rPr>
        <w:t xml:space="preserve">11 months in the soil (Shishkoff 2007) and tourists carrying soil on their footwear may spread these pathogens internationally. </w:t>
      </w:r>
      <w:r>
        <w:rPr>
          <w:rFonts w:ascii="Cambria" w:hAnsi="Cambria"/>
          <w:i/>
          <w:iCs/>
        </w:rPr>
        <w:t>Phytophthora ramorum</w:t>
      </w:r>
      <w:r>
        <w:rPr>
          <w:rFonts w:ascii="Cambria" w:hAnsi="Cambria"/>
        </w:rPr>
        <w:t xml:space="preserve"> can also be spread b</w:t>
      </w:r>
      <w:r w:rsidR="00253AA5">
        <w:rPr>
          <w:rFonts w:ascii="Cambria" w:hAnsi="Cambria"/>
        </w:rPr>
        <w:t xml:space="preserve">y animal vectors; snails, shore </w:t>
      </w:r>
      <w:r>
        <w:rPr>
          <w:rFonts w:ascii="Cambria" w:hAnsi="Cambria"/>
        </w:rPr>
        <w:t xml:space="preserve">fly larvae and fungus gnat larvae are known carriers of fungal propagules including chlamydospores and sporangia (Hyder </w:t>
      </w:r>
      <w:r>
        <w:rPr>
          <w:rFonts w:ascii="Cambria" w:hAnsi="Cambria"/>
          <w:iCs/>
        </w:rPr>
        <w:t>et al</w:t>
      </w:r>
      <w:r>
        <w:rPr>
          <w:rFonts w:ascii="Cambria" w:hAnsi="Cambria"/>
        </w:rPr>
        <w:t>. 2009).</w:t>
      </w:r>
    </w:p>
    <w:p w:rsidR="00C74066" w:rsidRDefault="00F10705">
      <w:pPr>
        <w:pStyle w:val="Heading4"/>
        <w:spacing w:before="120"/>
      </w:pPr>
      <w:r>
        <w:t>Soil/growing media</w:t>
      </w:r>
    </w:p>
    <w:p w:rsidR="0008313E" w:rsidRDefault="00F10705">
      <w:pPr>
        <w:spacing w:before="200"/>
        <w:rPr>
          <w:rFonts w:ascii="Cambria" w:hAnsi="Cambria"/>
        </w:rPr>
        <w:sectPr w:rsidR="0008313E">
          <w:headerReference w:type="default" r:id="rId33"/>
          <w:pgSz w:w="11906" w:h="16838"/>
          <w:pgMar w:top="1418" w:right="1418" w:bottom="1418" w:left="1418" w:header="567" w:footer="283" w:gutter="0"/>
          <w:cols w:space="708"/>
          <w:docGrid w:linePitch="360"/>
        </w:sectPr>
      </w:pPr>
      <w:r>
        <w:rPr>
          <w:rFonts w:ascii="Cambria" w:hAnsi="Cambria"/>
          <w:i/>
          <w:iCs/>
        </w:rPr>
        <w:t>Phytophthora ramorum</w:t>
      </w:r>
      <w:r>
        <w:rPr>
          <w:rFonts w:ascii="Cambria" w:hAnsi="Cambria"/>
          <w:iCs/>
        </w:rPr>
        <w:t xml:space="preserve"> can </w:t>
      </w:r>
      <w:r>
        <w:rPr>
          <w:rFonts w:ascii="Cambria" w:hAnsi="Cambria"/>
        </w:rPr>
        <w:t>survive for significant periods of time in soil (eight to 11 months) and growing media (&gt; 12 months) (Linderman &amp; Davis 2006a; Shishkoff 2007). Soil and growing media represent potential direct pathways if imported from areas where the pathogen occurs and if it is used for the planting of host plants (Parke &amp; Lewis 2007).</w:t>
      </w:r>
    </w:p>
    <w:p w:rsidR="00C74066" w:rsidRDefault="00F10705">
      <w:pPr>
        <w:pStyle w:val="Heading1"/>
        <w:pageBreakBefore w:val="0"/>
        <w:numPr>
          <w:ilvl w:val="0"/>
          <w:numId w:val="21"/>
        </w:numPr>
        <w:tabs>
          <w:tab w:val="clear" w:pos="432"/>
        </w:tabs>
        <w:spacing w:before="480" w:after="120"/>
        <w:ind w:left="357" w:hanging="357"/>
        <w:rPr>
          <w:rFonts w:eastAsiaTheme="majorEastAsia" w:cstheme="majorBidi"/>
          <w:b/>
          <w:color w:val="D52B1E"/>
          <w:sz w:val="34"/>
        </w:rPr>
      </w:pPr>
      <w:bookmarkStart w:id="143" w:name="_Toc434247475"/>
      <w:r>
        <w:rPr>
          <w:rFonts w:eastAsiaTheme="majorEastAsia" w:cstheme="majorBidi"/>
          <w:b/>
          <w:color w:val="D52B1E"/>
          <w:sz w:val="34"/>
        </w:rPr>
        <w:lastRenderedPageBreak/>
        <w:t xml:space="preserve">Pest risk assessment for </w:t>
      </w:r>
      <w:r>
        <w:rPr>
          <w:rFonts w:eastAsiaTheme="majorEastAsia" w:cstheme="majorBidi"/>
          <w:b/>
          <w:i/>
          <w:color w:val="D52B1E"/>
          <w:sz w:val="34"/>
        </w:rPr>
        <w:t>Phytophthora</w:t>
      </w:r>
      <w:r>
        <w:rPr>
          <w:rFonts w:eastAsiaTheme="majorEastAsia" w:cstheme="majorBidi"/>
          <w:b/>
          <w:color w:val="D52B1E"/>
          <w:sz w:val="34"/>
        </w:rPr>
        <w:t xml:space="preserve"> species</w:t>
      </w:r>
      <w:bookmarkEnd w:id="143"/>
    </w:p>
    <w:p w:rsidR="00C74066" w:rsidRDefault="00F10705">
      <w:pPr>
        <w:spacing w:before="200"/>
        <w:rPr>
          <w:rFonts w:ascii="Cambria" w:hAnsi="Cambria"/>
        </w:rPr>
      </w:pPr>
      <w:r>
        <w:rPr>
          <w:rFonts w:ascii="Cambria" w:hAnsi="Cambria"/>
          <w:i/>
          <w:iCs/>
        </w:rPr>
        <w:t xml:space="preserve">Phytophthora nemorosa </w:t>
      </w:r>
      <w:r>
        <w:rPr>
          <w:rFonts w:ascii="Cambria" w:hAnsi="Cambria"/>
        </w:rPr>
        <w:t xml:space="preserve">and </w:t>
      </w:r>
      <w:r>
        <w:rPr>
          <w:rFonts w:ascii="Cambria" w:hAnsi="Cambria"/>
          <w:i/>
          <w:iCs/>
        </w:rPr>
        <w:t>P. pseudosyringae</w:t>
      </w:r>
      <w:r>
        <w:rPr>
          <w:rFonts w:ascii="Cambria" w:hAnsi="Cambria"/>
        </w:rPr>
        <w:t xml:space="preserve"> are newly described species, detected during an intensive survey on </w:t>
      </w:r>
      <w:r>
        <w:rPr>
          <w:rFonts w:ascii="Cambria" w:hAnsi="Cambria"/>
          <w:i/>
          <w:iCs/>
        </w:rPr>
        <w:t xml:space="preserve">P. ramorum </w:t>
      </w:r>
      <w:r>
        <w:rPr>
          <w:rFonts w:ascii="Cambria" w:hAnsi="Cambria"/>
        </w:rPr>
        <w:t xml:space="preserve">in California and Oregon, USA (Hansen </w:t>
      </w:r>
      <w:r>
        <w:rPr>
          <w:rFonts w:ascii="Cambria" w:hAnsi="Cambria"/>
          <w:iCs/>
        </w:rPr>
        <w:t>et al.</w:t>
      </w:r>
      <w:r>
        <w:rPr>
          <w:rFonts w:ascii="Cambria" w:hAnsi="Cambria"/>
          <w:i/>
          <w:iCs/>
        </w:rPr>
        <w:t xml:space="preserve"> </w:t>
      </w:r>
      <w:r>
        <w:rPr>
          <w:rFonts w:ascii="Cambria" w:hAnsi="Cambria"/>
        </w:rPr>
        <w:t xml:space="preserve">2003a). A similar survey in the UK found </w:t>
      </w:r>
      <w:r>
        <w:rPr>
          <w:rFonts w:ascii="Cambria" w:hAnsi="Cambria"/>
          <w:i/>
          <w:iCs/>
        </w:rPr>
        <w:t>P. kernoviae</w:t>
      </w:r>
      <w:r>
        <w:rPr>
          <w:rFonts w:ascii="Cambria" w:hAnsi="Cambria"/>
        </w:rPr>
        <w:t xml:space="preserve">, which was isolated most frequently from </w:t>
      </w:r>
      <w:r>
        <w:rPr>
          <w:rFonts w:ascii="Cambria" w:hAnsi="Cambria"/>
          <w:i/>
          <w:iCs/>
        </w:rPr>
        <w:t>Fagus sylvatica</w:t>
      </w:r>
      <w:r>
        <w:rPr>
          <w:rFonts w:ascii="Cambria" w:hAnsi="Cambria"/>
        </w:rPr>
        <w:t xml:space="preserve"> </w:t>
      </w:r>
      <w:r w:rsidR="005C1229">
        <w:rPr>
          <w:rFonts w:ascii="Cambria" w:hAnsi="Cambria"/>
        </w:rPr>
        <w:t>and</w:t>
      </w:r>
      <w:r>
        <w:rPr>
          <w:rFonts w:ascii="Cambria" w:hAnsi="Cambria"/>
        </w:rPr>
        <w:t xml:space="preserve"> also from necrotic lesions of </w:t>
      </w:r>
      <w:r>
        <w:rPr>
          <w:rFonts w:ascii="Cambria" w:hAnsi="Cambria"/>
          <w:i/>
          <w:iCs/>
        </w:rPr>
        <w:t xml:space="preserve">Quercus robur </w:t>
      </w:r>
      <w:r>
        <w:rPr>
          <w:rFonts w:ascii="Cambria" w:hAnsi="Cambria"/>
        </w:rPr>
        <w:t xml:space="preserve">and </w:t>
      </w:r>
      <w:r>
        <w:rPr>
          <w:rFonts w:ascii="Cambria" w:hAnsi="Cambria"/>
          <w:i/>
          <w:iCs/>
        </w:rPr>
        <w:t xml:space="preserve">Liriodendron tulipifera </w:t>
      </w:r>
      <w:r>
        <w:rPr>
          <w:rFonts w:ascii="Cambria" w:hAnsi="Cambria"/>
        </w:rPr>
        <w:t xml:space="preserve">(Brasier </w:t>
      </w:r>
      <w:r>
        <w:rPr>
          <w:rFonts w:ascii="Cambria" w:hAnsi="Cambria"/>
          <w:iCs/>
        </w:rPr>
        <w:t>et al.</w:t>
      </w:r>
      <w:r>
        <w:rPr>
          <w:rFonts w:ascii="Cambria" w:hAnsi="Cambria"/>
          <w:i/>
          <w:iCs/>
        </w:rPr>
        <w:t xml:space="preserve"> </w:t>
      </w:r>
      <w:r>
        <w:rPr>
          <w:rFonts w:ascii="Cambria" w:hAnsi="Cambria"/>
        </w:rPr>
        <w:t xml:space="preserve">2005). These newly identified </w:t>
      </w:r>
      <w:r>
        <w:rPr>
          <w:rFonts w:ascii="Cambria" w:hAnsi="Cambria"/>
          <w:i/>
          <w:iCs/>
        </w:rPr>
        <w:t xml:space="preserve">Phytophthora </w:t>
      </w:r>
      <w:r>
        <w:rPr>
          <w:rFonts w:ascii="Cambria" w:hAnsi="Cambria"/>
        </w:rPr>
        <w:t xml:space="preserve">species </w:t>
      </w:r>
      <w:r w:rsidR="00C94339">
        <w:rPr>
          <w:rFonts w:ascii="Cambria" w:hAnsi="Cambria"/>
        </w:rPr>
        <w:t xml:space="preserve">are similar to </w:t>
      </w:r>
      <w:r>
        <w:rPr>
          <w:rFonts w:ascii="Cambria" w:hAnsi="Cambria"/>
          <w:i/>
          <w:iCs/>
        </w:rPr>
        <w:t xml:space="preserve">P. ramorum </w:t>
      </w:r>
      <w:r>
        <w:rPr>
          <w:rFonts w:ascii="Cambria" w:hAnsi="Cambria"/>
        </w:rPr>
        <w:t>in several biological aspects, including the production of deciduous sporangia adapted for aerial dispersal, similar host ranges and occurrence in similar geographic region</w:t>
      </w:r>
      <w:r w:rsidR="00C94339">
        <w:rPr>
          <w:rFonts w:ascii="Cambria" w:hAnsi="Cambria"/>
        </w:rPr>
        <w:t>s</w:t>
      </w:r>
      <w:r>
        <w:rPr>
          <w:rFonts w:ascii="Cambria" w:hAnsi="Cambria"/>
        </w:rPr>
        <w:t xml:space="preserve"> (Webber 2008; Yakabe </w:t>
      </w:r>
      <w:r>
        <w:rPr>
          <w:rFonts w:ascii="Cambria" w:hAnsi="Cambria"/>
          <w:iCs/>
        </w:rPr>
        <w:t>et al</w:t>
      </w:r>
      <w:r>
        <w:rPr>
          <w:rFonts w:ascii="Cambria" w:hAnsi="Cambria"/>
        </w:rPr>
        <w:t xml:space="preserve">. 2009; Grünwald </w:t>
      </w:r>
      <w:r>
        <w:rPr>
          <w:rFonts w:ascii="Cambria" w:hAnsi="Cambria"/>
          <w:iCs/>
        </w:rPr>
        <w:t>et al</w:t>
      </w:r>
      <w:r>
        <w:rPr>
          <w:rFonts w:ascii="Cambria" w:hAnsi="Cambria"/>
        </w:rPr>
        <w:t xml:space="preserve">. 2011); therefore, this PRA covers all of these pathogens. </w:t>
      </w:r>
    </w:p>
    <w:p w:rsidR="00C74066" w:rsidRDefault="00F10705">
      <w:pPr>
        <w:spacing w:before="200"/>
        <w:rPr>
          <w:rFonts w:ascii="Cambria" w:hAnsi="Cambria"/>
        </w:rPr>
      </w:pPr>
      <w:r>
        <w:rPr>
          <w:rFonts w:ascii="Cambria" w:hAnsi="Cambria"/>
          <w:i/>
          <w:iCs/>
        </w:rPr>
        <w:t xml:space="preserve">Phytophthora </w:t>
      </w:r>
      <w:r>
        <w:rPr>
          <w:rFonts w:ascii="Cambria" w:hAnsi="Cambria"/>
        </w:rPr>
        <w:t xml:space="preserve">species are considered the most destructive pathogens of oak and non-oak plants as they cause a variety of direct and indirect economic impacts, such as reduced yield, reduced commodity value and the loss of foreign or domestic markets (Rizzo </w:t>
      </w:r>
      <w:r>
        <w:rPr>
          <w:rFonts w:ascii="Cambria" w:hAnsi="Cambria"/>
          <w:iCs/>
        </w:rPr>
        <w:t>et al</w:t>
      </w:r>
      <w:r>
        <w:rPr>
          <w:rFonts w:ascii="Cambria" w:hAnsi="Cambria"/>
        </w:rPr>
        <w:t xml:space="preserve">. 2002b; Dart &amp; Chastagner 2007; Grünwald et al. 2008c). The assessed </w:t>
      </w:r>
      <w:r>
        <w:rPr>
          <w:rFonts w:ascii="Cambria" w:hAnsi="Cambria"/>
          <w:i/>
          <w:iCs/>
        </w:rPr>
        <w:t xml:space="preserve">Phytophthora </w:t>
      </w:r>
      <w:r>
        <w:rPr>
          <w:rFonts w:ascii="Cambria" w:hAnsi="Cambria"/>
        </w:rPr>
        <w:t>species (</w:t>
      </w:r>
      <w:r>
        <w:rPr>
          <w:rFonts w:ascii="Cambria" w:hAnsi="Cambria"/>
          <w:i/>
          <w:iCs/>
        </w:rPr>
        <w:t>P. ramorum,</w:t>
      </w:r>
      <w:r>
        <w:rPr>
          <w:rFonts w:ascii="Cambria" w:hAnsi="Cambria"/>
        </w:rPr>
        <w:t xml:space="preserve"> </w:t>
      </w:r>
      <w:r>
        <w:rPr>
          <w:rFonts w:ascii="Cambria" w:hAnsi="Cambria"/>
          <w:i/>
          <w:iCs/>
        </w:rPr>
        <w:t>P. kernoviae</w:t>
      </w:r>
      <w:r>
        <w:rPr>
          <w:rFonts w:ascii="Cambria" w:hAnsi="Cambria"/>
        </w:rPr>
        <w:t xml:space="preserve">, </w:t>
      </w:r>
      <w:r>
        <w:rPr>
          <w:rFonts w:ascii="Cambria" w:hAnsi="Cambria"/>
          <w:i/>
          <w:iCs/>
        </w:rPr>
        <w:t xml:space="preserve">P. nemorosa </w:t>
      </w:r>
      <w:r>
        <w:rPr>
          <w:rFonts w:ascii="Cambria" w:hAnsi="Cambria"/>
          <w:iCs/>
        </w:rPr>
        <w:t xml:space="preserve">and </w:t>
      </w:r>
      <w:r>
        <w:rPr>
          <w:rFonts w:ascii="Cambria" w:hAnsi="Cambria"/>
          <w:i/>
          <w:iCs/>
        </w:rPr>
        <w:t>P. pseudosyringae</w:t>
      </w:r>
      <w:r>
        <w:rPr>
          <w:rFonts w:ascii="Cambria" w:hAnsi="Cambria"/>
          <w:iCs/>
        </w:rPr>
        <w:t>)</w:t>
      </w:r>
      <w:r>
        <w:rPr>
          <w:rFonts w:ascii="Cambria" w:hAnsi="Cambria"/>
        </w:rPr>
        <w:t xml:space="preserve"> are not present in Australia</w:t>
      </w:r>
      <w:r>
        <w:rPr>
          <w:rFonts w:ascii="Cambria" w:hAnsi="Cambria"/>
          <w:iCs/>
        </w:rPr>
        <w:t xml:space="preserve"> and </w:t>
      </w:r>
      <w:r>
        <w:rPr>
          <w:rFonts w:ascii="Cambria" w:hAnsi="Cambria"/>
        </w:rPr>
        <w:t>fulfil the International Plant Protection Convention (IPPC) criteria for a quarantine pest. In this PRA, propagative material (</w:t>
      </w:r>
      <w:r w:rsidR="005277FA">
        <w:rPr>
          <w:rFonts w:ascii="Cambria" w:hAnsi="Cambria"/>
        </w:rPr>
        <w:t xml:space="preserve">tissue cultures, </w:t>
      </w:r>
      <w:r>
        <w:rPr>
          <w:rFonts w:ascii="Cambria" w:hAnsi="Cambria"/>
        </w:rPr>
        <w:t>dormant cuttings, budwood and bare-rooted plants</w:t>
      </w:r>
      <w:r w:rsidR="005277FA">
        <w:rPr>
          <w:rFonts w:ascii="Cambria" w:hAnsi="Cambria"/>
        </w:rPr>
        <w:t>)</w:t>
      </w:r>
      <w:r>
        <w:rPr>
          <w:rFonts w:ascii="Cambria" w:hAnsi="Cambria"/>
        </w:rPr>
        <w:t xml:space="preserve"> are assessed as potential pathways for the importation of </w:t>
      </w:r>
      <w:r>
        <w:rPr>
          <w:rFonts w:ascii="Cambria" w:hAnsi="Cambria"/>
          <w:i/>
          <w:iCs/>
        </w:rPr>
        <w:t xml:space="preserve">Phytophthora </w:t>
      </w:r>
      <w:r>
        <w:rPr>
          <w:rFonts w:ascii="Cambria" w:hAnsi="Cambria"/>
        </w:rPr>
        <w:t xml:space="preserve">species into Australia; however, the risk assessment of these pathways are conducted together as the risk is deemed to be equivalent. </w:t>
      </w:r>
    </w:p>
    <w:p w:rsidR="00C74066" w:rsidRDefault="00F10705">
      <w:pPr>
        <w:pStyle w:val="Heading2"/>
        <w:numPr>
          <w:ilvl w:val="1"/>
          <w:numId w:val="21"/>
        </w:numPr>
        <w:tabs>
          <w:tab w:val="clear" w:pos="576"/>
        </w:tabs>
        <w:spacing w:before="200" w:after="120"/>
        <w:ind w:left="709" w:hanging="709"/>
        <w:rPr>
          <w:rFonts w:eastAsiaTheme="majorEastAsia" w:cstheme="majorBidi"/>
          <w:i/>
          <w:color w:val="773141"/>
          <w:sz w:val="28"/>
        </w:rPr>
      </w:pPr>
      <w:bookmarkStart w:id="144" w:name="_GoBack"/>
      <w:bookmarkStart w:id="145" w:name="_Toc434247476"/>
      <w:bookmarkEnd w:id="144"/>
      <w:r>
        <w:rPr>
          <w:rFonts w:eastAsiaTheme="majorEastAsia" w:cstheme="majorBidi"/>
          <w:i/>
          <w:color w:val="773141"/>
          <w:sz w:val="28"/>
        </w:rPr>
        <w:t xml:space="preserve">Phytophthora ramorum, P. kernoviae, P. nemorosa </w:t>
      </w:r>
      <w:r>
        <w:rPr>
          <w:rFonts w:eastAsiaTheme="majorEastAsia" w:cstheme="majorBidi"/>
          <w:color w:val="773141"/>
          <w:sz w:val="28"/>
        </w:rPr>
        <w:t xml:space="preserve">and </w:t>
      </w:r>
      <w:r>
        <w:rPr>
          <w:rFonts w:eastAsiaTheme="majorEastAsia" w:cstheme="majorBidi"/>
          <w:i/>
          <w:color w:val="773141"/>
          <w:sz w:val="28"/>
        </w:rPr>
        <w:t>P. pseudosyringae</w:t>
      </w:r>
      <w:bookmarkEnd w:id="145"/>
    </w:p>
    <w:p w:rsidR="00C74066" w:rsidRDefault="00F10705">
      <w:pPr>
        <w:spacing w:before="200"/>
        <w:rPr>
          <w:rFonts w:eastAsiaTheme="majorEastAsia"/>
        </w:rPr>
      </w:pPr>
      <w:r>
        <w:rPr>
          <w:rFonts w:ascii="Cambria" w:hAnsi="Cambria"/>
          <w:i/>
          <w:iCs/>
        </w:rPr>
        <w:t>Phytophthora</w:t>
      </w:r>
      <w:r>
        <w:rPr>
          <w:rFonts w:ascii="Cambria" w:hAnsi="Cambria"/>
        </w:rPr>
        <w:t xml:space="preserve"> </w:t>
      </w:r>
      <w:r>
        <w:rPr>
          <w:rFonts w:ascii="Cambria" w:hAnsi="Cambria"/>
          <w:i/>
          <w:iCs/>
        </w:rPr>
        <w:t>kernoviae</w:t>
      </w:r>
      <w:r>
        <w:rPr>
          <w:rFonts w:ascii="Cambria" w:hAnsi="Cambria"/>
        </w:rPr>
        <w:t xml:space="preserve">, </w:t>
      </w:r>
      <w:r>
        <w:rPr>
          <w:rFonts w:ascii="Cambria" w:hAnsi="Cambria"/>
          <w:i/>
          <w:iCs/>
        </w:rPr>
        <w:t xml:space="preserve">P. nemorosa </w:t>
      </w:r>
      <w:r>
        <w:rPr>
          <w:rFonts w:ascii="Cambria" w:hAnsi="Cambria"/>
          <w:iCs/>
        </w:rPr>
        <w:t xml:space="preserve">and </w:t>
      </w:r>
      <w:r>
        <w:rPr>
          <w:rFonts w:ascii="Cambria" w:hAnsi="Cambria"/>
          <w:i/>
          <w:iCs/>
        </w:rPr>
        <w:t>P. pseudosyringae</w:t>
      </w:r>
      <w:r>
        <w:rPr>
          <w:rFonts w:ascii="Cambria" w:hAnsi="Cambria"/>
        </w:rPr>
        <w:t xml:space="preserve"> share several biological attributes (biology, host range and symptoms) with </w:t>
      </w:r>
      <w:r>
        <w:rPr>
          <w:rFonts w:ascii="Cambria" w:hAnsi="Cambria"/>
          <w:i/>
        </w:rPr>
        <w:t>P. ramorum</w:t>
      </w:r>
      <w:r>
        <w:rPr>
          <w:rFonts w:ascii="Cambria" w:hAnsi="Cambria"/>
        </w:rPr>
        <w:t xml:space="preserve">. Therefore, the knowledge of ecology and biology of </w:t>
      </w:r>
      <w:r>
        <w:rPr>
          <w:rFonts w:ascii="Cambria" w:hAnsi="Cambria"/>
          <w:i/>
        </w:rPr>
        <w:t xml:space="preserve">P. ramorum </w:t>
      </w:r>
      <w:r>
        <w:rPr>
          <w:rFonts w:ascii="Cambria" w:hAnsi="Cambria"/>
        </w:rPr>
        <w:t xml:space="preserve">can reasonably be extended to the other species within this group. Consequently, for the purposes of this risk assessment, the biological information of </w:t>
      </w:r>
      <w:r>
        <w:rPr>
          <w:rFonts w:ascii="Cambria" w:hAnsi="Cambria"/>
          <w:i/>
          <w:iCs/>
        </w:rPr>
        <w:t>Phytophthora ramorum</w:t>
      </w:r>
      <w:r>
        <w:rPr>
          <w:rFonts w:ascii="Cambria" w:hAnsi="Cambria"/>
        </w:rPr>
        <w:t xml:space="preserve"> will be used to apply for all four species.</w:t>
      </w:r>
    </w:p>
    <w:p w:rsidR="00C74066" w:rsidRDefault="00F10705">
      <w:pPr>
        <w:pStyle w:val="Heading3"/>
        <w:keepLines/>
        <w:numPr>
          <w:ilvl w:val="2"/>
          <w:numId w:val="21"/>
        </w:numPr>
        <w:tabs>
          <w:tab w:val="clear" w:pos="720"/>
        </w:tabs>
        <w:spacing w:before="120" w:after="200"/>
        <w:ind w:left="357" w:hanging="357"/>
        <w:rPr>
          <w:rFonts w:ascii="Calibri" w:hAnsi="Calibri" w:cstheme="minorBidi"/>
          <w:sz w:val="24"/>
          <w:szCs w:val="22"/>
        </w:rPr>
      </w:pPr>
      <w:r>
        <w:rPr>
          <w:rFonts w:ascii="Calibri" w:hAnsi="Calibri" w:cstheme="minorBidi"/>
          <w:sz w:val="24"/>
          <w:szCs w:val="22"/>
        </w:rPr>
        <w:t>Likelihood of entry</w:t>
      </w:r>
    </w:p>
    <w:p w:rsidR="00C74066" w:rsidRDefault="00F10705">
      <w:pPr>
        <w:spacing w:before="200"/>
        <w:rPr>
          <w:rFonts w:ascii="Cambria" w:hAnsi="Cambria"/>
        </w:rPr>
      </w:pPr>
      <w:r>
        <w:rPr>
          <w:rFonts w:ascii="Cambria" w:hAnsi="Cambria"/>
        </w:rPr>
        <w:t xml:space="preserve">The likelihood of entry is divided for assessment purposes into the likelihood of importation (the likelihood that the </w:t>
      </w:r>
      <w:r>
        <w:rPr>
          <w:rFonts w:ascii="Cambria" w:hAnsi="Cambria"/>
          <w:i/>
        </w:rPr>
        <w:t xml:space="preserve">Phytophthora </w:t>
      </w:r>
      <w:r>
        <w:rPr>
          <w:rFonts w:ascii="Cambria" w:hAnsi="Cambria"/>
        </w:rPr>
        <w:t xml:space="preserve">species will arrive when host propagative material is imported) and likelihood of distribution (the likelihood that the </w:t>
      </w:r>
      <w:r>
        <w:rPr>
          <w:rFonts w:ascii="Cambria" w:hAnsi="Cambria"/>
          <w:i/>
        </w:rPr>
        <w:t xml:space="preserve">Phytophthora </w:t>
      </w:r>
      <w:r>
        <w:rPr>
          <w:rFonts w:ascii="Cambria" w:hAnsi="Cambria"/>
        </w:rPr>
        <w:t>species arrived on host propagative material and will be transferred to another suitable site on a susceptible host).</w:t>
      </w:r>
    </w:p>
    <w:p w:rsidR="00C74066" w:rsidRDefault="00F10705">
      <w:pPr>
        <w:pStyle w:val="Heading4"/>
        <w:spacing w:before="200"/>
      </w:pPr>
      <w:r>
        <w:t>Likelihood of importation</w:t>
      </w:r>
    </w:p>
    <w:p w:rsidR="00C74066" w:rsidRDefault="00F10705">
      <w:pPr>
        <w:spacing w:before="200"/>
        <w:rPr>
          <w:rFonts w:ascii="Cambria" w:hAnsi="Cambria"/>
        </w:rPr>
      </w:pPr>
      <w:r>
        <w:rPr>
          <w:rFonts w:ascii="Cambria" w:hAnsi="Cambria"/>
        </w:rPr>
        <w:t xml:space="preserve">The likelihood that the </w:t>
      </w:r>
      <w:bookmarkStart w:id="146" w:name="OLE_LINK1"/>
      <w:bookmarkStart w:id="147" w:name="OLE_LINK2"/>
      <w:r>
        <w:rPr>
          <w:rFonts w:ascii="Cambria" w:hAnsi="Cambria"/>
          <w:i/>
          <w:iCs/>
        </w:rPr>
        <w:t xml:space="preserve">Phytophthora </w:t>
      </w:r>
      <w:r>
        <w:rPr>
          <w:rFonts w:ascii="Cambria" w:hAnsi="Cambria"/>
          <w:iCs/>
        </w:rPr>
        <w:t>species</w:t>
      </w:r>
      <w:r>
        <w:rPr>
          <w:rFonts w:ascii="Cambria" w:hAnsi="Cambria"/>
        </w:rPr>
        <w:t xml:space="preserve"> </w:t>
      </w:r>
      <w:bookmarkEnd w:id="146"/>
      <w:bookmarkEnd w:id="147"/>
      <w:r>
        <w:rPr>
          <w:rFonts w:ascii="Cambria" w:hAnsi="Cambria"/>
        </w:rPr>
        <w:t xml:space="preserve">will arrive in Australia with trade in </w:t>
      </w:r>
      <w:r w:rsidR="005277FA">
        <w:rPr>
          <w:rFonts w:ascii="Cambria" w:hAnsi="Cambria"/>
        </w:rPr>
        <w:t xml:space="preserve">host plant propagative material </w:t>
      </w:r>
      <w:r>
        <w:rPr>
          <w:rFonts w:ascii="Cambria" w:hAnsi="Cambria"/>
        </w:rPr>
        <w:t xml:space="preserve">from countries where the pathogen is present is </w:t>
      </w:r>
      <w:r>
        <w:rPr>
          <w:rFonts w:ascii="Cambria" w:hAnsi="Cambria"/>
          <w:b/>
          <w:bCs/>
        </w:rPr>
        <w:t>HIGH</w:t>
      </w:r>
      <w:r>
        <w:rPr>
          <w:rFonts w:ascii="Cambria" w:hAnsi="Cambria"/>
        </w:rPr>
        <w:t>.</w:t>
      </w:r>
    </w:p>
    <w:p w:rsidR="00C74066" w:rsidRDefault="00F10705">
      <w:pPr>
        <w:pStyle w:val="Heading5"/>
        <w:spacing w:before="160" w:after="160"/>
      </w:pPr>
      <w:r>
        <w:t>Association of the pest with the pathway</w:t>
      </w:r>
    </w:p>
    <w:p w:rsidR="00C74066" w:rsidRDefault="00F10705">
      <w:pPr>
        <w:pStyle w:val="ListBullet"/>
        <w:tabs>
          <w:tab w:val="clear" w:pos="360"/>
          <w:tab w:val="num" w:pos="284"/>
        </w:tabs>
        <w:ind w:left="284" w:hanging="284"/>
        <w:rPr>
          <w:rFonts w:ascii="Cambria" w:hAnsi="Cambria"/>
        </w:rPr>
      </w:pPr>
      <w:bookmarkStart w:id="148" w:name="_Toc356671318"/>
      <w:r>
        <w:rPr>
          <w:rFonts w:ascii="Cambria" w:hAnsi="Cambria"/>
          <w:i/>
          <w:iCs/>
        </w:rPr>
        <w:t>Phytophthora ramorum</w:t>
      </w:r>
      <w:r>
        <w:rPr>
          <w:rFonts w:ascii="Cambria" w:hAnsi="Cambria"/>
        </w:rPr>
        <w:t xml:space="preserve"> has been reported in association with a wide range of host plants (Webber 2008; Yakabe </w:t>
      </w:r>
      <w:r>
        <w:rPr>
          <w:rFonts w:ascii="Cambria" w:hAnsi="Cambria"/>
          <w:iCs/>
        </w:rPr>
        <w:t>et al</w:t>
      </w:r>
      <w:r>
        <w:rPr>
          <w:rFonts w:ascii="Cambria" w:hAnsi="Cambria"/>
        </w:rPr>
        <w:t xml:space="preserve">. 2009; Grünwald </w:t>
      </w:r>
      <w:r>
        <w:rPr>
          <w:rFonts w:ascii="Cambria" w:hAnsi="Cambria"/>
          <w:iCs/>
        </w:rPr>
        <w:t>et al</w:t>
      </w:r>
      <w:r>
        <w:rPr>
          <w:rFonts w:ascii="Cambria" w:hAnsi="Cambria"/>
        </w:rPr>
        <w:t xml:space="preserve">. 2011) and has been introduced into several countries with trade in nursery stock. </w:t>
      </w:r>
      <w:r>
        <w:rPr>
          <w:rFonts w:ascii="Cambria" w:hAnsi="Cambria"/>
          <w:i/>
          <w:iCs/>
        </w:rPr>
        <w:t xml:space="preserve">Phytophthora ramorum </w:t>
      </w:r>
      <w:r>
        <w:rPr>
          <w:rFonts w:ascii="Cambria" w:hAnsi="Cambria"/>
          <w:iCs/>
        </w:rPr>
        <w:t xml:space="preserve">has been introduced </w:t>
      </w:r>
      <w:r>
        <w:rPr>
          <w:rFonts w:ascii="Cambria" w:hAnsi="Cambria"/>
          <w:iCs/>
        </w:rPr>
        <w:lastRenderedPageBreak/>
        <w:t xml:space="preserve">from an unknown country </w:t>
      </w:r>
      <w:r>
        <w:rPr>
          <w:rFonts w:ascii="Cambria" w:hAnsi="Cambria"/>
        </w:rPr>
        <w:t xml:space="preserve">into the USA and Europe, and </w:t>
      </w:r>
      <w:r>
        <w:rPr>
          <w:rFonts w:ascii="Cambria" w:hAnsi="Cambria"/>
          <w:i/>
          <w:iCs/>
        </w:rPr>
        <w:t xml:space="preserve">P. kernoviae </w:t>
      </w:r>
      <w:r>
        <w:rPr>
          <w:rFonts w:ascii="Cambria" w:hAnsi="Cambria"/>
        </w:rPr>
        <w:t xml:space="preserve">into the UK (Brasier </w:t>
      </w:r>
      <w:r>
        <w:rPr>
          <w:rFonts w:ascii="Cambria" w:hAnsi="Cambria"/>
          <w:iCs/>
        </w:rPr>
        <w:t>et al</w:t>
      </w:r>
      <w:r>
        <w:rPr>
          <w:rFonts w:ascii="Cambria" w:hAnsi="Cambria"/>
        </w:rPr>
        <w:t>. 2004a; Fichtner et al. 2012)</w:t>
      </w:r>
      <w:r>
        <w:rPr>
          <w:rFonts w:ascii="Cambria" w:hAnsi="Cambria"/>
          <w:i/>
        </w:rPr>
        <w:t>. Phytophthora</w:t>
      </w:r>
      <w:r>
        <w:rPr>
          <w:rFonts w:ascii="Cambria" w:hAnsi="Cambria"/>
          <w:i/>
          <w:iCs/>
        </w:rPr>
        <w:t xml:space="preserve"> kernoviae</w:t>
      </w:r>
      <w:r>
        <w:rPr>
          <w:rFonts w:ascii="Cambria" w:hAnsi="Cambria"/>
          <w:iCs/>
        </w:rPr>
        <w:t>,</w:t>
      </w:r>
      <w:r>
        <w:rPr>
          <w:rFonts w:ascii="Cambria" w:hAnsi="Cambria"/>
          <w:i/>
          <w:iCs/>
        </w:rPr>
        <w:t xml:space="preserve"> P. nemorosa </w:t>
      </w:r>
      <w:r>
        <w:rPr>
          <w:rFonts w:ascii="Cambria" w:hAnsi="Cambria"/>
        </w:rPr>
        <w:t xml:space="preserve">and </w:t>
      </w:r>
      <w:r>
        <w:rPr>
          <w:rFonts w:ascii="Cambria" w:hAnsi="Cambria"/>
          <w:i/>
          <w:iCs/>
        </w:rPr>
        <w:t>P. pseudosyringae</w:t>
      </w:r>
      <w:r>
        <w:rPr>
          <w:rFonts w:ascii="Cambria" w:hAnsi="Cambria"/>
        </w:rPr>
        <w:t xml:space="preserve"> have a similar host range, and occur in generally the same geographic region as </w:t>
      </w:r>
      <w:r>
        <w:rPr>
          <w:rFonts w:ascii="Cambria" w:hAnsi="Cambria"/>
          <w:i/>
          <w:iCs/>
        </w:rPr>
        <w:t>P. ramorum</w:t>
      </w:r>
      <w:r>
        <w:rPr>
          <w:rFonts w:ascii="Cambria" w:hAnsi="Cambria"/>
          <w:iCs/>
        </w:rPr>
        <w:t>;</w:t>
      </w:r>
      <w:r>
        <w:rPr>
          <w:rFonts w:ascii="Cambria" w:hAnsi="Cambria"/>
          <w:i/>
          <w:iCs/>
        </w:rPr>
        <w:t xml:space="preserve"> </w:t>
      </w:r>
      <w:r>
        <w:rPr>
          <w:rFonts w:ascii="Cambria" w:hAnsi="Cambria"/>
          <w:iCs/>
        </w:rPr>
        <w:t>t</w:t>
      </w:r>
      <w:r>
        <w:rPr>
          <w:rFonts w:ascii="Cambria" w:hAnsi="Cambria"/>
        </w:rPr>
        <w:t xml:space="preserve">herefore, these </w:t>
      </w:r>
      <w:r>
        <w:rPr>
          <w:rFonts w:ascii="Cambria" w:hAnsi="Cambria"/>
          <w:i/>
          <w:iCs/>
        </w:rPr>
        <w:t xml:space="preserve">Phytophthora </w:t>
      </w:r>
      <w:r>
        <w:rPr>
          <w:rFonts w:ascii="Cambria" w:hAnsi="Cambria"/>
          <w:iCs/>
        </w:rPr>
        <w:t xml:space="preserve">species are </w:t>
      </w:r>
      <w:r>
        <w:rPr>
          <w:rFonts w:ascii="Cambria" w:hAnsi="Cambria"/>
        </w:rPr>
        <w:t>associated with the</w:t>
      </w:r>
      <w:r w:rsidR="009556EB">
        <w:rPr>
          <w:rFonts w:ascii="Cambria" w:hAnsi="Cambria"/>
        </w:rPr>
        <w:t xml:space="preserve"> nursery stock</w:t>
      </w:r>
      <w:r>
        <w:rPr>
          <w:rFonts w:ascii="Cambria" w:hAnsi="Cambria"/>
        </w:rPr>
        <w:t xml:space="preserve"> pathway.</w:t>
      </w:r>
    </w:p>
    <w:p w:rsidR="00C74066" w:rsidRDefault="00F10705">
      <w:pPr>
        <w:pStyle w:val="ListBullet"/>
        <w:tabs>
          <w:tab w:val="clear" w:pos="360"/>
          <w:tab w:val="num" w:pos="284"/>
        </w:tabs>
        <w:ind w:left="284" w:hanging="284"/>
        <w:rPr>
          <w:rFonts w:ascii="Cambria" w:hAnsi="Cambria"/>
        </w:rPr>
      </w:pPr>
      <w:r>
        <w:rPr>
          <w:rFonts w:ascii="Cambria" w:hAnsi="Cambria"/>
        </w:rPr>
        <w:t xml:space="preserve">The historical introduction of </w:t>
      </w:r>
      <w:r>
        <w:rPr>
          <w:rFonts w:ascii="Cambria" w:hAnsi="Cambria"/>
          <w:i/>
          <w:iCs/>
        </w:rPr>
        <w:t xml:space="preserve">P. ramorum </w:t>
      </w:r>
      <w:r>
        <w:rPr>
          <w:rFonts w:ascii="Cambria" w:hAnsi="Cambria"/>
        </w:rPr>
        <w:t xml:space="preserve">into California is linked to the nursery trade (Ivors </w:t>
      </w:r>
      <w:r>
        <w:rPr>
          <w:rFonts w:ascii="Cambria" w:hAnsi="Cambria"/>
          <w:iCs/>
        </w:rPr>
        <w:t>et al</w:t>
      </w:r>
      <w:r>
        <w:rPr>
          <w:rFonts w:ascii="Cambria" w:hAnsi="Cambria"/>
        </w:rPr>
        <w:t xml:space="preserve">. 2006; Mascheretti </w:t>
      </w:r>
      <w:r>
        <w:rPr>
          <w:rFonts w:ascii="Cambria" w:hAnsi="Cambria"/>
          <w:iCs/>
        </w:rPr>
        <w:t>et al</w:t>
      </w:r>
      <w:r>
        <w:rPr>
          <w:rFonts w:ascii="Cambria" w:hAnsi="Cambria"/>
        </w:rPr>
        <w:t xml:space="preserve">. 2008). </w:t>
      </w:r>
      <w:r>
        <w:rPr>
          <w:rFonts w:ascii="Cambria" w:hAnsi="Cambria"/>
          <w:i/>
          <w:iCs/>
        </w:rPr>
        <w:t xml:space="preserve">Phytophthora ramorum </w:t>
      </w:r>
      <w:r>
        <w:rPr>
          <w:rFonts w:ascii="Cambria" w:hAnsi="Cambria"/>
        </w:rPr>
        <w:t xml:space="preserve">was introduced into the USA and Europe via imported </w:t>
      </w:r>
      <w:r>
        <w:rPr>
          <w:rFonts w:ascii="Cambria" w:hAnsi="Cambria"/>
          <w:i/>
          <w:iCs/>
        </w:rPr>
        <w:t xml:space="preserve">Camellia, Rhododendron </w:t>
      </w:r>
      <w:r>
        <w:rPr>
          <w:rFonts w:ascii="Cambria" w:hAnsi="Cambria"/>
        </w:rPr>
        <w:t xml:space="preserve">or </w:t>
      </w:r>
      <w:r>
        <w:rPr>
          <w:rFonts w:ascii="Cambria" w:hAnsi="Cambria"/>
          <w:i/>
          <w:iCs/>
        </w:rPr>
        <w:t xml:space="preserve">Viburnum </w:t>
      </w:r>
      <w:r>
        <w:rPr>
          <w:rFonts w:ascii="Cambria" w:hAnsi="Cambria"/>
          <w:iCs/>
        </w:rPr>
        <w:t>species</w:t>
      </w:r>
      <w:r>
        <w:rPr>
          <w:rFonts w:ascii="Cambria" w:hAnsi="Cambria"/>
          <w:i/>
          <w:iCs/>
        </w:rPr>
        <w:t xml:space="preserve"> </w:t>
      </w:r>
      <w:r>
        <w:rPr>
          <w:rFonts w:ascii="Cambria" w:hAnsi="Cambria"/>
        </w:rPr>
        <w:t xml:space="preserve">nursery stock (Brasier 2007); therefore, the nursery trade is the most likely pathway for the introduction of </w:t>
      </w:r>
      <w:r>
        <w:rPr>
          <w:rFonts w:ascii="Cambria" w:hAnsi="Cambria"/>
          <w:i/>
          <w:iCs/>
        </w:rPr>
        <w:t xml:space="preserve">P. ramorum </w:t>
      </w:r>
      <w:r>
        <w:rPr>
          <w:rFonts w:ascii="Cambria" w:hAnsi="Cambria"/>
        </w:rPr>
        <w:t xml:space="preserve">(Ivors </w:t>
      </w:r>
      <w:r>
        <w:rPr>
          <w:rFonts w:ascii="Cambria" w:hAnsi="Cambria"/>
          <w:iCs/>
        </w:rPr>
        <w:t>et al</w:t>
      </w:r>
      <w:r>
        <w:rPr>
          <w:rFonts w:ascii="Cambria" w:hAnsi="Cambria"/>
        </w:rPr>
        <w:t xml:space="preserve">. 2006; Grünwald </w:t>
      </w:r>
      <w:r>
        <w:rPr>
          <w:rFonts w:ascii="Cambria" w:hAnsi="Cambria"/>
          <w:iCs/>
        </w:rPr>
        <w:t>et al</w:t>
      </w:r>
      <w:r>
        <w:rPr>
          <w:rFonts w:ascii="Cambria" w:hAnsi="Cambria"/>
        </w:rPr>
        <w:t xml:space="preserve">. 2008a; Prospero </w:t>
      </w:r>
      <w:r>
        <w:rPr>
          <w:rFonts w:ascii="Cambria" w:hAnsi="Cambria"/>
          <w:iCs/>
        </w:rPr>
        <w:t>et al</w:t>
      </w:r>
      <w:r>
        <w:rPr>
          <w:rFonts w:ascii="Cambria" w:hAnsi="Cambria"/>
        </w:rPr>
        <w:t>. 2009) at both continental and worldwide scales. Consequently, trade in n</w:t>
      </w:r>
      <w:r w:rsidR="009556EB">
        <w:rPr>
          <w:rFonts w:ascii="Cambria" w:hAnsi="Cambria"/>
        </w:rPr>
        <w:t>ursery stock of infected hosts is likely to</w:t>
      </w:r>
      <w:r>
        <w:rPr>
          <w:rFonts w:ascii="Cambria" w:hAnsi="Cambria"/>
        </w:rPr>
        <w:t xml:space="preserve"> result in the introduction of </w:t>
      </w:r>
      <w:r>
        <w:rPr>
          <w:rFonts w:ascii="Cambria" w:hAnsi="Cambria"/>
          <w:i/>
          <w:iCs/>
        </w:rPr>
        <w:t xml:space="preserve">Phytophthora </w:t>
      </w:r>
      <w:r>
        <w:rPr>
          <w:rFonts w:ascii="Cambria" w:hAnsi="Cambria"/>
          <w:iCs/>
        </w:rPr>
        <w:t>species</w:t>
      </w:r>
      <w:r>
        <w:rPr>
          <w:rFonts w:ascii="Cambria" w:hAnsi="Cambria"/>
        </w:rPr>
        <w:t xml:space="preserve"> into Australia.</w:t>
      </w:r>
    </w:p>
    <w:bookmarkEnd w:id="148"/>
    <w:p w:rsidR="00C74066" w:rsidRDefault="00F10705">
      <w:pPr>
        <w:pStyle w:val="ListBullet"/>
        <w:tabs>
          <w:tab w:val="clear" w:pos="360"/>
          <w:tab w:val="num" w:pos="284"/>
        </w:tabs>
        <w:ind w:left="284" w:hanging="284"/>
        <w:rPr>
          <w:rFonts w:ascii="Cambria" w:hAnsi="Cambria"/>
        </w:rPr>
      </w:pPr>
      <w:r>
        <w:rPr>
          <w:rFonts w:ascii="Cambria" w:hAnsi="Cambria"/>
          <w:i/>
          <w:iCs/>
        </w:rPr>
        <w:t>Phytophthora kernoviae, P. nemorosa,</w:t>
      </w:r>
      <w:r>
        <w:rPr>
          <w:rFonts w:ascii="Cambria" w:hAnsi="Cambria"/>
        </w:rPr>
        <w:t xml:space="preserve"> </w:t>
      </w:r>
      <w:r>
        <w:rPr>
          <w:rFonts w:ascii="Cambria" w:hAnsi="Cambria"/>
          <w:i/>
          <w:iCs/>
        </w:rPr>
        <w:t>P. pseudosyringae</w:t>
      </w:r>
      <w:r>
        <w:rPr>
          <w:rFonts w:ascii="Cambria" w:hAnsi="Cambria"/>
        </w:rPr>
        <w:t xml:space="preserve"> and </w:t>
      </w:r>
      <w:r>
        <w:rPr>
          <w:rFonts w:ascii="Cambria" w:hAnsi="Cambria"/>
          <w:i/>
        </w:rPr>
        <w:t xml:space="preserve">P. ramorum </w:t>
      </w:r>
      <w:r>
        <w:rPr>
          <w:rFonts w:ascii="Cambria" w:hAnsi="Cambria"/>
        </w:rPr>
        <w:t xml:space="preserve">have a significant aerial component to their life cycle (Davidson </w:t>
      </w:r>
      <w:r>
        <w:rPr>
          <w:rFonts w:ascii="Cambria" w:hAnsi="Cambria"/>
          <w:iCs/>
        </w:rPr>
        <w:t>et al</w:t>
      </w:r>
      <w:r>
        <w:rPr>
          <w:rFonts w:ascii="Cambria" w:hAnsi="Cambria"/>
        </w:rPr>
        <w:t xml:space="preserve">. 2005; 2008; Martin </w:t>
      </w:r>
      <w:r>
        <w:rPr>
          <w:rFonts w:ascii="Cambria" w:hAnsi="Cambria"/>
          <w:iCs/>
        </w:rPr>
        <w:t>et al</w:t>
      </w:r>
      <w:r>
        <w:rPr>
          <w:rFonts w:ascii="Cambria" w:hAnsi="Cambria"/>
        </w:rPr>
        <w:t xml:space="preserve">. 2012). Some plants are hosts to multiple </w:t>
      </w:r>
      <w:r>
        <w:rPr>
          <w:rFonts w:ascii="Cambria" w:hAnsi="Cambria"/>
          <w:i/>
          <w:iCs/>
        </w:rPr>
        <w:t xml:space="preserve">Phytophthora </w:t>
      </w:r>
      <w:r>
        <w:rPr>
          <w:rFonts w:ascii="Cambria" w:hAnsi="Cambria"/>
        </w:rPr>
        <w:t xml:space="preserve">species, thus increasing the probability of inadvertently introducing different </w:t>
      </w:r>
      <w:r>
        <w:rPr>
          <w:rFonts w:ascii="Cambria" w:hAnsi="Cambria"/>
          <w:i/>
        </w:rPr>
        <w:t xml:space="preserve">Phytophthora </w:t>
      </w:r>
      <w:r>
        <w:rPr>
          <w:rFonts w:ascii="Cambria" w:hAnsi="Cambria"/>
        </w:rPr>
        <w:t>species</w:t>
      </w:r>
      <w:r>
        <w:rPr>
          <w:rFonts w:ascii="Cambria" w:hAnsi="Cambria"/>
          <w:i/>
        </w:rPr>
        <w:t xml:space="preserve"> </w:t>
      </w:r>
      <w:r>
        <w:rPr>
          <w:rFonts w:ascii="Cambria" w:hAnsi="Cambria"/>
        </w:rPr>
        <w:t>into new areas.</w:t>
      </w:r>
    </w:p>
    <w:p w:rsidR="00C74066" w:rsidRDefault="00F10705">
      <w:pPr>
        <w:pStyle w:val="ListBullet"/>
        <w:tabs>
          <w:tab w:val="clear" w:pos="360"/>
          <w:tab w:val="num" w:pos="284"/>
        </w:tabs>
        <w:ind w:left="284" w:hanging="284"/>
        <w:rPr>
          <w:rFonts w:ascii="Cambria" w:hAnsi="Cambria"/>
        </w:rPr>
      </w:pPr>
      <w:r>
        <w:rPr>
          <w:rFonts w:ascii="Cambria" w:hAnsi="Cambria"/>
          <w:i/>
          <w:iCs/>
        </w:rPr>
        <w:t xml:space="preserve">Phytophthora ramorum </w:t>
      </w:r>
      <w:r>
        <w:rPr>
          <w:rFonts w:ascii="Cambria" w:hAnsi="Cambria"/>
        </w:rPr>
        <w:t>is heterothallic</w:t>
      </w:r>
      <w:r>
        <w:rPr>
          <w:rFonts w:ascii="Cambria" w:hAnsi="Cambria"/>
          <w:i/>
          <w:iCs/>
        </w:rPr>
        <w:t xml:space="preserve"> </w:t>
      </w:r>
      <w:r>
        <w:rPr>
          <w:rFonts w:ascii="Cambria" w:hAnsi="Cambria"/>
        </w:rPr>
        <w:t xml:space="preserve">and requires two opposite mating types (A1 and A2) for sexual recombination (Ivors et al. 2006). Initially, only single mating types were identified in Europe (A1 mating type) and the United States (A2 mating type), indicating that </w:t>
      </w:r>
      <w:r>
        <w:rPr>
          <w:rFonts w:ascii="Cambria" w:hAnsi="Cambria"/>
          <w:i/>
        </w:rPr>
        <w:t xml:space="preserve">P. ramorum </w:t>
      </w:r>
      <w:r>
        <w:rPr>
          <w:rFonts w:ascii="Cambria" w:hAnsi="Cambria"/>
        </w:rPr>
        <w:t xml:space="preserve">was introduced into these countries (Ivors et al. 2006). More recently, both mating types have been identified in the United States and Europe and it is speculated that the commercial plant trade may have lead to multiple introductions of the pathogen (Werres &amp; De Merlier 2003; Ivors </w:t>
      </w:r>
      <w:r>
        <w:rPr>
          <w:rFonts w:ascii="Cambria" w:hAnsi="Cambria"/>
          <w:iCs/>
        </w:rPr>
        <w:t>et al</w:t>
      </w:r>
      <w:r>
        <w:rPr>
          <w:rFonts w:ascii="Cambria" w:hAnsi="Cambria"/>
        </w:rPr>
        <w:t xml:space="preserve">. 2006; Mascheretti </w:t>
      </w:r>
      <w:r>
        <w:rPr>
          <w:rFonts w:ascii="Cambria" w:hAnsi="Cambria"/>
          <w:iCs/>
        </w:rPr>
        <w:t>et al</w:t>
      </w:r>
      <w:r>
        <w:rPr>
          <w:rFonts w:ascii="Cambria" w:hAnsi="Cambria"/>
        </w:rPr>
        <w:t xml:space="preserve">. 2008). </w:t>
      </w:r>
    </w:p>
    <w:p w:rsidR="00C74066" w:rsidRDefault="00F10705">
      <w:pPr>
        <w:pStyle w:val="ListBullet"/>
        <w:tabs>
          <w:tab w:val="clear" w:pos="360"/>
          <w:tab w:val="num" w:pos="284"/>
        </w:tabs>
        <w:ind w:left="284" w:hanging="284"/>
        <w:rPr>
          <w:rFonts w:ascii="Cambria" w:hAnsi="Cambria"/>
        </w:rPr>
      </w:pPr>
      <w:r>
        <w:rPr>
          <w:rFonts w:ascii="Cambria" w:hAnsi="Cambria"/>
          <w:i/>
        </w:rPr>
        <w:t xml:space="preserve">Phytophthora ramorum </w:t>
      </w:r>
      <w:r>
        <w:rPr>
          <w:rFonts w:ascii="Cambria" w:hAnsi="Cambria"/>
        </w:rPr>
        <w:t xml:space="preserve">infects many different plant species in nurseries (Werres et al. 2001; Rizzo et al. 2002b; Davidson et al. 2003b). Symptoms include foliar necrosis, branch die-back, and lethal stem infection. The most common nursery stock hosts include several species and varieties within the genera </w:t>
      </w:r>
      <w:r>
        <w:rPr>
          <w:rFonts w:ascii="Cambria" w:hAnsi="Cambria"/>
          <w:i/>
        </w:rPr>
        <w:t>Camellia</w:t>
      </w:r>
      <w:r>
        <w:rPr>
          <w:rFonts w:ascii="Cambria" w:hAnsi="Cambria"/>
        </w:rPr>
        <w:t>,</w:t>
      </w:r>
      <w:r>
        <w:rPr>
          <w:rFonts w:ascii="Cambria" w:hAnsi="Cambria"/>
          <w:i/>
        </w:rPr>
        <w:t xml:space="preserve"> Rhododendron</w:t>
      </w:r>
      <w:r>
        <w:rPr>
          <w:rFonts w:ascii="Cambria" w:hAnsi="Cambria"/>
        </w:rPr>
        <w:t xml:space="preserve"> and </w:t>
      </w:r>
      <w:r>
        <w:rPr>
          <w:rFonts w:ascii="Cambria" w:hAnsi="Cambria"/>
          <w:i/>
        </w:rPr>
        <w:t>Viburnum</w:t>
      </w:r>
      <w:r>
        <w:rPr>
          <w:rFonts w:ascii="Cambria" w:hAnsi="Cambria"/>
        </w:rPr>
        <w:t xml:space="preserve"> (Huberli &amp; Garbelotto 2012).</w:t>
      </w:r>
    </w:p>
    <w:p w:rsidR="00C74066" w:rsidRDefault="00F10705">
      <w:pPr>
        <w:pStyle w:val="ListBullet"/>
        <w:tabs>
          <w:tab w:val="clear" w:pos="360"/>
          <w:tab w:val="num" w:pos="284"/>
        </w:tabs>
        <w:ind w:left="284" w:hanging="284"/>
        <w:rPr>
          <w:rFonts w:ascii="Cambria" w:hAnsi="Cambria"/>
        </w:rPr>
      </w:pPr>
      <w:r>
        <w:rPr>
          <w:rFonts w:ascii="Cambria" w:hAnsi="Cambria"/>
        </w:rPr>
        <w:t xml:space="preserve">Global trade and the associated movement of ornamental plant material across borders has introduced </w:t>
      </w:r>
      <w:r>
        <w:rPr>
          <w:rFonts w:ascii="Cambria" w:hAnsi="Cambria"/>
          <w:i/>
          <w:iCs/>
        </w:rPr>
        <w:t xml:space="preserve">P. ramorum </w:t>
      </w:r>
      <w:r>
        <w:rPr>
          <w:rFonts w:ascii="Cambria" w:hAnsi="Cambria"/>
        </w:rPr>
        <w:t xml:space="preserve">into new areas (Ivors </w:t>
      </w:r>
      <w:r>
        <w:rPr>
          <w:rFonts w:ascii="Cambria" w:hAnsi="Cambria"/>
          <w:iCs/>
        </w:rPr>
        <w:t>et al</w:t>
      </w:r>
      <w:r>
        <w:rPr>
          <w:rFonts w:ascii="Cambria" w:hAnsi="Cambria"/>
        </w:rPr>
        <w:t xml:space="preserve">. 2006; Mascheretti </w:t>
      </w:r>
      <w:r>
        <w:rPr>
          <w:rFonts w:ascii="Cambria" w:hAnsi="Cambria"/>
          <w:iCs/>
        </w:rPr>
        <w:t>et al</w:t>
      </w:r>
      <w:r>
        <w:rPr>
          <w:rFonts w:ascii="Cambria" w:hAnsi="Cambria"/>
        </w:rPr>
        <w:t xml:space="preserve">. 2008; Goss </w:t>
      </w:r>
      <w:r>
        <w:rPr>
          <w:rFonts w:ascii="Cambria" w:hAnsi="Cambria"/>
          <w:iCs/>
        </w:rPr>
        <w:t>et al</w:t>
      </w:r>
      <w:r>
        <w:rPr>
          <w:rFonts w:ascii="Cambria" w:hAnsi="Cambria"/>
        </w:rPr>
        <w:t xml:space="preserve">. 2011; Tsopelas </w:t>
      </w:r>
      <w:r>
        <w:rPr>
          <w:rFonts w:ascii="Cambria" w:hAnsi="Cambria"/>
          <w:iCs/>
        </w:rPr>
        <w:t>et al</w:t>
      </w:r>
      <w:r>
        <w:rPr>
          <w:rFonts w:ascii="Cambria" w:hAnsi="Cambria"/>
        </w:rPr>
        <w:t>. 2011; Alexander 2012)</w:t>
      </w:r>
      <w:r>
        <w:rPr>
          <w:rFonts w:ascii="Cambria" w:hAnsi="Cambria"/>
          <w:i/>
        </w:rPr>
        <w:t>. Phytophthora</w:t>
      </w:r>
      <w:r>
        <w:rPr>
          <w:rFonts w:ascii="Cambria" w:hAnsi="Cambria"/>
          <w:i/>
          <w:iCs/>
        </w:rPr>
        <w:t xml:space="preserve"> ramorum </w:t>
      </w:r>
      <w:r>
        <w:rPr>
          <w:rFonts w:ascii="Cambria" w:hAnsi="Cambria"/>
        </w:rPr>
        <w:t>has p</w:t>
      </w:r>
      <w:r>
        <w:rPr>
          <w:rFonts w:ascii="Cambria" w:hAnsi="Cambria"/>
          <w:shd w:val="clear" w:color="auto" w:fill="FFFFFF"/>
        </w:rPr>
        <w:t xml:space="preserve">rimarily been introduced on </w:t>
      </w:r>
      <w:r>
        <w:rPr>
          <w:rFonts w:ascii="Cambria" w:hAnsi="Cambria"/>
          <w:i/>
          <w:iCs/>
          <w:shd w:val="clear" w:color="auto" w:fill="FFFFFF"/>
        </w:rPr>
        <w:t xml:space="preserve">Camellia japonica, Kalmia latifolia, Leucothoe </w:t>
      </w:r>
      <w:r>
        <w:rPr>
          <w:rFonts w:ascii="Cambria" w:hAnsi="Cambria"/>
          <w:shd w:val="clear" w:color="auto" w:fill="FFFFFF"/>
        </w:rPr>
        <w:t xml:space="preserve">species, </w:t>
      </w:r>
      <w:r>
        <w:rPr>
          <w:rFonts w:ascii="Cambria" w:hAnsi="Cambria"/>
          <w:i/>
          <w:iCs/>
          <w:shd w:val="clear" w:color="auto" w:fill="FFFFFF"/>
        </w:rPr>
        <w:t xml:space="preserve">Pieris formosa </w:t>
      </w:r>
      <w:r>
        <w:rPr>
          <w:rFonts w:ascii="Cambria" w:hAnsi="Cambria"/>
          <w:shd w:val="clear" w:color="auto" w:fill="FFFFFF"/>
        </w:rPr>
        <w:t xml:space="preserve">var. </w:t>
      </w:r>
      <w:r>
        <w:rPr>
          <w:rFonts w:ascii="Cambria" w:hAnsi="Cambria"/>
          <w:i/>
          <w:iCs/>
          <w:shd w:val="clear" w:color="auto" w:fill="FFFFFF"/>
        </w:rPr>
        <w:t>forrestii, P</w:t>
      </w:r>
      <w:r w:rsidR="00B60484">
        <w:rPr>
          <w:rFonts w:ascii="Cambria" w:hAnsi="Cambria"/>
          <w:i/>
          <w:iCs/>
          <w:shd w:val="clear" w:color="auto" w:fill="FFFFFF"/>
        </w:rPr>
        <w:t>.</w:t>
      </w:r>
      <w:r>
        <w:rPr>
          <w:rFonts w:ascii="Cambria" w:hAnsi="Cambria"/>
          <w:i/>
          <w:iCs/>
          <w:shd w:val="clear" w:color="auto" w:fill="FFFFFF"/>
        </w:rPr>
        <w:t xml:space="preserve"> japonica, Rhododendron </w:t>
      </w:r>
      <w:r>
        <w:rPr>
          <w:rFonts w:ascii="Cambria" w:hAnsi="Cambria"/>
          <w:iCs/>
          <w:shd w:val="clear" w:color="auto" w:fill="FFFFFF"/>
        </w:rPr>
        <w:t>species</w:t>
      </w:r>
      <w:r>
        <w:rPr>
          <w:rFonts w:ascii="Cambria" w:hAnsi="Cambria"/>
          <w:i/>
          <w:iCs/>
          <w:shd w:val="clear" w:color="auto" w:fill="FFFFFF"/>
        </w:rPr>
        <w:t>, Syringa vulgaris</w:t>
      </w:r>
      <w:r>
        <w:rPr>
          <w:rFonts w:ascii="Cambria" w:hAnsi="Cambria"/>
          <w:shd w:val="clear" w:color="auto" w:fill="FFFFFF"/>
        </w:rPr>
        <w:t xml:space="preserve">, </w:t>
      </w:r>
      <w:r>
        <w:rPr>
          <w:rFonts w:ascii="Cambria" w:hAnsi="Cambria"/>
          <w:i/>
          <w:iCs/>
          <w:shd w:val="clear" w:color="auto" w:fill="FFFFFF"/>
        </w:rPr>
        <w:t xml:space="preserve">Taxus baccata </w:t>
      </w:r>
      <w:r>
        <w:rPr>
          <w:rFonts w:ascii="Cambria" w:hAnsi="Cambria"/>
          <w:iCs/>
          <w:shd w:val="clear" w:color="auto" w:fill="FFFFFF"/>
        </w:rPr>
        <w:t>and</w:t>
      </w:r>
      <w:r>
        <w:rPr>
          <w:rFonts w:ascii="Cambria" w:hAnsi="Cambria"/>
          <w:i/>
          <w:iCs/>
          <w:shd w:val="clear" w:color="auto" w:fill="FFFFFF"/>
        </w:rPr>
        <w:t xml:space="preserve"> Viburnum </w:t>
      </w:r>
      <w:r>
        <w:rPr>
          <w:rFonts w:ascii="Cambria" w:hAnsi="Cambria"/>
          <w:shd w:val="clear" w:color="auto" w:fill="FFFFFF"/>
        </w:rPr>
        <w:t xml:space="preserve">species (Werres &amp; De Merlier 2003; Husson </w:t>
      </w:r>
      <w:r>
        <w:rPr>
          <w:rFonts w:ascii="Cambria" w:hAnsi="Cambria"/>
          <w:iCs/>
          <w:shd w:val="clear" w:color="auto" w:fill="FFFFFF"/>
        </w:rPr>
        <w:t>et al</w:t>
      </w:r>
      <w:r>
        <w:rPr>
          <w:rFonts w:ascii="Cambria" w:hAnsi="Cambria"/>
          <w:shd w:val="clear" w:color="auto" w:fill="FFFFFF"/>
        </w:rPr>
        <w:t>. 2007)</w:t>
      </w:r>
      <w:r>
        <w:rPr>
          <w:rFonts w:ascii="Cambria" w:hAnsi="Cambria"/>
          <w:i/>
          <w:iCs/>
          <w:shd w:val="clear" w:color="auto" w:fill="FFFFFF"/>
        </w:rPr>
        <w:t>.</w:t>
      </w:r>
    </w:p>
    <w:p w:rsidR="00C74066" w:rsidRDefault="00F10705">
      <w:pPr>
        <w:pStyle w:val="AQISNum"/>
        <w:numPr>
          <w:ilvl w:val="0"/>
          <w:numId w:val="27"/>
        </w:numPr>
        <w:tabs>
          <w:tab w:val="clear" w:pos="680"/>
          <w:tab w:val="num" w:pos="840"/>
        </w:tabs>
        <w:spacing w:before="120" w:after="120" w:line="276" w:lineRule="auto"/>
        <w:ind w:left="839" w:hanging="482"/>
        <w:rPr>
          <w:rFonts w:asciiTheme="majorHAnsi" w:hAnsiTheme="majorHAnsi"/>
          <w:szCs w:val="22"/>
        </w:rPr>
      </w:pPr>
      <w:r>
        <w:rPr>
          <w:rFonts w:ascii="Cambria" w:hAnsi="Cambria"/>
          <w:i/>
          <w:iCs/>
          <w:spacing w:val="7"/>
          <w:szCs w:val="22"/>
        </w:rPr>
        <w:t>P</w:t>
      </w:r>
      <w:r>
        <w:rPr>
          <w:rFonts w:ascii="Cambria" w:hAnsi="Cambria"/>
          <w:i/>
          <w:iCs/>
          <w:szCs w:val="22"/>
        </w:rPr>
        <w:t>hytophthora</w:t>
      </w:r>
      <w:r>
        <w:rPr>
          <w:rFonts w:ascii="Cambria" w:hAnsi="Cambria"/>
          <w:i/>
          <w:iCs/>
          <w:spacing w:val="7"/>
          <w:szCs w:val="22"/>
        </w:rPr>
        <w:t xml:space="preserve"> ramorum </w:t>
      </w:r>
      <w:r>
        <w:rPr>
          <w:rFonts w:ascii="Cambria" w:hAnsi="Cambria"/>
          <w:szCs w:val="22"/>
        </w:rPr>
        <w:t xml:space="preserve">was introduced from one infected nursery (on </w:t>
      </w:r>
      <w:r>
        <w:rPr>
          <w:rFonts w:ascii="Cambria" w:hAnsi="Cambria"/>
          <w:i/>
          <w:iCs/>
          <w:szCs w:val="22"/>
        </w:rPr>
        <w:t>Camellia</w:t>
      </w:r>
      <w:r>
        <w:rPr>
          <w:rFonts w:ascii="Cambria" w:hAnsi="Cambria"/>
          <w:iCs/>
          <w:szCs w:val="22"/>
        </w:rPr>
        <w:t xml:space="preserve"> species</w:t>
      </w:r>
      <w:r>
        <w:rPr>
          <w:rFonts w:ascii="Cambria" w:hAnsi="Cambria"/>
          <w:szCs w:val="22"/>
        </w:rPr>
        <w:t xml:space="preserve">) to 21 states in the USA (Cave </w:t>
      </w:r>
      <w:r>
        <w:rPr>
          <w:rFonts w:ascii="Cambria" w:hAnsi="Cambria"/>
          <w:iCs/>
          <w:szCs w:val="22"/>
        </w:rPr>
        <w:t>et al</w:t>
      </w:r>
      <w:r>
        <w:rPr>
          <w:rFonts w:ascii="Cambria" w:hAnsi="Cambria"/>
          <w:szCs w:val="22"/>
        </w:rPr>
        <w:t xml:space="preserve">. 2008); with infected </w:t>
      </w:r>
      <w:r>
        <w:rPr>
          <w:rFonts w:ascii="Cambria" w:hAnsi="Cambria"/>
          <w:i/>
          <w:iCs/>
          <w:szCs w:val="22"/>
        </w:rPr>
        <w:t xml:space="preserve">Rhododendron </w:t>
      </w:r>
      <w:r>
        <w:rPr>
          <w:rFonts w:ascii="Cambria" w:hAnsi="Cambria"/>
          <w:iCs/>
          <w:szCs w:val="22"/>
        </w:rPr>
        <w:t xml:space="preserve">species </w:t>
      </w:r>
      <w:r>
        <w:rPr>
          <w:rFonts w:ascii="Cambria" w:hAnsi="Cambria"/>
          <w:szCs w:val="22"/>
        </w:rPr>
        <w:t xml:space="preserve">from Belgium to Greece (Tsopelas </w:t>
      </w:r>
      <w:r>
        <w:rPr>
          <w:rFonts w:ascii="Cambria" w:hAnsi="Cambria"/>
          <w:iCs/>
          <w:szCs w:val="22"/>
        </w:rPr>
        <w:t>et al</w:t>
      </w:r>
      <w:r>
        <w:rPr>
          <w:rFonts w:ascii="Cambria" w:hAnsi="Cambria"/>
          <w:szCs w:val="22"/>
        </w:rPr>
        <w:t>. 2011)</w:t>
      </w:r>
      <w:r w:rsidR="00B60484">
        <w:rPr>
          <w:rFonts w:ascii="Cambria" w:hAnsi="Cambria"/>
          <w:szCs w:val="22"/>
        </w:rPr>
        <w:t>;</w:t>
      </w:r>
      <w:r>
        <w:rPr>
          <w:rFonts w:ascii="Cambria" w:hAnsi="Cambria"/>
          <w:szCs w:val="22"/>
        </w:rPr>
        <w:t xml:space="preserve"> and from Germany and the Netherlands into Norway (Sundheim </w:t>
      </w:r>
      <w:r>
        <w:rPr>
          <w:rFonts w:ascii="Cambria" w:hAnsi="Cambria"/>
          <w:iCs/>
          <w:szCs w:val="22"/>
        </w:rPr>
        <w:t>et al</w:t>
      </w:r>
      <w:r w:rsidR="00B60484">
        <w:rPr>
          <w:rFonts w:ascii="Cambria" w:hAnsi="Cambria"/>
          <w:szCs w:val="22"/>
        </w:rPr>
        <w:t>. 2009).</w:t>
      </w:r>
      <w:r>
        <w:rPr>
          <w:rFonts w:ascii="Cambria" w:hAnsi="Cambria"/>
          <w:szCs w:val="22"/>
        </w:rPr>
        <w:t xml:space="preserve"> </w:t>
      </w:r>
      <w:r w:rsidR="00B60484">
        <w:rPr>
          <w:rFonts w:ascii="Cambria" w:hAnsi="Cambria"/>
          <w:szCs w:val="22"/>
        </w:rPr>
        <w:t>T</w:t>
      </w:r>
      <w:r>
        <w:rPr>
          <w:rFonts w:ascii="Cambria" w:hAnsi="Cambria"/>
          <w:szCs w:val="22"/>
        </w:rPr>
        <w:t>herefore, the movement of nursery plants is the main pathway for the introduction of this pathogen into new areas (Alexander 2012</w:t>
      </w:r>
      <w:r>
        <w:rPr>
          <w:rFonts w:asciiTheme="majorHAnsi" w:hAnsiTheme="majorHAnsi"/>
          <w:szCs w:val="22"/>
        </w:rPr>
        <w:t>).</w:t>
      </w:r>
    </w:p>
    <w:p w:rsidR="00C74066" w:rsidRDefault="00F10705">
      <w:pPr>
        <w:pStyle w:val="ListBullet"/>
        <w:tabs>
          <w:tab w:val="clear" w:pos="360"/>
          <w:tab w:val="num" w:pos="284"/>
        </w:tabs>
        <w:ind w:left="284" w:hanging="284"/>
        <w:rPr>
          <w:rFonts w:ascii="Cambria" w:hAnsi="Cambria"/>
        </w:rPr>
      </w:pPr>
      <w:r>
        <w:rPr>
          <w:rFonts w:ascii="Cambria" w:hAnsi="Cambria"/>
        </w:rPr>
        <w:t xml:space="preserve">The high degree of genetic similarity between </w:t>
      </w:r>
      <w:r>
        <w:rPr>
          <w:rFonts w:ascii="Cambria" w:hAnsi="Cambria"/>
          <w:i/>
        </w:rPr>
        <w:t xml:space="preserve">P. nemorosa </w:t>
      </w:r>
      <w:r>
        <w:rPr>
          <w:rFonts w:ascii="Cambria" w:hAnsi="Cambria"/>
        </w:rPr>
        <w:t xml:space="preserve">and </w:t>
      </w:r>
      <w:r>
        <w:rPr>
          <w:rFonts w:ascii="Cambria" w:hAnsi="Cambria"/>
          <w:i/>
        </w:rPr>
        <w:t>P. pseudosyringae</w:t>
      </w:r>
      <w:r>
        <w:rPr>
          <w:rFonts w:ascii="Cambria" w:hAnsi="Cambria"/>
        </w:rPr>
        <w:t xml:space="preserve"> and the lack of genetic structure within their range in western USA are consistent with the hypothesis of relatively recent introductions to the western USA (Linzer et al. 2009).</w:t>
      </w:r>
    </w:p>
    <w:p w:rsidR="00C74066" w:rsidRDefault="00F10705">
      <w:pPr>
        <w:pStyle w:val="Heading5"/>
        <w:spacing w:before="160" w:after="160"/>
      </w:pPr>
      <w:r>
        <w:lastRenderedPageBreak/>
        <w:t>Ability of the pest to survive transport and storage</w:t>
      </w:r>
    </w:p>
    <w:p w:rsidR="00C74066" w:rsidRDefault="00F10705">
      <w:pPr>
        <w:pStyle w:val="ListBullet"/>
        <w:tabs>
          <w:tab w:val="clear" w:pos="360"/>
          <w:tab w:val="num" w:pos="284"/>
        </w:tabs>
        <w:ind w:left="284" w:hanging="284"/>
        <w:rPr>
          <w:rFonts w:ascii="Cambria" w:hAnsi="Cambria"/>
        </w:rPr>
      </w:pPr>
      <w:r>
        <w:rPr>
          <w:rFonts w:ascii="Cambria" w:hAnsi="Cambria"/>
          <w:i/>
          <w:iCs/>
        </w:rPr>
        <w:t xml:space="preserve">Phytophthora ramorum </w:t>
      </w:r>
      <w:r>
        <w:rPr>
          <w:rFonts w:ascii="Cambria" w:hAnsi="Cambria"/>
        </w:rPr>
        <w:t>is very likely to survive during transport and storage since the primary conditions for survival are fulfilled by the presence of the live host plant and associated environmental conditions. Planting material is grown, packaged and shipped to areas conducive to their survival. The handling of nursery stock may not be detrimental to the survival of this pathogen. General transport conditions for potted plants range from 10 °C to 18 °C and 85 to 90 percent relative humidity (McGregor 1987)</w:t>
      </w:r>
      <w:r>
        <w:rPr>
          <w:rFonts w:ascii="Cambria" w:hAnsi="Cambria"/>
          <w:i/>
        </w:rPr>
        <w:t>. Phytophthora</w:t>
      </w:r>
      <w:r>
        <w:rPr>
          <w:rFonts w:ascii="Cambria" w:hAnsi="Cambria"/>
          <w:i/>
          <w:iCs/>
        </w:rPr>
        <w:t xml:space="preserve"> ramorum </w:t>
      </w:r>
      <w:r>
        <w:rPr>
          <w:rFonts w:ascii="Cambria" w:hAnsi="Cambria"/>
        </w:rPr>
        <w:t xml:space="preserve">has an optimum temperature range for survival and reproduction of 18 °C to 25 °C, with a minimum growth temperature of 2 °C and a maximum growth temperature of 26 °C to 30 °C (Werres </w:t>
      </w:r>
      <w:r>
        <w:rPr>
          <w:rFonts w:ascii="Cambria" w:hAnsi="Cambria"/>
          <w:iCs/>
        </w:rPr>
        <w:t>et al</w:t>
      </w:r>
      <w:r>
        <w:rPr>
          <w:rFonts w:ascii="Cambria" w:hAnsi="Cambria"/>
        </w:rPr>
        <w:t>.</w:t>
      </w:r>
      <w:r>
        <w:rPr>
          <w:rFonts w:ascii="Cambria" w:hAnsi="Cambria"/>
          <w:i/>
          <w:iCs/>
        </w:rPr>
        <w:t xml:space="preserve"> </w:t>
      </w:r>
      <w:r>
        <w:rPr>
          <w:rFonts w:ascii="Cambria" w:hAnsi="Cambria"/>
        </w:rPr>
        <w:t>2001). Pathogen growth is therefore likely to continue during transport within infected plant tissues.</w:t>
      </w:r>
    </w:p>
    <w:p w:rsidR="00C74066" w:rsidRDefault="00F10705">
      <w:pPr>
        <w:pStyle w:val="ListBullet"/>
        <w:keepNext/>
        <w:tabs>
          <w:tab w:val="clear" w:pos="360"/>
          <w:tab w:val="num" w:pos="284"/>
        </w:tabs>
        <w:ind w:left="284" w:hanging="284"/>
        <w:rPr>
          <w:rFonts w:ascii="Cambria" w:hAnsi="Cambria"/>
        </w:rPr>
      </w:pPr>
      <w:r>
        <w:rPr>
          <w:rFonts w:ascii="Cambria" w:hAnsi="Cambria"/>
          <w:i/>
          <w:iCs/>
        </w:rPr>
        <w:t xml:space="preserve">Phytophthora ramorum </w:t>
      </w:r>
      <w:r>
        <w:rPr>
          <w:rFonts w:ascii="Cambria" w:hAnsi="Cambria"/>
        </w:rPr>
        <w:t xml:space="preserve">produces sporangia on foliage and chlamydospores inside the infected host tissue (Pogoda &amp; Werres 2004; Parke &amp; Lewis 2007), which are unlikely to be dislodged during handling and shipping of nursery stock. Sporangia produced on infected tissues are able to survive a range of temperatures between 0 °C and 25 °C (Turner </w:t>
      </w:r>
      <w:r>
        <w:rPr>
          <w:rFonts w:ascii="Cambria" w:hAnsi="Cambria"/>
          <w:iCs/>
        </w:rPr>
        <w:t>et al.</w:t>
      </w:r>
      <w:r>
        <w:rPr>
          <w:rFonts w:ascii="Cambria" w:hAnsi="Cambria"/>
        </w:rPr>
        <w:t xml:space="preserve"> 2005; Turner &amp; Jennings 2008). Therefore, it is also likely that sporangia on host tissues will survive under most transport conditions.</w:t>
      </w:r>
    </w:p>
    <w:p w:rsidR="00C74066" w:rsidRDefault="00F10705">
      <w:pPr>
        <w:pStyle w:val="ListBullet"/>
        <w:tabs>
          <w:tab w:val="clear" w:pos="360"/>
          <w:tab w:val="num" w:pos="284"/>
        </w:tabs>
        <w:ind w:left="284" w:hanging="284"/>
        <w:rPr>
          <w:rFonts w:ascii="Cambria" w:hAnsi="Cambria"/>
        </w:rPr>
      </w:pPr>
      <w:r>
        <w:rPr>
          <w:rFonts w:ascii="Cambria" w:hAnsi="Cambria"/>
        </w:rPr>
        <w:t xml:space="preserve">The survival of </w:t>
      </w:r>
      <w:r>
        <w:rPr>
          <w:rFonts w:ascii="Cambria" w:hAnsi="Cambria"/>
          <w:i/>
          <w:iCs/>
        </w:rPr>
        <w:t xml:space="preserve">P. ramorum </w:t>
      </w:r>
      <w:r>
        <w:rPr>
          <w:rFonts w:ascii="Cambria" w:hAnsi="Cambria"/>
        </w:rPr>
        <w:t xml:space="preserve">in plants during transportation is demonstrated in the USA, where </w:t>
      </w:r>
      <w:r>
        <w:rPr>
          <w:rFonts w:ascii="Cambria" w:hAnsi="Cambria"/>
          <w:i/>
          <w:iCs/>
        </w:rPr>
        <w:t xml:space="preserve">P. ramorum </w:t>
      </w:r>
      <w:r>
        <w:rPr>
          <w:rFonts w:ascii="Cambria" w:hAnsi="Cambria"/>
        </w:rPr>
        <w:t xml:space="preserve">infected </w:t>
      </w:r>
      <w:r w:rsidR="00C91B60">
        <w:rPr>
          <w:rFonts w:ascii="Cambria" w:hAnsi="Cambria"/>
        </w:rPr>
        <w:t xml:space="preserve">nursery </w:t>
      </w:r>
      <w:r>
        <w:rPr>
          <w:rFonts w:ascii="Cambria" w:hAnsi="Cambria"/>
        </w:rPr>
        <w:t xml:space="preserve">stock from several states was traced to infected nurseries in California (Cave </w:t>
      </w:r>
      <w:r>
        <w:rPr>
          <w:rFonts w:ascii="Cambria" w:hAnsi="Cambria"/>
          <w:iCs/>
        </w:rPr>
        <w:t>et al</w:t>
      </w:r>
      <w:r>
        <w:rPr>
          <w:rFonts w:ascii="Cambria" w:hAnsi="Cambria"/>
        </w:rPr>
        <w:t xml:space="preserve">. 2008). In Europe, </w:t>
      </w:r>
      <w:r>
        <w:rPr>
          <w:rFonts w:ascii="Cambria" w:hAnsi="Cambria"/>
          <w:i/>
          <w:iCs/>
        </w:rPr>
        <w:t xml:space="preserve">P. ramorum </w:t>
      </w:r>
      <w:r>
        <w:rPr>
          <w:rFonts w:ascii="Cambria" w:hAnsi="Cambria"/>
        </w:rPr>
        <w:t xml:space="preserve">was introduced to Majorca, Spain via a shipment of infected </w:t>
      </w:r>
      <w:r>
        <w:rPr>
          <w:rFonts w:ascii="Cambria" w:hAnsi="Cambria"/>
          <w:i/>
        </w:rPr>
        <w:t xml:space="preserve">Rhododendron </w:t>
      </w:r>
      <w:r>
        <w:rPr>
          <w:rFonts w:ascii="Cambria" w:hAnsi="Cambria"/>
        </w:rPr>
        <w:t xml:space="preserve">species, and many of the infections found in nurseries in Europe could be traced to plants shipped from other nurseries (Davidson &amp; Shaw 2003; Lilja </w:t>
      </w:r>
      <w:r>
        <w:rPr>
          <w:rFonts w:ascii="Cambria" w:hAnsi="Cambria"/>
          <w:iCs/>
        </w:rPr>
        <w:t>et al.</w:t>
      </w:r>
      <w:r>
        <w:rPr>
          <w:rFonts w:ascii="Cambria" w:hAnsi="Cambria"/>
        </w:rPr>
        <w:t xml:space="preserve"> 2007; Rytkönen </w:t>
      </w:r>
      <w:r>
        <w:rPr>
          <w:rFonts w:ascii="Cambria" w:hAnsi="Cambria"/>
          <w:iCs/>
        </w:rPr>
        <w:t>et al.</w:t>
      </w:r>
      <w:r>
        <w:rPr>
          <w:rFonts w:ascii="Cambria" w:hAnsi="Cambria"/>
          <w:i/>
          <w:iCs/>
        </w:rPr>
        <w:t xml:space="preserve"> </w:t>
      </w:r>
      <w:r>
        <w:rPr>
          <w:rFonts w:ascii="Cambria" w:hAnsi="Cambria"/>
        </w:rPr>
        <w:t>2007).</w:t>
      </w:r>
    </w:p>
    <w:p w:rsidR="00C74066" w:rsidRDefault="00F10705">
      <w:pPr>
        <w:pStyle w:val="AQISNum"/>
        <w:numPr>
          <w:ilvl w:val="0"/>
          <w:numId w:val="27"/>
        </w:numPr>
        <w:tabs>
          <w:tab w:val="clear" w:pos="680"/>
          <w:tab w:val="num" w:pos="840"/>
        </w:tabs>
        <w:spacing w:before="120" w:after="120" w:line="276" w:lineRule="auto"/>
        <w:ind w:left="839" w:hanging="482"/>
        <w:rPr>
          <w:rFonts w:ascii="Cambria" w:hAnsi="Cambria"/>
          <w:szCs w:val="22"/>
        </w:rPr>
      </w:pPr>
      <w:r>
        <w:rPr>
          <w:rFonts w:ascii="Cambria" w:hAnsi="Cambria"/>
          <w:szCs w:val="22"/>
        </w:rPr>
        <w:t xml:space="preserve">Since the first discovery in Norway in 2002, </w:t>
      </w:r>
      <w:r>
        <w:rPr>
          <w:rFonts w:ascii="Cambria" w:hAnsi="Cambria"/>
          <w:i/>
          <w:iCs/>
          <w:szCs w:val="22"/>
        </w:rPr>
        <w:t xml:space="preserve">P. ramorum </w:t>
      </w:r>
      <w:r>
        <w:rPr>
          <w:rFonts w:ascii="Cambria" w:hAnsi="Cambria"/>
          <w:szCs w:val="22"/>
        </w:rPr>
        <w:t xml:space="preserve">has been intercepted at the Norwegian border on </w:t>
      </w:r>
      <w:r>
        <w:rPr>
          <w:rFonts w:ascii="Cambria" w:hAnsi="Cambria"/>
          <w:i/>
          <w:iCs/>
          <w:szCs w:val="22"/>
        </w:rPr>
        <w:t xml:space="preserve">Pieris japonica, Rhododendron </w:t>
      </w:r>
      <w:r>
        <w:rPr>
          <w:rFonts w:ascii="Cambria" w:hAnsi="Cambria"/>
          <w:szCs w:val="22"/>
        </w:rPr>
        <w:t xml:space="preserve">species and </w:t>
      </w:r>
      <w:r>
        <w:rPr>
          <w:rFonts w:ascii="Cambria" w:hAnsi="Cambria"/>
          <w:i/>
          <w:iCs/>
          <w:szCs w:val="22"/>
        </w:rPr>
        <w:t xml:space="preserve">Viburnum </w:t>
      </w:r>
      <w:r>
        <w:rPr>
          <w:rFonts w:ascii="Cambria" w:hAnsi="Cambria"/>
          <w:szCs w:val="22"/>
        </w:rPr>
        <w:t xml:space="preserve">species imported from European countries (Sundheim </w:t>
      </w:r>
      <w:r>
        <w:rPr>
          <w:rFonts w:ascii="Cambria" w:hAnsi="Cambria"/>
          <w:iCs/>
          <w:szCs w:val="22"/>
        </w:rPr>
        <w:t>et al</w:t>
      </w:r>
      <w:r>
        <w:rPr>
          <w:rFonts w:ascii="Cambria" w:hAnsi="Cambria"/>
          <w:szCs w:val="22"/>
        </w:rPr>
        <w:t xml:space="preserve">. 2009). The numerous interceptions of </w:t>
      </w:r>
      <w:r>
        <w:rPr>
          <w:rFonts w:ascii="Cambria" w:hAnsi="Cambria"/>
          <w:i/>
          <w:iCs/>
          <w:szCs w:val="22"/>
        </w:rPr>
        <w:t xml:space="preserve">P. ramorum </w:t>
      </w:r>
      <w:r>
        <w:rPr>
          <w:rFonts w:ascii="Cambria" w:hAnsi="Cambria"/>
          <w:szCs w:val="22"/>
        </w:rPr>
        <w:t>in the plant trade between European countries demonstrate the ability of this fungus to survive transport, storage handling and shipping of nursery stock (Figure 2).</w:t>
      </w:r>
    </w:p>
    <w:p w:rsidR="00C74066" w:rsidRDefault="00F10705">
      <w:pPr>
        <w:pStyle w:val="Caption"/>
        <w:rPr>
          <w:rFonts w:asciiTheme="majorHAnsi" w:eastAsiaTheme="majorEastAsia" w:hAnsiTheme="majorHAnsi" w:cstheme="majorBidi"/>
          <w:color w:val="595959" w:themeColor="text1" w:themeTint="A6"/>
          <w:sz w:val="20"/>
        </w:rPr>
      </w:pPr>
      <w:bookmarkStart w:id="149" w:name="_Toc428793974"/>
      <w:bookmarkStart w:id="150" w:name="_Toc429406125"/>
      <w:bookmarkStart w:id="151" w:name="_Toc429406253"/>
      <w:bookmarkStart w:id="152" w:name="_Toc429469964"/>
      <w:bookmarkStart w:id="153" w:name="_Toc430268657"/>
      <w:bookmarkStart w:id="154" w:name="_Toc433118113"/>
      <w:bookmarkStart w:id="155" w:name="_Toc433979960"/>
      <w:bookmarkStart w:id="156" w:name="_Toc434241814"/>
      <w:bookmarkStart w:id="157" w:name="_Toc434244227"/>
      <w:bookmarkStart w:id="158" w:name="_Toc434244754"/>
      <w:bookmarkStart w:id="159" w:name="_Toc434244765"/>
      <w:r>
        <w:rPr>
          <w:rFonts w:asciiTheme="majorHAnsi" w:eastAsiaTheme="majorEastAsia" w:hAnsiTheme="majorHAnsi" w:cstheme="majorBidi"/>
          <w:color w:val="595959" w:themeColor="text1" w:themeTint="A6"/>
          <w:sz w:val="20"/>
        </w:rPr>
        <w:t xml:space="preserve">Figure </w:t>
      </w:r>
      <w:r w:rsidR="00C57DCF">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Figure \* ARABIC </w:instrText>
      </w:r>
      <w:r w:rsidR="00C57DCF">
        <w:rPr>
          <w:rFonts w:asciiTheme="majorHAnsi" w:eastAsiaTheme="majorEastAsia" w:hAnsiTheme="majorHAnsi" w:cstheme="majorBidi"/>
          <w:color w:val="595959" w:themeColor="text1" w:themeTint="A6"/>
          <w:sz w:val="20"/>
        </w:rPr>
        <w:fldChar w:fldCharType="separate"/>
      </w:r>
      <w:r w:rsidR="00AF2121">
        <w:rPr>
          <w:rFonts w:asciiTheme="majorHAnsi" w:eastAsiaTheme="majorEastAsia" w:hAnsiTheme="majorHAnsi" w:cstheme="majorBidi"/>
          <w:noProof/>
          <w:color w:val="595959" w:themeColor="text1" w:themeTint="A6"/>
          <w:sz w:val="20"/>
        </w:rPr>
        <w:t>2</w:t>
      </w:r>
      <w:r w:rsidR="00C57DCF">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Interception of </w:t>
      </w:r>
      <w:r>
        <w:rPr>
          <w:rFonts w:asciiTheme="majorHAnsi" w:eastAsiaTheme="majorEastAsia" w:hAnsiTheme="majorHAnsi" w:cstheme="majorBidi"/>
          <w:i/>
          <w:color w:val="595959" w:themeColor="text1" w:themeTint="A6"/>
          <w:sz w:val="20"/>
        </w:rPr>
        <w:t>Phytophthora ramorum</w:t>
      </w:r>
      <w:r>
        <w:rPr>
          <w:rFonts w:asciiTheme="majorHAnsi" w:eastAsiaTheme="majorEastAsia" w:hAnsiTheme="majorHAnsi" w:cstheme="majorBidi"/>
          <w:color w:val="595959" w:themeColor="text1" w:themeTint="A6"/>
          <w:sz w:val="20"/>
        </w:rPr>
        <w:t xml:space="preserve"> in Europe</w:t>
      </w:r>
      <w:bookmarkEnd w:id="149"/>
      <w:bookmarkEnd w:id="150"/>
      <w:bookmarkEnd w:id="151"/>
      <w:bookmarkEnd w:id="152"/>
      <w:bookmarkEnd w:id="153"/>
      <w:bookmarkEnd w:id="154"/>
      <w:bookmarkEnd w:id="155"/>
      <w:bookmarkEnd w:id="156"/>
      <w:bookmarkEnd w:id="157"/>
      <w:bookmarkEnd w:id="158"/>
      <w:bookmarkEnd w:id="159"/>
    </w:p>
    <w:p w:rsidR="00C74066" w:rsidRDefault="00F10705">
      <w:pPr>
        <w:pStyle w:val="AQISText"/>
        <w:ind w:left="340"/>
        <w:jc w:val="center"/>
      </w:pPr>
      <w:r>
        <w:rPr>
          <w:noProof/>
          <w:lang w:eastAsia="en-AU"/>
        </w:rPr>
        <w:drawing>
          <wp:inline distT="0" distB="0" distL="0" distR="0">
            <wp:extent cx="3097782" cy="2250831"/>
            <wp:effectExtent l="19050" t="0" r="7368"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3102290" cy="2254106"/>
                    </a:xfrm>
                    <a:prstGeom prst="rect">
                      <a:avLst/>
                    </a:prstGeom>
                    <a:noFill/>
                    <a:ln w="9525">
                      <a:noFill/>
                      <a:miter lim="800000"/>
                      <a:headEnd/>
                      <a:tailEnd/>
                    </a:ln>
                  </pic:spPr>
                </pic:pic>
              </a:graphicData>
            </a:graphic>
          </wp:inline>
        </w:drawing>
      </w:r>
    </w:p>
    <w:p w:rsidR="00C74066" w:rsidRDefault="00F10705">
      <w:pPr>
        <w:pStyle w:val="FigureTableNoteSource"/>
        <w:ind w:left="340"/>
      </w:pPr>
      <w:r>
        <w:t>Arrow thickness is proportional to the number of interceptions; arrow direction shows the direction of the interception. Source: EFSA (2011).</w:t>
      </w:r>
    </w:p>
    <w:p w:rsidR="00C74066" w:rsidRDefault="00F10705">
      <w:pPr>
        <w:pStyle w:val="Heading5"/>
        <w:spacing w:before="160" w:after="160"/>
      </w:pPr>
      <w:r>
        <w:lastRenderedPageBreak/>
        <w:t>Ability of the pest to survive existing pest management procedures</w:t>
      </w:r>
    </w:p>
    <w:p w:rsidR="00C74066" w:rsidRDefault="00F10705">
      <w:pPr>
        <w:pStyle w:val="ListBullet"/>
        <w:tabs>
          <w:tab w:val="clear" w:pos="360"/>
          <w:tab w:val="num" w:pos="284"/>
        </w:tabs>
        <w:ind w:left="284" w:hanging="284"/>
        <w:rPr>
          <w:rFonts w:ascii="Cambria" w:hAnsi="Cambria"/>
        </w:rPr>
      </w:pPr>
      <w:r>
        <w:rPr>
          <w:rFonts w:ascii="Cambria" w:hAnsi="Cambria"/>
          <w:i/>
          <w:iCs/>
        </w:rPr>
        <w:t xml:space="preserve">Phytophthora </w:t>
      </w:r>
      <w:r>
        <w:rPr>
          <w:rFonts w:ascii="Cambria" w:hAnsi="Cambria"/>
        </w:rPr>
        <w:t xml:space="preserve">species are, in general, difficult to control. Fungicidal treatments in nursery stock against </w:t>
      </w:r>
      <w:r>
        <w:rPr>
          <w:rFonts w:ascii="Cambria" w:hAnsi="Cambria"/>
          <w:i/>
          <w:iCs/>
        </w:rPr>
        <w:t xml:space="preserve">P. ramorum </w:t>
      </w:r>
      <w:r>
        <w:rPr>
          <w:rFonts w:ascii="Cambria" w:hAnsi="Cambria"/>
        </w:rPr>
        <w:t xml:space="preserve">are more effective as ‘protectants’ than as ‘curatives’ as they will not exclude the pathogen from already infected plants (Tjosvold </w:t>
      </w:r>
      <w:r>
        <w:rPr>
          <w:rFonts w:ascii="Cambria" w:hAnsi="Cambria"/>
          <w:iCs/>
        </w:rPr>
        <w:t>et al.</w:t>
      </w:r>
      <w:r>
        <w:rPr>
          <w:rFonts w:ascii="Cambria" w:hAnsi="Cambria"/>
          <w:i/>
          <w:iCs/>
        </w:rPr>
        <w:t xml:space="preserve"> </w:t>
      </w:r>
      <w:r>
        <w:rPr>
          <w:rFonts w:ascii="Cambria" w:hAnsi="Cambria"/>
        </w:rPr>
        <w:t xml:space="preserve">2005; 2008). Therefore, fungicides used in the nursery will suppress symptoms caused by </w:t>
      </w:r>
      <w:r>
        <w:rPr>
          <w:rFonts w:ascii="Cambria" w:hAnsi="Cambria"/>
          <w:i/>
          <w:iCs/>
        </w:rPr>
        <w:t xml:space="preserve">Phytophthora </w:t>
      </w:r>
      <w:r>
        <w:rPr>
          <w:rFonts w:ascii="Cambria" w:hAnsi="Cambria"/>
        </w:rPr>
        <w:t>species but not cure infected plants.</w:t>
      </w:r>
    </w:p>
    <w:p w:rsidR="00C74066" w:rsidRDefault="00F10705">
      <w:pPr>
        <w:pStyle w:val="ListBullet"/>
        <w:tabs>
          <w:tab w:val="clear" w:pos="360"/>
          <w:tab w:val="num" w:pos="284"/>
        </w:tabs>
        <w:ind w:left="284" w:hanging="284"/>
        <w:rPr>
          <w:rFonts w:ascii="Cambria" w:hAnsi="Cambria"/>
        </w:rPr>
      </w:pPr>
      <w:r>
        <w:rPr>
          <w:rFonts w:ascii="Cambria" w:hAnsi="Cambria"/>
        </w:rPr>
        <w:t xml:space="preserve">The use of fungicides may lower infection rates but may not completely eliminate the pathogen. This assumption is supported by the detection of </w:t>
      </w:r>
      <w:r>
        <w:rPr>
          <w:rFonts w:ascii="Cambria" w:hAnsi="Cambria"/>
          <w:i/>
          <w:iCs/>
        </w:rPr>
        <w:t xml:space="preserve">P. ramorum </w:t>
      </w:r>
      <w:r>
        <w:rPr>
          <w:rFonts w:ascii="Cambria" w:hAnsi="Cambria"/>
        </w:rPr>
        <w:t xml:space="preserve">in consignments that were treated to eradicate </w:t>
      </w:r>
      <w:r>
        <w:rPr>
          <w:rFonts w:ascii="Cambria" w:hAnsi="Cambria"/>
          <w:i/>
          <w:iCs/>
        </w:rPr>
        <w:t>P. ramorum.</w:t>
      </w:r>
      <w:r>
        <w:rPr>
          <w:rFonts w:ascii="Cambria" w:hAnsi="Cambria"/>
        </w:rPr>
        <w:t xml:space="preserve"> Furthermore, the use of fungicides may also reduce the efficacy of detection in consignments. For this reason, the removal of </w:t>
      </w:r>
      <w:r>
        <w:rPr>
          <w:rFonts w:ascii="Cambria" w:hAnsi="Cambria"/>
          <w:i/>
          <w:iCs/>
        </w:rPr>
        <w:t xml:space="preserve">P. ramorum </w:t>
      </w:r>
      <w:r>
        <w:rPr>
          <w:rFonts w:ascii="Cambria" w:hAnsi="Cambria"/>
        </w:rPr>
        <w:t xml:space="preserve">from the consignment by treatment is not considered an appropriate measure to mitigate the risk posed by </w:t>
      </w:r>
      <w:r>
        <w:rPr>
          <w:rFonts w:ascii="Cambria" w:hAnsi="Cambria"/>
          <w:i/>
          <w:iCs/>
        </w:rPr>
        <w:t xml:space="preserve">Phytophthora </w:t>
      </w:r>
      <w:r>
        <w:rPr>
          <w:rFonts w:ascii="Cambria" w:hAnsi="Cambria"/>
        </w:rPr>
        <w:t>species.</w:t>
      </w:r>
    </w:p>
    <w:p w:rsidR="00C74066" w:rsidRDefault="00F10705">
      <w:pPr>
        <w:pStyle w:val="ListBullet"/>
        <w:tabs>
          <w:tab w:val="clear" w:pos="360"/>
          <w:tab w:val="num" w:pos="284"/>
        </w:tabs>
        <w:ind w:left="284" w:hanging="284"/>
        <w:rPr>
          <w:rFonts w:ascii="Cambria" w:hAnsi="Cambria"/>
        </w:rPr>
      </w:pPr>
      <w:r>
        <w:rPr>
          <w:rFonts w:ascii="Cambria" w:hAnsi="Cambria"/>
        </w:rPr>
        <w:t xml:space="preserve">No treatment can guarantee the removal of </w:t>
      </w:r>
      <w:r>
        <w:rPr>
          <w:rFonts w:ascii="Cambria" w:hAnsi="Cambria"/>
          <w:i/>
          <w:iCs/>
        </w:rPr>
        <w:t>P. ramorum</w:t>
      </w:r>
      <w:r>
        <w:rPr>
          <w:rFonts w:ascii="Cambria" w:hAnsi="Cambria"/>
        </w:rPr>
        <w:t xml:space="preserve"> from the consignments, with the exception of heat treatments (Garbelotto 2003; Aveskamp &amp; Wingelaar 2005; Swain </w:t>
      </w:r>
      <w:r>
        <w:rPr>
          <w:rFonts w:ascii="Cambria" w:hAnsi="Cambria"/>
          <w:iCs/>
        </w:rPr>
        <w:t>et al</w:t>
      </w:r>
      <w:r>
        <w:rPr>
          <w:rFonts w:ascii="Cambria" w:hAnsi="Cambria"/>
        </w:rPr>
        <w:t xml:space="preserve">. 2002; 2006). Heat treatments were considered an effective option for the sanitation of </w:t>
      </w:r>
      <w:r>
        <w:rPr>
          <w:rFonts w:ascii="Cambria" w:hAnsi="Cambria"/>
          <w:i/>
          <w:iCs/>
        </w:rPr>
        <w:t>P. ramorum</w:t>
      </w:r>
      <w:r>
        <w:rPr>
          <w:rFonts w:ascii="Cambria" w:hAnsi="Cambria"/>
        </w:rPr>
        <w:t xml:space="preserve"> plant material; however, these kinds of treatments can only be applied on non-living commodities.</w:t>
      </w:r>
    </w:p>
    <w:p w:rsidR="00C74066" w:rsidRDefault="00F10705">
      <w:pPr>
        <w:pStyle w:val="Heading4"/>
        <w:spacing w:before="200"/>
      </w:pPr>
      <w:r>
        <w:t>Likelihood of distribution (transfer to a susceptible host)</w:t>
      </w:r>
    </w:p>
    <w:p w:rsidR="00C74066" w:rsidRDefault="00F10705">
      <w:pPr>
        <w:pStyle w:val="AQISNum"/>
        <w:spacing w:before="200" w:line="276" w:lineRule="auto"/>
        <w:rPr>
          <w:rFonts w:ascii="Cambria" w:hAnsi="Cambria"/>
          <w:szCs w:val="22"/>
        </w:rPr>
      </w:pPr>
      <w:r>
        <w:rPr>
          <w:rFonts w:ascii="Cambria" w:hAnsi="Cambria"/>
          <w:szCs w:val="22"/>
        </w:rPr>
        <w:t xml:space="preserve">The likelihood that the </w:t>
      </w:r>
      <w:r>
        <w:rPr>
          <w:rFonts w:ascii="Cambria" w:hAnsi="Cambria"/>
          <w:i/>
          <w:iCs/>
          <w:szCs w:val="22"/>
        </w:rPr>
        <w:t xml:space="preserve">Phytophthora </w:t>
      </w:r>
      <w:r>
        <w:rPr>
          <w:rFonts w:ascii="Cambria" w:hAnsi="Cambria"/>
          <w:iCs/>
          <w:szCs w:val="22"/>
        </w:rPr>
        <w:t>species</w:t>
      </w:r>
      <w:r>
        <w:rPr>
          <w:rFonts w:ascii="Cambria" w:hAnsi="Cambria"/>
          <w:i/>
          <w:iCs/>
          <w:szCs w:val="22"/>
        </w:rPr>
        <w:t xml:space="preserve"> </w:t>
      </w:r>
      <w:r>
        <w:rPr>
          <w:rFonts w:ascii="Cambria" w:hAnsi="Cambria"/>
          <w:szCs w:val="22"/>
        </w:rPr>
        <w:t xml:space="preserve">will be distributed within Australia in a viable state with imported nursery stock (including ornamental plants and propagative material) and be transferred to a suitable host is </w:t>
      </w:r>
      <w:r>
        <w:rPr>
          <w:rFonts w:ascii="Cambria" w:hAnsi="Cambria"/>
          <w:b/>
          <w:bCs/>
          <w:szCs w:val="22"/>
        </w:rPr>
        <w:t>HIGH</w:t>
      </w:r>
      <w:r>
        <w:rPr>
          <w:rFonts w:ascii="Cambria" w:hAnsi="Cambria"/>
          <w:szCs w:val="22"/>
        </w:rPr>
        <w:t>.</w:t>
      </w:r>
    </w:p>
    <w:p w:rsidR="00C74066" w:rsidRDefault="00F10705">
      <w:pPr>
        <w:pStyle w:val="Heading5"/>
        <w:spacing w:before="120"/>
      </w:pPr>
      <w:r>
        <w:t>Ability of the pest to move from the pathway to a suitable host</w:t>
      </w:r>
    </w:p>
    <w:p w:rsidR="00C74066" w:rsidRDefault="00F10705">
      <w:pPr>
        <w:pStyle w:val="ListBullet"/>
        <w:tabs>
          <w:tab w:val="clear" w:pos="360"/>
          <w:tab w:val="num" w:pos="284"/>
        </w:tabs>
        <w:ind w:left="284" w:hanging="284"/>
        <w:rPr>
          <w:rFonts w:ascii="Cambria" w:hAnsi="Cambria"/>
        </w:rPr>
      </w:pPr>
      <w:r>
        <w:rPr>
          <w:rFonts w:ascii="Cambria" w:hAnsi="Cambria"/>
          <w:i/>
          <w:iCs/>
        </w:rPr>
        <w:t>Phytophthora ramorum</w:t>
      </w:r>
      <w:r>
        <w:rPr>
          <w:rFonts w:ascii="Cambria" w:hAnsi="Cambria"/>
        </w:rPr>
        <w:t xml:space="preserve"> arriving in Australia with imported nursery stock does not need to move from the import pathway to a suitable host as the pathogen is already within a suitable host. Mycelium, sporangia, zoospores and chlamydospores have the potential to be associated with infected plants (Parke </w:t>
      </w:r>
      <w:r>
        <w:rPr>
          <w:rFonts w:ascii="Cambria" w:hAnsi="Cambria"/>
          <w:iCs/>
        </w:rPr>
        <w:t>et al.</w:t>
      </w:r>
      <w:r>
        <w:rPr>
          <w:rFonts w:ascii="Cambria" w:hAnsi="Cambria"/>
          <w:i/>
          <w:iCs/>
        </w:rPr>
        <w:t xml:space="preserve"> </w:t>
      </w:r>
      <w:r>
        <w:rPr>
          <w:rFonts w:ascii="Cambria" w:hAnsi="Cambria"/>
        </w:rPr>
        <w:t>2002a;</w:t>
      </w:r>
      <w:r>
        <w:rPr>
          <w:rFonts w:ascii="Cambria" w:hAnsi="Cambria"/>
          <w:i/>
          <w:iCs/>
        </w:rPr>
        <w:t xml:space="preserve"> </w:t>
      </w:r>
      <w:r>
        <w:rPr>
          <w:rFonts w:ascii="Cambria" w:hAnsi="Cambria"/>
        </w:rPr>
        <w:t xml:space="preserve">Davidson </w:t>
      </w:r>
      <w:r>
        <w:rPr>
          <w:rFonts w:ascii="Cambria" w:hAnsi="Cambria"/>
          <w:iCs/>
        </w:rPr>
        <w:t>et al.</w:t>
      </w:r>
      <w:r>
        <w:rPr>
          <w:rFonts w:ascii="Cambria" w:hAnsi="Cambria"/>
        </w:rPr>
        <w:t xml:space="preserve"> 2005; Turner </w:t>
      </w:r>
      <w:r>
        <w:rPr>
          <w:rFonts w:ascii="Cambria" w:hAnsi="Cambria"/>
          <w:iCs/>
        </w:rPr>
        <w:t>et al.</w:t>
      </w:r>
      <w:r>
        <w:rPr>
          <w:rFonts w:ascii="Cambria" w:hAnsi="Cambria"/>
        </w:rPr>
        <w:t xml:space="preserve"> 2005).</w:t>
      </w:r>
    </w:p>
    <w:p w:rsidR="00C74066" w:rsidRDefault="00F10705">
      <w:pPr>
        <w:pStyle w:val="ListBullet"/>
        <w:tabs>
          <w:tab w:val="clear" w:pos="360"/>
          <w:tab w:val="num" w:pos="284"/>
        </w:tabs>
        <w:ind w:left="284" w:hanging="284"/>
        <w:rPr>
          <w:rFonts w:ascii="Cambria" w:hAnsi="Cambria"/>
        </w:rPr>
      </w:pPr>
      <w:r>
        <w:rPr>
          <w:rFonts w:ascii="Cambria" w:hAnsi="Cambria"/>
        </w:rPr>
        <w:t xml:space="preserve">Nursery stock of known </w:t>
      </w:r>
      <w:r>
        <w:rPr>
          <w:rFonts w:ascii="Cambria" w:hAnsi="Cambria"/>
          <w:i/>
        </w:rPr>
        <w:t>Phytophthora</w:t>
      </w:r>
      <w:r>
        <w:rPr>
          <w:rFonts w:ascii="Cambria" w:hAnsi="Cambria"/>
        </w:rPr>
        <w:t xml:space="preserve"> hosts is imported specifically for the purpose of propagation and can be a significant investment for importers. Infected nursery stock is therefore likely to be grown directly into suitable habitats at multiple locations throughout Australia. The distribution of infected nursery stock commercially will facilitate the distribution of </w:t>
      </w:r>
      <w:r>
        <w:rPr>
          <w:rFonts w:ascii="Cambria" w:hAnsi="Cambria"/>
          <w:i/>
          <w:iCs/>
        </w:rPr>
        <w:t xml:space="preserve">Phytophthora </w:t>
      </w:r>
      <w:r>
        <w:rPr>
          <w:rFonts w:ascii="Cambria" w:hAnsi="Cambria"/>
          <w:iCs/>
        </w:rPr>
        <w:t>species</w:t>
      </w:r>
      <w:r>
        <w:rPr>
          <w:rFonts w:ascii="Cambria" w:hAnsi="Cambria"/>
        </w:rPr>
        <w:t>.</w:t>
      </w:r>
      <w:r>
        <w:rPr>
          <w:rFonts w:ascii="Cambria" w:hAnsi="Cambria"/>
          <w:i/>
          <w:iCs/>
        </w:rPr>
        <w:t xml:space="preserve"> </w:t>
      </w:r>
    </w:p>
    <w:p w:rsidR="00C74066" w:rsidRDefault="00F10705">
      <w:pPr>
        <w:pStyle w:val="Heading5"/>
        <w:spacing w:before="200"/>
      </w:pPr>
      <w:r>
        <w:t>Distribution of the imported commodity in the PRA area</w:t>
      </w:r>
    </w:p>
    <w:p w:rsidR="00C74066" w:rsidRDefault="00F10705">
      <w:pPr>
        <w:pStyle w:val="ListBullet"/>
        <w:tabs>
          <w:tab w:val="clear" w:pos="360"/>
          <w:tab w:val="num" w:pos="284"/>
        </w:tabs>
        <w:ind w:left="284" w:hanging="284"/>
        <w:rPr>
          <w:rFonts w:ascii="Cambria" w:hAnsi="Cambria"/>
        </w:rPr>
      </w:pPr>
      <w:r>
        <w:rPr>
          <w:rFonts w:ascii="Cambria" w:hAnsi="Cambria"/>
        </w:rPr>
        <w:t xml:space="preserve">Infected nursery stock may be distributed to orchards, nurseries or retail shops and for backyard and amenity plantings where the fungus may continue proliferating within the host. </w:t>
      </w:r>
    </w:p>
    <w:p w:rsidR="00C74066" w:rsidRDefault="00F10705">
      <w:pPr>
        <w:pStyle w:val="ListBullet"/>
        <w:tabs>
          <w:tab w:val="clear" w:pos="360"/>
          <w:tab w:val="num" w:pos="284"/>
        </w:tabs>
        <w:ind w:left="284" w:hanging="284"/>
        <w:rPr>
          <w:rFonts w:ascii="Cambria" w:hAnsi="Cambria"/>
        </w:rPr>
      </w:pPr>
      <w:r>
        <w:rPr>
          <w:rFonts w:ascii="Cambria" w:hAnsi="Cambria"/>
          <w:i/>
          <w:iCs/>
        </w:rPr>
        <w:t xml:space="preserve">Phytophthora ramorum </w:t>
      </w:r>
      <w:r>
        <w:rPr>
          <w:rFonts w:ascii="Cambria" w:hAnsi="Cambria"/>
        </w:rPr>
        <w:t>has a very wide host range and the conditions in nurseries are likely to favour the dispersal of the pathogen and infection of new host plants within nurseries.</w:t>
      </w:r>
    </w:p>
    <w:p w:rsidR="00C74066" w:rsidRDefault="00F10705">
      <w:pPr>
        <w:pStyle w:val="ListBullet"/>
        <w:tabs>
          <w:tab w:val="clear" w:pos="360"/>
          <w:tab w:val="num" w:pos="284"/>
        </w:tabs>
        <w:ind w:left="284" w:hanging="284"/>
        <w:rPr>
          <w:rFonts w:ascii="Cambria" w:hAnsi="Cambria"/>
          <w:iCs/>
        </w:rPr>
      </w:pPr>
      <w:r>
        <w:rPr>
          <w:rFonts w:ascii="Cambria" w:hAnsi="Cambria"/>
        </w:rPr>
        <w:t xml:space="preserve">Sporulation of </w:t>
      </w:r>
      <w:r>
        <w:rPr>
          <w:rFonts w:ascii="Cambria" w:hAnsi="Cambria"/>
          <w:i/>
          <w:iCs/>
        </w:rPr>
        <w:t xml:space="preserve">Phytophthora </w:t>
      </w:r>
      <w:r>
        <w:rPr>
          <w:rFonts w:ascii="Cambria" w:hAnsi="Cambria"/>
        </w:rPr>
        <w:t>species will help transfer propagules to nearby plants</w:t>
      </w:r>
      <w:r>
        <w:rPr>
          <w:rFonts w:ascii="Cambria" w:hAnsi="Cambria"/>
          <w:i/>
        </w:rPr>
        <w:t>. Phytophthora</w:t>
      </w:r>
      <w:r>
        <w:rPr>
          <w:rFonts w:ascii="Cambria" w:hAnsi="Cambria"/>
          <w:i/>
          <w:iCs/>
        </w:rPr>
        <w:t xml:space="preserve"> ramorum </w:t>
      </w:r>
      <w:r>
        <w:rPr>
          <w:rFonts w:ascii="Cambria" w:hAnsi="Cambria"/>
        </w:rPr>
        <w:t xml:space="preserve">and </w:t>
      </w:r>
      <w:r>
        <w:rPr>
          <w:rFonts w:ascii="Cambria" w:hAnsi="Cambria"/>
          <w:i/>
          <w:iCs/>
        </w:rPr>
        <w:t xml:space="preserve">P. kernoviae </w:t>
      </w:r>
      <w:r>
        <w:rPr>
          <w:rFonts w:ascii="Cambria" w:hAnsi="Cambria"/>
        </w:rPr>
        <w:t xml:space="preserve">produce sporangia on the </w:t>
      </w:r>
      <w:r>
        <w:rPr>
          <w:rFonts w:ascii="Cambria" w:hAnsi="Cambria"/>
          <w:iCs/>
        </w:rPr>
        <w:t xml:space="preserve">asymptomatic </w:t>
      </w:r>
      <w:r>
        <w:rPr>
          <w:rFonts w:ascii="Cambria" w:hAnsi="Cambria"/>
        </w:rPr>
        <w:t xml:space="preserve">infected leaves of a range of hosts including </w:t>
      </w:r>
      <w:r>
        <w:rPr>
          <w:rFonts w:ascii="Cambria" w:hAnsi="Cambria"/>
          <w:i/>
          <w:iCs/>
        </w:rPr>
        <w:t xml:space="preserve">Crataegus, Laurus, Quercus, Rhododendron, Rosa </w:t>
      </w:r>
      <w:r>
        <w:rPr>
          <w:rFonts w:ascii="Cambria" w:hAnsi="Cambria"/>
          <w:iCs/>
        </w:rPr>
        <w:t>and</w:t>
      </w:r>
      <w:r>
        <w:rPr>
          <w:rFonts w:ascii="Cambria" w:hAnsi="Cambria"/>
          <w:i/>
          <w:iCs/>
        </w:rPr>
        <w:t xml:space="preserve"> </w:t>
      </w:r>
      <w:r>
        <w:rPr>
          <w:rFonts w:ascii="Cambria" w:hAnsi="Cambria"/>
          <w:i/>
          <w:iCs/>
        </w:rPr>
        <w:lastRenderedPageBreak/>
        <w:t xml:space="preserve">Smilax </w:t>
      </w:r>
      <w:r>
        <w:rPr>
          <w:rFonts w:ascii="Cambria" w:hAnsi="Cambria"/>
          <w:iCs/>
        </w:rPr>
        <w:t xml:space="preserve">species </w:t>
      </w:r>
      <w:r>
        <w:rPr>
          <w:rFonts w:ascii="Cambria" w:hAnsi="Cambria"/>
        </w:rPr>
        <w:t>(Brasier 2007)</w:t>
      </w:r>
      <w:r>
        <w:rPr>
          <w:rFonts w:ascii="Cambria" w:hAnsi="Cambria"/>
          <w:iCs/>
        </w:rPr>
        <w:t>.</w:t>
      </w:r>
      <w:r>
        <w:rPr>
          <w:rFonts w:ascii="Cambria" w:hAnsi="Cambria"/>
          <w:i/>
          <w:iCs/>
        </w:rPr>
        <w:t xml:space="preserve"> </w:t>
      </w:r>
      <w:r>
        <w:rPr>
          <w:rFonts w:ascii="Cambria" w:hAnsi="Cambria"/>
        </w:rPr>
        <w:t xml:space="preserve">Therefore, in nursery trade networks, </w:t>
      </w:r>
      <w:r>
        <w:rPr>
          <w:rFonts w:ascii="Cambria" w:hAnsi="Cambria"/>
          <w:i/>
          <w:iCs/>
        </w:rPr>
        <w:t xml:space="preserve">Phytophthora </w:t>
      </w:r>
      <w:r>
        <w:rPr>
          <w:rFonts w:ascii="Cambria" w:hAnsi="Cambria"/>
        </w:rPr>
        <w:t>species are highly likely to be transferred to and infect nearby host plants.</w:t>
      </w:r>
    </w:p>
    <w:p w:rsidR="00C74066" w:rsidRDefault="00F10705">
      <w:pPr>
        <w:pStyle w:val="ListBullet"/>
        <w:tabs>
          <w:tab w:val="clear" w:pos="360"/>
          <w:tab w:val="num" w:pos="284"/>
        </w:tabs>
        <w:ind w:left="284" w:hanging="284"/>
        <w:rPr>
          <w:rFonts w:ascii="Cambria" w:hAnsi="Cambria"/>
        </w:rPr>
      </w:pPr>
      <w:r>
        <w:rPr>
          <w:rFonts w:ascii="Cambria" w:hAnsi="Cambria"/>
          <w:i/>
          <w:iCs/>
        </w:rPr>
        <w:t xml:space="preserve">Phytophthora </w:t>
      </w:r>
      <w:r>
        <w:rPr>
          <w:rFonts w:ascii="Cambria" w:hAnsi="Cambria"/>
        </w:rPr>
        <w:t>species require moist conditions, and nursery environments provide these ideal conditions through dense c</w:t>
      </w:r>
      <w:r w:rsidR="009C18DE">
        <w:rPr>
          <w:rFonts w:ascii="Cambria" w:hAnsi="Cambria"/>
        </w:rPr>
        <w:t>anopies, irrigation and fertilis</w:t>
      </w:r>
      <w:r>
        <w:rPr>
          <w:rFonts w:ascii="Cambria" w:hAnsi="Cambria"/>
        </w:rPr>
        <w:t xml:space="preserve">ation (Dart </w:t>
      </w:r>
      <w:r>
        <w:rPr>
          <w:rFonts w:ascii="Cambria" w:hAnsi="Cambria"/>
          <w:iCs/>
        </w:rPr>
        <w:t>et al</w:t>
      </w:r>
      <w:r>
        <w:rPr>
          <w:rFonts w:ascii="Cambria" w:hAnsi="Cambria"/>
        </w:rPr>
        <w:t xml:space="preserve">. 2007; Schwingle </w:t>
      </w:r>
      <w:r>
        <w:rPr>
          <w:rFonts w:ascii="Cambria" w:hAnsi="Cambria"/>
          <w:iCs/>
        </w:rPr>
        <w:t>et al</w:t>
      </w:r>
      <w:r>
        <w:rPr>
          <w:rFonts w:ascii="Cambria" w:hAnsi="Cambria"/>
        </w:rPr>
        <w:t>. 2007). Wet conditions are required for spore production and successful infection; sporangia and zoospores develop on the leaf surface of susceptible leaves and twigs following prolonged wetting. The sporangia give rise to zoospores, which are biflagellate spores that can swim in water. Windblown rain, direct contact of infected leaves and run off from leaves are the main ways that the pathogen is disseminated from plant to plant.</w:t>
      </w:r>
    </w:p>
    <w:p w:rsidR="00C74066" w:rsidRDefault="00F10705">
      <w:pPr>
        <w:pStyle w:val="ListBullet"/>
        <w:tabs>
          <w:tab w:val="clear" w:pos="360"/>
          <w:tab w:val="num" w:pos="284"/>
        </w:tabs>
        <w:ind w:left="284" w:hanging="284"/>
        <w:rPr>
          <w:rFonts w:ascii="Cambria" w:hAnsi="Cambria"/>
        </w:rPr>
      </w:pPr>
      <w:r>
        <w:rPr>
          <w:rFonts w:ascii="Cambria" w:hAnsi="Cambria"/>
        </w:rPr>
        <w:t xml:space="preserve">Infected nursery stock is unlikely to be grown in isolation, providing greater opportunities for the transfer of </w:t>
      </w:r>
      <w:r>
        <w:rPr>
          <w:rFonts w:ascii="Cambria" w:hAnsi="Cambria"/>
          <w:i/>
          <w:iCs/>
        </w:rPr>
        <w:t xml:space="preserve">Phytophthora </w:t>
      </w:r>
      <w:r>
        <w:rPr>
          <w:rFonts w:ascii="Cambria" w:hAnsi="Cambria"/>
        </w:rPr>
        <w:t xml:space="preserve">species to other plants. Production of sporangia on infected tissues (Parke </w:t>
      </w:r>
      <w:r>
        <w:rPr>
          <w:rFonts w:ascii="Cambria" w:hAnsi="Cambria"/>
          <w:iCs/>
        </w:rPr>
        <w:t>et al.</w:t>
      </w:r>
      <w:r>
        <w:rPr>
          <w:rFonts w:ascii="Cambria" w:hAnsi="Cambria"/>
          <w:i/>
          <w:iCs/>
        </w:rPr>
        <w:t xml:space="preserve"> </w:t>
      </w:r>
      <w:r>
        <w:rPr>
          <w:rFonts w:ascii="Cambria" w:hAnsi="Cambria"/>
        </w:rPr>
        <w:t>2002a;</w:t>
      </w:r>
      <w:r>
        <w:rPr>
          <w:rFonts w:ascii="Cambria" w:hAnsi="Cambria"/>
          <w:i/>
          <w:iCs/>
        </w:rPr>
        <w:t xml:space="preserve"> </w:t>
      </w:r>
      <w:r>
        <w:rPr>
          <w:rFonts w:ascii="Cambria" w:hAnsi="Cambria"/>
        </w:rPr>
        <w:t xml:space="preserve">Davidson </w:t>
      </w:r>
      <w:r>
        <w:rPr>
          <w:rFonts w:ascii="Cambria" w:hAnsi="Cambria"/>
          <w:iCs/>
        </w:rPr>
        <w:t>et al.</w:t>
      </w:r>
      <w:r>
        <w:rPr>
          <w:rFonts w:ascii="Cambria" w:hAnsi="Cambria"/>
        </w:rPr>
        <w:t xml:space="preserve"> 2005; Turner </w:t>
      </w:r>
      <w:r>
        <w:rPr>
          <w:rFonts w:ascii="Cambria" w:hAnsi="Cambria"/>
          <w:iCs/>
        </w:rPr>
        <w:t>et al.</w:t>
      </w:r>
      <w:r>
        <w:rPr>
          <w:rFonts w:ascii="Cambria" w:hAnsi="Cambria"/>
        </w:rPr>
        <w:t xml:space="preserve"> 2005) serves as the primary inoculum, transferring the pathogen to nearby plants under appropriate environmental conditions.</w:t>
      </w:r>
    </w:p>
    <w:p w:rsidR="00C74066" w:rsidRDefault="00F10705">
      <w:pPr>
        <w:pStyle w:val="ListBullet"/>
        <w:tabs>
          <w:tab w:val="clear" w:pos="360"/>
          <w:tab w:val="num" w:pos="284"/>
        </w:tabs>
        <w:ind w:left="284" w:hanging="284"/>
        <w:rPr>
          <w:rFonts w:ascii="Cambria" w:hAnsi="Cambria"/>
        </w:rPr>
      </w:pPr>
      <w:r>
        <w:rPr>
          <w:rFonts w:ascii="Cambria" w:hAnsi="Cambria"/>
          <w:i/>
          <w:iCs/>
        </w:rPr>
        <w:t xml:space="preserve">Phytophthora ramorum </w:t>
      </w:r>
      <w:r>
        <w:rPr>
          <w:rFonts w:ascii="Cambria" w:hAnsi="Cambria"/>
        </w:rPr>
        <w:t>would need to survive transportation and storage within Australia. Nursery stock is expected to be maintained at moderate temperatures and humidity levels to ensure nursery stock survival, so a portion of infected nursery stock that enters the country is likely to reach areas of host abundance.</w:t>
      </w:r>
    </w:p>
    <w:p w:rsidR="00C74066" w:rsidRDefault="00F10705">
      <w:pPr>
        <w:pStyle w:val="ListBullet"/>
        <w:tabs>
          <w:tab w:val="clear" w:pos="360"/>
          <w:tab w:val="num" w:pos="284"/>
        </w:tabs>
        <w:ind w:left="284" w:hanging="284"/>
        <w:rPr>
          <w:rFonts w:ascii="Cambria" w:hAnsi="Cambria"/>
        </w:rPr>
      </w:pPr>
      <w:r>
        <w:rPr>
          <w:rFonts w:ascii="Cambria" w:hAnsi="Cambria"/>
        </w:rPr>
        <w:t xml:space="preserve">As nursery stock may not display obvious symptoms of </w:t>
      </w:r>
      <w:r>
        <w:rPr>
          <w:rFonts w:ascii="Cambria" w:hAnsi="Cambria"/>
          <w:i/>
          <w:iCs/>
        </w:rPr>
        <w:t>Phytophthora</w:t>
      </w:r>
      <w:r>
        <w:rPr>
          <w:rFonts w:ascii="Cambria" w:hAnsi="Cambria"/>
        </w:rPr>
        <w:t xml:space="preserve"> infection, there is a risk that infected plant material would be used for propagation. Material from infected plants may be used for planting directly at multiple locations in Australia. Asymptomatic plants may also be overlooked and sold to commercial users and households.</w:t>
      </w:r>
    </w:p>
    <w:p w:rsidR="00C74066" w:rsidRDefault="00F10705">
      <w:pPr>
        <w:pStyle w:val="Heading5"/>
        <w:spacing w:before="120"/>
      </w:pPr>
      <w:r>
        <w:t>Risks from by-products and waste</w:t>
      </w:r>
    </w:p>
    <w:p w:rsidR="00C74066" w:rsidRDefault="00F10705">
      <w:pPr>
        <w:pStyle w:val="ListBullet"/>
        <w:tabs>
          <w:tab w:val="clear" w:pos="360"/>
          <w:tab w:val="num" w:pos="284"/>
        </w:tabs>
        <w:ind w:left="284" w:hanging="284"/>
        <w:rPr>
          <w:rFonts w:ascii="Cambria" w:hAnsi="Cambria"/>
        </w:rPr>
      </w:pPr>
      <w:r>
        <w:rPr>
          <w:rFonts w:ascii="Cambria" w:hAnsi="Cambria"/>
        </w:rPr>
        <w:t>Although the intended use of nursery stock is for propagation, all imported material would be grown under ideal conditions and waste material may be generated. Whole or parts of the plants may be disposed of at multiple locations throughout Australia as green waste or retail waste.</w:t>
      </w:r>
    </w:p>
    <w:p w:rsidR="00C74066" w:rsidRDefault="00F10705">
      <w:pPr>
        <w:pStyle w:val="ListBullet"/>
        <w:tabs>
          <w:tab w:val="clear" w:pos="360"/>
          <w:tab w:val="num" w:pos="284"/>
        </w:tabs>
        <w:ind w:left="284" w:hanging="284"/>
        <w:rPr>
          <w:rFonts w:ascii="Cambria" w:hAnsi="Cambria"/>
        </w:rPr>
      </w:pPr>
      <w:r>
        <w:rPr>
          <w:rFonts w:ascii="Cambria" w:hAnsi="Cambria"/>
        </w:rPr>
        <w:t xml:space="preserve">Green waste containing infected host material may serve as a source of spores, even with green material dried for several months. On some plant tissue, such as </w:t>
      </w:r>
      <w:r>
        <w:rPr>
          <w:rFonts w:ascii="Cambria" w:hAnsi="Cambria"/>
          <w:i/>
        </w:rPr>
        <w:t>Rhododendron</w:t>
      </w:r>
      <w:r>
        <w:rPr>
          <w:rFonts w:ascii="Cambria" w:hAnsi="Cambria"/>
        </w:rPr>
        <w:t xml:space="preserve"> species leaves, </w:t>
      </w:r>
      <w:r>
        <w:rPr>
          <w:rFonts w:ascii="Cambria" w:hAnsi="Cambria"/>
          <w:i/>
          <w:iCs/>
        </w:rPr>
        <w:t xml:space="preserve">P. ramorum </w:t>
      </w:r>
      <w:r>
        <w:rPr>
          <w:rFonts w:ascii="Cambria" w:hAnsi="Cambria"/>
        </w:rPr>
        <w:t>will still sporulate upon wetting (Davidson &amp; Shaw 2003)</w:t>
      </w:r>
      <w:r>
        <w:rPr>
          <w:rFonts w:ascii="Cambria" w:hAnsi="Cambria"/>
          <w:i/>
        </w:rPr>
        <w:t>. Phytophthora</w:t>
      </w:r>
      <w:r>
        <w:rPr>
          <w:rFonts w:ascii="Cambria" w:hAnsi="Cambria"/>
          <w:i/>
          <w:iCs/>
        </w:rPr>
        <w:t xml:space="preserve"> ramorum </w:t>
      </w:r>
      <w:r>
        <w:rPr>
          <w:rFonts w:ascii="Cambria" w:hAnsi="Cambria"/>
        </w:rPr>
        <w:t xml:space="preserve">produces sporangia and zoospores, which could disperse via rain-splash to host plants. </w:t>
      </w:r>
    </w:p>
    <w:p w:rsidR="00C74066" w:rsidRDefault="00F10705">
      <w:pPr>
        <w:pStyle w:val="ListBullet"/>
        <w:tabs>
          <w:tab w:val="clear" w:pos="360"/>
          <w:tab w:val="num" w:pos="284"/>
        </w:tabs>
        <w:ind w:left="284" w:hanging="284"/>
        <w:rPr>
          <w:rFonts w:ascii="Cambria" w:hAnsi="Cambria"/>
        </w:rPr>
      </w:pPr>
      <w:r>
        <w:rPr>
          <w:rFonts w:ascii="Cambria" w:hAnsi="Cambria"/>
          <w:i/>
          <w:iCs/>
        </w:rPr>
        <w:t xml:space="preserve">Phytophthora ramorum </w:t>
      </w:r>
      <w:r>
        <w:rPr>
          <w:rFonts w:ascii="Cambria" w:hAnsi="Cambria"/>
        </w:rPr>
        <w:t xml:space="preserve">has a wide host range (Hüberli &amp; Garbelotto 2012) and these hosts are widespread in cities, towns and horticultural production areas throughout Australia and grown in gardens, parks, streetscapes and native plant communities in parts of Australia. </w:t>
      </w:r>
    </w:p>
    <w:p w:rsidR="00C74066" w:rsidRDefault="00F10705">
      <w:pPr>
        <w:pStyle w:val="ListBullet"/>
        <w:tabs>
          <w:tab w:val="clear" w:pos="360"/>
          <w:tab w:val="num" w:pos="284"/>
        </w:tabs>
        <w:ind w:left="284" w:hanging="284"/>
        <w:rPr>
          <w:rFonts w:ascii="Cambria" w:hAnsi="Cambria"/>
        </w:rPr>
      </w:pPr>
      <w:r>
        <w:rPr>
          <w:rFonts w:ascii="Cambria" w:hAnsi="Cambria"/>
          <w:i/>
        </w:rPr>
        <w:t xml:space="preserve">Phytophthora ramorum </w:t>
      </w:r>
      <w:r>
        <w:rPr>
          <w:rFonts w:ascii="Cambria" w:hAnsi="Cambria"/>
        </w:rPr>
        <w:t xml:space="preserve">may also produce chlamydospores, which will help the pathogen survive extreme temperatures, dryness and other harsh conditions. Chlamydospores are formed in plant tissues and leaves, and can survive in the soil. Soil-borne chlamydospores can survive long periods (Fichtner </w:t>
      </w:r>
      <w:r>
        <w:rPr>
          <w:rFonts w:ascii="Cambria" w:hAnsi="Cambria"/>
          <w:iCs/>
        </w:rPr>
        <w:t>et al</w:t>
      </w:r>
      <w:r>
        <w:rPr>
          <w:rFonts w:ascii="Cambria" w:hAnsi="Cambria"/>
        </w:rPr>
        <w:t>. 2009) and give rise to new sporangia that are splashed or carried to infect above-ground plant parts.</w:t>
      </w:r>
    </w:p>
    <w:p w:rsidR="00C74066" w:rsidRDefault="00F10705">
      <w:pPr>
        <w:pStyle w:val="ListBullet"/>
        <w:tabs>
          <w:tab w:val="clear" w:pos="360"/>
          <w:tab w:val="num" w:pos="284"/>
        </w:tabs>
        <w:ind w:left="284" w:hanging="284"/>
        <w:rPr>
          <w:rFonts w:ascii="Cambria" w:hAnsi="Cambria"/>
        </w:rPr>
      </w:pPr>
      <w:r>
        <w:rPr>
          <w:rFonts w:ascii="Cambria" w:hAnsi="Cambria"/>
        </w:rPr>
        <w:t xml:space="preserve">A relatively high proportion of household and retail waste would be managed through regulated refuse collection and disposal services. A proportion of garden waste would be </w:t>
      </w:r>
      <w:r>
        <w:rPr>
          <w:rFonts w:ascii="Cambria" w:hAnsi="Cambria"/>
        </w:rPr>
        <w:lastRenderedPageBreak/>
        <w:t xml:space="preserve">managed through green waste centres. Unlike managed waste, garden waste is more likely to be retained in urban and semi-urban environments for a period of time before being disposed of at green waste centres. Managed waste will remove </w:t>
      </w:r>
      <w:r>
        <w:rPr>
          <w:rFonts w:ascii="Cambria" w:hAnsi="Cambria"/>
          <w:i/>
          <w:iCs/>
        </w:rPr>
        <w:t xml:space="preserve">Phytophthora </w:t>
      </w:r>
      <w:r>
        <w:rPr>
          <w:rFonts w:ascii="Cambria" w:hAnsi="Cambria"/>
        </w:rPr>
        <w:t>species from the household and environment, reducing the likelihood that susceptible plants will be exposed to these pathogens.</w:t>
      </w:r>
    </w:p>
    <w:p w:rsidR="00C74066" w:rsidRDefault="00F10705">
      <w:pPr>
        <w:pStyle w:val="ListBullet"/>
        <w:tabs>
          <w:tab w:val="clear" w:pos="360"/>
          <w:tab w:val="num" w:pos="284"/>
        </w:tabs>
        <w:ind w:left="284" w:hanging="284"/>
        <w:rPr>
          <w:rFonts w:ascii="Cambria" w:hAnsi="Cambria"/>
        </w:rPr>
      </w:pPr>
      <w:r>
        <w:rPr>
          <w:rFonts w:ascii="Cambria" w:hAnsi="Cambria"/>
        </w:rPr>
        <w:t xml:space="preserve">Studies have demonstrated that temperatures of 37.5 °C to 40 °C are lethal to </w:t>
      </w:r>
      <w:r>
        <w:rPr>
          <w:rFonts w:ascii="Cambria" w:hAnsi="Cambria"/>
          <w:i/>
          <w:iCs/>
        </w:rPr>
        <w:t>P. ramorum</w:t>
      </w:r>
      <w:r>
        <w:rPr>
          <w:rFonts w:ascii="Cambria" w:hAnsi="Cambria"/>
        </w:rPr>
        <w:t xml:space="preserve"> hyphae within several hours, and that 42.5 °C to 50 °C is lethal within a matter of minutes (Browning et al. 2008). These extreme temperatures will not commonly be encountered in nature; however, composting waste material is likely to generate high temperatures that can be lethal to a range of pathogens (Noble &amp; Roberts 2004). Studies indicate that </w:t>
      </w:r>
      <w:r>
        <w:rPr>
          <w:rFonts w:ascii="Cambria" w:hAnsi="Cambria"/>
          <w:i/>
          <w:iCs/>
        </w:rPr>
        <w:t xml:space="preserve">P. ramorum </w:t>
      </w:r>
      <w:r>
        <w:rPr>
          <w:rFonts w:ascii="Cambria" w:hAnsi="Cambria"/>
        </w:rPr>
        <w:t>in green waste mulch is killed in compost after being held at 55 °C for two weeks (Davidson &amp; Shaw 2003).</w:t>
      </w:r>
    </w:p>
    <w:p w:rsidR="00C74066" w:rsidRDefault="00F10705">
      <w:pPr>
        <w:pStyle w:val="Heading4"/>
        <w:spacing w:before="200"/>
      </w:pPr>
      <w:r>
        <w:t>Overall likelihood of entry (importation x distribution)</w:t>
      </w:r>
    </w:p>
    <w:p w:rsidR="00C74066" w:rsidRDefault="00F10705">
      <w:pPr>
        <w:pStyle w:val="AQISNum"/>
        <w:spacing w:before="200" w:line="276" w:lineRule="auto"/>
        <w:rPr>
          <w:rFonts w:ascii="Cambria" w:hAnsi="Cambria"/>
          <w:szCs w:val="22"/>
        </w:rPr>
      </w:pPr>
      <w:r>
        <w:rPr>
          <w:rFonts w:ascii="Cambria" w:hAnsi="Cambria"/>
          <w:szCs w:val="22"/>
        </w:rPr>
        <w:t xml:space="preserve">The overall likelihood of entry of the </w:t>
      </w:r>
      <w:r>
        <w:rPr>
          <w:rFonts w:ascii="Cambria" w:hAnsi="Cambria"/>
          <w:i/>
          <w:szCs w:val="22"/>
        </w:rPr>
        <w:t xml:space="preserve">Phytophthora </w:t>
      </w:r>
      <w:r>
        <w:rPr>
          <w:rFonts w:ascii="Cambria" w:hAnsi="Cambria"/>
          <w:szCs w:val="22"/>
        </w:rPr>
        <w:t>species</w:t>
      </w:r>
      <w:r>
        <w:rPr>
          <w:rFonts w:ascii="Cambria" w:hAnsi="Cambria"/>
          <w:i/>
          <w:szCs w:val="22"/>
        </w:rPr>
        <w:t xml:space="preserve"> </w:t>
      </w:r>
      <w:r>
        <w:rPr>
          <w:rFonts w:ascii="Cambria" w:hAnsi="Cambria"/>
          <w:szCs w:val="22"/>
        </w:rPr>
        <w:t>is determined by combining the likelihood of importation with the likelihood of distribution using the matrix of rules for combining qualitative likelihoods (Table 2).</w:t>
      </w:r>
    </w:p>
    <w:p w:rsidR="00C74066" w:rsidRDefault="00F10705">
      <w:pPr>
        <w:pStyle w:val="ListBullet"/>
        <w:tabs>
          <w:tab w:val="clear" w:pos="360"/>
          <w:tab w:val="num" w:pos="284"/>
        </w:tabs>
        <w:spacing w:line="269" w:lineRule="auto"/>
        <w:ind w:left="284" w:hanging="284"/>
        <w:rPr>
          <w:rFonts w:ascii="Cambria" w:hAnsi="Cambria"/>
          <w:b/>
        </w:rPr>
      </w:pPr>
      <w:r>
        <w:rPr>
          <w:rFonts w:ascii="Cambria" w:hAnsi="Cambria"/>
          <w:color w:val="000000"/>
        </w:rPr>
        <w:t xml:space="preserve">The likelihood that the </w:t>
      </w:r>
      <w:r>
        <w:rPr>
          <w:rFonts w:ascii="Cambria" w:hAnsi="Cambria"/>
          <w:i/>
          <w:iCs/>
        </w:rPr>
        <w:t xml:space="preserve">Phytophthora </w:t>
      </w:r>
      <w:r>
        <w:rPr>
          <w:rFonts w:ascii="Cambria" w:hAnsi="Cambria"/>
          <w:iCs/>
        </w:rPr>
        <w:t>species</w:t>
      </w:r>
      <w:r>
        <w:rPr>
          <w:rFonts w:ascii="Cambria" w:hAnsi="Cambria"/>
          <w:i/>
          <w:iCs/>
        </w:rPr>
        <w:t xml:space="preserve"> </w:t>
      </w:r>
      <w:r>
        <w:rPr>
          <w:rFonts w:ascii="Cambria" w:hAnsi="Cambria"/>
          <w:color w:val="000000"/>
        </w:rPr>
        <w:t xml:space="preserve">will enter Australia with imported </w:t>
      </w:r>
      <w:r w:rsidR="005277FA">
        <w:rPr>
          <w:rFonts w:ascii="Cambria" w:hAnsi="Cambria"/>
        </w:rPr>
        <w:t>host plant propagative material</w:t>
      </w:r>
      <w:r>
        <w:rPr>
          <w:rFonts w:ascii="Cambria" w:hAnsi="Cambria"/>
        </w:rPr>
        <w:t xml:space="preserve"> </w:t>
      </w:r>
      <w:r>
        <w:rPr>
          <w:rFonts w:ascii="Cambria" w:hAnsi="Cambria"/>
          <w:color w:val="000000"/>
        </w:rPr>
        <w:t xml:space="preserve">from countries where these pathogens are present and transferred to a suitable host is </w:t>
      </w:r>
      <w:r>
        <w:rPr>
          <w:rFonts w:ascii="Cambria" w:hAnsi="Cambria"/>
          <w:b/>
          <w:bCs/>
          <w:color w:val="000000"/>
        </w:rPr>
        <w:t>HIGH.</w:t>
      </w:r>
    </w:p>
    <w:p w:rsidR="00C74066" w:rsidRDefault="00F10705">
      <w:pPr>
        <w:pStyle w:val="Heading3"/>
        <w:keepLines/>
        <w:numPr>
          <w:ilvl w:val="2"/>
          <w:numId w:val="21"/>
        </w:numPr>
        <w:tabs>
          <w:tab w:val="clear" w:pos="720"/>
        </w:tabs>
        <w:spacing w:before="120" w:after="200"/>
        <w:ind w:left="357" w:hanging="357"/>
        <w:rPr>
          <w:rFonts w:ascii="Calibri" w:hAnsi="Calibri" w:cstheme="minorBidi"/>
          <w:sz w:val="24"/>
          <w:szCs w:val="22"/>
        </w:rPr>
      </w:pPr>
      <w:r>
        <w:rPr>
          <w:rFonts w:ascii="Calibri" w:hAnsi="Calibri" w:cstheme="minorBidi"/>
          <w:sz w:val="24"/>
          <w:szCs w:val="22"/>
        </w:rPr>
        <w:t>Likelihood of establishment</w:t>
      </w:r>
    </w:p>
    <w:p w:rsidR="00C74066" w:rsidRDefault="00F10705">
      <w:pPr>
        <w:pStyle w:val="ListBullet"/>
        <w:numPr>
          <w:ilvl w:val="0"/>
          <w:numId w:val="0"/>
        </w:numPr>
        <w:spacing w:before="200" w:after="200"/>
        <w:rPr>
          <w:rFonts w:ascii="Cambria" w:hAnsi="Cambria"/>
        </w:rPr>
      </w:pPr>
      <w:r>
        <w:rPr>
          <w:rFonts w:ascii="Cambria" w:hAnsi="Cambria"/>
        </w:rPr>
        <w:t xml:space="preserve">The likelihood that the </w:t>
      </w:r>
      <w:r>
        <w:rPr>
          <w:rFonts w:ascii="Cambria" w:hAnsi="Cambria"/>
          <w:i/>
          <w:iCs/>
        </w:rPr>
        <w:t xml:space="preserve">Phytophthora </w:t>
      </w:r>
      <w:r>
        <w:rPr>
          <w:rFonts w:ascii="Cambria" w:hAnsi="Cambria"/>
          <w:iCs/>
        </w:rPr>
        <w:t>species</w:t>
      </w:r>
      <w:r>
        <w:rPr>
          <w:rFonts w:ascii="Cambria" w:hAnsi="Cambria"/>
        </w:rPr>
        <w:t xml:space="preserve">, having entered on imported </w:t>
      </w:r>
      <w:r w:rsidR="005277FA">
        <w:rPr>
          <w:rFonts w:ascii="Cambria" w:hAnsi="Cambria"/>
        </w:rPr>
        <w:t>host plant propagative material</w:t>
      </w:r>
      <w:r>
        <w:rPr>
          <w:rFonts w:ascii="Cambria" w:hAnsi="Cambria"/>
        </w:rPr>
        <w:t xml:space="preserve">, will establish within Australia, based on a comparison of factors in the source and destination areas considered pertinent to its survival and reproduction is </w:t>
      </w:r>
      <w:r>
        <w:rPr>
          <w:rFonts w:ascii="Cambria" w:hAnsi="Cambria"/>
          <w:b/>
          <w:bCs/>
        </w:rPr>
        <w:t>HIGH</w:t>
      </w:r>
      <w:r>
        <w:rPr>
          <w:rFonts w:ascii="Cambria" w:hAnsi="Cambria"/>
        </w:rPr>
        <w:t>.</w:t>
      </w:r>
    </w:p>
    <w:p w:rsidR="00C74066" w:rsidRDefault="00F10705">
      <w:pPr>
        <w:pStyle w:val="Heading4"/>
        <w:spacing w:before="200"/>
        <w:rPr>
          <w:i/>
        </w:rPr>
      </w:pPr>
      <w:r>
        <w:rPr>
          <w:i/>
        </w:rPr>
        <w:t>Availability of suitable hosts, alternative hosts and vectors in the PRA area</w:t>
      </w:r>
    </w:p>
    <w:p w:rsidR="00C74066" w:rsidRDefault="00F10705">
      <w:pPr>
        <w:pStyle w:val="ListBullet"/>
        <w:tabs>
          <w:tab w:val="clear" w:pos="360"/>
          <w:tab w:val="num" w:pos="284"/>
        </w:tabs>
        <w:spacing w:line="269" w:lineRule="auto"/>
        <w:ind w:left="284" w:hanging="284"/>
        <w:rPr>
          <w:rFonts w:ascii="Cambria" w:hAnsi="Cambria"/>
        </w:rPr>
      </w:pPr>
      <w:r>
        <w:rPr>
          <w:rFonts w:ascii="Cambria" w:hAnsi="Cambria"/>
        </w:rPr>
        <w:t xml:space="preserve">Association with the host will facilitate the establishment of the </w:t>
      </w:r>
      <w:r>
        <w:rPr>
          <w:rFonts w:ascii="Cambria" w:hAnsi="Cambria"/>
          <w:i/>
          <w:iCs/>
        </w:rPr>
        <w:t xml:space="preserve">Phytophthora </w:t>
      </w:r>
      <w:r>
        <w:rPr>
          <w:rFonts w:ascii="Cambria" w:hAnsi="Cambria"/>
        </w:rPr>
        <w:t>species, as these pathogens are already established with, or within, a suitable host. As host plant material is likely to be maintained in places with similar climates to the area of production, climatic conditions are expected to favour the pathogen’s establishment.</w:t>
      </w:r>
    </w:p>
    <w:p w:rsidR="00C74066" w:rsidRDefault="00F10705">
      <w:pPr>
        <w:pStyle w:val="ListBullet"/>
        <w:tabs>
          <w:tab w:val="clear" w:pos="360"/>
          <w:tab w:val="num" w:pos="284"/>
        </w:tabs>
        <w:spacing w:line="269" w:lineRule="auto"/>
        <w:ind w:left="284" w:hanging="284"/>
        <w:rPr>
          <w:rFonts w:ascii="Cambria" w:hAnsi="Cambria"/>
        </w:rPr>
      </w:pPr>
      <w:r>
        <w:rPr>
          <w:rFonts w:ascii="Cambria" w:hAnsi="Cambria"/>
        </w:rPr>
        <w:t>Nursery stock is intended for ongoing propagation or horticultural purposes and is deliberately introduced, distributed and aided to establish. This material will enter and then be maintained in a suitable habitat, potentially in substantial numbers and for an indeterminate period. Therefore, the introduction and establishment of plants from imported propagative material in essence establishes those pathogens associated with the propagative material.</w:t>
      </w:r>
    </w:p>
    <w:p w:rsidR="00C74066" w:rsidRDefault="00F10705">
      <w:pPr>
        <w:pStyle w:val="ListBullet"/>
        <w:tabs>
          <w:tab w:val="clear" w:pos="360"/>
          <w:tab w:val="num" w:pos="284"/>
        </w:tabs>
        <w:spacing w:line="269" w:lineRule="auto"/>
        <w:ind w:left="284" w:hanging="284"/>
        <w:rPr>
          <w:rFonts w:ascii="Cambria" w:hAnsi="Cambria"/>
        </w:rPr>
      </w:pPr>
      <w:r>
        <w:rPr>
          <w:rFonts w:ascii="Cambria" w:hAnsi="Cambria"/>
          <w:i/>
          <w:iCs/>
        </w:rPr>
        <w:t xml:space="preserve">Phytophthora ramorum </w:t>
      </w:r>
      <w:r>
        <w:rPr>
          <w:rFonts w:ascii="Cambria" w:hAnsi="Cambria"/>
        </w:rPr>
        <w:t xml:space="preserve">is a generalist plant pathogen (Hüberli &amp; Garbelotto 2012) that has an extremely broad host range. Hosts include many important shrubs and trees of ornamental or environmental significance. These natural hosts are widespread in cities, towns and horticultural production areas throughout Australia and in the natural environment. The availability of host species and a climate conducive to infection will help establish </w:t>
      </w:r>
      <w:r>
        <w:rPr>
          <w:rFonts w:ascii="Cambria" w:hAnsi="Cambria"/>
          <w:i/>
          <w:iCs/>
        </w:rPr>
        <w:t xml:space="preserve">Phytophthora </w:t>
      </w:r>
      <w:r>
        <w:rPr>
          <w:rFonts w:ascii="Cambria" w:hAnsi="Cambria"/>
        </w:rPr>
        <w:t>species in Australia.</w:t>
      </w:r>
    </w:p>
    <w:p w:rsidR="00C74066" w:rsidRDefault="00F10705">
      <w:pPr>
        <w:pStyle w:val="AQISNum"/>
        <w:numPr>
          <w:ilvl w:val="1"/>
          <w:numId w:val="31"/>
        </w:numPr>
        <w:tabs>
          <w:tab w:val="clear" w:pos="644"/>
          <w:tab w:val="num" w:pos="840"/>
        </w:tabs>
        <w:spacing w:before="120" w:after="120" w:line="276" w:lineRule="auto"/>
        <w:ind w:left="839" w:hanging="482"/>
        <w:rPr>
          <w:rFonts w:ascii="Cambria" w:hAnsi="Cambria"/>
          <w:szCs w:val="22"/>
        </w:rPr>
      </w:pPr>
      <w:r>
        <w:rPr>
          <w:rFonts w:ascii="Cambria" w:hAnsi="Cambria"/>
          <w:szCs w:val="22"/>
        </w:rPr>
        <w:lastRenderedPageBreak/>
        <w:t xml:space="preserve">The type of hosts that are affected varies between countries, environmental conditions and type of pathogen causing the infection (Sundheim </w:t>
      </w:r>
      <w:r>
        <w:rPr>
          <w:rFonts w:ascii="Cambria" w:hAnsi="Cambria"/>
          <w:iCs/>
          <w:szCs w:val="22"/>
        </w:rPr>
        <w:t>et al</w:t>
      </w:r>
      <w:r>
        <w:rPr>
          <w:rFonts w:ascii="Cambria" w:hAnsi="Cambria"/>
          <w:szCs w:val="22"/>
        </w:rPr>
        <w:t xml:space="preserve">. 2009). Based on symptoms, </w:t>
      </w:r>
      <w:r>
        <w:rPr>
          <w:rFonts w:ascii="Cambria" w:hAnsi="Cambria"/>
          <w:i/>
          <w:iCs/>
          <w:szCs w:val="22"/>
        </w:rPr>
        <w:t xml:space="preserve">P. ramorum </w:t>
      </w:r>
      <w:r>
        <w:rPr>
          <w:rFonts w:ascii="Cambria" w:hAnsi="Cambria"/>
          <w:szCs w:val="22"/>
        </w:rPr>
        <w:t xml:space="preserve">hosts can be categorised as ‘canker hosts’ or ‘leaf and twig hosts’ (Davidson </w:t>
      </w:r>
      <w:r>
        <w:rPr>
          <w:rFonts w:ascii="Cambria" w:hAnsi="Cambria"/>
          <w:iCs/>
          <w:szCs w:val="22"/>
        </w:rPr>
        <w:t>et al.</w:t>
      </w:r>
      <w:r>
        <w:rPr>
          <w:rFonts w:ascii="Cambria" w:hAnsi="Cambria"/>
          <w:i/>
          <w:iCs/>
          <w:szCs w:val="22"/>
        </w:rPr>
        <w:t xml:space="preserve"> </w:t>
      </w:r>
      <w:r>
        <w:rPr>
          <w:rFonts w:ascii="Cambria" w:hAnsi="Cambria"/>
          <w:szCs w:val="22"/>
        </w:rPr>
        <w:t xml:space="preserve">2003b). The pathogen is polycyclic on most leaf and twig hosts (Davidson </w:t>
      </w:r>
      <w:r>
        <w:rPr>
          <w:rFonts w:ascii="Cambria" w:hAnsi="Cambria"/>
          <w:iCs/>
          <w:szCs w:val="22"/>
        </w:rPr>
        <w:t>et al.</w:t>
      </w:r>
      <w:r>
        <w:rPr>
          <w:rFonts w:ascii="Cambria" w:hAnsi="Cambria"/>
          <w:i/>
          <w:iCs/>
          <w:szCs w:val="22"/>
        </w:rPr>
        <w:t xml:space="preserve"> </w:t>
      </w:r>
      <w:r>
        <w:rPr>
          <w:rFonts w:ascii="Cambria" w:hAnsi="Cambria"/>
          <w:szCs w:val="22"/>
        </w:rPr>
        <w:t xml:space="preserve">2003a, b; 2005) and while the infection on leaf and twig hosts is rarely fatal, it can serve as a reservoir for the pathogen (Parke </w:t>
      </w:r>
      <w:r>
        <w:rPr>
          <w:rFonts w:ascii="Cambria" w:hAnsi="Cambria"/>
          <w:iCs/>
          <w:szCs w:val="22"/>
        </w:rPr>
        <w:t xml:space="preserve">et al. </w:t>
      </w:r>
      <w:r>
        <w:rPr>
          <w:rFonts w:ascii="Cambria" w:hAnsi="Cambria"/>
          <w:szCs w:val="22"/>
        </w:rPr>
        <w:t xml:space="preserve">2002b, c; Rizzo </w:t>
      </w:r>
      <w:r>
        <w:rPr>
          <w:rFonts w:ascii="Cambria" w:hAnsi="Cambria"/>
          <w:iCs/>
          <w:szCs w:val="22"/>
        </w:rPr>
        <w:t>et al.</w:t>
      </w:r>
      <w:r>
        <w:rPr>
          <w:rFonts w:ascii="Cambria" w:hAnsi="Cambria"/>
          <w:szCs w:val="22"/>
        </w:rPr>
        <w:t xml:space="preserve"> 2002a). Leaf and twig hosts are present in parts of Australia and therefore will help establish </w:t>
      </w:r>
      <w:r>
        <w:rPr>
          <w:rFonts w:ascii="Cambria" w:hAnsi="Cambria"/>
          <w:i/>
          <w:iCs/>
          <w:szCs w:val="22"/>
        </w:rPr>
        <w:t xml:space="preserve">P. ramorum </w:t>
      </w:r>
      <w:r>
        <w:rPr>
          <w:rFonts w:ascii="Cambria" w:hAnsi="Cambria"/>
          <w:szCs w:val="22"/>
        </w:rPr>
        <w:t xml:space="preserve">in Australia. </w:t>
      </w:r>
    </w:p>
    <w:p w:rsidR="00C74066" w:rsidRDefault="00F10705">
      <w:pPr>
        <w:pStyle w:val="AQISNum"/>
        <w:numPr>
          <w:ilvl w:val="1"/>
          <w:numId w:val="31"/>
        </w:numPr>
        <w:tabs>
          <w:tab w:val="clear" w:pos="644"/>
          <w:tab w:val="num" w:pos="840"/>
        </w:tabs>
        <w:spacing w:before="120" w:after="120" w:line="276" w:lineRule="auto"/>
        <w:ind w:left="839" w:hanging="482"/>
        <w:rPr>
          <w:rFonts w:ascii="Cambria" w:hAnsi="Cambria"/>
          <w:szCs w:val="22"/>
        </w:rPr>
      </w:pPr>
      <w:r>
        <w:rPr>
          <w:rFonts w:ascii="Cambria" w:hAnsi="Cambria"/>
          <w:szCs w:val="22"/>
        </w:rPr>
        <w:t xml:space="preserve">Sporangia and chlamydospores are produced abundantly on several foliar and dieback hosts, including </w:t>
      </w:r>
      <w:r>
        <w:rPr>
          <w:rFonts w:ascii="Cambria" w:hAnsi="Cambria"/>
          <w:i/>
          <w:iCs/>
          <w:szCs w:val="22"/>
        </w:rPr>
        <w:t xml:space="preserve">Umbellularia californica </w:t>
      </w:r>
      <w:r>
        <w:rPr>
          <w:rFonts w:ascii="Cambria" w:hAnsi="Cambria"/>
          <w:szCs w:val="22"/>
        </w:rPr>
        <w:t xml:space="preserve">(Davidson </w:t>
      </w:r>
      <w:r>
        <w:rPr>
          <w:rFonts w:ascii="Cambria" w:hAnsi="Cambria"/>
          <w:iCs/>
          <w:szCs w:val="22"/>
        </w:rPr>
        <w:t>et al.</w:t>
      </w:r>
      <w:r>
        <w:rPr>
          <w:rFonts w:ascii="Cambria" w:hAnsi="Cambria"/>
          <w:i/>
          <w:iCs/>
          <w:szCs w:val="22"/>
        </w:rPr>
        <w:t xml:space="preserve"> </w:t>
      </w:r>
      <w:r>
        <w:rPr>
          <w:rFonts w:ascii="Cambria" w:hAnsi="Cambria"/>
          <w:szCs w:val="22"/>
        </w:rPr>
        <w:t xml:space="preserve">2002b), </w:t>
      </w:r>
      <w:r>
        <w:rPr>
          <w:rFonts w:ascii="Cambria" w:hAnsi="Cambria"/>
          <w:i/>
          <w:iCs/>
          <w:szCs w:val="22"/>
        </w:rPr>
        <w:t>Rhododendron</w:t>
      </w:r>
      <w:r>
        <w:rPr>
          <w:rFonts w:ascii="Cambria" w:hAnsi="Cambria"/>
          <w:szCs w:val="22"/>
        </w:rPr>
        <w:t xml:space="preserve"> species and </w:t>
      </w:r>
      <w:r>
        <w:rPr>
          <w:rFonts w:ascii="Cambria" w:hAnsi="Cambria"/>
          <w:i/>
          <w:iCs/>
          <w:szCs w:val="22"/>
        </w:rPr>
        <w:t xml:space="preserve">Kalmia latifolia </w:t>
      </w:r>
      <w:r>
        <w:rPr>
          <w:rFonts w:ascii="Cambria" w:hAnsi="Cambria"/>
          <w:szCs w:val="22"/>
        </w:rPr>
        <w:t xml:space="preserve">(DEFRA 2004). Foliar hosts including </w:t>
      </w:r>
      <w:r>
        <w:rPr>
          <w:rFonts w:ascii="Cambria" w:hAnsi="Cambria"/>
          <w:i/>
          <w:szCs w:val="22"/>
        </w:rPr>
        <w:t>Rhododendron</w:t>
      </w:r>
      <w:r>
        <w:rPr>
          <w:rFonts w:ascii="Cambria" w:hAnsi="Cambria"/>
          <w:szCs w:val="22"/>
        </w:rPr>
        <w:t xml:space="preserve"> species and </w:t>
      </w:r>
      <w:r>
        <w:rPr>
          <w:rFonts w:ascii="Cambria" w:hAnsi="Cambria"/>
          <w:i/>
          <w:iCs/>
          <w:szCs w:val="22"/>
        </w:rPr>
        <w:t xml:space="preserve">U. californica </w:t>
      </w:r>
      <w:r>
        <w:rPr>
          <w:rFonts w:ascii="Cambria" w:hAnsi="Cambria"/>
          <w:szCs w:val="22"/>
        </w:rPr>
        <w:t xml:space="preserve">play an important role in building up </w:t>
      </w:r>
      <w:r>
        <w:rPr>
          <w:rFonts w:ascii="Cambria" w:hAnsi="Cambria"/>
          <w:i/>
          <w:iCs/>
          <w:szCs w:val="22"/>
        </w:rPr>
        <w:t xml:space="preserve">P. ramorum </w:t>
      </w:r>
      <w:r>
        <w:rPr>
          <w:rFonts w:ascii="Cambria" w:hAnsi="Cambria"/>
          <w:szCs w:val="22"/>
        </w:rPr>
        <w:t xml:space="preserve">inoculum. The availability of susceptible and sporulating hosts will help establish </w:t>
      </w:r>
      <w:r>
        <w:rPr>
          <w:rFonts w:ascii="Cambria" w:hAnsi="Cambria"/>
          <w:i/>
          <w:iCs/>
          <w:szCs w:val="22"/>
        </w:rPr>
        <w:t>P. ramorum</w:t>
      </w:r>
      <w:r>
        <w:rPr>
          <w:rFonts w:ascii="Cambria" w:hAnsi="Cambria"/>
          <w:szCs w:val="22"/>
        </w:rPr>
        <w:t xml:space="preserve"> in Australia and can lead to the infection of many other native plant species in Australia.</w:t>
      </w:r>
    </w:p>
    <w:p w:rsidR="00C74066" w:rsidRDefault="00F10705">
      <w:pPr>
        <w:pStyle w:val="ListBullet"/>
        <w:tabs>
          <w:tab w:val="clear" w:pos="360"/>
          <w:tab w:val="num" w:pos="284"/>
        </w:tabs>
        <w:ind w:left="284" w:hanging="284"/>
        <w:rPr>
          <w:rFonts w:ascii="Cambria" w:hAnsi="Cambria"/>
        </w:rPr>
      </w:pPr>
      <w:r>
        <w:rPr>
          <w:rFonts w:ascii="Cambria" w:hAnsi="Cambria"/>
        </w:rPr>
        <w:t xml:space="preserve">Several host genera of </w:t>
      </w:r>
      <w:r>
        <w:rPr>
          <w:rFonts w:ascii="Cambria" w:hAnsi="Cambria"/>
          <w:i/>
          <w:iCs/>
        </w:rPr>
        <w:t xml:space="preserve">P. ramorum </w:t>
      </w:r>
      <w:r>
        <w:rPr>
          <w:rFonts w:ascii="Cambria" w:hAnsi="Cambria"/>
        </w:rPr>
        <w:t>are widely distributed in temperate and Mediterranean regions, and grow in gardens, parks, streetscapes and native plant communities in parts of Australia (Appendix A). They include genera that are cultivated (</w:t>
      </w:r>
      <w:r>
        <w:rPr>
          <w:rFonts w:ascii="Cambria" w:hAnsi="Cambria"/>
          <w:i/>
          <w:iCs/>
        </w:rPr>
        <w:t xml:space="preserve">Arbutus, Quercus, Rhododendron </w:t>
      </w:r>
      <w:r>
        <w:rPr>
          <w:rFonts w:ascii="Cambria" w:hAnsi="Cambria"/>
          <w:iCs/>
        </w:rPr>
        <w:t>and</w:t>
      </w:r>
      <w:r>
        <w:rPr>
          <w:rFonts w:ascii="Cambria" w:hAnsi="Cambria"/>
          <w:i/>
          <w:iCs/>
        </w:rPr>
        <w:t xml:space="preserve"> Viburnum </w:t>
      </w:r>
      <w:r>
        <w:rPr>
          <w:rFonts w:ascii="Cambria" w:hAnsi="Cambria"/>
        </w:rPr>
        <w:t>species), naturalised (</w:t>
      </w:r>
      <w:r>
        <w:rPr>
          <w:rFonts w:ascii="Cambria" w:hAnsi="Cambria"/>
          <w:i/>
          <w:iCs/>
        </w:rPr>
        <w:t xml:space="preserve">Acer, Lonicera </w:t>
      </w:r>
      <w:r>
        <w:rPr>
          <w:rFonts w:ascii="Cambria" w:hAnsi="Cambria"/>
          <w:iCs/>
        </w:rPr>
        <w:t>and</w:t>
      </w:r>
      <w:r>
        <w:rPr>
          <w:rFonts w:ascii="Cambria" w:hAnsi="Cambria"/>
          <w:i/>
          <w:iCs/>
        </w:rPr>
        <w:t xml:space="preserve"> Salix </w:t>
      </w:r>
      <w:r>
        <w:rPr>
          <w:rFonts w:ascii="Cambria" w:hAnsi="Cambria"/>
          <w:iCs/>
        </w:rPr>
        <w:t>species</w:t>
      </w:r>
      <w:r>
        <w:rPr>
          <w:rFonts w:ascii="Cambria" w:hAnsi="Cambria"/>
        </w:rPr>
        <w:t>) and native (</w:t>
      </w:r>
      <w:r>
        <w:rPr>
          <w:rFonts w:ascii="Cambria" w:hAnsi="Cambria"/>
          <w:i/>
          <w:iCs/>
        </w:rPr>
        <w:t xml:space="preserve">Adiantum, Cinnamomum, Dryopteris, Eucalyptus, Euonymus, Gaultheria, Ilex, Nothofagus, Pittosporum, Rhododendron </w:t>
      </w:r>
      <w:r>
        <w:rPr>
          <w:rFonts w:ascii="Cambria" w:hAnsi="Cambria"/>
          <w:iCs/>
        </w:rPr>
        <w:t>and</w:t>
      </w:r>
      <w:r>
        <w:rPr>
          <w:rFonts w:ascii="Cambria" w:hAnsi="Cambria"/>
          <w:i/>
          <w:iCs/>
        </w:rPr>
        <w:t xml:space="preserve"> Rubus </w:t>
      </w:r>
      <w:r>
        <w:rPr>
          <w:rFonts w:ascii="Cambria" w:hAnsi="Cambria"/>
          <w:iCs/>
        </w:rPr>
        <w:t>species</w:t>
      </w:r>
      <w:r>
        <w:rPr>
          <w:rFonts w:ascii="Cambria" w:hAnsi="Cambria"/>
        </w:rPr>
        <w:t>).</w:t>
      </w:r>
    </w:p>
    <w:p w:rsidR="00C74066" w:rsidRDefault="00F10705">
      <w:pPr>
        <w:pStyle w:val="AQISNum"/>
        <w:numPr>
          <w:ilvl w:val="1"/>
          <w:numId w:val="31"/>
        </w:numPr>
        <w:tabs>
          <w:tab w:val="clear" w:pos="644"/>
          <w:tab w:val="num" w:pos="840"/>
        </w:tabs>
        <w:spacing w:before="120" w:after="120" w:line="276" w:lineRule="auto"/>
        <w:ind w:left="839" w:hanging="482"/>
        <w:rPr>
          <w:rFonts w:ascii="Cambria" w:hAnsi="Cambria"/>
          <w:szCs w:val="22"/>
        </w:rPr>
      </w:pPr>
      <w:r>
        <w:rPr>
          <w:rFonts w:ascii="Cambria" w:hAnsi="Cambria"/>
          <w:szCs w:val="22"/>
        </w:rPr>
        <w:t xml:space="preserve">Several Australasian plant species, including </w:t>
      </w:r>
      <w:r>
        <w:rPr>
          <w:rFonts w:ascii="Cambria" w:hAnsi="Cambria"/>
          <w:i/>
          <w:iCs/>
          <w:szCs w:val="22"/>
        </w:rPr>
        <w:t>Eucalyptus haemastoma,</w:t>
      </w:r>
      <w:r>
        <w:rPr>
          <w:rFonts w:ascii="Cambria" w:hAnsi="Cambria"/>
          <w:szCs w:val="22"/>
        </w:rPr>
        <w:t xml:space="preserve"> </w:t>
      </w:r>
      <w:r>
        <w:rPr>
          <w:rFonts w:ascii="Cambria" w:hAnsi="Cambria"/>
          <w:i/>
          <w:iCs/>
          <w:szCs w:val="22"/>
        </w:rPr>
        <w:t>Griselinia littoralis</w:t>
      </w:r>
      <w:r>
        <w:rPr>
          <w:rFonts w:ascii="Cambria" w:hAnsi="Cambria"/>
          <w:szCs w:val="22"/>
        </w:rPr>
        <w:t xml:space="preserve"> and </w:t>
      </w:r>
      <w:r>
        <w:rPr>
          <w:rFonts w:ascii="Cambria" w:hAnsi="Cambria"/>
          <w:i/>
          <w:iCs/>
          <w:szCs w:val="22"/>
        </w:rPr>
        <w:t xml:space="preserve">Pittosporum undulatum </w:t>
      </w:r>
      <w:r>
        <w:rPr>
          <w:rFonts w:ascii="Cambria" w:hAnsi="Cambria"/>
          <w:szCs w:val="22"/>
        </w:rPr>
        <w:t xml:space="preserve">are known natural hosts of </w:t>
      </w:r>
      <w:r>
        <w:rPr>
          <w:rFonts w:ascii="Cambria" w:hAnsi="Cambria"/>
          <w:i/>
          <w:iCs/>
          <w:szCs w:val="22"/>
        </w:rPr>
        <w:t xml:space="preserve">P. ramorum </w:t>
      </w:r>
      <w:r>
        <w:rPr>
          <w:rFonts w:ascii="Cambria" w:hAnsi="Cambria"/>
          <w:szCs w:val="22"/>
        </w:rPr>
        <w:t xml:space="preserve">(Hüberli </w:t>
      </w:r>
      <w:r>
        <w:rPr>
          <w:rFonts w:ascii="Cambria" w:hAnsi="Cambria"/>
          <w:iCs/>
          <w:szCs w:val="22"/>
        </w:rPr>
        <w:t>et al</w:t>
      </w:r>
      <w:r>
        <w:rPr>
          <w:rFonts w:ascii="Cambria" w:hAnsi="Cambria"/>
          <w:szCs w:val="22"/>
        </w:rPr>
        <w:t xml:space="preserve">. 2006). These species are widespread in parts of Australia and will act as foliar sporulating hosts, thereby helping </w:t>
      </w:r>
      <w:r>
        <w:rPr>
          <w:rFonts w:ascii="Cambria" w:hAnsi="Cambria"/>
          <w:i/>
          <w:szCs w:val="22"/>
        </w:rPr>
        <w:t xml:space="preserve">P. ramorum </w:t>
      </w:r>
      <w:r>
        <w:rPr>
          <w:rFonts w:ascii="Cambria" w:hAnsi="Cambria"/>
          <w:szCs w:val="22"/>
        </w:rPr>
        <w:t>to establish in Australia.</w:t>
      </w:r>
    </w:p>
    <w:p w:rsidR="00C74066" w:rsidRDefault="00F10705">
      <w:pPr>
        <w:pStyle w:val="ListBullet"/>
        <w:tabs>
          <w:tab w:val="clear" w:pos="360"/>
          <w:tab w:val="num" w:pos="284"/>
        </w:tabs>
        <w:ind w:left="284" w:hanging="284"/>
        <w:rPr>
          <w:rFonts w:ascii="Cambria" w:hAnsi="Cambria"/>
        </w:rPr>
      </w:pPr>
      <w:r>
        <w:rPr>
          <w:rFonts w:ascii="Cambria" w:hAnsi="Cambria"/>
        </w:rPr>
        <w:t xml:space="preserve">Infestations by </w:t>
      </w:r>
      <w:r>
        <w:rPr>
          <w:rFonts w:ascii="Cambria" w:hAnsi="Cambria"/>
          <w:i/>
          <w:iCs/>
        </w:rPr>
        <w:t xml:space="preserve">P. ramorum </w:t>
      </w:r>
      <w:r>
        <w:rPr>
          <w:rFonts w:ascii="Cambria" w:hAnsi="Cambria"/>
        </w:rPr>
        <w:t xml:space="preserve">are virtually invisible for variable periods of time, depending on the affected ecosystem. If a foliar host is driving the epidemic (for example, bay laurel or </w:t>
      </w:r>
      <w:r>
        <w:rPr>
          <w:rFonts w:ascii="Cambria" w:hAnsi="Cambria"/>
          <w:i/>
        </w:rPr>
        <w:t xml:space="preserve">Rhododendron </w:t>
      </w:r>
      <w:r>
        <w:rPr>
          <w:rFonts w:ascii="Cambria" w:hAnsi="Cambria"/>
        </w:rPr>
        <w:t xml:space="preserve">species), there may be a long lag phase between infection and symptom expression as symptoms are hard to detect on foliar hosts. Symptoms on these foliar hosts often manifest as small lesions, which are not very visible and can be easily confused with symptoms caused by other agents (Wickland </w:t>
      </w:r>
      <w:r>
        <w:rPr>
          <w:rFonts w:ascii="Cambria" w:hAnsi="Cambria"/>
          <w:iCs/>
        </w:rPr>
        <w:t>et al</w:t>
      </w:r>
      <w:r>
        <w:rPr>
          <w:rFonts w:ascii="Cambria" w:hAnsi="Cambria"/>
        </w:rPr>
        <w:t xml:space="preserve">. 2008). In addition, infected hosts such as </w:t>
      </w:r>
      <w:r>
        <w:rPr>
          <w:rFonts w:ascii="Cambria" w:hAnsi="Cambria"/>
          <w:i/>
        </w:rPr>
        <w:t>R</w:t>
      </w:r>
      <w:r>
        <w:rPr>
          <w:rFonts w:ascii="Cambria" w:hAnsi="Cambria"/>
          <w:i/>
          <w:iCs/>
        </w:rPr>
        <w:t>hododendron</w:t>
      </w:r>
      <w:r>
        <w:rPr>
          <w:rFonts w:ascii="Cambria" w:hAnsi="Cambria"/>
          <w:iCs/>
        </w:rPr>
        <w:t xml:space="preserve"> species</w:t>
      </w:r>
      <w:r>
        <w:rPr>
          <w:rFonts w:ascii="Cambria" w:hAnsi="Cambria"/>
        </w:rPr>
        <w:t xml:space="preserve"> can be asymptomatic (Denman </w:t>
      </w:r>
      <w:r>
        <w:rPr>
          <w:rFonts w:ascii="Cambria" w:hAnsi="Cambria"/>
          <w:iCs/>
        </w:rPr>
        <w:t>et al</w:t>
      </w:r>
      <w:r>
        <w:rPr>
          <w:rFonts w:ascii="Cambria" w:hAnsi="Cambria"/>
        </w:rPr>
        <w:t xml:space="preserve">. 2009). These characteristics will help establish </w:t>
      </w:r>
      <w:r>
        <w:rPr>
          <w:rFonts w:ascii="Cambria" w:hAnsi="Cambria"/>
          <w:i/>
          <w:iCs/>
        </w:rPr>
        <w:t xml:space="preserve">Phytophthora ramorum </w:t>
      </w:r>
      <w:r>
        <w:rPr>
          <w:rFonts w:ascii="Cambria" w:hAnsi="Cambria"/>
        </w:rPr>
        <w:t>in Australia.</w:t>
      </w:r>
    </w:p>
    <w:p w:rsidR="00C74066" w:rsidRDefault="00F10705">
      <w:pPr>
        <w:pStyle w:val="Heading4"/>
        <w:spacing w:before="200"/>
        <w:rPr>
          <w:i/>
        </w:rPr>
      </w:pPr>
      <w:r>
        <w:rPr>
          <w:i/>
        </w:rPr>
        <w:t>Suitability of the environment</w:t>
      </w:r>
    </w:p>
    <w:p w:rsidR="00C74066" w:rsidRDefault="00F10705">
      <w:pPr>
        <w:pStyle w:val="ListBullet"/>
        <w:tabs>
          <w:tab w:val="clear" w:pos="360"/>
          <w:tab w:val="num" w:pos="284"/>
        </w:tabs>
        <w:ind w:left="284" w:hanging="284"/>
        <w:rPr>
          <w:rFonts w:ascii="Cambria" w:hAnsi="Cambria"/>
        </w:rPr>
      </w:pPr>
      <w:r>
        <w:rPr>
          <w:rFonts w:ascii="Cambria" w:hAnsi="Cambria"/>
          <w:i/>
          <w:iCs/>
        </w:rPr>
        <w:t xml:space="preserve">Phytophthora </w:t>
      </w:r>
      <w:r>
        <w:rPr>
          <w:rFonts w:ascii="Cambria" w:hAnsi="Cambria"/>
        </w:rPr>
        <w:t>species (</w:t>
      </w:r>
      <w:r>
        <w:rPr>
          <w:rFonts w:ascii="Cambria" w:hAnsi="Cambria"/>
          <w:i/>
          <w:iCs/>
        </w:rPr>
        <w:t xml:space="preserve">P. kernoviae, P. nemorosa, P. pseudosyringae </w:t>
      </w:r>
      <w:r>
        <w:rPr>
          <w:rFonts w:ascii="Cambria" w:hAnsi="Cambria"/>
        </w:rPr>
        <w:t xml:space="preserve">and </w:t>
      </w:r>
      <w:r>
        <w:rPr>
          <w:rFonts w:ascii="Cambria" w:hAnsi="Cambria"/>
          <w:i/>
          <w:iCs/>
        </w:rPr>
        <w:t>P. ramorum</w:t>
      </w:r>
      <w:r>
        <w:rPr>
          <w:rFonts w:ascii="Cambria" w:hAnsi="Cambria"/>
        </w:rPr>
        <w:t>) have established in areas with a wide range of climatic conditions (Map 3)</w:t>
      </w:r>
      <w:r>
        <w:rPr>
          <w:rFonts w:ascii="Cambria" w:hAnsi="Cambria"/>
          <w:color w:val="000000" w:themeColor="text1"/>
        </w:rPr>
        <w:t>.</w:t>
      </w:r>
      <w:r>
        <w:rPr>
          <w:rFonts w:ascii="Cambria" w:hAnsi="Cambria"/>
        </w:rPr>
        <w:t xml:space="preserve"> The current reported distribution of </w:t>
      </w:r>
      <w:r>
        <w:rPr>
          <w:rFonts w:ascii="Cambria" w:hAnsi="Cambria"/>
          <w:i/>
          <w:iCs/>
        </w:rPr>
        <w:t xml:space="preserve">Phytophthora </w:t>
      </w:r>
      <w:r>
        <w:rPr>
          <w:rFonts w:ascii="Cambria" w:hAnsi="Cambria"/>
        </w:rPr>
        <w:t xml:space="preserve">species (Ivors </w:t>
      </w:r>
      <w:r>
        <w:rPr>
          <w:rFonts w:ascii="Cambria" w:hAnsi="Cambria"/>
          <w:iCs/>
        </w:rPr>
        <w:t>et al</w:t>
      </w:r>
      <w:r>
        <w:rPr>
          <w:rFonts w:ascii="Cambria" w:hAnsi="Cambria"/>
        </w:rPr>
        <w:t xml:space="preserve">. 2006; Mascheretti </w:t>
      </w:r>
      <w:r>
        <w:rPr>
          <w:rFonts w:ascii="Cambria" w:hAnsi="Cambria"/>
          <w:iCs/>
        </w:rPr>
        <w:t>et al</w:t>
      </w:r>
      <w:r>
        <w:rPr>
          <w:rFonts w:ascii="Cambria" w:hAnsi="Cambria"/>
        </w:rPr>
        <w:t xml:space="preserve">. 2008) suggests an ability to establish in new environments. There are similar climatic regions in parts of Australia that would be suitable for the establishment of these </w:t>
      </w:r>
      <w:r>
        <w:rPr>
          <w:rFonts w:ascii="Cambria" w:hAnsi="Cambria"/>
          <w:i/>
          <w:iCs/>
        </w:rPr>
        <w:t xml:space="preserve">Phytophthora </w:t>
      </w:r>
      <w:r>
        <w:rPr>
          <w:rFonts w:ascii="Cambria" w:hAnsi="Cambria"/>
        </w:rPr>
        <w:t xml:space="preserve">species; therefore, </w:t>
      </w:r>
      <w:r>
        <w:rPr>
          <w:rFonts w:ascii="Cambria" w:hAnsi="Cambria"/>
          <w:i/>
          <w:iCs/>
        </w:rPr>
        <w:t xml:space="preserve">Phytophthora </w:t>
      </w:r>
      <w:r>
        <w:rPr>
          <w:rFonts w:ascii="Cambria" w:hAnsi="Cambria"/>
        </w:rPr>
        <w:t xml:space="preserve">species are likely to be able to establish in Australia. </w:t>
      </w:r>
    </w:p>
    <w:p w:rsidR="00C74066" w:rsidRDefault="00F10705">
      <w:pPr>
        <w:pStyle w:val="ListBullet"/>
        <w:tabs>
          <w:tab w:val="clear" w:pos="360"/>
          <w:tab w:val="num" w:pos="284"/>
        </w:tabs>
        <w:ind w:left="284" w:hanging="284"/>
        <w:rPr>
          <w:rFonts w:ascii="Cambria" w:hAnsi="Cambria"/>
        </w:rPr>
      </w:pPr>
      <w:r>
        <w:rPr>
          <w:rFonts w:ascii="Cambria" w:hAnsi="Cambria"/>
        </w:rPr>
        <w:t xml:space="preserve">Foliar hosts play an important role in building up inoculum of these </w:t>
      </w:r>
      <w:r>
        <w:rPr>
          <w:rFonts w:ascii="Cambria" w:hAnsi="Cambria"/>
          <w:i/>
          <w:iCs/>
        </w:rPr>
        <w:t xml:space="preserve">Phytophthora </w:t>
      </w:r>
      <w:r>
        <w:rPr>
          <w:rFonts w:ascii="Cambria" w:hAnsi="Cambria"/>
        </w:rPr>
        <w:t xml:space="preserve">species. The availability of susceptible and sporulating hosts will help establish these </w:t>
      </w:r>
      <w:r>
        <w:rPr>
          <w:rFonts w:ascii="Cambria" w:hAnsi="Cambria"/>
          <w:i/>
          <w:iCs/>
        </w:rPr>
        <w:t xml:space="preserve">Phytophthora </w:t>
      </w:r>
      <w:r>
        <w:rPr>
          <w:rFonts w:ascii="Cambria" w:hAnsi="Cambria"/>
        </w:rPr>
        <w:t>species in Australia and can lead to infection of many other native plant species.</w:t>
      </w:r>
    </w:p>
    <w:p w:rsidR="00C74066" w:rsidRDefault="00F10705">
      <w:pPr>
        <w:pStyle w:val="ListBullet"/>
        <w:tabs>
          <w:tab w:val="clear" w:pos="360"/>
          <w:tab w:val="num" w:pos="284"/>
        </w:tabs>
        <w:spacing w:line="269" w:lineRule="auto"/>
        <w:ind w:left="284" w:hanging="284"/>
        <w:rPr>
          <w:rFonts w:ascii="Cambria" w:hAnsi="Cambria"/>
        </w:rPr>
      </w:pPr>
      <w:r>
        <w:rPr>
          <w:rFonts w:ascii="Cambria" w:hAnsi="Cambria"/>
        </w:rPr>
        <w:lastRenderedPageBreak/>
        <w:t xml:space="preserve">The origin of </w:t>
      </w:r>
      <w:r>
        <w:rPr>
          <w:rFonts w:ascii="Cambria" w:hAnsi="Cambria"/>
          <w:i/>
          <w:iCs/>
        </w:rPr>
        <w:t xml:space="preserve">P. ramorum </w:t>
      </w:r>
      <w:r>
        <w:rPr>
          <w:rFonts w:ascii="Cambria" w:hAnsi="Cambria"/>
        </w:rPr>
        <w:t xml:space="preserve">is not known and is difficult to determine; however, this species is now established in Belgium, Canada, Croatia, Czech Republic, Denmark, Estonia, Finland, France, Germany, Greece, India, Ireland, Italy, Latvia, Lithuania, Luxembourg, the Netherlands, Norway, Poland, Portugal, Serbia, Slovenia, Spain, Sweden, Switzerland, the UK and the </w:t>
      </w:r>
      <w:r>
        <w:rPr>
          <w:rFonts w:ascii="Cambria" w:hAnsi="Cambria"/>
          <w:color w:val="000000" w:themeColor="text1"/>
        </w:rPr>
        <w:t>USA (</w:t>
      </w:r>
      <w:r>
        <w:rPr>
          <w:rFonts w:ascii="Cambria" w:eastAsia="Calibri" w:hAnsi="Cambria"/>
          <w:color w:val="000000" w:themeColor="text1"/>
        </w:rPr>
        <w:t>Denman et al. 2009; Gomes &amp; Amaro 2009;</w:t>
      </w:r>
      <w:r>
        <w:rPr>
          <w:rFonts w:ascii="Cambria" w:hAnsi="Cambria"/>
          <w:color w:val="000000" w:themeColor="text1"/>
        </w:rPr>
        <w:t xml:space="preserve"> </w:t>
      </w:r>
      <w:r>
        <w:rPr>
          <w:rFonts w:ascii="Cambria" w:eastAsia="Calibri" w:hAnsi="Cambria"/>
          <w:color w:val="000000" w:themeColor="text1"/>
        </w:rPr>
        <w:t xml:space="preserve">Sansford et al. 2009; EPPO 2012; FERA 2012; </w:t>
      </w:r>
      <w:r>
        <w:rPr>
          <w:rFonts w:ascii="Cambria" w:hAnsi="Cambria"/>
          <w:color w:val="000000" w:themeColor="text1"/>
        </w:rPr>
        <w:t>Mathew &amp; Beena 2012).</w:t>
      </w:r>
      <w:r>
        <w:rPr>
          <w:rFonts w:ascii="Cambria" w:hAnsi="Cambria"/>
        </w:rPr>
        <w:t xml:space="preserve"> The climatic regions across this range are diverse and there are similar climatic regions in parts of Australia that would be suitable for the establishment of </w:t>
      </w:r>
      <w:r>
        <w:rPr>
          <w:rFonts w:ascii="Cambria" w:hAnsi="Cambria"/>
          <w:i/>
          <w:iCs/>
        </w:rPr>
        <w:t>P. ramorum</w:t>
      </w:r>
      <w:r>
        <w:rPr>
          <w:rFonts w:ascii="Cambria" w:hAnsi="Cambria"/>
        </w:rPr>
        <w:t xml:space="preserve"> (Map 4) (Ireland et al. 2013).</w:t>
      </w:r>
    </w:p>
    <w:p w:rsidR="00C74066" w:rsidRDefault="00F10705">
      <w:pPr>
        <w:pStyle w:val="Caption"/>
        <w:rPr>
          <w:rFonts w:asciiTheme="majorHAnsi" w:eastAsiaTheme="majorEastAsia" w:hAnsiTheme="majorHAnsi" w:cstheme="majorBidi"/>
          <w:color w:val="595959" w:themeColor="text1" w:themeTint="A6"/>
          <w:sz w:val="20"/>
        </w:rPr>
      </w:pPr>
      <w:bookmarkStart w:id="160" w:name="_Toc386709918"/>
      <w:bookmarkStart w:id="161" w:name="_Toc392494640"/>
      <w:bookmarkStart w:id="162" w:name="_Toc392503883"/>
      <w:bookmarkStart w:id="163" w:name="_Toc409685810"/>
      <w:bookmarkStart w:id="164" w:name="_Toc412625748"/>
      <w:bookmarkStart w:id="165" w:name="_Toc428793975"/>
      <w:bookmarkStart w:id="166" w:name="_Toc429406126"/>
      <w:bookmarkStart w:id="167" w:name="_Toc429406254"/>
      <w:bookmarkStart w:id="168" w:name="_Toc429469965"/>
      <w:bookmarkStart w:id="169" w:name="_Toc430268658"/>
      <w:bookmarkStart w:id="170" w:name="_Toc433118114"/>
      <w:bookmarkStart w:id="171" w:name="_Toc433979961"/>
      <w:bookmarkStart w:id="172" w:name="_Toc434241815"/>
      <w:bookmarkStart w:id="173" w:name="_Toc434244228"/>
      <w:bookmarkStart w:id="174" w:name="_Toc434244241"/>
      <w:bookmarkStart w:id="175" w:name="_Toc434244766"/>
      <w:r>
        <w:rPr>
          <w:rFonts w:asciiTheme="majorHAnsi" w:eastAsiaTheme="majorEastAsia" w:hAnsiTheme="majorHAnsi" w:cstheme="majorBidi"/>
          <w:color w:val="595959" w:themeColor="text1" w:themeTint="A6"/>
          <w:sz w:val="20"/>
        </w:rPr>
        <w:t xml:space="preserve">Map </w:t>
      </w:r>
      <w:r w:rsidR="00C57DCF">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Map \* ARABIC </w:instrText>
      </w:r>
      <w:r w:rsidR="00C57DCF">
        <w:rPr>
          <w:rFonts w:asciiTheme="majorHAnsi" w:eastAsiaTheme="majorEastAsia" w:hAnsiTheme="majorHAnsi" w:cstheme="majorBidi"/>
          <w:color w:val="595959" w:themeColor="text1" w:themeTint="A6"/>
          <w:sz w:val="20"/>
        </w:rPr>
        <w:fldChar w:fldCharType="separate"/>
      </w:r>
      <w:r w:rsidR="00AF2121">
        <w:rPr>
          <w:rFonts w:asciiTheme="majorHAnsi" w:eastAsiaTheme="majorEastAsia" w:hAnsiTheme="majorHAnsi" w:cstheme="majorBidi"/>
          <w:noProof/>
          <w:color w:val="595959" w:themeColor="text1" w:themeTint="A6"/>
          <w:sz w:val="20"/>
        </w:rPr>
        <w:t>4</w:t>
      </w:r>
      <w:r w:rsidR="00C57DCF">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Areas suitable for the establishment of </w:t>
      </w:r>
      <w:r>
        <w:rPr>
          <w:rFonts w:asciiTheme="majorHAnsi" w:eastAsiaTheme="majorEastAsia" w:hAnsiTheme="majorHAnsi" w:cstheme="majorBidi"/>
          <w:i/>
          <w:color w:val="595959" w:themeColor="text1" w:themeTint="A6"/>
          <w:sz w:val="20"/>
        </w:rPr>
        <w:t>Phytophthora ramorum</w:t>
      </w:r>
      <w:r>
        <w:rPr>
          <w:rFonts w:asciiTheme="majorHAnsi" w:eastAsiaTheme="majorEastAsia" w:hAnsiTheme="majorHAnsi" w:cstheme="majorBidi"/>
          <w:color w:val="595959" w:themeColor="text1" w:themeTint="A6"/>
          <w:sz w:val="20"/>
        </w:rPr>
        <w:t xml:space="preserve"> in Australia</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rsidR="00C74066" w:rsidRDefault="00F10705">
      <w:pPr>
        <w:pStyle w:val="AQISText"/>
        <w:jc w:val="center"/>
      </w:pPr>
      <w:r>
        <w:rPr>
          <w:noProof/>
          <w:lang w:eastAsia="en-AU"/>
        </w:rPr>
        <w:drawing>
          <wp:inline distT="0" distB="0" distL="0" distR="0">
            <wp:extent cx="4058679" cy="3528690"/>
            <wp:effectExtent l="19050" t="0" r="0" b="0"/>
            <wp:docPr id="14" name="Picture 14" descr="G:\SOD\Map P. ramorum d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OD\Map P. ramorum dist.pn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61" cy="3533369"/>
                    </a:xfrm>
                    <a:prstGeom prst="rect">
                      <a:avLst/>
                    </a:prstGeom>
                    <a:noFill/>
                    <a:ln>
                      <a:noFill/>
                    </a:ln>
                  </pic:spPr>
                </pic:pic>
              </a:graphicData>
            </a:graphic>
          </wp:inline>
        </w:drawing>
      </w:r>
    </w:p>
    <w:p w:rsidR="00C74066" w:rsidRDefault="00F10705">
      <w:pPr>
        <w:pStyle w:val="FigureTableNoteSource"/>
      </w:pPr>
      <w:r>
        <w:t>Source: Ireland et al. (2013)</w:t>
      </w:r>
    </w:p>
    <w:p w:rsidR="00C74066" w:rsidRDefault="00F10705">
      <w:pPr>
        <w:pStyle w:val="ListBullet"/>
        <w:tabs>
          <w:tab w:val="clear" w:pos="360"/>
          <w:tab w:val="num" w:pos="284"/>
        </w:tabs>
        <w:ind w:left="284" w:hanging="284"/>
        <w:rPr>
          <w:rFonts w:ascii="Cambria" w:hAnsi="Cambria"/>
        </w:rPr>
      </w:pPr>
      <w:r>
        <w:rPr>
          <w:rFonts w:ascii="Cambria" w:hAnsi="Cambria"/>
        </w:rPr>
        <w:t xml:space="preserve">Climate is an important factor that affects the establishment of </w:t>
      </w:r>
      <w:r>
        <w:rPr>
          <w:rFonts w:ascii="Cambria" w:hAnsi="Cambria"/>
          <w:i/>
          <w:iCs/>
        </w:rPr>
        <w:t>P. ramorum</w:t>
      </w:r>
      <w:r>
        <w:rPr>
          <w:rFonts w:ascii="Cambria" w:hAnsi="Cambria"/>
        </w:rPr>
        <w:t xml:space="preserve">. The pathogen is regarded as a cool temperate organism (Kliejunas 2000). Optimum temperature for growth of </w:t>
      </w:r>
      <w:r>
        <w:rPr>
          <w:rFonts w:ascii="Cambria" w:hAnsi="Cambria"/>
          <w:i/>
          <w:iCs/>
        </w:rPr>
        <w:t xml:space="preserve">P. ramorum </w:t>
      </w:r>
      <w:r>
        <w:rPr>
          <w:rFonts w:ascii="Cambria" w:hAnsi="Cambria"/>
        </w:rPr>
        <w:t xml:space="preserve">is around 20 °C with a minimum growth temperature of 2 °C and a maximum growth temperature of 26 °C to 30 °C (Werres </w:t>
      </w:r>
      <w:r>
        <w:rPr>
          <w:rFonts w:ascii="Cambria" w:hAnsi="Cambria"/>
          <w:iCs/>
        </w:rPr>
        <w:t>et al</w:t>
      </w:r>
      <w:r>
        <w:rPr>
          <w:rFonts w:ascii="Cambria" w:hAnsi="Cambria"/>
        </w:rPr>
        <w:t xml:space="preserve">. 2001). Infection does not occur below 10 °C and above 30 °C. Such conditions exist in parts of Australia; therefore, if introduced, these </w:t>
      </w:r>
      <w:r>
        <w:rPr>
          <w:rFonts w:ascii="Cambria" w:hAnsi="Cambria"/>
          <w:i/>
          <w:iCs/>
        </w:rPr>
        <w:t xml:space="preserve">Phytophthora </w:t>
      </w:r>
      <w:r>
        <w:rPr>
          <w:rFonts w:ascii="Cambria" w:hAnsi="Cambria"/>
        </w:rPr>
        <w:t>species are likely to establish in Australia.</w:t>
      </w:r>
    </w:p>
    <w:p w:rsidR="00C74066" w:rsidRDefault="00F10705">
      <w:pPr>
        <w:pStyle w:val="ListBullet"/>
        <w:tabs>
          <w:tab w:val="clear" w:pos="360"/>
          <w:tab w:val="num" w:pos="284"/>
        </w:tabs>
        <w:ind w:left="284" w:hanging="284"/>
        <w:rPr>
          <w:rFonts w:ascii="Cambria" w:hAnsi="Cambria"/>
        </w:rPr>
      </w:pPr>
      <w:r>
        <w:rPr>
          <w:rFonts w:ascii="Cambria" w:hAnsi="Cambria"/>
        </w:rPr>
        <w:t xml:space="preserve">Moisture is an essential factor in the survival and sporulation of </w:t>
      </w:r>
      <w:r>
        <w:rPr>
          <w:rFonts w:ascii="Cambria" w:hAnsi="Cambria"/>
          <w:i/>
          <w:iCs/>
        </w:rPr>
        <w:t>P. ramorum</w:t>
      </w:r>
      <w:r>
        <w:rPr>
          <w:rFonts w:ascii="Cambria" w:hAnsi="Cambria"/>
        </w:rPr>
        <w:t xml:space="preserve">. The duration, frequency and timing of rain events, during the winter months, plays a key role in inoculum production and the infection cycle (Davidson </w:t>
      </w:r>
      <w:r>
        <w:rPr>
          <w:rFonts w:ascii="Cambria" w:hAnsi="Cambria"/>
          <w:iCs/>
        </w:rPr>
        <w:t>et al</w:t>
      </w:r>
      <w:r>
        <w:rPr>
          <w:rFonts w:ascii="Cambria" w:hAnsi="Cambria"/>
        </w:rPr>
        <w:t xml:space="preserve">. 2008). The infection of foliar tissue requires cool temperatures and free water. Infection of </w:t>
      </w:r>
      <w:r>
        <w:rPr>
          <w:rFonts w:ascii="Cambria" w:hAnsi="Cambria"/>
          <w:i/>
          <w:iCs/>
        </w:rPr>
        <w:t>Umbellularia californica</w:t>
      </w:r>
      <w:r>
        <w:rPr>
          <w:rFonts w:ascii="Cambria" w:hAnsi="Cambria"/>
        </w:rPr>
        <w:t xml:space="preserve"> leaves was highest at 18 °C and required a minimum of six to 12 hours of free water (Garbelotto </w:t>
      </w:r>
      <w:r>
        <w:rPr>
          <w:rFonts w:ascii="Cambria" w:hAnsi="Cambria"/>
          <w:iCs/>
        </w:rPr>
        <w:t>et al</w:t>
      </w:r>
      <w:r>
        <w:rPr>
          <w:rFonts w:ascii="Cambria" w:hAnsi="Cambria"/>
        </w:rPr>
        <w:t xml:space="preserve">. 2003). Sporangia formed on infected tissues are able to survive a range of temperatures between 0 °C and 25 °C (Turner </w:t>
      </w:r>
      <w:r>
        <w:rPr>
          <w:rFonts w:ascii="Cambria" w:hAnsi="Cambria"/>
          <w:iCs/>
        </w:rPr>
        <w:t>et al.</w:t>
      </w:r>
      <w:r>
        <w:rPr>
          <w:rFonts w:ascii="Cambria" w:hAnsi="Cambria"/>
        </w:rPr>
        <w:t xml:space="preserve"> 2005; Turner &amp; Jennings 2008). These conditions exist in parts of Australia; therefore, </w:t>
      </w:r>
      <w:r>
        <w:rPr>
          <w:rFonts w:ascii="Cambria" w:hAnsi="Cambria"/>
          <w:i/>
          <w:iCs/>
        </w:rPr>
        <w:t xml:space="preserve">P. ramorum </w:t>
      </w:r>
      <w:r>
        <w:rPr>
          <w:rFonts w:ascii="Cambria" w:hAnsi="Cambria"/>
        </w:rPr>
        <w:t xml:space="preserve">may establish in areas of Australia where suitable environmental conditions are available. </w:t>
      </w:r>
    </w:p>
    <w:p w:rsidR="00C74066" w:rsidRDefault="00F10705">
      <w:pPr>
        <w:pStyle w:val="AQISNum"/>
        <w:numPr>
          <w:ilvl w:val="1"/>
          <w:numId w:val="31"/>
        </w:numPr>
        <w:tabs>
          <w:tab w:val="clear" w:pos="644"/>
          <w:tab w:val="num" w:pos="840"/>
        </w:tabs>
        <w:spacing w:before="120" w:after="120" w:line="276" w:lineRule="auto"/>
        <w:ind w:left="839" w:hanging="482"/>
        <w:rPr>
          <w:rFonts w:ascii="Cambria" w:hAnsi="Cambria"/>
          <w:szCs w:val="22"/>
        </w:rPr>
      </w:pPr>
      <w:r>
        <w:rPr>
          <w:rFonts w:ascii="Cambria" w:hAnsi="Cambria"/>
          <w:i/>
          <w:iCs/>
          <w:szCs w:val="22"/>
        </w:rPr>
        <w:lastRenderedPageBreak/>
        <w:t xml:space="preserve">Phytophthora ramorum </w:t>
      </w:r>
      <w:r>
        <w:rPr>
          <w:rFonts w:ascii="Cambria" w:hAnsi="Cambria"/>
          <w:szCs w:val="22"/>
        </w:rPr>
        <w:t xml:space="preserve">requires a moist environment to actively grow and reproduce (Tjosvold </w:t>
      </w:r>
      <w:r>
        <w:rPr>
          <w:rFonts w:ascii="Cambria" w:hAnsi="Cambria"/>
          <w:iCs/>
          <w:szCs w:val="22"/>
        </w:rPr>
        <w:t>et al</w:t>
      </w:r>
      <w:r>
        <w:rPr>
          <w:rFonts w:ascii="Cambria" w:hAnsi="Cambria"/>
          <w:szCs w:val="22"/>
        </w:rPr>
        <w:t>. 2005). Wet conditions are required for spore production, successful infection and subsequent establishment. These conditions exist in parts of Australia.</w:t>
      </w:r>
    </w:p>
    <w:p w:rsidR="00C74066" w:rsidRDefault="00F10705">
      <w:pPr>
        <w:pStyle w:val="AQISNum"/>
        <w:numPr>
          <w:ilvl w:val="1"/>
          <w:numId w:val="31"/>
        </w:numPr>
        <w:tabs>
          <w:tab w:val="clear" w:pos="644"/>
          <w:tab w:val="num" w:pos="840"/>
        </w:tabs>
        <w:spacing w:before="120" w:after="120" w:line="276" w:lineRule="auto"/>
        <w:ind w:left="839" w:hanging="482"/>
        <w:rPr>
          <w:rFonts w:ascii="Cambria" w:hAnsi="Cambria"/>
          <w:szCs w:val="22"/>
        </w:rPr>
      </w:pPr>
      <w:r>
        <w:rPr>
          <w:rFonts w:ascii="Cambria" w:hAnsi="Cambria"/>
          <w:szCs w:val="22"/>
        </w:rPr>
        <w:t xml:space="preserve">The current distribution of </w:t>
      </w:r>
      <w:r>
        <w:rPr>
          <w:rFonts w:ascii="Cambria" w:hAnsi="Cambria"/>
          <w:i/>
          <w:iCs/>
          <w:szCs w:val="22"/>
        </w:rPr>
        <w:t xml:space="preserve">P. ramorum </w:t>
      </w:r>
      <w:r>
        <w:rPr>
          <w:rFonts w:ascii="Cambria" w:hAnsi="Cambria"/>
          <w:szCs w:val="22"/>
        </w:rPr>
        <w:t xml:space="preserve">indicates that it survives well in the Mediterranean coastal fog belts of California (Rizzo </w:t>
      </w:r>
      <w:r>
        <w:rPr>
          <w:rFonts w:ascii="Cambria" w:hAnsi="Cambria"/>
          <w:iCs/>
          <w:szCs w:val="22"/>
        </w:rPr>
        <w:t>et al.</w:t>
      </w:r>
      <w:r>
        <w:rPr>
          <w:rFonts w:ascii="Cambria" w:hAnsi="Cambria"/>
          <w:i/>
          <w:iCs/>
          <w:szCs w:val="22"/>
        </w:rPr>
        <w:t xml:space="preserve"> </w:t>
      </w:r>
      <w:r>
        <w:rPr>
          <w:rFonts w:ascii="Cambria" w:hAnsi="Cambria"/>
          <w:szCs w:val="22"/>
        </w:rPr>
        <w:t xml:space="preserve">2002b), as well as in the temperate oceanic climate of Cornwall and Wales in the south-west of England (Brasier </w:t>
      </w:r>
      <w:r>
        <w:rPr>
          <w:rFonts w:ascii="Cambria" w:hAnsi="Cambria"/>
          <w:iCs/>
          <w:szCs w:val="22"/>
        </w:rPr>
        <w:t>et al.</w:t>
      </w:r>
      <w:r>
        <w:rPr>
          <w:rFonts w:ascii="Cambria" w:hAnsi="Cambria"/>
          <w:i/>
          <w:iCs/>
          <w:szCs w:val="22"/>
        </w:rPr>
        <w:t xml:space="preserve"> </w:t>
      </w:r>
      <w:r>
        <w:rPr>
          <w:rFonts w:ascii="Cambria" w:hAnsi="Cambria"/>
          <w:szCs w:val="22"/>
        </w:rPr>
        <w:t>2004c). Such environmental conditions exist in parts of Australia.</w:t>
      </w:r>
    </w:p>
    <w:p w:rsidR="00C74066" w:rsidRDefault="00F10705">
      <w:pPr>
        <w:pStyle w:val="ListBullet"/>
        <w:tabs>
          <w:tab w:val="clear" w:pos="360"/>
          <w:tab w:val="num" w:pos="284"/>
        </w:tabs>
        <w:ind w:left="284" w:hanging="284"/>
        <w:rPr>
          <w:rFonts w:ascii="Cambria" w:hAnsi="Cambria"/>
        </w:rPr>
      </w:pPr>
      <w:r>
        <w:rPr>
          <w:rFonts w:ascii="Cambria" w:hAnsi="Cambria"/>
          <w:i/>
          <w:iCs/>
        </w:rPr>
        <w:t xml:space="preserve">Phytophthora ramorum </w:t>
      </w:r>
      <w:r>
        <w:rPr>
          <w:rFonts w:ascii="Cambria" w:hAnsi="Cambria"/>
        </w:rPr>
        <w:t xml:space="preserve">is moderately adaptable (Sansford </w:t>
      </w:r>
      <w:r>
        <w:rPr>
          <w:rFonts w:ascii="Cambria" w:hAnsi="Cambria"/>
          <w:iCs/>
        </w:rPr>
        <w:t>et al</w:t>
      </w:r>
      <w:r>
        <w:rPr>
          <w:rFonts w:ascii="Cambria" w:hAnsi="Cambria"/>
        </w:rPr>
        <w:t xml:space="preserve">. 2009). The different lineages of the pathogen in Europe and the USA indicate that </w:t>
      </w:r>
      <w:r>
        <w:rPr>
          <w:rFonts w:ascii="Cambria" w:hAnsi="Cambria"/>
          <w:i/>
          <w:iCs/>
        </w:rPr>
        <w:t xml:space="preserve">P. ramorum </w:t>
      </w:r>
      <w:r>
        <w:rPr>
          <w:rFonts w:ascii="Cambria" w:hAnsi="Cambria"/>
        </w:rPr>
        <w:t>could readily evolve. The ability to adapt would be enhanced by sexual reproduction, but even in the absence of sexual reproduction, genetic recombination may occur through somatic hybridization (Brasier 2008).</w:t>
      </w:r>
    </w:p>
    <w:p w:rsidR="00C74066" w:rsidRDefault="00F10705">
      <w:pPr>
        <w:pStyle w:val="ListBullet"/>
        <w:tabs>
          <w:tab w:val="clear" w:pos="360"/>
          <w:tab w:val="num" w:pos="284"/>
        </w:tabs>
        <w:ind w:left="284" w:hanging="284"/>
        <w:rPr>
          <w:rFonts w:ascii="Cambria" w:hAnsi="Cambria"/>
        </w:rPr>
      </w:pPr>
      <w:r>
        <w:rPr>
          <w:rFonts w:ascii="Cambria" w:hAnsi="Cambria"/>
        </w:rPr>
        <w:t xml:space="preserve">Small populations of </w:t>
      </w:r>
      <w:r>
        <w:rPr>
          <w:rFonts w:ascii="Cambria" w:hAnsi="Cambria"/>
          <w:i/>
          <w:iCs/>
        </w:rPr>
        <w:t xml:space="preserve">P. ramorum </w:t>
      </w:r>
      <w:r>
        <w:rPr>
          <w:rFonts w:ascii="Cambria" w:hAnsi="Cambria"/>
        </w:rPr>
        <w:t xml:space="preserve">are likely to establish in Australia. The repeated findings of </w:t>
      </w:r>
      <w:r>
        <w:rPr>
          <w:rFonts w:ascii="Cambria" w:hAnsi="Cambria"/>
          <w:i/>
          <w:iCs/>
        </w:rPr>
        <w:t xml:space="preserve">P. ramorum </w:t>
      </w:r>
      <w:r>
        <w:rPr>
          <w:rFonts w:ascii="Cambria" w:hAnsi="Cambria"/>
        </w:rPr>
        <w:t xml:space="preserve">in </w:t>
      </w:r>
      <w:r>
        <w:rPr>
          <w:rFonts w:ascii="Cambria" w:hAnsi="Cambria"/>
          <w:i/>
        </w:rPr>
        <w:t xml:space="preserve">Rhododendron </w:t>
      </w:r>
      <w:r>
        <w:rPr>
          <w:rFonts w:ascii="Cambria" w:hAnsi="Cambria"/>
        </w:rPr>
        <w:t>species in parks in Europe support the view that small populations can become established and survive if the climate is suitable and susceptible plants are available.</w:t>
      </w:r>
    </w:p>
    <w:p w:rsidR="00C74066" w:rsidRDefault="00F10705">
      <w:pPr>
        <w:pStyle w:val="Heading4"/>
        <w:spacing w:before="200"/>
        <w:rPr>
          <w:i/>
        </w:rPr>
      </w:pPr>
      <w:r>
        <w:rPr>
          <w:i/>
        </w:rPr>
        <w:t>The reproductive strategy and survival of the pest</w:t>
      </w:r>
    </w:p>
    <w:p w:rsidR="00C74066" w:rsidRDefault="00F10705">
      <w:pPr>
        <w:pStyle w:val="ListBullet"/>
        <w:tabs>
          <w:tab w:val="clear" w:pos="360"/>
          <w:tab w:val="num" w:pos="284"/>
        </w:tabs>
        <w:ind w:left="284" w:hanging="284"/>
        <w:rPr>
          <w:rFonts w:ascii="Cambria" w:hAnsi="Cambria"/>
        </w:rPr>
      </w:pPr>
      <w:r>
        <w:rPr>
          <w:rFonts w:ascii="Cambria" w:hAnsi="Cambria"/>
          <w:i/>
          <w:iCs/>
        </w:rPr>
        <w:t>Phytophthora</w:t>
      </w:r>
      <w:r>
        <w:rPr>
          <w:rFonts w:ascii="Cambria" w:hAnsi="Cambria"/>
        </w:rPr>
        <w:t xml:space="preserve"> species are capable of reproducing sexually and asexually. Sexual reproduction can be homothallic (</w:t>
      </w:r>
      <w:r>
        <w:rPr>
          <w:rFonts w:ascii="Cambria" w:hAnsi="Cambria"/>
          <w:i/>
          <w:iCs/>
        </w:rPr>
        <w:t xml:space="preserve">P. kernoviae, P. nemorosa </w:t>
      </w:r>
      <w:r>
        <w:rPr>
          <w:rFonts w:ascii="Cambria" w:hAnsi="Cambria"/>
        </w:rPr>
        <w:t xml:space="preserve">and </w:t>
      </w:r>
      <w:r>
        <w:rPr>
          <w:rFonts w:ascii="Cambria" w:hAnsi="Cambria"/>
          <w:i/>
          <w:iCs/>
        </w:rPr>
        <w:t>P. pseudosyringae</w:t>
      </w:r>
      <w:r>
        <w:rPr>
          <w:rFonts w:ascii="Cambria" w:hAnsi="Cambria"/>
        </w:rPr>
        <w:t>) or heterothallic (</w:t>
      </w:r>
      <w:r>
        <w:rPr>
          <w:rFonts w:ascii="Cambria" w:hAnsi="Cambria"/>
          <w:i/>
          <w:iCs/>
        </w:rPr>
        <w:t>P. ramorum</w:t>
      </w:r>
      <w:r>
        <w:rPr>
          <w:rFonts w:ascii="Cambria" w:hAnsi="Cambria"/>
        </w:rPr>
        <w:t xml:space="preserve">). During the asexual life cycle, </w:t>
      </w:r>
      <w:r>
        <w:rPr>
          <w:rFonts w:ascii="Cambria" w:hAnsi="Cambria"/>
          <w:i/>
          <w:iCs/>
        </w:rPr>
        <w:t>Phytophthora</w:t>
      </w:r>
      <w:r>
        <w:rPr>
          <w:rFonts w:ascii="Cambria" w:hAnsi="Cambria"/>
        </w:rPr>
        <w:t xml:space="preserve"> species are able to differentiate into different life stages including mycelium, sporangium, zoospore and chlamydospores (Savidor </w:t>
      </w:r>
      <w:r>
        <w:rPr>
          <w:rFonts w:ascii="Cambria" w:hAnsi="Cambria"/>
          <w:iCs/>
        </w:rPr>
        <w:t>et al</w:t>
      </w:r>
      <w:r>
        <w:rPr>
          <w:rFonts w:ascii="Cambria" w:hAnsi="Cambria"/>
        </w:rPr>
        <w:t>. 2008).</w:t>
      </w:r>
    </w:p>
    <w:p w:rsidR="00C74066" w:rsidRDefault="00F10705">
      <w:pPr>
        <w:pStyle w:val="ListBullet"/>
        <w:tabs>
          <w:tab w:val="clear" w:pos="360"/>
          <w:tab w:val="num" w:pos="284"/>
        </w:tabs>
        <w:ind w:left="284" w:hanging="284"/>
        <w:rPr>
          <w:rFonts w:ascii="Cambria" w:hAnsi="Cambria"/>
        </w:rPr>
      </w:pPr>
      <w:r>
        <w:rPr>
          <w:rFonts w:ascii="Cambria" w:hAnsi="Cambria"/>
          <w:i/>
          <w:iCs/>
        </w:rPr>
        <w:t xml:space="preserve">Phytophthora ramorum </w:t>
      </w:r>
      <w:r>
        <w:rPr>
          <w:rFonts w:ascii="Cambria" w:hAnsi="Cambria"/>
        </w:rPr>
        <w:t>has a flexible and adaptive reproductive strategy that most likely would favour establishment.</w:t>
      </w:r>
    </w:p>
    <w:p w:rsidR="00C74066" w:rsidRDefault="00F10705">
      <w:pPr>
        <w:pStyle w:val="AQISNum"/>
        <w:numPr>
          <w:ilvl w:val="1"/>
          <w:numId w:val="31"/>
        </w:numPr>
        <w:tabs>
          <w:tab w:val="clear" w:pos="644"/>
          <w:tab w:val="num" w:pos="840"/>
        </w:tabs>
        <w:spacing w:before="120" w:after="120" w:line="276" w:lineRule="auto"/>
        <w:ind w:left="839" w:hanging="482"/>
        <w:rPr>
          <w:rFonts w:ascii="Cambria" w:hAnsi="Cambria"/>
          <w:szCs w:val="22"/>
        </w:rPr>
      </w:pPr>
      <w:r>
        <w:rPr>
          <w:rFonts w:ascii="Cambria" w:hAnsi="Cambria"/>
          <w:i/>
          <w:iCs/>
          <w:szCs w:val="22"/>
        </w:rPr>
        <w:t xml:space="preserve">Phytophthora ramorum </w:t>
      </w:r>
      <w:r>
        <w:rPr>
          <w:rFonts w:ascii="Cambria" w:hAnsi="Cambria"/>
          <w:szCs w:val="22"/>
        </w:rPr>
        <w:t xml:space="preserve">produces vegetative hyphae and four types of spores: sporangia, zoospores, chlamydospores (asexually formed resting spores) and oospores (sexually formed resting spores). All spore types, except oospores, are found in nature (Werres </w:t>
      </w:r>
      <w:r>
        <w:rPr>
          <w:rFonts w:ascii="Cambria" w:hAnsi="Cambria"/>
          <w:iCs/>
          <w:szCs w:val="22"/>
        </w:rPr>
        <w:t>et al</w:t>
      </w:r>
      <w:r>
        <w:rPr>
          <w:rFonts w:ascii="Cambria" w:hAnsi="Cambria"/>
          <w:szCs w:val="22"/>
        </w:rPr>
        <w:t xml:space="preserve">. 2001; Parke </w:t>
      </w:r>
      <w:r>
        <w:rPr>
          <w:rFonts w:ascii="Cambria" w:hAnsi="Cambria"/>
          <w:iCs/>
          <w:szCs w:val="22"/>
        </w:rPr>
        <w:t xml:space="preserve">et al. </w:t>
      </w:r>
      <w:r>
        <w:rPr>
          <w:rFonts w:ascii="Cambria" w:hAnsi="Cambria"/>
          <w:szCs w:val="22"/>
        </w:rPr>
        <w:t xml:space="preserve">2002a; Davidson </w:t>
      </w:r>
      <w:r>
        <w:rPr>
          <w:rFonts w:ascii="Cambria" w:hAnsi="Cambria"/>
          <w:iCs/>
          <w:szCs w:val="22"/>
        </w:rPr>
        <w:t xml:space="preserve">et al. </w:t>
      </w:r>
      <w:r>
        <w:rPr>
          <w:rFonts w:ascii="Cambria" w:hAnsi="Cambria"/>
          <w:szCs w:val="22"/>
        </w:rPr>
        <w:t>2003b).</w:t>
      </w:r>
    </w:p>
    <w:p w:rsidR="00C74066" w:rsidRDefault="00F10705">
      <w:pPr>
        <w:pStyle w:val="AQISNum"/>
        <w:numPr>
          <w:ilvl w:val="1"/>
          <w:numId w:val="31"/>
        </w:numPr>
        <w:tabs>
          <w:tab w:val="clear" w:pos="644"/>
          <w:tab w:val="num" w:pos="840"/>
        </w:tabs>
        <w:spacing w:before="120" w:after="120" w:line="276" w:lineRule="auto"/>
        <w:ind w:left="839" w:hanging="482"/>
        <w:rPr>
          <w:rFonts w:ascii="Cambria" w:hAnsi="Cambria"/>
          <w:szCs w:val="22"/>
        </w:rPr>
      </w:pPr>
      <w:r>
        <w:rPr>
          <w:rFonts w:ascii="Cambria" w:hAnsi="Cambria"/>
          <w:szCs w:val="22"/>
        </w:rPr>
        <w:t xml:space="preserve">Sporangia and zoospores develop on the surface of susceptible leaves and twigs following prolonged wetting. Sporangia can germinate directly or produce motile zoospores that initiate infection. Chlamydospores are </w:t>
      </w:r>
      <w:r>
        <w:rPr>
          <w:rFonts w:ascii="Cambria" w:hAnsi="Cambria"/>
        </w:rPr>
        <w:t>the primary survival stage of the pathogen</w:t>
      </w:r>
      <w:r w:rsidR="00C13381">
        <w:rPr>
          <w:rFonts w:ascii="Cambria" w:hAnsi="Cambria"/>
        </w:rPr>
        <w:t>,</w:t>
      </w:r>
      <w:r>
        <w:rPr>
          <w:rFonts w:ascii="Cambria" w:hAnsi="Cambria"/>
        </w:rPr>
        <w:t xml:space="preserve"> and</w:t>
      </w:r>
      <w:r>
        <w:rPr>
          <w:rFonts w:ascii="Cambria" w:hAnsi="Cambria"/>
          <w:szCs w:val="22"/>
        </w:rPr>
        <w:t xml:space="preserve"> are produced in infected leaves, shoots and bark, in both phloem and xylem tissues (Parke </w:t>
      </w:r>
      <w:r>
        <w:rPr>
          <w:rFonts w:ascii="Cambria" w:hAnsi="Cambria"/>
          <w:iCs/>
          <w:szCs w:val="22"/>
        </w:rPr>
        <w:t>et al.</w:t>
      </w:r>
      <w:r>
        <w:rPr>
          <w:rFonts w:ascii="Cambria" w:hAnsi="Cambria"/>
          <w:i/>
          <w:iCs/>
          <w:szCs w:val="22"/>
        </w:rPr>
        <w:t xml:space="preserve"> </w:t>
      </w:r>
      <w:r>
        <w:rPr>
          <w:rFonts w:ascii="Cambria" w:hAnsi="Cambria"/>
          <w:szCs w:val="22"/>
        </w:rPr>
        <w:t>2008). The asexual life cycle is responsible for rapid multiplication and establishment of the pathogen in the field.</w:t>
      </w:r>
    </w:p>
    <w:p w:rsidR="00C74066" w:rsidRDefault="00F10705">
      <w:pPr>
        <w:pStyle w:val="AQISNum"/>
        <w:numPr>
          <w:ilvl w:val="1"/>
          <w:numId w:val="31"/>
        </w:numPr>
        <w:tabs>
          <w:tab w:val="clear" w:pos="644"/>
          <w:tab w:val="num" w:pos="840"/>
        </w:tabs>
        <w:spacing w:before="120" w:after="120" w:line="276" w:lineRule="auto"/>
        <w:ind w:left="839" w:hanging="482"/>
        <w:rPr>
          <w:rFonts w:ascii="Cambria" w:hAnsi="Cambria"/>
          <w:szCs w:val="22"/>
        </w:rPr>
      </w:pPr>
      <w:r>
        <w:rPr>
          <w:rFonts w:ascii="Cambria" w:hAnsi="Cambria"/>
          <w:i/>
          <w:iCs/>
          <w:szCs w:val="22"/>
        </w:rPr>
        <w:t xml:space="preserve">Phytophthora ramorum </w:t>
      </w:r>
      <w:r>
        <w:rPr>
          <w:rFonts w:ascii="Cambria" w:hAnsi="Cambria"/>
          <w:szCs w:val="22"/>
        </w:rPr>
        <w:t xml:space="preserve">is a heterothallic species that requires two mating types A1 or A2 (Werres </w:t>
      </w:r>
      <w:r>
        <w:rPr>
          <w:rFonts w:ascii="Cambria" w:hAnsi="Cambria"/>
          <w:iCs/>
          <w:szCs w:val="22"/>
        </w:rPr>
        <w:t>et al.</w:t>
      </w:r>
      <w:r>
        <w:rPr>
          <w:rFonts w:ascii="Cambria" w:hAnsi="Cambria"/>
          <w:i/>
          <w:iCs/>
          <w:szCs w:val="22"/>
        </w:rPr>
        <w:t xml:space="preserve"> </w:t>
      </w:r>
      <w:r>
        <w:rPr>
          <w:rFonts w:ascii="Cambria" w:hAnsi="Cambria"/>
          <w:szCs w:val="22"/>
        </w:rPr>
        <w:t xml:space="preserve">2001; Werres &amp; Kaminski 2005) to reproduce sexually. The A1 mating type is found predominantly in Europe and the A2 predominantly in the USA (Ivors </w:t>
      </w:r>
      <w:r>
        <w:rPr>
          <w:rFonts w:ascii="Cambria" w:hAnsi="Cambria"/>
          <w:iCs/>
          <w:szCs w:val="22"/>
        </w:rPr>
        <w:t>et al.</w:t>
      </w:r>
      <w:r>
        <w:rPr>
          <w:rFonts w:ascii="Cambria" w:hAnsi="Cambria"/>
          <w:i/>
          <w:iCs/>
          <w:szCs w:val="22"/>
        </w:rPr>
        <w:t xml:space="preserve"> </w:t>
      </w:r>
      <w:r>
        <w:rPr>
          <w:rFonts w:ascii="Cambria" w:hAnsi="Cambria"/>
          <w:szCs w:val="22"/>
        </w:rPr>
        <w:t xml:space="preserve">2004). However, recently a few A2 mating types have been found in Europe and a limited number of A1 mating types have been identified in nursery stock in the USA and Canada (Hansen </w:t>
      </w:r>
      <w:r>
        <w:rPr>
          <w:rFonts w:ascii="Cambria" w:hAnsi="Cambria"/>
          <w:iCs/>
          <w:szCs w:val="22"/>
        </w:rPr>
        <w:t>et al.</w:t>
      </w:r>
      <w:r>
        <w:rPr>
          <w:rFonts w:ascii="Cambria" w:hAnsi="Cambria"/>
          <w:i/>
          <w:iCs/>
          <w:szCs w:val="22"/>
        </w:rPr>
        <w:t xml:space="preserve"> </w:t>
      </w:r>
      <w:r>
        <w:rPr>
          <w:rFonts w:ascii="Cambria" w:hAnsi="Cambria"/>
          <w:szCs w:val="22"/>
        </w:rPr>
        <w:t>2003b; Werres &amp; De Merlier 2003).</w:t>
      </w:r>
    </w:p>
    <w:p w:rsidR="00C74066" w:rsidRDefault="00F10705">
      <w:pPr>
        <w:pStyle w:val="AQISNum"/>
        <w:numPr>
          <w:ilvl w:val="1"/>
          <w:numId w:val="31"/>
        </w:numPr>
        <w:tabs>
          <w:tab w:val="clear" w:pos="644"/>
          <w:tab w:val="num" w:pos="840"/>
        </w:tabs>
        <w:spacing w:before="120" w:after="120" w:line="276" w:lineRule="auto"/>
        <w:ind w:left="839" w:hanging="482"/>
        <w:rPr>
          <w:rFonts w:ascii="Cambria" w:hAnsi="Cambria"/>
          <w:szCs w:val="22"/>
        </w:rPr>
      </w:pPr>
      <w:r>
        <w:rPr>
          <w:rFonts w:ascii="Cambria" w:hAnsi="Cambria"/>
          <w:szCs w:val="22"/>
        </w:rPr>
        <w:t xml:space="preserve">Oospores have so far not been detected in nature, but in the laboratory oospores can be produced in </w:t>
      </w:r>
      <w:r>
        <w:rPr>
          <w:rFonts w:ascii="Cambria" w:hAnsi="Cambria"/>
          <w:i/>
          <w:szCs w:val="22"/>
        </w:rPr>
        <w:t>Rhododendron</w:t>
      </w:r>
      <w:r>
        <w:rPr>
          <w:rFonts w:ascii="Cambria" w:hAnsi="Cambria"/>
          <w:szCs w:val="22"/>
        </w:rPr>
        <w:t xml:space="preserve"> species stems (Werres &amp; Zielke 2003) and </w:t>
      </w:r>
      <w:r>
        <w:rPr>
          <w:rFonts w:ascii="Cambria" w:hAnsi="Cambria"/>
          <w:i/>
          <w:szCs w:val="22"/>
        </w:rPr>
        <w:t>in vitro</w:t>
      </w:r>
      <w:r>
        <w:rPr>
          <w:rFonts w:ascii="Cambria" w:hAnsi="Cambria"/>
          <w:szCs w:val="22"/>
        </w:rPr>
        <w:t xml:space="preserve"> (Hansen </w:t>
      </w:r>
      <w:r>
        <w:rPr>
          <w:rFonts w:ascii="Cambria" w:hAnsi="Cambria"/>
          <w:iCs/>
          <w:szCs w:val="22"/>
        </w:rPr>
        <w:lastRenderedPageBreak/>
        <w:t>et al</w:t>
      </w:r>
      <w:r>
        <w:rPr>
          <w:rFonts w:ascii="Cambria" w:hAnsi="Cambria"/>
          <w:szCs w:val="22"/>
        </w:rPr>
        <w:t xml:space="preserve">. 2003a). The production of oospores could favour establishment since oospores are likely to facilitate long-term survival. The production of oospores may also result in sexual reproduction, allowing genetic recombination to occur and to create new, potentially more virulent strains capable of exploiting new habitats and host species (Tjosvold </w:t>
      </w:r>
      <w:r>
        <w:rPr>
          <w:rFonts w:ascii="Cambria" w:hAnsi="Cambria"/>
          <w:iCs/>
          <w:szCs w:val="22"/>
        </w:rPr>
        <w:t>et al</w:t>
      </w:r>
      <w:r>
        <w:rPr>
          <w:rFonts w:ascii="Cambria" w:hAnsi="Cambria"/>
          <w:szCs w:val="22"/>
        </w:rPr>
        <w:t xml:space="preserve">. 2005). </w:t>
      </w:r>
    </w:p>
    <w:p w:rsidR="00C74066" w:rsidRDefault="00F10705">
      <w:pPr>
        <w:pStyle w:val="ListBullet"/>
        <w:tabs>
          <w:tab w:val="clear" w:pos="360"/>
          <w:tab w:val="num" w:pos="284"/>
        </w:tabs>
        <w:ind w:left="284" w:hanging="284"/>
        <w:rPr>
          <w:rFonts w:ascii="Cambria" w:hAnsi="Cambria" w:cs="TimesNewRomanPSMT"/>
        </w:rPr>
      </w:pPr>
      <w:r>
        <w:rPr>
          <w:rFonts w:ascii="Cambria" w:hAnsi="Cambria"/>
        </w:rPr>
        <w:t xml:space="preserve">Differences in aggressiveness, growth rate, colony type and sporangia morphology have been observed between the different lineages; however, DNA profiling studies have provided evidence that the European and North American isolates represent distinct populations of </w:t>
      </w:r>
      <w:r>
        <w:rPr>
          <w:rFonts w:ascii="Cambria" w:hAnsi="Cambria"/>
          <w:i/>
          <w:iCs/>
        </w:rPr>
        <w:t>P. ramorum</w:t>
      </w:r>
      <w:r>
        <w:rPr>
          <w:rFonts w:ascii="Cambria" w:hAnsi="Cambria"/>
        </w:rPr>
        <w:t xml:space="preserve">, and not distinct species (Ivors </w:t>
      </w:r>
      <w:r>
        <w:rPr>
          <w:rFonts w:ascii="Cambria" w:hAnsi="Cambria"/>
          <w:iCs/>
        </w:rPr>
        <w:t xml:space="preserve">et al. </w:t>
      </w:r>
      <w:r>
        <w:rPr>
          <w:rFonts w:ascii="Cambria" w:hAnsi="Cambria"/>
        </w:rPr>
        <w:t xml:space="preserve">2004; 2006; Martin 2008; Grünwald </w:t>
      </w:r>
      <w:r>
        <w:rPr>
          <w:rFonts w:ascii="Cambria" w:hAnsi="Cambria"/>
          <w:iCs/>
        </w:rPr>
        <w:t xml:space="preserve">et al. </w:t>
      </w:r>
      <w:r>
        <w:rPr>
          <w:rFonts w:ascii="Cambria" w:hAnsi="Cambria"/>
        </w:rPr>
        <w:t>2008b).</w:t>
      </w:r>
    </w:p>
    <w:p w:rsidR="00C74066" w:rsidRDefault="00F10705">
      <w:pPr>
        <w:pStyle w:val="ListBullet"/>
        <w:tabs>
          <w:tab w:val="clear" w:pos="360"/>
          <w:tab w:val="num" w:pos="284"/>
        </w:tabs>
        <w:ind w:left="284" w:hanging="284"/>
        <w:rPr>
          <w:rFonts w:ascii="Cambria" w:hAnsi="Cambria"/>
        </w:rPr>
      </w:pPr>
      <w:r>
        <w:rPr>
          <w:rFonts w:ascii="Cambria" w:hAnsi="Cambria"/>
        </w:rPr>
        <w:t xml:space="preserve">The managed environment in nurseries, garden centres and private gardens are all favourable for the establishment and survival of </w:t>
      </w:r>
      <w:r>
        <w:rPr>
          <w:rFonts w:ascii="Cambria" w:hAnsi="Cambria"/>
          <w:i/>
          <w:iCs/>
        </w:rPr>
        <w:t>P. ramorum</w:t>
      </w:r>
      <w:r>
        <w:rPr>
          <w:rFonts w:ascii="Cambria" w:hAnsi="Cambria"/>
          <w:iCs/>
        </w:rPr>
        <w:t>,</w:t>
      </w:r>
      <w:r>
        <w:rPr>
          <w:rFonts w:ascii="Cambria" w:hAnsi="Cambria"/>
          <w:i/>
          <w:iCs/>
        </w:rPr>
        <w:t xml:space="preserve"> </w:t>
      </w:r>
      <w:r>
        <w:rPr>
          <w:rFonts w:ascii="Cambria" w:hAnsi="Cambria"/>
        </w:rPr>
        <w:t xml:space="preserve">as host plants are abundantly available. The plants are closely placed and sprinkler irrigation favours the pathogen’s multiplication and local dispersal. </w:t>
      </w:r>
      <w:r>
        <w:rPr>
          <w:rFonts w:ascii="Cambria" w:hAnsi="Cambria"/>
          <w:i/>
          <w:iCs/>
        </w:rPr>
        <w:t xml:space="preserve">Phytophthora ramorum </w:t>
      </w:r>
      <w:r>
        <w:rPr>
          <w:rFonts w:ascii="Cambria" w:hAnsi="Cambria"/>
        </w:rPr>
        <w:t xml:space="preserve">requires moist conditions, and nursery environments provide ideal conditions through dense canopies and irrigation (Dart </w:t>
      </w:r>
      <w:r>
        <w:rPr>
          <w:rFonts w:ascii="Cambria" w:hAnsi="Cambria"/>
          <w:iCs/>
        </w:rPr>
        <w:t>et al</w:t>
      </w:r>
      <w:r>
        <w:rPr>
          <w:rFonts w:ascii="Cambria" w:hAnsi="Cambria"/>
        </w:rPr>
        <w:t xml:space="preserve">. 2007; Schwingle </w:t>
      </w:r>
      <w:r>
        <w:rPr>
          <w:rFonts w:ascii="Cambria" w:hAnsi="Cambria"/>
          <w:iCs/>
        </w:rPr>
        <w:t>et al</w:t>
      </w:r>
      <w:r>
        <w:rPr>
          <w:rFonts w:ascii="Cambria" w:hAnsi="Cambria"/>
        </w:rPr>
        <w:t xml:space="preserve">. 2007). Nursery trade networks, which are common between Australian nurseries, favour a wider establishment of </w:t>
      </w:r>
      <w:r>
        <w:rPr>
          <w:rFonts w:ascii="Cambria" w:hAnsi="Cambria"/>
          <w:i/>
          <w:iCs/>
        </w:rPr>
        <w:t>P. ramorum</w:t>
      </w:r>
      <w:r>
        <w:rPr>
          <w:rFonts w:ascii="Cambria" w:hAnsi="Cambria"/>
        </w:rPr>
        <w:t xml:space="preserve">. </w:t>
      </w:r>
    </w:p>
    <w:p w:rsidR="00C74066" w:rsidRDefault="00F10705">
      <w:pPr>
        <w:pStyle w:val="ListBullet"/>
        <w:tabs>
          <w:tab w:val="clear" w:pos="360"/>
          <w:tab w:val="num" w:pos="284"/>
        </w:tabs>
        <w:ind w:left="284" w:hanging="284"/>
        <w:rPr>
          <w:rFonts w:ascii="Cambria" w:hAnsi="Cambria"/>
        </w:rPr>
      </w:pPr>
      <w:r>
        <w:rPr>
          <w:rFonts w:ascii="Cambria" w:hAnsi="Cambria"/>
          <w:i/>
          <w:iCs/>
        </w:rPr>
        <w:t xml:space="preserve">Phytophthora ramorum </w:t>
      </w:r>
      <w:r>
        <w:rPr>
          <w:rFonts w:ascii="Cambria" w:hAnsi="Cambria"/>
        </w:rPr>
        <w:t xml:space="preserve">has an aerial </w:t>
      </w:r>
      <w:r>
        <w:rPr>
          <w:rFonts w:ascii="Cambria" w:hAnsi="Cambria"/>
          <w:color w:val="000000" w:themeColor="text1"/>
        </w:rPr>
        <w:t xml:space="preserve">phase (Sansford et al. 2009) as well as a soil phase (Shishkoff 2007). During the soil phase, </w:t>
      </w:r>
      <w:r>
        <w:rPr>
          <w:rFonts w:ascii="Cambria" w:hAnsi="Cambria"/>
          <w:i/>
          <w:iCs/>
          <w:color w:val="000000" w:themeColor="text1"/>
        </w:rPr>
        <w:t xml:space="preserve">P. ramorum </w:t>
      </w:r>
      <w:r>
        <w:rPr>
          <w:rFonts w:ascii="Cambria" w:hAnsi="Cambria"/>
          <w:color w:val="000000" w:themeColor="text1"/>
        </w:rPr>
        <w:t>can survive for</w:t>
      </w:r>
      <w:r>
        <w:rPr>
          <w:rFonts w:ascii="Cambria" w:hAnsi="Cambria"/>
        </w:rPr>
        <w:t xml:space="preserve"> long periods of time in the soil and leaf litter; therefore, once introduced into nursery networks, gardens and parks, establishment of </w:t>
      </w:r>
      <w:r>
        <w:rPr>
          <w:rFonts w:ascii="Cambria" w:hAnsi="Cambria"/>
          <w:i/>
          <w:iCs/>
        </w:rPr>
        <w:t xml:space="preserve">P. ramorum </w:t>
      </w:r>
      <w:r>
        <w:rPr>
          <w:rFonts w:ascii="Cambria" w:hAnsi="Cambria"/>
        </w:rPr>
        <w:t>is favoured by the soil-borne phase</w:t>
      </w:r>
      <w:r>
        <w:rPr>
          <w:rFonts w:ascii="Cambria" w:hAnsi="Cambria"/>
          <w:i/>
        </w:rPr>
        <w:t>. Phytophthora</w:t>
      </w:r>
      <w:r>
        <w:rPr>
          <w:rFonts w:ascii="Cambria" w:hAnsi="Cambria"/>
          <w:i/>
          <w:iCs/>
        </w:rPr>
        <w:t xml:space="preserve"> ramorum </w:t>
      </w:r>
      <w:r>
        <w:rPr>
          <w:rFonts w:ascii="Cambria" w:hAnsi="Cambria"/>
        </w:rPr>
        <w:t xml:space="preserve">can survive at least three years in parks in the UK and 1.5 years in soil in the Netherlands (Sansford </w:t>
      </w:r>
      <w:r>
        <w:rPr>
          <w:rFonts w:ascii="Cambria" w:hAnsi="Cambria"/>
          <w:iCs/>
        </w:rPr>
        <w:t>et al.</w:t>
      </w:r>
      <w:r>
        <w:rPr>
          <w:rFonts w:ascii="Cambria" w:hAnsi="Cambria"/>
          <w:i/>
          <w:iCs/>
        </w:rPr>
        <w:t xml:space="preserve"> </w:t>
      </w:r>
      <w:r>
        <w:rPr>
          <w:rFonts w:ascii="Cambria" w:hAnsi="Cambria"/>
        </w:rPr>
        <w:t xml:space="preserve">2009). </w:t>
      </w:r>
      <w:r>
        <w:rPr>
          <w:rFonts w:ascii="Cambria" w:hAnsi="Cambria"/>
          <w:i/>
          <w:iCs/>
        </w:rPr>
        <w:t xml:space="preserve">Phytophthora kernoviae </w:t>
      </w:r>
      <w:r>
        <w:rPr>
          <w:rFonts w:ascii="Cambria" w:hAnsi="Cambria"/>
        </w:rPr>
        <w:t>can persist for at least a year in leaf litter (Sansford 2008).</w:t>
      </w:r>
    </w:p>
    <w:p w:rsidR="00C74066" w:rsidRDefault="00F10705">
      <w:pPr>
        <w:pStyle w:val="ListBullet"/>
        <w:tabs>
          <w:tab w:val="clear" w:pos="360"/>
          <w:tab w:val="num" w:pos="284"/>
        </w:tabs>
        <w:ind w:left="284" w:hanging="284"/>
        <w:rPr>
          <w:rFonts w:ascii="Cambria" w:hAnsi="Cambria"/>
        </w:rPr>
      </w:pPr>
      <w:r>
        <w:rPr>
          <w:rFonts w:ascii="Cambria" w:hAnsi="Cambria"/>
          <w:i/>
          <w:iCs/>
        </w:rPr>
        <w:t>Phytophthora</w:t>
      </w:r>
      <w:r>
        <w:rPr>
          <w:rFonts w:ascii="Cambria" w:hAnsi="Cambria"/>
        </w:rPr>
        <w:t xml:space="preserve"> species (</w:t>
      </w:r>
      <w:r>
        <w:rPr>
          <w:rFonts w:ascii="Cambria" w:hAnsi="Cambria"/>
          <w:i/>
          <w:iCs/>
        </w:rPr>
        <w:t>P. kernoviae</w:t>
      </w:r>
      <w:r>
        <w:rPr>
          <w:rFonts w:ascii="Cambria" w:hAnsi="Cambria"/>
          <w:iCs/>
        </w:rPr>
        <w:t>,</w:t>
      </w:r>
      <w:r>
        <w:rPr>
          <w:rFonts w:ascii="Cambria" w:hAnsi="Cambria"/>
          <w:i/>
          <w:iCs/>
        </w:rPr>
        <w:t xml:space="preserve"> P</w:t>
      </w:r>
      <w:r>
        <w:rPr>
          <w:rFonts w:ascii="Cambria" w:hAnsi="Cambria"/>
        </w:rPr>
        <w:t xml:space="preserve">. </w:t>
      </w:r>
      <w:r>
        <w:rPr>
          <w:rFonts w:ascii="Cambria" w:hAnsi="Cambria"/>
          <w:i/>
          <w:iCs/>
        </w:rPr>
        <w:t>nemorosa</w:t>
      </w:r>
      <w:r>
        <w:rPr>
          <w:rFonts w:ascii="Cambria" w:hAnsi="Cambria"/>
          <w:iCs/>
        </w:rPr>
        <w:t>,</w:t>
      </w:r>
      <w:r>
        <w:rPr>
          <w:rFonts w:ascii="Cambria" w:hAnsi="Cambria"/>
          <w:i/>
          <w:iCs/>
        </w:rPr>
        <w:t xml:space="preserve"> P. pseudosyringae </w:t>
      </w:r>
      <w:r>
        <w:rPr>
          <w:rFonts w:ascii="Cambria" w:hAnsi="Cambria"/>
        </w:rPr>
        <w:t xml:space="preserve">and </w:t>
      </w:r>
      <w:r>
        <w:rPr>
          <w:rFonts w:ascii="Cambria" w:hAnsi="Cambria"/>
          <w:i/>
          <w:iCs/>
        </w:rPr>
        <w:t>P. ramorum</w:t>
      </w:r>
      <w:r>
        <w:rPr>
          <w:rFonts w:ascii="Cambria" w:hAnsi="Cambria"/>
        </w:rPr>
        <w:t xml:space="preserve">) have successfully established in areas outside their original distribution. These </w:t>
      </w:r>
      <w:r>
        <w:rPr>
          <w:rFonts w:ascii="Cambria" w:hAnsi="Cambria"/>
          <w:i/>
          <w:iCs/>
        </w:rPr>
        <w:t xml:space="preserve">Phytophthora </w:t>
      </w:r>
      <w:r>
        <w:rPr>
          <w:rFonts w:ascii="Cambria" w:hAnsi="Cambria"/>
        </w:rPr>
        <w:t>species have demonstrated their ability to colonise new hosts and to produce high amounts of inoculum. Furthermore, ho</w:t>
      </w:r>
      <w:r w:rsidR="005277FA">
        <w:rPr>
          <w:rFonts w:ascii="Cambria" w:hAnsi="Cambria"/>
        </w:rPr>
        <w:t>st material and suitable climatic</w:t>
      </w:r>
      <w:r>
        <w:rPr>
          <w:rFonts w:ascii="Cambria" w:hAnsi="Cambria"/>
        </w:rPr>
        <w:t xml:space="preserve"> conditions are available in parts of Australia; therefore, these </w:t>
      </w:r>
      <w:r>
        <w:rPr>
          <w:rFonts w:ascii="Cambria" w:hAnsi="Cambria"/>
          <w:i/>
          <w:iCs/>
        </w:rPr>
        <w:t xml:space="preserve">Phytophthora </w:t>
      </w:r>
      <w:r>
        <w:rPr>
          <w:rFonts w:ascii="Cambria" w:hAnsi="Cambria"/>
        </w:rPr>
        <w:t xml:space="preserve">species may establish in Australia after entry with nursery stock. </w:t>
      </w:r>
    </w:p>
    <w:p w:rsidR="00C74066" w:rsidRDefault="00F10705">
      <w:pPr>
        <w:pStyle w:val="ListBullet"/>
        <w:tabs>
          <w:tab w:val="clear" w:pos="360"/>
          <w:tab w:val="num" w:pos="284"/>
        </w:tabs>
        <w:ind w:left="284" w:hanging="284"/>
        <w:rPr>
          <w:rFonts w:ascii="Cambria" w:hAnsi="Cambria"/>
        </w:rPr>
      </w:pPr>
      <w:r>
        <w:rPr>
          <w:rFonts w:ascii="Cambria" w:hAnsi="Cambria"/>
          <w:iCs/>
        </w:rPr>
        <w:t>Chlamydospores of</w:t>
      </w:r>
      <w:r>
        <w:rPr>
          <w:rFonts w:ascii="Cambria" w:hAnsi="Cambria"/>
        </w:rPr>
        <w:t xml:space="preserve"> </w:t>
      </w:r>
      <w:r>
        <w:rPr>
          <w:rFonts w:ascii="Cambria" w:hAnsi="Cambria"/>
          <w:i/>
        </w:rPr>
        <w:t xml:space="preserve">P. ramorum </w:t>
      </w:r>
      <w:r>
        <w:rPr>
          <w:rFonts w:ascii="Cambria" w:hAnsi="Cambria"/>
        </w:rPr>
        <w:t xml:space="preserve">have been observed in/on leaves (Tooley et al. 2004; Davidson et al. 2005), twigs, stems (Pogoda &amp; Werres 2004; Lewis &amp; Parke 2006; Parke et al. 2007a, b) and fruit (Moralejo et al. 2006). Chlamydospores in potting medium, sand and soil are long-lived at moderate temperatures (Colburn et al. 2005; Linderman &amp; Davis 2006a; Fichtner et al. 2007a; Shishkoff 2007). However, the survival of </w:t>
      </w:r>
      <w:r>
        <w:rPr>
          <w:rFonts w:ascii="Cambria" w:hAnsi="Cambria"/>
          <w:i/>
        </w:rPr>
        <w:t>P. ramorum</w:t>
      </w:r>
      <w:r>
        <w:rPr>
          <w:rFonts w:ascii="Cambria" w:hAnsi="Cambria"/>
        </w:rPr>
        <w:t xml:space="preserve"> in colonised plant tissues (attached leaves and stems, and decomposing leaves in contact with soil) at extreme temperatures is unlikely to occur. For example, when </w:t>
      </w:r>
      <w:r>
        <w:rPr>
          <w:rFonts w:ascii="Cambria" w:hAnsi="Cambria"/>
          <w:i/>
        </w:rPr>
        <w:t>P. ramorum</w:t>
      </w:r>
      <w:r>
        <w:rPr>
          <w:rFonts w:ascii="Cambria" w:hAnsi="Cambria"/>
        </w:rPr>
        <w:t xml:space="preserve"> was present in infected </w:t>
      </w:r>
      <w:r>
        <w:rPr>
          <w:rFonts w:ascii="Cambria" w:hAnsi="Cambria"/>
          <w:i/>
        </w:rPr>
        <w:t>Rhododendron</w:t>
      </w:r>
      <w:r>
        <w:rPr>
          <w:rFonts w:ascii="Cambria" w:hAnsi="Cambria"/>
        </w:rPr>
        <w:t xml:space="preserve"> species leaves, in the form of chlamydospores and perhaps hyphae, survival at 35 °C declined within two days, with no survival observed by the fourth day (Tooley et al. 2008). In addition, studies demonstrate that</w:t>
      </w:r>
      <w:r>
        <w:rPr>
          <w:rFonts w:ascii="Cambria" w:hAnsi="Cambria"/>
          <w:i/>
        </w:rPr>
        <w:t xml:space="preserve"> </w:t>
      </w:r>
      <w:r>
        <w:rPr>
          <w:rFonts w:ascii="Cambria" w:hAnsi="Cambria"/>
        </w:rPr>
        <w:t xml:space="preserve">temperatures of 37.5 °C to 40 °C are lethal to </w:t>
      </w:r>
      <w:r>
        <w:rPr>
          <w:rFonts w:ascii="Cambria" w:hAnsi="Cambria"/>
          <w:i/>
        </w:rPr>
        <w:t>P. ramorum</w:t>
      </w:r>
      <w:r>
        <w:rPr>
          <w:rFonts w:ascii="Cambria" w:hAnsi="Cambria"/>
        </w:rPr>
        <w:t xml:space="preserve"> hyphae within several hours and temperatures of 42.5 °C to 50 °C are lethal within a matter of minutes (Browning et al. 2008); however, such extreme temperatures rarely</w:t>
      </w:r>
      <w:r>
        <w:rPr>
          <w:rFonts w:ascii="Cambria" w:hAnsi="Cambria"/>
          <w:i/>
        </w:rPr>
        <w:t xml:space="preserve"> </w:t>
      </w:r>
      <w:r>
        <w:rPr>
          <w:rFonts w:ascii="Cambria" w:hAnsi="Cambria"/>
        </w:rPr>
        <w:t>occur under natural conditions.</w:t>
      </w:r>
    </w:p>
    <w:p w:rsidR="00C74066" w:rsidRDefault="00F10705">
      <w:pPr>
        <w:pStyle w:val="ListBullet"/>
        <w:tabs>
          <w:tab w:val="clear" w:pos="360"/>
          <w:tab w:val="num" w:pos="284"/>
        </w:tabs>
        <w:ind w:left="284" w:hanging="284"/>
        <w:rPr>
          <w:rFonts w:ascii="Cambria" w:hAnsi="Cambria"/>
        </w:rPr>
      </w:pPr>
      <w:r>
        <w:rPr>
          <w:rFonts w:ascii="Cambria" w:hAnsi="Cambria"/>
        </w:rPr>
        <w:lastRenderedPageBreak/>
        <w:t xml:space="preserve">Temperature and moisture are crucial factors that determine the survival and sporulation of most pathogens, including </w:t>
      </w:r>
      <w:r>
        <w:rPr>
          <w:rFonts w:ascii="Cambria" w:hAnsi="Cambria"/>
          <w:i/>
          <w:iCs/>
        </w:rPr>
        <w:t xml:space="preserve">Phytophthora </w:t>
      </w:r>
      <w:r>
        <w:rPr>
          <w:rFonts w:ascii="Cambria" w:hAnsi="Cambria"/>
        </w:rPr>
        <w:t xml:space="preserve">species (Erwin &amp; Ribeiro 1996). </w:t>
      </w:r>
    </w:p>
    <w:p w:rsidR="00C74066" w:rsidRDefault="00F10705">
      <w:pPr>
        <w:pStyle w:val="AQISNum"/>
        <w:numPr>
          <w:ilvl w:val="1"/>
          <w:numId w:val="31"/>
        </w:numPr>
        <w:tabs>
          <w:tab w:val="clear" w:pos="644"/>
          <w:tab w:val="num" w:pos="840"/>
        </w:tabs>
        <w:spacing w:before="120" w:after="120" w:line="276" w:lineRule="auto"/>
        <w:ind w:left="839" w:hanging="482"/>
        <w:rPr>
          <w:rFonts w:ascii="Cambria" w:hAnsi="Cambria"/>
          <w:szCs w:val="22"/>
        </w:rPr>
      </w:pPr>
      <w:r>
        <w:rPr>
          <w:rFonts w:ascii="Cambria" w:hAnsi="Cambria"/>
          <w:szCs w:val="22"/>
        </w:rPr>
        <w:t xml:space="preserve">Bay laurel trees play a crucial role in the reproduction and survival of </w:t>
      </w:r>
      <w:r>
        <w:rPr>
          <w:rFonts w:ascii="Cambria" w:hAnsi="Cambria"/>
          <w:i/>
          <w:iCs/>
          <w:szCs w:val="22"/>
        </w:rPr>
        <w:t xml:space="preserve">P. ramorum </w:t>
      </w:r>
      <w:r>
        <w:rPr>
          <w:rFonts w:ascii="Cambria" w:hAnsi="Cambria"/>
          <w:szCs w:val="22"/>
        </w:rPr>
        <w:t>in coastal California forests by supporting sporulation during the rainy season and by providing a means for the pathogen to survive the dry, Mediterranean summer (Davidson et al. 2011). Foliar hosts present in Australia will not only support sporulation during the rainy season but will also provide a means of survival during the dry season.</w:t>
      </w:r>
    </w:p>
    <w:p w:rsidR="00C74066" w:rsidRDefault="00F10705">
      <w:pPr>
        <w:pStyle w:val="ListBullet"/>
        <w:tabs>
          <w:tab w:val="clear" w:pos="360"/>
          <w:tab w:val="num" w:pos="284"/>
        </w:tabs>
        <w:ind w:left="284" w:hanging="284"/>
        <w:rPr>
          <w:rFonts w:ascii="Cambria" w:hAnsi="Cambria"/>
        </w:rPr>
      </w:pPr>
      <w:r>
        <w:rPr>
          <w:rFonts w:ascii="Cambria" w:hAnsi="Cambria"/>
        </w:rPr>
        <w:t xml:space="preserve">Newly established populations of </w:t>
      </w:r>
      <w:r>
        <w:rPr>
          <w:rFonts w:ascii="Cambria" w:hAnsi="Cambria"/>
          <w:i/>
          <w:iCs/>
        </w:rPr>
        <w:t xml:space="preserve">Phytophthora </w:t>
      </w:r>
      <w:r>
        <w:rPr>
          <w:rFonts w:ascii="Cambria" w:hAnsi="Cambria"/>
        </w:rPr>
        <w:t xml:space="preserve">species may go undetected for years; for example, </w:t>
      </w:r>
      <w:r>
        <w:rPr>
          <w:rFonts w:ascii="Cambria" w:hAnsi="Cambria"/>
          <w:i/>
          <w:iCs/>
        </w:rPr>
        <w:t xml:space="preserve">P. ramorum </w:t>
      </w:r>
      <w:r>
        <w:rPr>
          <w:rFonts w:ascii="Cambria" w:hAnsi="Cambria"/>
        </w:rPr>
        <w:t xml:space="preserve">was first noted in California in 1995 (Garbelotto </w:t>
      </w:r>
      <w:r>
        <w:rPr>
          <w:rFonts w:ascii="Cambria" w:hAnsi="Cambria"/>
          <w:iCs/>
        </w:rPr>
        <w:t>et al.</w:t>
      </w:r>
      <w:r>
        <w:rPr>
          <w:rFonts w:ascii="Cambria" w:hAnsi="Cambria"/>
          <w:i/>
          <w:iCs/>
        </w:rPr>
        <w:t xml:space="preserve"> </w:t>
      </w:r>
      <w:r>
        <w:rPr>
          <w:rFonts w:ascii="Cambria" w:hAnsi="Cambria"/>
        </w:rPr>
        <w:t>2001) but researchers suggest that the pathogen was introduced at least five years before the first detection (Rizzo &amp; Garbelotto 2003).</w:t>
      </w:r>
    </w:p>
    <w:p w:rsidR="00C74066" w:rsidRDefault="00F10705">
      <w:pPr>
        <w:pStyle w:val="Heading3"/>
        <w:keepLines/>
        <w:numPr>
          <w:ilvl w:val="2"/>
          <w:numId w:val="21"/>
        </w:numPr>
        <w:tabs>
          <w:tab w:val="clear" w:pos="720"/>
        </w:tabs>
        <w:spacing w:before="200" w:after="200"/>
        <w:ind w:left="357" w:hanging="357"/>
        <w:rPr>
          <w:rFonts w:ascii="Calibri" w:hAnsi="Calibri" w:cstheme="minorBidi"/>
          <w:sz w:val="24"/>
          <w:szCs w:val="22"/>
        </w:rPr>
      </w:pPr>
      <w:r>
        <w:rPr>
          <w:rFonts w:ascii="Calibri" w:hAnsi="Calibri" w:cstheme="minorBidi"/>
          <w:sz w:val="24"/>
          <w:szCs w:val="22"/>
        </w:rPr>
        <w:t>Likelihood of spread</w:t>
      </w:r>
    </w:p>
    <w:p w:rsidR="00C74066" w:rsidRDefault="00F10705">
      <w:pPr>
        <w:pStyle w:val="AQISNum"/>
        <w:spacing w:before="200" w:line="276" w:lineRule="auto"/>
        <w:rPr>
          <w:rFonts w:ascii="Cambria" w:hAnsi="Cambria"/>
          <w:szCs w:val="22"/>
        </w:rPr>
      </w:pPr>
      <w:r>
        <w:rPr>
          <w:rFonts w:ascii="Cambria" w:hAnsi="Cambria"/>
          <w:szCs w:val="22"/>
        </w:rPr>
        <w:t xml:space="preserve">The likelihood that the </w:t>
      </w:r>
      <w:r>
        <w:rPr>
          <w:rFonts w:ascii="Cambria" w:hAnsi="Cambria"/>
          <w:i/>
          <w:iCs/>
          <w:szCs w:val="22"/>
        </w:rPr>
        <w:t xml:space="preserve">Phytophthora </w:t>
      </w:r>
      <w:r>
        <w:rPr>
          <w:rFonts w:ascii="Cambria" w:hAnsi="Cambria"/>
          <w:iCs/>
          <w:szCs w:val="22"/>
        </w:rPr>
        <w:t>species</w:t>
      </w:r>
      <w:r>
        <w:rPr>
          <w:rFonts w:ascii="Cambria" w:hAnsi="Cambria"/>
          <w:szCs w:val="22"/>
        </w:rPr>
        <w:t xml:space="preserve">, having entered on </w:t>
      </w:r>
      <w:r w:rsidR="00E30433">
        <w:rPr>
          <w:rFonts w:ascii="Cambria" w:hAnsi="Cambria"/>
          <w:szCs w:val="22"/>
        </w:rPr>
        <w:t xml:space="preserve">host plant </w:t>
      </w:r>
      <w:r>
        <w:rPr>
          <w:rFonts w:ascii="Cambria" w:hAnsi="Cambria"/>
          <w:szCs w:val="22"/>
        </w:rPr>
        <w:t xml:space="preserve">propagative material and established, will spread in Australia, based on a comparison of those factors in the source and destination areas considered pertinent to the expansion of the geographic distribution of the pest is </w:t>
      </w:r>
      <w:r>
        <w:rPr>
          <w:rFonts w:ascii="Cambria" w:hAnsi="Cambria"/>
          <w:b/>
          <w:bCs/>
          <w:szCs w:val="22"/>
        </w:rPr>
        <w:t>HIGH</w:t>
      </w:r>
      <w:r>
        <w:rPr>
          <w:rFonts w:ascii="Cambria" w:hAnsi="Cambria"/>
          <w:szCs w:val="22"/>
        </w:rPr>
        <w:t>.</w:t>
      </w:r>
    </w:p>
    <w:p w:rsidR="00C74066" w:rsidRDefault="00F10705">
      <w:pPr>
        <w:pStyle w:val="Heading4"/>
        <w:spacing w:before="120"/>
        <w:rPr>
          <w:i/>
        </w:rPr>
      </w:pPr>
      <w:r>
        <w:rPr>
          <w:i/>
        </w:rPr>
        <w:t>The suitability of the natural or managed environment for natural spread</w:t>
      </w:r>
    </w:p>
    <w:p w:rsidR="00C74066" w:rsidRDefault="00F10705">
      <w:pPr>
        <w:pStyle w:val="ListBullet"/>
        <w:tabs>
          <w:tab w:val="clear" w:pos="360"/>
          <w:tab w:val="num" w:pos="284"/>
        </w:tabs>
        <w:ind w:left="284" w:hanging="284"/>
        <w:rPr>
          <w:rFonts w:ascii="Cambria" w:hAnsi="Cambria"/>
        </w:rPr>
      </w:pPr>
      <w:r>
        <w:rPr>
          <w:rFonts w:ascii="Cambria" w:hAnsi="Cambria"/>
          <w:i/>
        </w:rPr>
        <w:t xml:space="preserve">Phytophthora ramorum </w:t>
      </w:r>
      <w:r>
        <w:rPr>
          <w:rFonts w:ascii="Cambria" w:hAnsi="Cambria"/>
        </w:rPr>
        <w:t xml:space="preserve">is exotic and has spread from an unknown area to Europe and the USA (Ivors </w:t>
      </w:r>
      <w:r>
        <w:rPr>
          <w:rFonts w:ascii="Cambria" w:hAnsi="Cambria"/>
          <w:iCs/>
        </w:rPr>
        <w:t>et al</w:t>
      </w:r>
      <w:r>
        <w:rPr>
          <w:rFonts w:ascii="Cambria" w:hAnsi="Cambria"/>
        </w:rPr>
        <w:t xml:space="preserve">. 2006; Brasier 2007; Mascheretti </w:t>
      </w:r>
      <w:r>
        <w:rPr>
          <w:rFonts w:ascii="Cambria" w:hAnsi="Cambria"/>
          <w:iCs/>
        </w:rPr>
        <w:t>et al</w:t>
      </w:r>
      <w:r>
        <w:rPr>
          <w:rFonts w:ascii="Cambria" w:hAnsi="Cambria"/>
        </w:rPr>
        <w:t xml:space="preserve">. 2008), indicating that the pathogen is able to spread naturally. </w:t>
      </w:r>
    </w:p>
    <w:p w:rsidR="00C74066" w:rsidRDefault="00F10705">
      <w:pPr>
        <w:pStyle w:val="ListBullet"/>
        <w:tabs>
          <w:tab w:val="clear" w:pos="360"/>
          <w:tab w:val="num" w:pos="284"/>
        </w:tabs>
        <w:ind w:left="284" w:hanging="284"/>
        <w:rPr>
          <w:rFonts w:ascii="Cambria" w:hAnsi="Cambria"/>
        </w:rPr>
      </w:pPr>
      <w:r>
        <w:rPr>
          <w:rFonts w:ascii="Cambria" w:hAnsi="Cambria"/>
          <w:i/>
          <w:iCs/>
        </w:rPr>
        <w:t xml:space="preserve">Phytophthora ramorum </w:t>
      </w:r>
      <w:r>
        <w:rPr>
          <w:rFonts w:ascii="Cambria" w:hAnsi="Cambria"/>
        </w:rPr>
        <w:t xml:space="preserve">was first discovered in Germany and the Netherlands (Werres </w:t>
      </w:r>
      <w:r>
        <w:rPr>
          <w:rFonts w:ascii="Cambria" w:hAnsi="Cambria"/>
          <w:iCs/>
        </w:rPr>
        <w:t>et al</w:t>
      </w:r>
      <w:r>
        <w:rPr>
          <w:rFonts w:ascii="Cambria" w:hAnsi="Cambria"/>
        </w:rPr>
        <w:t xml:space="preserve">. 2001) and then, shortly after, in the USA (Rizzo </w:t>
      </w:r>
      <w:r>
        <w:rPr>
          <w:rFonts w:ascii="Cambria" w:hAnsi="Cambria"/>
          <w:iCs/>
        </w:rPr>
        <w:t>et al.</w:t>
      </w:r>
      <w:r>
        <w:rPr>
          <w:rFonts w:ascii="Cambria" w:hAnsi="Cambria"/>
        </w:rPr>
        <w:t xml:space="preserve"> 2002b). Since then, </w:t>
      </w:r>
      <w:r>
        <w:rPr>
          <w:rFonts w:ascii="Cambria" w:hAnsi="Cambria"/>
          <w:i/>
          <w:iCs/>
        </w:rPr>
        <w:t xml:space="preserve">P. ramorum </w:t>
      </w:r>
      <w:r>
        <w:rPr>
          <w:rFonts w:ascii="Cambria" w:hAnsi="Cambria"/>
        </w:rPr>
        <w:t xml:space="preserve">has spread throughout Europe, the USA and Canada. There are similarities in the natural and urban environments of these areas with those in Australia, which suggests that </w:t>
      </w:r>
      <w:r>
        <w:rPr>
          <w:rFonts w:ascii="Cambria" w:hAnsi="Cambria"/>
          <w:i/>
          <w:iCs/>
        </w:rPr>
        <w:t xml:space="preserve">P. ramorum </w:t>
      </w:r>
      <w:r>
        <w:rPr>
          <w:rFonts w:ascii="Cambria" w:hAnsi="Cambria"/>
        </w:rPr>
        <w:t>could spread in Australia.</w:t>
      </w:r>
    </w:p>
    <w:p w:rsidR="00E30433" w:rsidRDefault="00F10705">
      <w:pPr>
        <w:pStyle w:val="ListBullet"/>
        <w:tabs>
          <w:tab w:val="clear" w:pos="360"/>
          <w:tab w:val="num" w:pos="284"/>
        </w:tabs>
        <w:ind w:left="284" w:hanging="284"/>
        <w:rPr>
          <w:rFonts w:ascii="Cambria" w:hAnsi="Cambria"/>
        </w:rPr>
      </w:pPr>
      <w:r>
        <w:rPr>
          <w:rFonts w:ascii="Cambria" w:hAnsi="Cambria"/>
        </w:rPr>
        <w:t xml:space="preserve">Host plants that support the spread of </w:t>
      </w:r>
      <w:r>
        <w:rPr>
          <w:rFonts w:ascii="Cambria" w:hAnsi="Cambria"/>
          <w:i/>
          <w:iCs/>
        </w:rPr>
        <w:t xml:space="preserve">P. ramorum </w:t>
      </w:r>
      <w:r>
        <w:rPr>
          <w:rFonts w:ascii="Cambria" w:hAnsi="Cambria"/>
        </w:rPr>
        <w:t xml:space="preserve">are widespread in cities, towns and horticultural production areas throughout Australia and in the natural environment. For example, </w:t>
      </w:r>
      <w:r>
        <w:rPr>
          <w:rFonts w:ascii="Cambria" w:hAnsi="Cambria"/>
          <w:i/>
        </w:rPr>
        <w:t xml:space="preserve">Eucalyptus </w:t>
      </w:r>
      <w:r w:rsidR="00E30433">
        <w:rPr>
          <w:rFonts w:ascii="Cambria" w:hAnsi="Cambria"/>
        </w:rPr>
        <w:t xml:space="preserve">species </w:t>
      </w:r>
      <w:r>
        <w:rPr>
          <w:rFonts w:ascii="Cambria" w:hAnsi="Cambria"/>
        </w:rPr>
        <w:t xml:space="preserve">hosts are widespread in Australia. </w:t>
      </w:r>
    </w:p>
    <w:p w:rsidR="00C74066" w:rsidRDefault="00F10705">
      <w:pPr>
        <w:pStyle w:val="ListBullet"/>
        <w:tabs>
          <w:tab w:val="clear" w:pos="360"/>
          <w:tab w:val="num" w:pos="284"/>
        </w:tabs>
        <w:ind w:left="284" w:hanging="284"/>
        <w:rPr>
          <w:rFonts w:ascii="Cambria" w:hAnsi="Cambria"/>
        </w:rPr>
      </w:pPr>
      <w:r>
        <w:rPr>
          <w:rFonts w:ascii="Cambria" w:hAnsi="Cambria"/>
        </w:rPr>
        <w:t xml:space="preserve">Foliar hosts, including many Ericaceae, </w:t>
      </w:r>
      <w:r w:rsidR="00E30433">
        <w:rPr>
          <w:rFonts w:ascii="Cambria" w:hAnsi="Cambria"/>
        </w:rPr>
        <w:t xml:space="preserve">are common in Australia. These hosts </w:t>
      </w:r>
      <w:r>
        <w:rPr>
          <w:rFonts w:ascii="Cambria" w:hAnsi="Cambria"/>
        </w:rPr>
        <w:t xml:space="preserve">play a particularly important role in the production of infectious sporangia and the development of epidemics (Garbelotto </w:t>
      </w:r>
      <w:r>
        <w:rPr>
          <w:rFonts w:ascii="Cambria" w:hAnsi="Cambria"/>
          <w:iCs/>
        </w:rPr>
        <w:t>et al</w:t>
      </w:r>
      <w:r>
        <w:rPr>
          <w:rFonts w:ascii="Cambria" w:hAnsi="Cambria"/>
        </w:rPr>
        <w:t xml:space="preserve">. 2003; Rizzo &amp; Garbelotto 2003; Tooley </w:t>
      </w:r>
      <w:r>
        <w:rPr>
          <w:rFonts w:ascii="Cambria" w:hAnsi="Cambria"/>
          <w:iCs/>
        </w:rPr>
        <w:t>et al</w:t>
      </w:r>
      <w:r>
        <w:rPr>
          <w:rFonts w:ascii="Cambria" w:hAnsi="Cambria"/>
        </w:rPr>
        <w:t>. 2004). Foliar hosts also support the development of chlamydospores, the primary survival stage of the pathogen.</w:t>
      </w:r>
    </w:p>
    <w:p w:rsidR="00C74066" w:rsidRDefault="00F10705">
      <w:pPr>
        <w:pStyle w:val="ListBullet"/>
        <w:tabs>
          <w:tab w:val="clear" w:pos="360"/>
          <w:tab w:val="num" w:pos="284"/>
        </w:tabs>
        <w:ind w:left="284" w:hanging="284"/>
        <w:rPr>
          <w:rFonts w:ascii="Cambria" w:hAnsi="Cambria"/>
        </w:rPr>
      </w:pPr>
      <w:r>
        <w:rPr>
          <w:rFonts w:ascii="Cambria" w:hAnsi="Cambria"/>
        </w:rPr>
        <w:t xml:space="preserve">The managed environment in nurseries, garden centres and private gardens are all favourable for the spread of </w:t>
      </w:r>
      <w:r>
        <w:rPr>
          <w:rFonts w:ascii="Cambria" w:hAnsi="Cambria"/>
          <w:i/>
          <w:iCs/>
        </w:rPr>
        <w:t>P. ramorum</w:t>
      </w:r>
      <w:r>
        <w:rPr>
          <w:rFonts w:ascii="Cambria" w:hAnsi="Cambria"/>
        </w:rPr>
        <w:t xml:space="preserve"> as host plants are abundantly available. The plants are closely placed and sprinkler irrigation favours pathogen multiplication and local spread. </w:t>
      </w:r>
      <w:r>
        <w:rPr>
          <w:rFonts w:ascii="Cambria" w:hAnsi="Cambria"/>
          <w:i/>
          <w:iCs/>
        </w:rPr>
        <w:t>Phytophthora ramorum</w:t>
      </w:r>
      <w:r>
        <w:rPr>
          <w:rFonts w:ascii="Cambria" w:hAnsi="Cambria"/>
        </w:rPr>
        <w:t xml:space="preserve"> requires moist conditions and nursery environments provide these ideal conditions through dense canopies and irrigation (Dart </w:t>
      </w:r>
      <w:r>
        <w:rPr>
          <w:rFonts w:ascii="Cambria" w:hAnsi="Cambria"/>
          <w:iCs/>
        </w:rPr>
        <w:t>et al</w:t>
      </w:r>
      <w:r>
        <w:rPr>
          <w:rFonts w:ascii="Cambria" w:hAnsi="Cambria"/>
        </w:rPr>
        <w:t xml:space="preserve">. 2007; Schwingle </w:t>
      </w:r>
      <w:r>
        <w:rPr>
          <w:rFonts w:ascii="Cambria" w:hAnsi="Cambria"/>
          <w:iCs/>
        </w:rPr>
        <w:t>et al</w:t>
      </w:r>
      <w:r>
        <w:rPr>
          <w:rFonts w:ascii="Cambria" w:hAnsi="Cambria"/>
        </w:rPr>
        <w:t xml:space="preserve">. 2007). Nursery trade networks, which are common between Australian nurseries, favour a wider spread of </w:t>
      </w:r>
      <w:r>
        <w:rPr>
          <w:rFonts w:ascii="Cambria" w:hAnsi="Cambria"/>
          <w:i/>
          <w:iCs/>
        </w:rPr>
        <w:t>P. ramorum</w:t>
      </w:r>
      <w:r>
        <w:rPr>
          <w:rFonts w:ascii="Cambria" w:hAnsi="Cambria"/>
        </w:rPr>
        <w:t xml:space="preserve">. </w:t>
      </w:r>
    </w:p>
    <w:p w:rsidR="00C74066" w:rsidRDefault="00F10705">
      <w:pPr>
        <w:pStyle w:val="ListBullet"/>
        <w:tabs>
          <w:tab w:val="clear" w:pos="360"/>
          <w:tab w:val="num" w:pos="284"/>
        </w:tabs>
        <w:ind w:left="284" w:hanging="284"/>
        <w:rPr>
          <w:rFonts w:ascii="Cambria" w:hAnsi="Cambria"/>
        </w:rPr>
      </w:pPr>
      <w:r>
        <w:rPr>
          <w:rFonts w:ascii="Cambria" w:hAnsi="Cambria"/>
          <w:i/>
          <w:iCs/>
        </w:rPr>
        <w:lastRenderedPageBreak/>
        <w:t xml:space="preserve">Phytophthora ramorum </w:t>
      </w:r>
      <w:r>
        <w:rPr>
          <w:rFonts w:ascii="Cambria" w:hAnsi="Cambria"/>
        </w:rPr>
        <w:t xml:space="preserve">needs a susceptible foliar host for inoculum build up and suitable climatic conditions in order to infect and initiate lesions on stems of trees. Stem infections have been reported only in forests where bay laurel or </w:t>
      </w:r>
      <w:r>
        <w:rPr>
          <w:rFonts w:ascii="Cambria" w:hAnsi="Cambria"/>
          <w:i/>
          <w:iCs/>
        </w:rPr>
        <w:t xml:space="preserve">Rhododendron ponticum </w:t>
      </w:r>
      <w:r>
        <w:rPr>
          <w:rFonts w:ascii="Cambria" w:hAnsi="Cambria"/>
        </w:rPr>
        <w:t xml:space="preserve">is a significant understorey species. </w:t>
      </w:r>
      <w:r w:rsidR="00E30433">
        <w:rPr>
          <w:rFonts w:ascii="Cambria" w:hAnsi="Cambria"/>
        </w:rPr>
        <w:t>Owing to its</w:t>
      </w:r>
      <w:r>
        <w:rPr>
          <w:rFonts w:ascii="Cambria" w:hAnsi="Cambria"/>
        </w:rPr>
        <w:t xml:space="preserve"> high susceptibility and ability to support high levels of sporulation, </w:t>
      </w:r>
      <w:r>
        <w:rPr>
          <w:rFonts w:ascii="Cambria" w:hAnsi="Cambria"/>
          <w:i/>
          <w:iCs/>
        </w:rPr>
        <w:t xml:space="preserve">R. ponticum </w:t>
      </w:r>
      <w:r>
        <w:rPr>
          <w:rFonts w:ascii="Cambria" w:hAnsi="Cambria"/>
        </w:rPr>
        <w:t xml:space="preserve">plays a key role in the spread of </w:t>
      </w:r>
      <w:r>
        <w:rPr>
          <w:rFonts w:ascii="Cambria" w:hAnsi="Cambria"/>
          <w:i/>
          <w:iCs/>
        </w:rPr>
        <w:t xml:space="preserve">P. ramorum </w:t>
      </w:r>
      <w:r>
        <w:rPr>
          <w:rFonts w:ascii="Cambria" w:hAnsi="Cambria"/>
        </w:rPr>
        <w:t xml:space="preserve">into natural and semi-natural environments and the subsequent spread to trees (Webber 2008). </w:t>
      </w:r>
      <w:r>
        <w:rPr>
          <w:rFonts w:ascii="Cambria" w:hAnsi="Cambria"/>
          <w:i/>
          <w:iCs/>
        </w:rPr>
        <w:t>Arbutus unedo</w:t>
      </w:r>
      <w:r>
        <w:rPr>
          <w:rFonts w:ascii="Cambria" w:hAnsi="Cambria"/>
        </w:rPr>
        <w:t xml:space="preserve">, </w:t>
      </w:r>
      <w:r>
        <w:rPr>
          <w:rFonts w:ascii="Cambria" w:hAnsi="Cambria"/>
          <w:i/>
          <w:iCs/>
        </w:rPr>
        <w:t>Quercus ilex</w:t>
      </w:r>
      <w:r>
        <w:rPr>
          <w:rFonts w:ascii="Cambria" w:hAnsi="Cambria"/>
        </w:rPr>
        <w:t xml:space="preserve">, </w:t>
      </w:r>
      <w:r>
        <w:rPr>
          <w:rFonts w:ascii="Cambria" w:hAnsi="Cambria"/>
          <w:i/>
          <w:iCs/>
        </w:rPr>
        <w:t>Rhamnus alaternus</w:t>
      </w:r>
      <w:r>
        <w:rPr>
          <w:rFonts w:ascii="Cambria" w:hAnsi="Cambria"/>
        </w:rPr>
        <w:t xml:space="preserve">, </w:t>
      </w:r>
      <w:r>
        <w:rPr>
          <w:rFonts w:ascii="Cambria" w:hAnsi="Cambria"/>
          <w:i/>
          <w:iCs/>
        </w:rPr>
        <w:t xml:space="preserve">Vaccinium </w:t>
      </w:r>
      <w:r>
        <w:rPr>
          <w:rFonts w:ascii="Cambria" w:hAnsi="Cambria"/>
        </w:rPr>
        <w:t>species</w:t>
      </w:r>
      <w:r>
        <w:rPr>
          <w:rFonts w:ascii="Cambria" w:hAnsi="Cambria"/>
          <w:i/>
          <w:iCs/>
        </w:rPr>
        <w:t xml:space="preserve"> </w:t>
      </w:r>
      <w:r>
        <w:rPr>
          <w:rFonts w:ascii="Cambria" w:hAnsi="Cambria"/>
        </w:rPr>
        <w:t xml:space="preserve">and </w:t>
      </w:r>
      <w:r>
        <w:rPr>
          <w:rFonts w:ascii="Cambria" w:hAnsi="Cambria"/>
          <w:i/>
          <w:iCs/>
        </w:rPr>
        <w:t xml:space="preserve">Viburnum tinus </w:t>
      </w:r>
      <w:r>
        <w:rPr>
          <w:rFonts w:ascii="Cambria" w:hAnsi="Cambria"/>
        </w:rPr>
        <w:t xml:space="preserve">also support abundant sporulation and might enable the spread of </w:t>
      </w:r>
      <w:r>
        <w:rPr>
          <w:rFonts w:ascii="Cambria" w:hAnsi="Cambria"/>
          <w:i/>
          <w:iCs/>
        </w:rPr>
        <w:t xml:space="preserve">P. ramorum </w:t>
      </w:r>
      <w:r>
        <w:rPr>
          <w:rFonts w:ascii="Cambria" w:hAnsi="Cambria"/>
        </w:rPr>
        <w:t>to trees (Goheen &amp; Frankel 2009).</w:t>
      </w:r>
    </w:p>
    <w:p w:rsidR="00C74066" w:rsidRDefault="00F10705">
      <w:pPr>
        <w:pStyle w:val="ListBullet"/>
        <w:tabs>
          <w:tab w:val="clear" w:pos="360"/>
          <w:tab w:val="num" w:pos="284"/>
        </w:tabs>
        <w:ind w:left="284" w:hanging="284"/>
        <w:rPr>
          <w:rFonts w:ascii="Cambria" w:hAnsi="Cambria"/>
        </w:rPr>
      </w:pPr>
      <w:r>
        <w:rPr>
          <w:rFonts w:ascii="Cambria" w:hAnsi="Cambria"/>
        </w:rPr>
        <w:t xml:space="preserve">After establishment, </w:t>
      </w:r>
      <w:r>
        <w:rPr>
          <w:rFonts w:ascii="Cambria" w:hAnsi="Cambria"/>
          <w:i/>
          <w:iCs/>
        </w:rPr>
        <w:t>P. ramorum</w:t>
      </w:r>
      <w:r>
        <w:rPr>
          <w:rFonts w:ascii="Cambria" w:hAnsi="Cambria"/>
        </w:rPr>
        <w:t xml:space="preserve"> can spread both independently and in association with infected nursery stock. Independent spread is facilitated by the production of spores on infected tissues (Hansen </w:t>
      </w:r>
      <w:r>
        <w:rPr>
          <w:rFonts w:ascii="Cambria" w:hAnsi="Cambria"/>
          <w:iCs/>
        </w:rPr>
        <w:t>et al</w:t>
      </w:r>
      <w:r>
        <w:rPr>
          <w:rFonts w:ascii="Cambria" w:hAnsi="Cambria"/>
        </w:rPr>
        <w:t xml:space="preserve">. 2008), which become air-borne during rain and could spread through air currents (Davidson </w:t>
      </w:r>
      <w:r>
        <w:rPr>
          <w:rFonts w:ascii="Cambria" w:hAnsi="Cambria"/>
          <w:iCs/>
        </w:rPr>
        <w:t>et al</w:t>
      </w:r>
      <w:r>
        <w:rPr>
          <w:rFonts w:ascii="Cambria" w:hAnsi="Cambria"/>
        </w:rPr>
        <w:t xml:space="preserve">. 2002a; Judelson &amp; Blanco 2005). This natural dispersal could play a major role in spreading the pathogen within a plant and from plant to plant (Davidson </w:t>
      </w:r>
      <w:r>
        <w:rPr>
          <w:rFonts w:ascii="Cambria" w:hAnsi="Cambria"/>
          <w:iCs/>
        </w:rPr>
        <w:t>et al</w:t>
      </w:r>
      <w:r>
        <w:rPr>
          <w:rFonts w:ascii="Cambria" w:hAnsi="Cambria"/>
        </w:rPr>
        <w:t>. 2002a; Judelson &amp; Blanco 2005).</w:t>
      </w:r>
    </w:p>
    <w:p w:rsidR="00C74066" w:rsidRDefault="00F10705">
      <w:pPr>
        <w:pStyle w:val="ListBullet"/>
        <w:tabs>
          <w:tab w:val="clear" w:pos="360"/>
          <w:tab w:val="num" w:pos="284"/>
        </w:tabs>
        <w:ind w:left="284" w:hanging="284"/>
        <w:rPr>
          <w:rFonts w:ascii="Cambria" w:hAnsi="Cambria"/>
        </w:rPr>
      </w:pPr>
      <w:r>
        <w:rPr>
          <w:rFonts w:ascii="Cambria" w:hAnsi="Cambria"/>
          <w:i/>
        </w:rPr>
        <w:t>Phytophthora ramorum</w:t>
      </w:r>
      <w:r>
        <w:rPr>
          <w:rFonts w:ascii="Cambria" w:hAnsi="Cambria"/>
        </w:rPr>
        <w:t xml:space="preserve">, and the other </w:t>
      </w:r>
      <w:r>
        <w:rPr>
          <w:rFonts w:ascii="Cambria" w:hAnsi="Cambria"/>
          <w:i/>
        </w:rPr>
        <w:t xml:space="preserve">Phytophthora </w:t>
      </w:r>
      <w:r>
        <w:rPr>
          <w:rFonts w:ascii="Cambria" w:hAnsi="Cambria"/>
        </w:rPr>
        <w:t xml:space="preserve">species under review, produces caduceus sporangia, an adaptation evolved for aerial dispersal (Erwin &amp; Ribeiro 1996). The natural spread of </w:t>
      </w:r>
      <w:r>
        <w:rPr>
          <w:rFonts w:ascii="Cambria" w:hAnsi="Cambria"/>
          <w:i/>
          <w:iCs/>
        </w:rPr>
        <w:t xml:space="preserve">P. ramorum </w:t>
      </w:r>
      <w:r>
        <w:rPr>
          <w:rFonts w:ascii="Cambria" w:hAnsi="Cambria"/>
        </w:rPr>
        <w:t xml:space="preserve">will depend on a number of factors including spore production, spore dispersal, pathogen survival, host availability and climatic conditions (Sansford </w:t>
      </w:r>
      <w:r>
        <w:rPr>
          <w:rFonts w:ascii="Cambria" w:hAnsi="Cambria"/>
          <w:iCs/>
        </w:rPr>
        <w:t>et al.</w:t>
      </w:r>
      <w:r>
        <w:rPr>
          <w:rFonts w:ascii="Cambria" w:hAnsi="Cambria"/>
          <w:i/>
          <w:iCs/>
        </w:rPr>
        <w:t xml:space="preserve"> </w:t>
      </w:r>
      <w:r>
        <w:rPr>
          <w:rFonts w:ascii="Cambria" w:hAnsi="Cambria"/>
        </w:rPr>
        <w:t xml:space="preserve">2009). The natural spread of </w:t>
      </w:r>
      <w:r>
        <w:rPr>
          <w:rFonts w:ascii="Cambria" w:hAnsi="Cambria"/>
          <w:i/>
          <w:iCs/>
        </w:rPr>
        <w:t xml:space="preserve">P. ramorum </w:t>
      </w:r>
      <w:r w:rsidR="00E30433">
        <w:rPr>
          <w:rFonts w:ascii="Cambria" w:hAnsi="Cambria"/>
        </w:rPr>
        <w:t>is facilitated by</w:t>
      </w:r>
      <w:r>
        <w:rPr>
          <w:rFonts w:ascii="Cambria" w:hAnsi="Cambria"/>
        </w:rPr>
        <w:t xml:space="preserve"> the movement of water (rain, runoff, streams, rivers and irrigation water), animals and aerial dissemination (of sporangia, zoospores and possibly chlamydospores). Strong winds, during heavy rains may disseminate the detached sporangia over great distances (Hansen </w:t>
      </w:r>
      <w:r>
        <w:rPr>
          <w:rFonts w:ascii="Cambria" w:hAnsi="Cambria"/>
          <w:iCs/>
        </w:rPr>
        <w:t>et al</w:t>
      </w:r>
      <w:r>
        <w:rPr>
          <w:rFonts w:ascii="Cambria" w:hAnsi="Cambria"/>
        </w:rPr>
        <w:t xml:space="preserve">. 2002; Rizzo </w:t>
      </w:r>
      <w:r>
        <w:rPr>
          <w:rFonts w:ascii="Cambria" w:hAnsi="Cambria"/>
          <w:iCs/>
        </w:rPr>
        <w:t>et al</w:t>
      </w:r>
      <w:r>
        <w:rPr>
          <w:rFonts w:ascii="Cambria" w:hAnsi="Cambria"/>
        </w:rPr>
        <w:t>. 2005)</w:t>
      </w:r>
      <w:r>
        <w:rPr>
          <w:rFonts w:ascii="Cambria" w:hAnsi="Cambria"/>
          <w:i/>
          <w:iCs/>
        </w:rPr>
        <w:t>.</w:t>
      </w:r>
      <w:r>
        <w:rPr>
          <w:rFonts w:ascii="Cambria" w:hAnsi="Cambria"/>
        </w:rPr>
        <w:t xml:space="preserve"> </w:t>
      </w:r>
    </w:p>
    <w:p w:rsidR="00C74066" w:rsidRDefault="00F10705">
      <w:pPr>
        <w:pStyle w:val="ListBullet"/>
        <w:tabs>
          <w:tab w:val="clear" w:pos="360"/>
          <w:tab w:val="num" w:pos="284"/>
        </w:tabs>
        <w:ind w:left="284" w:hanging="284"/>
        <w:rPr>
          <w:rFonts w:ascii="Cambria" w:hAnsi="Cambria"/>
        </w:rPr>
      </w:pPr>
      <w:r>
        <w:rPr>
          <w:rFonts w:ascii="Cambria" w:hAnsi="Cambria"/>
        </w:rPr>
        <w:t>Different dispersal mechanisms may lead to short or long distance dispersal. Typical dispersal distances by rain-splash are in the order of 10 to 20 meters</w:t>
      </w:r>
      <w:r w:rsidR="00E30433">
        <w:rPr>
          <w:rFonts w:ascii="Cambria" w:hAnsi="Cambria"/>
        </w:rPr>
        <w:t>,</w:t>
      </w:r>
      <w:r>
        <w:rPr>
          <w:rFonts w:ascii="Cambria" w:hAnsi="Cambria"/>
        </w:rPr>
        <w:t xml:space="preserve"> depending on topography and the plant community structure (Chastagner </w:t>
      </w:r>
      <w:r>
        <w:rPr>
          <w:rFonts w:ascii="Cambria" w:hAnsi="Cambria"/>
          <w:iCs/>
        </w:rPr>
        <w:t>et al</w:t>
      </w:r>
      <w:r>
        <w:rPr>
          <w:rFonts w:ascii="Cambria" w:hAnsi="Cambria"/>
        </w:rPr>
        <w:t xml:space="preserve">. 2008; Mascheretti </w:t>
      </w:r>
      <w:r>
        <w:rPr>
          <w:rFonts w:ascii="Cambria" w:hAnsi="Cambria"/>
          <w:iCs/>
        </w:rPr>
        <w:t>et al</w:t>
      </w:r>
      <w:r>
        <w:rPr>
          <w:rFonts w:ascii="Cambria" w:hAnsi="Cambria"/>
        </w:rPr>
        <w:t xml:space="preserve">. 2008). In parts of Australia, where climate events are favourable and there is an abundance of continuous hosts, natural spread could be significantly more rapid. </w:t>
      </w:r>
      <w:r>
        <w:rPr>
          <w:rFonts w:ascii="Cambria" w:hAnsi="Cambria"/>
          <w:i/>
          <w:iCs/>
        </w:rPr>
        <w:t>Phytophthora ramorum</w:t>
      </w:r>
      <w:r>
        <w:rPr>
          <w:rFonts w:ascii="Cambria" w:hAnsi="Cambria"/>
        </w:rPr>
        <w:t xml:space="preserve"> propagules (sporangia, zoospores) disperse 10 meters and can disperse up to 25 meters in wind-driven rain (Davidson </w:t>
      </w:r>
      <w:r>
        <w:rPr>
          <w:rFonts w:ascii="Cambria" w:hAnsi="Cambria"/>
          <w:iCs/>
        </w:rPr>
        <w:t>et al.</w:t>
      </w:r>
      <w:r>
        <w:rPr>
          <w:rFonts w:ascii="Cambria" w:hAnsi="Cambria"/>
          <w:i/>
          <w:iCs/>
        </w:rPr>
        <w:t xml:space="preserve"> </w:t>
      </w:r>
      <w:r>
        <w:rPr>
          <w:rFonts w:ascii="Cambria" w:hAnsi="Cambria"/>
          <w:iCs/>
        </w:rPr>
        <w:t>2002a;</w:t>
      </w:r>
      <w:r>
        <w:rPr>
          <w:rStyle w:val="CommentReference"/>
          <w:rFonts w:ascii="Cambria" w:hAnsi="Cambria"/>
          <w:color w:val="000000"/>
          <w:sz w:val="22"/>
          <w:szCs w:val="22"/>
        </w:rPr>
        <w:t xml:space="preserve"> </w:t>
      </w:r>
      <w:r>
        <w:rPr>
          <w:rFonts w:ascii="Cambria" w:hAnsi="Cambria"/>
        </w:rPr>
        <w:t xml:space="preserve">Rizzo </w:t>
      </w:r>
      <w:r>
        <w:rPr>
          <w:rFonts w:ascii="Cambria" w:hAnsi="Cambria"/>
          <w:iCs/>
        </w:rPr>
        <w:t>et al</w:t>
      </w:r>
      <w:r>
        <w:rPr>
          <w:rFonts w:ascii="Cambria" w:hAnsi="Cambria"/>
        </w:rPr>
        <w:t xml:space="preserve">. 2005). In Oregon, about half of the new </w:t>
      </w:r>
      <w:r>
        <w:rPr>
          <w:rFonts w:ascii="Cambria" w:hAnsi="Cambria"/>
          <w:i/>
        </w:rPr>
        <w:t xml:space="preserve">Phytophthora </w:t>
      </w:r>
      <w:r>
        <w:rPr>
          <w:rFonts w:ascii="Cambria" w:hAnsi="Cambria"/>
        </w:rPr>
        <w:t xml:space="preserve">infections each year occur within 100 meters of trees killed the previous year, but long distance dispersal up to three kilometres may occur in storm winds (Rizzo </w:t>
      </w:r>
      <w:r>
        <w:rPr>
          <w:rFonts w:ascii="Cambria" w:hAnsi="Cambria"/>
          <w:iCs/>
        </w:rPr>
        <w:t>et al</w:t>
      </w:r>
      <w:r>
        <w:rPr>
          <w:rFonts w:ascii="Cambria" w:hAnsi="Cambria"/>
        </w:rPr>
        <w:t xml:space="preserve">. 2005). </w:t>
      </w:r>
    </w:p>
    <w:p w:rsidR="00C74066" w:rsidRDefault="00F10705">
      <w:pPr>
        <w:pStyle w:val="ListBullet"/>
        <w:tabs>
          <w:tab w:val="clear" w:pos="360"/>
          <w:tab w:val="num" w:pos="284"/>
        </w:tabs>
        <w:ind w:left="284" w:hanging="284"/>
        <w:rPr>
          <w:rFonts w:ascii="Cambria" w:hAnsi="Cambria"/>
        </w:rPr>
      </w:pPr>
      <w:r>
        <w:rPr>
          <w:rFonts w:ascii="Cambria" w:hAnsi="Cambria"/>
        </w:rPr>
        <w:t xml:space="preserve">Short distance spread of </w:t>
      </w:r>
      <w:r>
        <w:rPr>
          <w:rFonts w:ascii="Cambria" w:hAnsi="Cambria"/>
          <w:i/>
          <w:iCs/>
        </w:rPr>
        <w:t>Phytophthora</w:t>
      </w:r>
      <w:r>
        <w:rPr>
          <w:rFonts w:ascii="Cambria" w:hAnsi="Cambria"/>
        </w:rPr>
        <w:t xml:space="preserve"> </w:t>
      </w:r>
      <w:r w:rsidR="00E30433">
        <w:rPr>
          <w:rFonts w:ascii="Cambria" w:hAnsi="Cambria"/>
        </w:rPr>
        <w:t xml:space="preserve">species </w:t>
      </w:r>
      <w:r>
        <w:rPr>
          <w:rFonts w:ascii="Cambria" w:hAnsi="Cambria"/>
        </w:rPr>
        <w:t>occurs on a yearly basis and is n</w:t>
      </w:r>
      <w:r w:rsidR="00E30433">
        <w:rPr>
          <w:rFonts w:ascii="Cambria" w:hAnsi="Cambria"/>
        </w:rPr>
        <w:t>ormally within a few kilometres.</w:t>
      </w:r>
      <w:r>
        <w:rPr>
          <w:rFonts w:ascii="Cambria" w:hAnsi="Cambria"/>
        </w:rPr>
        <w:t xml:space="preserve"> </w:t>
      </w:r>
      <w:r w:rsidR="00E30433">
        <w:rPr>
          <w:rFonts w:ascii="Cambria" w:hAnsi="Cambria"/>
        </w:rPr>
        <w:t>L</w:t>
      </w:r>
      <w:r>
        <w:rPr>
          <w:rFonts w:ascii="Cambria" w:hAnsi="Cambria"/>
        </w:rPr>
        <w:t>ong distance spread (through infected nursery stock) occasionally occurs, and seems to be linked to favourable weather conditions for the pathogen (EFSA 2011).</w:t>
      </w:r>
    </w:p>
    <w:p w:rsidR="00C74066" w:rsidRDefault="00F10705">
      <w:pPr>
        <w:pStyle w:val="AQISNum"/>
        <w:numPr>
          <w:ilvl w:val="1"/>
          <w:numId w:val="31"/>
        </w:numPr>
        <w:tabs>
          <w:tab w:val="clear" w:pos="644"/>
          <w:tab w:val="num" w:pos="840"/>
        </w:tabs>
        <w:spacing w:before="120" w:after="120" w:line="276" w:lineRule="auto"/>
        <w:ind w:left="840" w:hanging="480"/>
        <w:rPr>
          <w:rFonts w:ascii="Cambria" w:hAnsi="Cambria"/>
          <w:szCs w:val="22"/>
        </w:rPr>
      </w:pPr>
      <w:r>
        <w:rPr>
          <w:rFonts w:ascii="Cambria" w:hAnsi="Cambria"/>
          <w:szCs w:val="22"/>
        </w:rPr>
        <w:t xml:space="preserve">In nurseries, spread is linked to water-borne spread (Garbelotto &amp; Rizzo 2005), and is often limited to adjacent plants. </w:t>
      </w:r>
      <w:r>
        <w:rPr>
          <w:rFonts w:ascii="Cambria" w:hAnsi="Cambria"/>
          <w:i/>
          <w:iCs/>
          <w:szCs w:val="22"/>
        </w:rPr>
        <w:t xml:space="preserve">Phytophthora ramorum </w:t>
      </w:r>
      <w:r>
        <w:rPr>
          <w:rFonts w:ascii="Cambria" w:hAnsi="Cambria"/>
          <w:szCs w:val="22"/>
        </w:rPr>
        <w:t>requires moisture to complete its life cycle; wet environments in the nursery setting favour spore production, dispersal, germination and infection. Therefore, the humid conditions in nurseries that allow moisture to remain on plant leaves and stems, will favour the spread of the pathogen.</w:t>
      </w:r>
    </w:p>
    <w:p w:rsidR="00C74066" w:rsidRDefault="00F10705">
      <w:pPr>
        <w:pStyle w:val="AQISNum"/>
        <w:numPr>
          <w:ilvl w:val="1"/>
          <w:numId w:val="31"/>
        </w:numPr>
        <w:tabs>
          <w:tab w:val="clear" w:pos="644"/>
          <w:tab w:val="num" w:pos="840"/>
        </w:tabs>
        <w:spacing w:before="120" w:after="120" w:line="276" w:lineRule="auto"/>
        <w:ind w:left="839" w:hanging="482"/>
        <w:rPr>
          <w:rFonts w:ascii="Cambria" w:hAnsi="Cambria"/>
          <w:szCs w:val="22"/>
        </w:rPr>
      </w:pPr>
      <w:r>
        <w:rPr>
          <w:rFonts w:ascii="Cambria" w:hAnsi="Cambria"/>
          <w:szCs w:val="22"/>
        </w:rPr>
        <w:t>Medium distance movement of sporangia is linked to turbulent movement</w:t>
      </w:r>
      <w:r w:rsidR="00E30433">
        <w:rPr>
          <w:rFonts w:ascii="Cambria" w:hAnsi="Cambria"/>
          <w:szCs w:val="22"/>
        </w:rPr>
        <w:t xml:space="preserve"> and only occurs</w:t>
      </w:r>
      <w:r>
        <w:rPr>
          <w:rFonts w:ascii="Cambria" w:hAnsi="Cambria"/>
          <w:szCs w:val="22"/>
        </w:rPr>
        <w:t xml:space="preserve"> in the presence of winds strong enough to pick up sporangia (Mascheretti </w:t>
      </w:r>
      <w:r>
        <w:rPr>
          <w:rFonts w:ascii="Cambria" w:hAnsi="Cambria"/>
          <w:iCs/>
          <w:szCs w:val="22"/>
        </w:rPr>
        <w:t>et al</w:t>
      </w:r>
      <w:r>
        <w:rPr>
          <w:rFonts w:ascii="Cambria" w:hAnsi="Cambria"/>
          <w:szCs w:val="22"/>
        </w:rPr>
        <w:t xml:space="preserve">. </w:t>
      </w:r>
      <w:r>
        <w:rPr>
          <w:rFonts w:ascii="Cambria" w:hAnsi="Cambria"/>
          <w:szCs w:val="22"/>
        </w:rPr>
        <w:lastRenderedPageBreak/>
        <w:t xml:space="preserve">2008). Sporangia can be spread </w:t>
      </w:r>
      <w:r w:rsidR="00F65848">
        <w:rPr>
          <w:rFonts w:ascii="Cambria" w:hAnsi="Cambria"/>
          <w:szCs w:val="22"/>
        </w:rPr>
        <w:t>one to five</w:t>
      </w:r>
      <w:r>
        <w:rPr>
          <w:rFonts w:ascii="Cambria" w:hAnsi="Cambria"/>
          <w:szCs w:val="22"/>
        </w:rPr>
        <w:t xml:space="preserve"> kilometres from the source (Mascheretti </w:t>
      </w:r>
      <w:r>
        <w:rPr>
          <w:rFonts w:ascii="Cambria" w:hAnsi="Cambria"/>
          <w:iCs/>
          <w:szCs w:val="22"/>
        </w:rPr>
        <w:t>et al</w:t>
      </w:r>
      <w:r>
        <w:rPr>
          <w:rFonts w:ascii="Cambria" w:hAnsi="Cambria"/>
          <w:szCs w:val="22"/>
        </w:rPr>
        <w:t>. 2008).</w:t>
      </w:r>
    </w:p>
    <w:p w:rsidR="00C74066" w:rsidRDefault="00F10705">
      <w:pPr>
        <w:pStyle w:val="ListBullet"/>
        <w:tabs>
          <w:tab w:val="clear" w:pos="360"/>
          <w:tab w:val="num" w:pos="284"/>
        </w:tabs>
        <w:ind w:left="284" w:hanging="284"/>
        <w:rPr>
          <w:rFonts w:ascii="Cambria" w:hAnsi="Cambria"/>
        </w:rPr>
      </w:pPr>
      <w:r>
        <w:rPr>
          <w:rFonts w:ascii="Cambria" w:hAnsi="Cambria"/>
        </w:rPr>
        <w:t xml:space="preserve">Infected nursery stock is unlikely to </w:t>
      </w:r>
      <w:r w:rsidR="00F65848">
        <w:rPr>
          <w:rFonts w:ascii="Cambria" w:hAnsi="Cambria"/>
        </w:rPr>
        <w:t>be grown in isolation; thereby</w:t>
      </w:r>
      <w:r>
        <w:rPr>
          <w:rFonts w:ascii="Cambria" w:hAnsi="Cambria"/>
        </w:rPr>
        <w:t xml:space="preserve"> providing a greater opportunity for the spread of </w:t>
      </w:r>
      <w:r>
        <w:rPr>
          <w:rFonts w:ascii="Cambria" w:hAnsi="Cambria"/>
          <w:i/>
          <w:iCs/>
        </w:rPr>
        <w:t xml:space="preserve">Phytophthora </w:t>
      </w:r>
      <w:r>
        <w:rPr>
          <w:rFonts w:ascii="Cambria" w:hAnsi="Cambria"/>
        </w:rPr>
        <w:t xml:space="preserve">species to other plants. The production of sporangia on infected tissues (Hansen </w:t>
      </w:r>
      <w:r>
        <w:rPr>
          <w:rFonts w:ascii="Cambria" w:hAnsi="Cambria"/>
          <w:iCs/>
        </w:rPr>
        <w:t>et al</w:t>
      </w:r>
      <w:r>
        <w:rPr>
          <w:rFonts w:ascii="Cambria" w:hAnsi="Cambria"/>
        </w:rPr>
        <w:t xml:space="preserve">. 2008) serves as the primary inoculum, spreading the pathogen to healthy leaves and shoots under appropriate environmental conditions (Hüberli </w:t>
      </w:r>
      <w:r>
        <w:rPr>
          <w:rFonts w:ascii="Cambria" w:hAnsi="Cambria"/>
          <w:iCs/>
        </w:rPr>
        <w:t>et al</w:t>
      </w:r>
      <w:r>
        <w:rPr>
          <w:rFonts w:ascii="Cambria" w:hAnsi="Cambria"/>
        </w:rPr>
        <w:t>. 2003a). However, sporangia may not survive long distance transport due to desiccation (Ristaino &amp; Gumpertz 2000).</w:t>
      </w:r>
    </w:p>
    <w:p w:rsidR="00C74066" w:rsidRDefault="00F10705">
      <w:pPr>
        <w:pStyle w:val="ListBullet"/>
        <w:tabs>
          <w:tab w:val="clear" w:pos="360"/>
          <w:tab w:val="num" w:pos="284"/>
        </w:tabs>
        <w:ind w:left="284" w:hanging="284"/>
        <w:rPr>
          <w:rFonts w:ascii="Cambria" w:hAnsi="Cambria"/>
        </w:rPr>
      </w:pPr>
      <w:r>
        <w:rPr>
          <w:rFonts w:ascii="Cambria" w:hAnsi="Cambria"/>
        </w:rPr>
        <w:t>Asymptomatic</w:t>
      </w:r>
      <w:r>
        <w:rPr>
          <w:rFonts w:ascii="Cambria" w:hAnsi="Cambria"/>
          <w:i/>
          <w:iCs/>
        </w:rPr>
        <w:t xml:space="preserve"> </w:t>
      </w:r>
      <w:r>
        <w:rPr>
          <w:rFonts w:ascii="Cambria" w:hAnsi="Cambria"/>
        </w:rPr>
        <w:t xml:space="preserve">roots of infected </w:t>
      </w:r>
      <w:r>
        <w:rPr>
          <w:rFonts w:ascii="Cambria" w:hAnsi="Cambria"/>
          <w:i/>
        </w:rPr>
        <w:t xml:space="preserve">Rhododendron </w:t>
      </w:r>
      <w:r>
        <w:rPr>
          <w:rFonts w:ascii="Cambria" w:hAnsi="Cambria"/>
        </w:rPr>
        <w:t xml:space="preserve">species harbour chlamydospores of </w:t>
      </w:r>
      <w:r>
        <w:rPr>
          <w:rFonts w:ascii="Cambria" w:hAnsi="Cambria"/>
          <w:i/>
          <w:iCs/>
        </w:rPr>
        <w:t>P. ramorum</w:t>
      </w:r>
      <w:r>
        <w:rPr>
          <w:rFonts w:ascii="Cambria" w:hAnsi="Cambria"/>
        </w:rPr>
        <w:t xml:space="preserve"> (Riedel </w:t>
      </w:r>
      <w:r>
        <w:rPr>
          <w:rFonts w:ascii="Cambria" w:hAnsi="Cambria"/>
          <w:iCs/>
        </w:rPr>
        <w:t>et al</w:t>
      </w:r>
      <w:r>
        <w:rPr>
          <w:rFonts w:ascii="Cambria" w:hAnsi="Cambria"/>
        </w:rPr>
        <w:t xml:space="preserve">. 2009). Both </w:t>
      </w:r>
      <w:r>
        <w:rPr>
          <w:rFonts w:ascii="Cambria" w:hAnsi="Cambria"/>
          <w:i/>
          <w:iCs/>
        </w:rPr>
        <w:t xml:space="preserve">P. ramorum </w:t>
      </w:r>
      <w:r>
        <w:rPr>
          <w:rFonts w:ascii="Cambria" w:hAnsi="Cambria"/>
        </w:rPr>
        <w:t xml:space="preserve">and </w:t>
      </w:r>
      <w:r>
        <w:rPr>
          <w:rFonts w:ascii="Cambria" w:hAnsi="Cambria"/>
          <w:i/>
          <w:iCs/>
        </w:rPr>
        <w:t xml:space="preserve">P. kernoviae </w:t>
      </w:r>
      <w:r>
        <w:rPr>
          <w:rFonts w:ascii="Cambria" w:hAnsi="Cambria"/>
        </w:rPr>
        <w:t xml:space="preserve">are capable of sporangial production on </w:t>
      </w:r>
      <w:r>
        <w:rPr>
          <w:rFonts w:ascii="Cambria" w:hAnsi="Cambria"/>
          <w:iCs/>
        </w:rPr>
        <w:t>asymptomatic</w:t>
      </w:r>
      <w:r>
        <w:rPr>
          <w:rFonts w:ascii="Cambria" w:hAnsi="Cambria"/>
          <w:i/>
          <w:iCs/>
        </w:rPr>
        <w:t xml:space="preserve"> </w:t>
      </w:r>
      <w:r>
        <w:rPr>
          <w:rFonts w:ascii="Cambria" w:hAnsi="Cambria"/>
        </w:rPr>
        <w:t xml:space="preserve">infected leaves and fruits of a range of hosts including </w:t>
      </w:r>
      <w:r>
        <w:rPr>
          <w:rFonts w:ascii="Cambria" w:hAnsi="Cambria"/>
          <w:i/>
          <w:iCs/>
        </w:rPr>
        <w:t>Crataegus, Laurus, Quercus, Rhododendron</w:t>
      </w:r>
      <w:r>
        <w:rPr>
          <w:rFonts w:ascii="Cambria" w:hAnsi="Cambria"/>
        </w:rPr>
        <w:t xml:space="preserve">, </w:t>
      </w:r>
      <w:r>
        <w:rPr>
          <w:rFonts w:ascii="Cambria" w:hAnsi="Cambria"/>
          <w:i/>
          <w:iCs/>
        </w:rPr>
        <w:t xml:space="preserve">Rosa </w:t>
      </w:r>
      <w:r>
        <w:rPr>
          <w:rFonts w:ascii="Cambria" w:hAnsi="Cambria"/>
        </w:rPr>
        <w:t xml:space="preserve">and </w:t>
      </w:r>
      <w:r>
        <w:rPr>
          <w:rFonts w:ascii="Cambria" w:hAnsi="Cambria"/>
          <w:i/>
          <w:iCs/>
        </w:rPr>
        <w:t xml:space="preserve">Smilax </w:t>
      </w:r>
      <w:r>
        <w:rPr>
          <w:rFonts w:ascii="Cambria" w:hAnsi="Cambria"/>
          <w:iCs/>
        </w:rPr>
        <w:t xml:space="preserve">species </w:t>
      </w:r>
      <w:r>
        <w:rPr>
          <w:rFonts w:ascii="Cambria" w:hAnsi="Cambria"/>
        </w:rPr>
        <w:t xml:space="preserve">(Denman </w:t>
      </w:r>
      <w:r>
        <w:rPr>
          <w:rFonts w:ascii="Cambria" w:hAnsi="Cambria"/>
          <w:iCs/>
        </w:rPr>
        <w:t>et al</w:t>
      </w:r>
      <w:r>
        <w:rPr>
          <w:rFonts w:ascii="Cambria" w:hAnsi="Cambria"/>
        </w:rPr>
        <w:t>. 2008). Therefore, visually healthy plants may harbour a sporulating pathogen in the roots or foliage and bare-rooted shipping stock will help spread the pathogen into new areas.</w:t>
      </w:r>
    </w:p>
    <w:p w:rsidR="00C74066" w:rsidRDefault="00F10705">
      <w:pPr>
        <w:pStyle w:val="ListBullet"/>
        <w:tabs>
          <w:tab w:val="clear" w:pos="360"/>
          <w:tab w:val="num" w:pos="284"/>
        </w:tabs>
        <w:ind w:left="284" w:hanging="284"/>
        <w:rPr>
          <w:rFonts w:ascii="Cambria" w:hAnsi="Cambria"/>
        </w:rPr>
      </w:pPr>
      <w:r>
        <w:rPr>
          <w:rFonts w:ascii="Cambria" w:hAnsi="Cambria"/>
        </w:rPr>
        <w:t xml:space="preserve">Genotypes of </w:t>
      </w:r>
      <w:r>
        <w:rPr>
          <w:rFonts w:ascii="Cambria" w:hAnsi="Cambria"/>
          <w:i/>
          <w:iCs/>
        </w:rPr>
        <w:t xml:space="preserve">P. ramorum </w:t>
      </w:r>
      <w:r>
        <w:rPr>
          <w:rFonts w:ascii="Cambria" w:hAnsi="Cambria"/>
        </w:rPr>
        <w:t xml:space="preserve">have been spread via the nursery stock trade from Europe to North America (Goss </w:t>
      </w:r>
      <w:r>
        <w:rPr>
          <w:rFonts w:ascii="Cambria" w:hAnsi="Cambria"/>
          <w:iCs/>
        </w:rPr>
        <w:t>et al</w:t>
      </w:r>
      <w:r>
        <w:rPr>
          <w:rFonts w:ascii="Cambria" w:hAnsi="Cambria"/>
        </w:rPr>
        <w:t xml:space="preserve">. 2011). In Canadian nurseries, the NA1, NA2 and EU1 genotypes have been found. NA2 is the most common lineage whereas NA1 is rare. In addition, the EU1 lineage is frequently detected in Canada (Goss </w:t>
      </w:r>
      <w:r>
        <w:rPr>
          <w:rFonts w:ascii="Cambria" w:hAnsi="Cambria"/>
          <w:iCs/>
        </w:rPr>
        <w:t>et al</w:t>
      </w:r>
      <w:r>
        <w:rPr>
          <w:rFonts w:ascii="Cambria" w:hAnsi="Cambria"/>
        </w:rPr>
        <w:t xml:space="preserve">. 2011) indicating that EU1 has spread from Europe to North America (Goss </w:t>
      </w:r>
      <w:r>
        <w:rPr>
          <w:rFonts w:ascii="Cambria" w:hAnsi="Cambria"/>
          <w:iCs/>
        </w:rPr>
        <w:t>et al</w:t>
      </w:r>
      <w:r>
        <w:rPr>
          <w:rFonts w:ascii="Cambria" w:hAnsi="Cambria"/>
        </w:rPr>
        <w:t>. 2011).</w:t>
      </w:r>
    </w:p>
    <w:p w:rsidR="00C74066" w:rsidRDefault="00F10705">
      <w:pPr>
        <w:pStyle w:val="ListBullet"/>
        <w:tabs>
          <w:tab w:val="clear" w:pos="360"/>
          <w:tab w:val="num" w:pos="284"/>
        </w:tabs>
        <w:ind w:left="284" w:hanging="284"/>
        <w:rPr>
          <w:rFonts w:ascii="Cambria" w:hAnsi="Cambria"/>
        </w:rPr>
      </w:pPr>
      <w:r>
        <w:rPr>
          <w:rFonts w:ascii="Cambria" w:hAnsi="Cambria"/>
        </w:rPr>
        <w:t xml:space="preserve">The rapid spread of </w:t>
      </w:r>
      <w:r>
        <w:rPr>
          <w:rFonts w:ascii="Cambria" w:hAnsi="Cambria"/>
          <w:i/>
          <w:iCs/>
        </w:rPr>
        <w:t xml:space="preserve">P. ramorum </w:t>
      </w:r>
      <w:r>
        <w:rPr>
          <w:rFonts w:ascii="Cambria" w:hAnsi="Cambria"/>
        </w:rPr>
        <w:t xml:space="preserve">during the early 2000s, in Europe and in the USA is related to the movement of infected nursery stock from infested regions into new areas (Brasier 2007; Cave et al. 2008; Alexander 2012). Similarly, </w:t>
      </w:r>
      <w:r>
        <w:rPr>
          <w:rFonts w:ascii="Cambria" w:hAnsi="Cambria"/>
          <w:i/>
          <w:iCs/>
        </w:rPr>
        <w:t xml:space="preserve">P. ramorum </w:t>
      </w:r>
      <w:r>
        <w:rPr>
          <w:rFonts w:ascii="Cambria" w:hAnsi="Cambria"/>
        </w:rPr>
        <w:t>will spread within Australia, if it is established.</w:t>
      </w:r>
    </w:p>
    <w:p w:rsidR="00C74066" w:rsidRDefault="00F10705">
      <w:pPr>
        <w:pStyle w:val="ListBullet"/>
        <w:tabs>
          <w:tab w:val="clear" w:pos="360"/>
          <w:tab w:val="num" w:pos="284"/>
        </w:tabs>
        <w:ind w:left="284" w:hanging="284"/>
        <w:rPr>
          <w:rFonts w:ascii="Cambria" w:hAnsi="Cambria"/>
        </w:rPr>
      </w:pPr>
      <w:r>
        <w:rPr>
          <w:rFonts w:ascii="Cambria" w:hAnsi="Cambria"/>
        </w:rPr>
        <w:t xml:space="preserve">Certain hosts play an important role in the spread of </w:t>
      </w:r>
      <w:r>
        <w:rPr>
          <w:rFonts w:ascii="Cambria" w:hAnsi="Cambria"/>
          <w:i/>
        </w:rPr>
        <w:t xml:space="preserve">P. ramorum </w:t>
      </w:r>
      <w:r>
        <w:rPr>
          <w:rFonts w:ascii="Cambria" w:hAnsi="Cambria"/>
        </w:rPr>
        <w:t xml:space="preserve">in the ecosystem. </w:t>
      </w:r>
      <w:r>
        <w:rPr>
          <w:rFonts w:ascii="Cambria" w:hAnsi="Cambria"/>
          <w:i/>
        </w:rPr>
        <w:t xml:space="preserve">Phytophthora ramorum </w:t>
      </w:r>
      <w:r>
        <w:rPr>
          <w:rFonts w:ascii="Cambria" w:hAnsi="Cambria"/>
        </w:rPr>
        <w:t>sporulates</w:t>
      </w:r>
      <w:r>
        <w:rPr>
          <w:rFonts w:ascii="Cambria" w:hAnsi="Cambria"/>
          <w:i/>
        </w:rPr>
        <w:t xml:space="preserve"> </w:t>
      </w:r>
      <w:r>
        <w:rPr>
          <w:rFonts w:ascii="Cambria" w:hAnsi="Cambria"/>
        </w:rPr>
        <w:t xml:space="preserve">(production of deciduous sporangia) profusely during favourable conditions on bay laurel trees, with less abundant sporulation on other hosts such as tanoak twigs and redwood needles. The presence of bay laurel (a preferred sporulating host) plays an important role in the epidemiology. For example, the presence of infected bay laurel leaves is strongly correlated with stem cankers on </w:t>
      </w:r>
      <w:r>
        <w:rPr>
          <w:rFonts w:ascii="Cambria" w:hAnsi="Cambria"/>
          <w:i/>
        </w:rPr>
        <w:t>Quercus agrifolia</w:t>
      </w:r>
      <w:r>
        <w:rPr>
          <w:rFonts w:ascii="Cambria" w:hAnsi="Cambria"/>
        </w:rPr>
        <w:t xml:space="preserve"> (Kelly &amp; Meentemeyer 2002; Rizzo &amp; Garbelotto 2003); therefore, foliar infections of bay laurel generally lead to infection of oaks in Californian forests (Rizzo &amp; Garbelotto 2003). Foliar hosts (supporting spore build up) are present in natural and urban environments of Australia, which suggests that </w:t>
      </w:r>
      <w:r>
        <w:rPr>
          <w:rFonts w:ascii="Cambria" w:hAnsi="Cambria"/>
          <w:i/>
          <w:iCs/>
        </w:rPr>
        <w:t>P. ramorum</w:t>
      </w:r>
      <w:r>
        <w:rPr>
          <w:rFonts w:ascii="Cambria" w:hAnsi="Cambria"/>
        </w:rPr>
        <w:t xml:space="preserve"> could spread in Australia. </w:t>
      </w:r>
    </w:p>
    <w:p w:rsidR="00C74066" w:rsidRDefault="00F10705">
      <w:pPr>
        <w:pStyle w:val="ListBullet"/>
        <w:tabs>
          <w:tab w:val="clear" w:pos="360"/>
          <w:tab w:val="num" w:pos="284"/>
        </w:tabs>
        <w:ind w:left="284" w:hanging="284"/>
        <w:rPr>
          <w:rFonts w:ascii="Cambria" w:hAnsi="Cambria"/>
        </w:rPr>
      </w:pPr>
      <w:r>
        <w:rPr>
          <w:rFonts w:ascii="Cambria" w:hAnsi="Cambria"/>
        </w:rPr>
        <w:t xml:space="preserve">The presence of a foliar host that can support massive spore build up increases the disease intensity, resulting in the spread of the pathogen to other hosts growing in close proximity. For example, in Californian forests of tanoak and bay laurel trees, the high mortality of tanoaks caused by </w:t>
      </w:r>
      <w:r>
        <w:rPr>
          <w:rFonts w:ascii="Cambria" w:hAnsi="Cambria"/>
          <w:i/>
        </w:rPr>
        <w:t>P. ramorum</w:t>
      </w:r>
      <w:r>
        <w:rPr>
          <w:rFonts w:ascii="Cambria" w:hAnsi="Cambria"/>
        </w:rPr>
        <w:t xml:space="preserve"> is increased with the presence of bay laurels (Cobb </w:t>
      </w:r>
      <w:r>
        <w:rPr>
          <w:rFonts w:ascii="Cambria" w:hAnsi="Cambria"/>
          <w:iCs/>
        </w:rPr>
        <w:t>et al</w:t>
      </w:r>
      <w:r>
        <w:rPr>
          <w:rFonts w:ascii="Cambria" w:hAnsi="Cambria"/>
        </w:rPr>
        <w:t xml:space="preserve">. 2010). Bay laurels, while not lethally affected by </w:t>
      </w:r>
      <w:r>
        <w:rPr>
          <w:rFonts w:ascii="Cambria" w:hAnsi="Cambria"/>
          <w:i/>
        </w:rPr>
        <w:t>P. ramorum</w:t>
      </w:r>
      <w:r>
        <w:rPr>
          <w:rFonts w:ascii="Cambria" w:hAnsi="Cambria"/>
        </w:rPr>
        <w:t xml:space="preserve">, support sporulation during the rainy season and provide a means for the pathogen to survive the dry Mediterranean summer (DiLeo </w:t>
      </w:r>
      <w:r>
        <w:rPr>
          <w:rFonts w:ascii="Cambria" w:hAnsi="Cambria"/>
          <w:iCs/>
        </w:rPr>
        <w:t>et al</w:t>
      </w:r>
      <w:r>
        <w:rPr>
          <w:rFonts w:ascii="Cambria" w:hAnsi="Cambria"/>
        </w:rPr>
        <w:t xml:space="preserve">. 2009). A shift in species composition is likely to lead to an increased production of inoculum (Cobb </w:t>
      </w:r>
      <w:r>
        <w:rPr>
          <w:rFonts w:ascii="Cambria" w:hAnsi="Cambria"/>
          <w:iCs/>
        </w:rPr>
        <w:t>et al</w:t>
      </w:r>
      <w:r>
        <w:rPr>
          <w:rFonts w:ascii="Cambria" w:hAnsi="Cambria"/>
        </w:rPr>
        <w:t>. 2010).</w:t>
      </w:r>
    </w:p>
    <w:p w:rsidR="00C74066" w:rsidRDefault="00F10705">
      <w:pPr>
        <w:pStyle w:val="ListBullet"/>
        <w:tabs>
          <w:tab w:val="clear" w:pos="360"/>
          <w:tab w:val="num" w:pos="284"/>
        </w:tabs>
        <w:ind w:left="284" w:hanging="284"/>
        <w:rPr>
          <w:rFonts w:ascii="Cambria" w:hAnsi="Cambria"/>
        </w:rPr>
      </w:pPr>
      <w:r>
        <w:rPr>
          <w:rFonts w:ascii="Cambria" w:hAnsi="Cambria"/>
        </w:rPr>
        <w:t xml:space="preserve">Increased abundance and density of a reservoir host that supports high sporulation will increase the probability of </w:t>
      </w:r>
      <w:r>
        <w:rPr>
          <w:rFonts w:ascii="Cambria" w:hAnsi="Cambria"/>
          <w:i/>
          <w:iCs/>
        </w:rPr>
        <w:t xml:space="preserve">P. ramorum </w:t>
      </w:r>
      <w:r>
        <w:rPr>
          <w:rFonts w:ascii="Cambria" w:hAnsi="Cambria"/>
        </w:rPr>
        <w:t xml:space="preserve">occurrence. A similar relationship with bay laurel was noted for </w:t>
      </w:r>
      <w:r>
        <w:rPr>
          <w:rFonts w:ascii="Cambria" w:hAnsi="Cambria"/>
          <w:i/>
          <w:iCs/>
        </w:rPr>
        <w:t xml:space="preserve">P. nemorosa </w:t>
      </w:r>
      <w:r>
        <w:rPr>
          <w:rFonts w:ascii="Cambria" w:hAnsi="Cambria"/>
        </w:rPr>
        <w:t xml:space="preserve">and </w:t>
      </w:r>
      <w:r>
        <w:rPr>
          <w:rFonts w:ascii="Cambria" w:hAnsi="Cambria"/>
          <w:i/>
          <w:iCs/>
        </w:rPr>
        <w:t xml:space="preserve">P. pseudosyringae </w:t>
      </w:r>
      <w:r>
        <w:rPr>
          <w:rFonts w:ascii="Cambria" w:hAnsi="Cambria"/>
        </w:rPr>
        <w:t xml:space="preserve">(Maloney </w:t>
      </w:r>
      <w:r>
        <w:rPr>
          <w:rFonts w:ascii="Cambria" w:hAnsi="Cambria"/>
          <w:iCs/>
        </w:rPr>
        <w:t>et al</w:t>
      </w:r>
      <w:r>
        <w:rPr>
          <w:rFonts w:ascii="Cambria" w:hAnsi="Cambria"/>
        </w:rPr>
        <w:t xml:space="preserve">. 2005; Murphy &amp; Rizzo 2006; </w:t>
      </w:r>
      <w:r>
        <w:rPr>
          <w:rFonts w:ascii="Cambria" w:hAnsi="Cambria"/>
        </w:rPr>
        <w:lastRenderedPageBreak/>
        <w:t xml:space="preserve">Wickland &amp; Rizzo 2006). While the probabilities of all three pathogens increases with more bay laurels present, they differ in their responses to various climatic variables, including rain and temperature (Murphy </w:t>
      </w:r>
      <w:r>
        <w:rPr>
          <w:rFonts w:ascii="Cambria" w:hAnsi="Cambria"/>
          <w:iCs/>
        </w:rPr>
        <w:t>et al</w:t>
      </w:r>
      <w:r>
        <w:rPr>
          <w:rFonts w:ascii="Cambria" w:hAnsi="Cambria"/>
        </w:rPr>
        <w:t>. 2008).</w:t>
      </w:r>
    </w:p>
    <w:p w:rsidR="00C74066" w:rsidRDefault="00F10705">
      <w:pPr>
        <w:pStyle w:val="ListBullet"/>
        <w:tabs>
          <w:tab w:val="clear" w:pos="360"/>
          <w:tab w:val="num" w:pos="284"/>
        </w:tabs>
        <w:ind w:left="284" w:hanging="284"/>
        <w:rPr>
          <w:rFonts w:ascii="Cambria" w:hAnsi="Cambria"/>
        </w:rPr>
      </w:pPr>
      <w:r>
        <w:rPr>
          <w:rFonts w:ascii="Cambria" w:hAnsi="Cambria"/>
        </w:rPr>
        <w:t xml:space="preserve">In ecosystems in parts of Australia where </w:t>
      </w:r>
      <w:r>
        <w:rPr>
          <w:rFonts w:ascii="Cambria" w:hAnsi="Cambria"/>
          <w:i/>
        </w:rPr>
        <w:t>Rhododendron</w:t>
      </w:r>
      <w:r>
        <w:rPr>
          <w:rFonts w:ascii="Cambria" w:hAnsi="Cambria"/>
        </w:rPr>
        <w:t xml:space="preserve"> species </w:t>
      </w:r>
      <w:r w:rsidR="00F65848">
        <w:rPr>
          <w:rFonts w:ascii="Cambria" w:hAnsi="Cambria"/>
        </w:rPr>
        <w:t>are</w:t>
      </w:r>
      <w:r>
        <w:rPr>
          <w:rFonts w:ascii="Cambria" w:hAnsi="Cambria"/>
        </w:rPr>
        <w:t xml:space="preserve"> less abundant or absent, other plant species may take on the equivalent role and support abundant sporulation by </w:t>
      </w:r>
      <w:r>
        <w:rPr>
          <w:rFonts w:ascii="Cambria" w:hAnsi="Cambria"/>
          <w:i/>
          <w:iCs/>
        </w:rPr>
        <w:t>P. ramorum</w:t>
      </w:r>
      <w:r>
        <w:rPr>
          <w:rFonts w:ascii="Cambria" w:hAnsi="Cambria"/>
        </w:rPr>
        <w:t xml:space="preserve">. Several species other than </w:t>
      </w:r>
      <w:r>
        <w:rPr>
          <w:rFonts w:ascii="Cambria" w:hAnsi="Cambria"/>
          <w:i/>
        </w:rPr>
        <w:t>Rhododendron</w:t>
      </w:r>
      <w:r>
        <w:rPr>
          <w:rFonts w:ascii="Cambria" w:hAnsi="Cambria"/>
        </w:rPr>
        <w:t xml:space="preserve"> species have the potential to support moderate to high levels of sporulation (Moralejo et al. 2006). Species of </w:t>
      </w:r>
      <w:r>
        <w:rPr>
          <w:rFonts w:ascii="Cambria" w:hAnsi="Cambria"/>
          <w:i/>
          <w:iCs/>
        </w:rPr>
        <w:t xml:space="preserve">Vaccinium </w:t>
      </w:r>
      <w:r>
        <w:rPr>
          <w:rFonts w:ascii="Cambria" w:hAnsi="Cambria"/>
          <w:iCs/>
        </w:rPr>
        <w:t xml:space="preserve">also </w:t>
      </w:r>
      <w:r>
        <w:rPr>
          <w:rFonts w:ascii="Cambria" w:hAnsi="Cambria"/>
        </w:rPr>
        <w:t xml:space="preserve">support high levels of sporulation similar to those observed on bay laurel (Webber 2008); therefore, the presence of such hosts will help spread </w:t>
      </w:r>
      <w:r>
        <w:rPr>
          <w:rFonts w:ascii="Cambria" w:hAnsi="Cambria"/>
          <w:i/>
        </w:rPr>
        <w:t xml:space="preserve">P. ramorum </w:t>
      </w:r>
      <w:r>
        <w:rPr>
          <w:rFonts w:ascii="Cambria" w:hAnsi="Cambria"/>
        </w:rPr>
        <w:t>in Australia.</w:t>
      </w:r>
    </w:p>
    <w:p w:rsidR="00C74066" w:rsidRDefault="00F10705">
      <w:pPr>
        <w:pStyle w:val="ListBullet"/>
        <w:tabs>
          <w:tab w:val="clear" w:pos="360"/>
          <w:tab w:val="num" w:pos="284"/>
        </w:tabs>
        <w:ind w:left="284" w:hanging="284"/>
        <w:rPr>
          <w:rFonts w:ascii="Cambria" w:hAnsi="Cambria"/>
        </w:rPr>
      </w:pPr>
      <w:r>
        <w:rPr>
          <w:rFonts w:ascii="Cambria" w:hAnsi="Cambria"/>
        </w:rPr>
        <w:t xml:space="preserve">The current knowledge of the host range of </w:t>
      </w:r>
      <w:r>
        <w:rPr>
          <w:rFonts w:ascii="Cambria" w:hAnsi="Cambria"/>
          <w:i/>
          <w:iCs/>
        </w:rPr>
        <w:t xml:space="preserve">P. ramorum </w:t>
      </w:r>
      <w:r>
        <w:rPr>
          <w:rFonts w:ascii="Cambria" w:hAnsi="Cambria"/>
          <w:iCs/>
        </w:rPr>
        <w:t xml:space="preserve">based on </w:t>
      </w:r>
      <w:r>
        <w:rPr>
          <w:rFonts w:ascii="Cambria" w:hAnsi="Cambria"/>
        </w:rPr>
        <w:t>naturally infected plants and inoculation studies suggests that the Australian flora will be highly susceptible to the pathogen, both in natural and landscaped areas.</w:t>
      </w:r>
    </w:p>
    <w:p w:rsidR="00C74066" w:rsidRDefault="00F10705">
      <w:pPr>
        <w:pStyle w:val="Heading4"/>
        <w:spacing w:before="200"/>
        <w:rPr>
          <w:i/>
        </w:rPr>
      </w:pPr>
      <w:r>
        <w:rPr>
          <w:i/>
        </w:rPr>
        <w:t>Presence of natural barriers</w:t>
      </w:r>
    </w:p>
    <w:p w:rsidR="00C74066" w:rsidRDefault="00F10705">
      <w:pPr>
        <w:pStyle w:val="ListBullet"/>
        <w:tabs>
          <w:tab w:val="clear" w:pos="360"/>
          <w:tab w:val="num" w:pos="284"/>
        </w:tabs>
        <w:ind w:left="284" w:hanging="284"/>
        <w:rPr>
          <w:rFonts w:ascii="Cambria" w:hAnsi="Cambria"/>
        </w:rPr>
      </w:pPr>
      <w:r>
        <w:rPr>
          <w:rFonts w:ascii="Cambria" w:hAnsi="Cambria"/>
          <w:i/>
          <w:iCs/>
        </w:rPr>
        <w:t>P</w:t>
      </w:r>
      <w:r>
        <w:rPr>
          <w:rFonts w:ascii="Cambria" w:hAnsi="Cambria"/>
          <w:i/>
        </w:rPr>
        <w:t>hytophthora</w:t>
      </w:r>
      <w:r>
        <w:rPr>
          <w:rFonts w:ascii="Cambria" w:hAnsi="Cambria"/>
          <w:i/>
          <w:iCs/>
        </w:rPr>
        <w:t xml:space="preserve"> ramorum </w:t>
      </w:r>
      <w:r>
        <w:rPr>
          <w:rFonts w:ascii="Cambria" w:hAnsi="Cambria"/>
        </w:rPr>
        <w:t xml:space="preserve">has the potential for natural and human mediated spread. Natural spread of </w:t>
      </w:r>
      <w:r>
        <w:rPr>
          <w:rFonts w:ascii="Cambria" w:hAnsi="Cambria"/>
          <w:i/>
          <w:iCs/>
        </w:rPr>
        <w:t xml:space="preserve">P. ramorum </w:t>
      </w:r>
      <w:r>
        <w:rPr>
          <w:rFonts w:ascii="Cambria" w:hAnsi="Cambria"/>
        </w:rPr>
        <w:t xml:space="preserve">is through air-borne inoculum (Davidson </w:t>
      </w:r>
      <w:r>
        <w:rPr>
          <w:rFonts w:ascii="Cambria" w:hAnsi="Cambria"/>
          <w:iCs/>
        </w:rPr>
        <w:t>et al</w:t>
      </w:r>
      <w:r>
        <w:rPr>
          <w:rFonts w:ascii="Cambria" w:hAnsi="Cambria"/>
        </w:rPr>
        <w:t xml:space="preserve">. 2005). Sporangia are primarily dispersed short distances by rain-splash; therefore, its rate of non-facilitated spread may generally be limited (Moralejo </w:t>
      </w:r>
      <w:r>
        <w:rPr>
          <w:rFonts w:ascii="Cambria" w:hAnsi="Cambria"/>
          <w:iCs/>
        </w:rPr>
        <w:t>et al</w:t>
      </w:r>
      <w:r>
        <w:rPr>
          <w:rFonts w:ascii="Cambria" w:hAnsi="Cambria"/>
        </w:rPr>
        <w:t xml:space="preserve">. 2006; Mascheretti </w:t>
      </w:r>
      <w:r>
        <w:rPr>
          <w:rFonts w:ascii="Cambria" w:hAnsi="Cambria"/>
          <w:iCs/>
        </w:rPr>
        <w:t>et al.</w:t>
      </w:r>
      <w:r>
        <w:rPr>
          <w:rFonts w:ascii="Cambria" w:hAnsi="Cambria"/>
        </w:rPr>
        <w:t xml:space="preserve"> 2008; Hansen 2008). However, strong winds during heavy rains may disseminate the detached sporangia over greater distances (Hansen </w:t>
      </w:r>
      <w:r>
        <w:rPr>
          <w:rFonts w:ascii="Cambria" w:hAnsi="Cambria"/>
          <w:iCs/>
        </w:rPr>
        <w:t>et al</w:t>
      </w:r>
      <w:r>
        <w:rPr>
          <w:rFonts w:ascii="Cambria" w:hAnsi="Cambria"/>
        </w:rPr>
        <w:t xml:space="preserve">. 2002; Rizzo </w:t>
      </w:r>
      <w:r>
        <w:rPr>
          <w:rFonts w:ascii="Cambria" w:hAnsi="Cambria"/>
          <w:iCs/>
        </w:rPr>
        <w:t>et al</w:t>
      </w:r>
      <w:r>
        <w:rPr>
          <w:rFonts w:ascii="Cambria" w:hAnsi="Cambria"/>
        </w:rPr>
        <w:t>. 2005)</w:t>
      </w:r>
      <w:r>
        <w:rPr>
          <w:rFonts w:ascii="Cambria" w:hAnsi="Cambria"/>
          <w:i/>
          <w:iCs/>
        </w:rPr>
        <w:t>.</w:t>
      </w:r>
    </w:p>
    <w:p w:rsidR="00C74066" w:rsidRDefault="00F10705">
      <w:pPr>
        <w:pStyle w:val="ListBullet"/>
        <w:tabs>
          <w:tab w:val="clear" w:pos="360"/>
          <w:tab w:val="num" w:pos="284"/>
        </w:tabs>
        <w:ind w:left="284" w:hanging="284"/>
        <w:rPr>
          <w:rFonts w:ascii="Cambria" w:hAnsi="Cambria"/>
        </w:rPr>
      </w:pPr>
      <w:r>
        <w:rPr>
          <w:rFonts w:ascii="Cambria" w:hAnsi="Cambria"/>
        </w:rPr>
        <w:t xml:space="preserve">Hosts of </w:t>
      </w:r>
      <w:r>
        <w:rPr>
          <w:rFonts w:ascii="Cambria" w:hAnsi="Cambria"/>
          <w:i/>
          <w:iCs/>
        </w:rPr>
        <w:t xml:space="preserve">P. ramorum </w:t>
      </w:r>
      <w:r>
        <w:rPr>
          <w:rFonts w:ascii="Cambria" w:hAnsi="Cambria"/>
        </w:rPr>
        <w:t xml:space="preserve">are present in many parts of Australia. Host plants that support the spread of </w:t>
      </w:r>
      <w:r>
        <w:rPr>
          <w:rFonts w:ascii="Cambria" w:hAnsi="Cambria"/>
          <w:i/>
          <w:iCs/>
        </w:rPr>
        <w:t>P. ramorum</w:t>
      </w:r>
      <w:r>
        <w:rPr>
          <w:rFonts w:ascii="Cambria" w:hAnsi="Cambria"/>
        </w:rPr>
        <w:t xml:space="preserve"> are widespread in cities, towns and horticultural production areas throughout Australia and in the natural environment. Hosts include</w:t>
      </w:r>
      <w:r>
        <w:rPr>
          <w:rFonts w:ascii="Cambria" w:hAnsi="Cambria"/>
          <w:i/>
          <w:iCs/>
        </w:rPr>
        <w:t xml:space="preserve"> </w:t>
      </w:r>
      <w:r>
        <w:rPr>
          <w:rFonts w:ascii="Cambria" w:hAnsi="Cambria"/>
        </w:rPr>
        <w:t>important nursery and landscape species including</w:t>
      </w:r>
      <w:r>
        <w:rPr>
          <w:rFonts w:ascii="Cambria" w:hAnsi="Cambria"/>
          <w:i/>
          <w:iCs/>
        </w:rPr>
        <w:t xml:space="preserve"> Arbutus, Calluna</w:t>
      </w:r>
      <w:r>
        <w:rPr>
          <w:rFonts w:ascii="Cambria" w:hAnsi="Cambria"/>
        </w:rPr>
        <w:t xml:space="preserve">, </w:t>
      </w:r>
      <w:r>
        <w:rPr>
          <w:rFonts w:ascii="Cambria" w:hAnsi="Cambria"/>
          <w:i/>
          <w:iCs/>
        </w:rPr>
        <w:t>Camellia, Choisya, Cornus, Garrya, Griselinia, Hamamelis</w:t>
      </w:r>
      <w:r>
        <w:rPr>
          <w:rFonts w:ascii="Cambria" w:hAnsi="Cambria"/>
        </w:rPr>
        <w:t xml:space="preserve">, </w:t>
      </w:r>
      <w:r>
        <w:rPr>
          <w:rFonts w:ascii="Cambria" w:hAnsi="Cambria"/>
          <w:i/>
          <w:iCs/>
        </w:rPr>
        <w:t>Ilex, Kalmia, Laurus</w:t>
      </w:r>
      <w:r>
        <w:rPr>
          <w:rFonts w:ascii="Cambria" w:hAnsi="Cambria"/>
        </w:rPr>
        <w:t xml:space="preserve">, </w:t>
      </w:r>
      <w:r>
        <w:rPr>
          <w:rFonts w:ascii="Cambria" w:hAnsi="Cambria"/>
          <w:i/>
          <w:iCs/>
        </w:rPr>
        <w:t>Leucothoe, Lonicera</w:t>
      </w:r>
      <w:r>
        <w:rPr>
          <w:rFonts w:ascii="Cambria" w:hAnsi="Cambria"/>
        </w:rPr>
        <w:t xml:space="preserve">, </w:t>
      </w:r>
      <w:r>
        <w:rPr>
          <w:rFonts w:ascii="Cambria" w:hAnsi="Cambria"/>
          <w:i/>
          <w:iCs/>
        </w:rPr>
        <w:t>Magnolia, Michelia, Osmanthus, Parrotia, Photinia, Pieris, Rhododendron, Ribes, Syringa</w:t>
      </w:r>
      <w:r>
        <w:rPr>
          <w:rFonts w:ascii="Cambria" w:hAnsi="Cambria"/>
          <w:iCs/>
        </w:rPr>
        <w:t>,</w:t>
      </w:r>
      <w:r>
        <w:rPr>
          <w:rFonts w:ascii="Cambria" w:hAnsi="Cambria"/>
          <w:i/>
          <w:iCs/>
        </w:rPr>
        <w:t xml:space="preserve"> Taxus</w:t>
      </w:r>
      <w:r>
        <w:rPr>
          <w:rFonts w:ascii="Cambria" w:hAnsi="Cambria"/>
        </w:rPr>
        <w:t xml:space="preserve">, </w:t>
      </w:r>
      <w:r>
        <w:rPr>
          <w:rFonts w:ascii="Cambria" w:hAnsi="Cambria"/>
          <w:i/>
          <w:iCs/>
        </w:rPr>
        <w:t>Umbellularia</w:t>
      </w:r>
      <w:r>
        <w:rPr>
          <w:rFonts w:ascii="Cambria" w:hAnsi="Cambria"/>
        </w:rPr>
        <w:t xml:space="preserve">, </w:t>
      </w:r>
      <w:r>
        <w:rPr>
          <w:rFonts w:ascii="Cambria" w:hAnsi="Cambria"/>
          <w:i/>
          <w:iCs/>
        </w:rPr>
        <w:t xml:space="preserve">Vaccinium </w:t>
      </w:r>
      <w:r>
        <w:rPr>
          <w:rFonts w:ascii="Cambria" w:hAnsi="Cambria"/>
        </w:rPr>
        <w:t xml:space="preserve">and </w:t>
      </w:r>
      <w:r>
        <w:rPr>
          <w:rFonts w:ascii="Cambria" w:hAnsi="Cambria"/>
          <w:i/>
          <w:iCs/>
        </w:rPr>
        <w:t>Viburnum</w:t>
      </w:r>
      <w:r>
        <w:rPr>
          <w:rFonts w:ascii="Cambria" w:hAnsi="Cambria"/>
        </w:rPr>
        <w:t xml:space="preserve"> species (Werres </w:t>
      </w:r>
      <w:r>
        <w:rPr>
          <w:rFonts w:ascii="Cambria" w:hAnsi="Cambria"/>
          <w:iCs/>
        </w:rPr>
        <w:t>et al.</w:t>
      </w:r>
      <w:r>
        <w:rPr>
          <w:rFonts w:ascii="Cambria" w:hAnsi="Cambria"/>
        </w:rPr>
        <w:t xml:space="preserve"> 2001; Tooley </w:t>
      </w:r>
      <w:r>
        <w:rPr>
          <w:rFonts w:ascii="Cambria" w:hAnsi="Cambria"/>
          <w:iCs/>
        </w:rPr>
        <w:t>et al.</w:t>
      </w:r>
      <w:r>
        <w:rPr>
          <w:rFonts w:ascii="Cambria" w:hAnsi="Cambria"/>
          <w:i/>
          <w:iCs/>
        </w:rPr>
        <w:t xml:space="preserve"> </w:t>
      </w:r>
      <w:r>
        <w:rPr>
          <w:rFonts w:ascii="Cambria" w:hAnsi="Cambria"/>
        </w:rPr>
        <w:t xml:space="preserve">2004; Lane </w:t>
      </w:r>
      <w:r>
        <w:rPr>
          <w:rFonts w:ascii="Cambria" w:hAnsi="Cambria"/>
          <w:iCs/>
        </w:rPr>
        <w:t xml:space="preserve">et al. </w:t>
      </w:r>
      <w:r>
        <w:rPr>
          <w:rFonts w:ascii="Cambria" w:hAnsi="Cambria"/>
        </w:rPr>
        <w:t>2007)</w:t>
      </w:r>
      <w:r>
        <w:rPr>
          <w:rFonts w:ascii="Cambria" w:hAnsi="Cambria"/>
          <w:i/>
          <w:iCs/>
        </w:rPr>
        <w:t xml:space="preserve">. </w:t>
      </w:r>
      <w:r>
        <w:rPr>
          <w:rFonts w:ascii="Cambria" w:hAnsi="Cambria"/>
        </w:rPr>
        <w:t>Natural barriers such as arid areas, mountain ranges, climatic differentials and possible long distances between suitable hosts in parts of Australia may prevent long-range natural spread of this pathogen.</w:t>
      </w:r>
    </w:p>
    <w:p w:rsidR="00C74066" w:rsidRDefault="00F10705">
      <w:pPr>
        <w:pStyle w:val="ListBullet"/>
        <w:tabs>
          <w:tab w:val="clear" w:pos="360"/>
          <w:tab w:val="num" w:pos="284"/>
        </w:tabs>
        <w:ind w:left="284" w:hanging="284"/>
        <w:rPr>
          <w:rFonts w:ascii="Cambria" w:hAnsi="Cambria"/>
        </w:rPr>
      </w:pPr>
      <w:r>
        <w:rPr>
          <w:rFonts w:ascii="Cambria" w:hAnsi="Cambria"/>
          <w:iCs/>
        </w:rPr>
        <w:t xml:space="preserve">The </w:t>
      </w:r>
      <w:r>
        <w:rPr>
          <w:rFonts w:ascii="Cambria" w:hAnsi="Cambria"/>
          <w:i/>
          <w:iCs/>
        </w:rPr>
        <w:t xml:space="preserve">Phytophthora </w:t>
      </w:r>
      <w:r>
        <w:rPr>
          <w:rFonts w:ascii="Cambria" w:hAnsi="Cambria"/>
          <w:iCs/>
        </w:rPr>
        <w:t>species</w:t>
      </w:r>
      <w:r>
        <w:rPr>
          <w:rFonts w:ascii="Cambria" w:hAnsi="Cambria"/>
          <w:i/>
          <w:iCs/>
        </w:rPr>
        <w:t xml:space="preserve"> </w:t>
      </w:r>
      <w:r>
        <w:rPr>
          <w:rFonts w:ascii="Cambria" w:hAnsi="Cambria"/>
        </w:rPr>
        <w:t xml:space="preserve">would be climatically limited by temperature for growth and moisture requirements for zoosporic infection. For example, the temperature thresholds (minimum, optimum and maximum) for </w:t>
      </w:r>
      <w:r>
        <w:rPr>
          <w:rFonts w:ascii="Cambria" w:hAnsi="Cambria"/>
          <w:i/>
          <w:iCs/>
        </w:rPr>
        <w:t xml:space="preserve">P. kernoviae </w:t>
      </w:r>
      <w:r>
        <w:rPr>
          <w:rFonts w:ascii="Cambria" w:hAnsi="Cambria"/>
        </w:rPr>
        <w:t xml:space="preserve">infections are 3 °C, 18 °C, and 26 °C, respectively (Brasier </w:t>
      </w:r>
      <w:r>
        <w:rPr>
          <w:rFonts w:ascii="Cambria" w:hAnsi="Cambria"/>
          <w:iCs/>
        </w:rPr>
        <w:t>et al</w:t>
      </w:r>
      <w:r>
        <w:rPr>
          <w:rFonts w:ascii="Cambria" w:hAnsi="Cambria"/>
        </w:rPr>
        <w:t xml:space="preserve">. 2005). Similarly, </w:t>
      </w:r>
      <w:r>
        <w:rPr>
          <w:rFonts w:ascii="Cambria" w:hAnsi="Cambria"/>
          <w:i/>
        </w:rPr>
        <w:t>Phytophthora</w:t>
      </w:r>
      <w:r>
        <w:rPr>
          <w:rFonts w:ascii="Cambria" w:hAnsi="Cambria"/>
          <w:i/>
          <w:iCs/>
        </w:rPr>
        <w:t xml:space="preserve"> ramorum </w:t>
      </w:r>
      <w:r>
        <w:rPr>
          <w:rFonts w:ascii="Cambria" w:hAnsi="Cambria"/>
        </w:rPr>
        <w:t xml:space="preserve">has an optimum temperature range of 18 °C to 25 °C for pathogen growth (Werres </w:t>
      </w:r>
      <w:r>
        <w:rPr>
          <w:rFonts w:ascii="Cambria" w:hAnsi="Cambria"/>
          <w:iCs/>
        </w:rPr>
        <w:t>et al</w:t>
      </w:r>
      <w:r>
        <w:rPr>
          <w:rFonts w:ascii="Cambria" w:hAnsi="Cambria"/>
        </w:rPr>
        <w:t>.</w:t>
      </w:r>
      <w:r>
        <w:rPr>
          <w:rFonts w:ascii="Cambria" w:hAnsi="Cambria"/>
          <w:i/>
          <w:iCs/>
        </w:rPr>
        <w:t xml:space="preserve"> </w:t>
      </w:r>
      <w:r>
        <w:rPr>
          <w:rFonts w:ascii="Cambria" w:hAnsi="Cambria"/>
        </w:rPr>
        <w:t xml:space="preserve">2001) and requires moisture for at least 12 hours for infection to occur (Hüberli </w:t>
      </w:r>
      <w:r>
        <w:rPr>
          <w:rFonts w:ascii="Cambria" w:hAnsi="Cambria"/>
          <w:iCs/>
        </w:rPr>
        <w:t>et al</w:t>
      </w:r>
      <w:r>
        <w:rPr>
          <w:rFonts w:ascii="Cambria" w:hAnsi="Cambria"/>
        </w:rPr>
        <w:t xml:space="preserve">. 2003a). </w:t>
      </w:r>
      <w:r>
        <w:rPr>
          <w:rFonts w:ascii="Cambria" w:hAnsi="Cambria"/>
          <w:i/>
        </w:rPr>
        <w:t xml:space="preserve">Phytophthora ramorum </w:t>
      </w:r>
      <w:r>
        <w:rPr>
          <w:rFonts w:ascii="Cambria" w:hAnsi="Cambria"/>
        </w:rPr>
        <w:t xml:space="preserve">infection of foliar tissue requires cool temperatures and free water; for example, infection of bay laurel leaves was highest at 18 °C, and required a minimum of six to 12 hours of free water (Garbelotto </w:t>
      </w:r>
      <w:r>
        <w:rPr>
          <w:rFonts w:ascii="Cambria" w:hAnsi="Cambria"/>
          <w:iCs/>
        </w:rPr>
        <w:t>et al</w:t>
      </w:r>
      <w:r>
        <w:rPr>
          <w:rFonts w:ascii="Cambria" w:hAnsi="Cambria"/>
        </w:rPr>
        <w:t>. 2003)</w:t>
      </w:r>
      <w:r>
        <w:rPr>
          <w:rFonts w:ascii="Cambria" w:hAnsi="Cambria"/>
          <w:i/>
        </w:rPr>
        <w:t xml:space="preserve">. </w:t>
      </w:r>
    </w:p>
    <w:p w:rsidR="00C74066" w:rsidRDefault="00F10705">
      <w:pPr>
        <w:pStyle w:val="ListBullet"/>
        <w:tabs>
          <w:tab w:val="clear" w:pos="360"/>
          <w:tab w:val="num" w:pos="284"/>
        </w:tabs>
        <w:ind w:left="284" w:hanging="284"/>
        <w:rPr>
          <w:rFonts w:ascii="Cambria" w:hAnsi="Cambria"/>
        </w:rPr>
      </w:pPr>
      <w:r>
        <w:rPr>
          <w:rFonts w:ascii="Cambria" w:hAnsi="Cambria"/>
          <w:i/>
          <w:iCs/>
        </w:rPr>
        <w:t xml:space="preserve">Phytophthora </w:t>
      </w:r>
      <w:r>
        <w:rPr>
          <w:rFonts w:ascii="Cambria" w:hAnsi="Cambria"/>
        </w:rPr>
        <w:t>species (</w:t>
      </w:r>
      <w:r>
        <w:rPr>
          <w:rFonts w:ascii="Cambria" w:hAnsi="Cambria"/>
          <w:i/>
          <w:iCs/>
        </w:rPr>
        <w:t xml:space="preserve">P. kernoviae, P. nemorosa, P. pseudosyringae </w:t>
      </w:r>
      <w:r>
        <w:rPr>
          <w:rFonts w:ascii="Cambria" w:hAnsi="Cambria"/>
        </w:rPr>
        <w:t xml:space="preserve">and </w:t>
      </w:r>
      <w:r>
        <w:rPr>
          <w:rFonts w:ascii="Cambria" w:hAnsi="Cambria"/>
          <w:i/>
          <w:iCs/>
        </w:rPr>
        <w:t>P. ramorum</w:t>
      </w:r>
      <w:r>
        <w:rPr>
          <w:rFonts w:ascii="Cambria" w:hAnsi="Cambria"/>
        </w:rPr>
        <w:t>)</w:t>
      </w:r>
      <w:r>
        <w:rPr>
          <w:rFonts w:ascii="Cambria" w:hAnsi="Cambria"/>
          <w:i/>
          <w:iCs/>
        </w:rPr>
        <w:t xml:space="preserve"> </w:t>
      </w:r>
      <w:r>
        <w:rPr>
          <w:rFonts w:ascii="Cambria" w:hAnsi="Cambria"/>
        </w:rPr>
        <w:t xml:space="preserve">occupy similar host and geographical ranges as well as the same forest communities and ornamental nurseries (Webber 2008; Yakabe </w:t>
      </w:r>
      <w:r>
        <w:rPr>
          <w:rFonts w:ascii="Cambria" w:hAnsi="Cambria"/>
          <w:iCs/>
        </w:rPr>
        <w:t>et al</w:t>
      </w:r>
      <w:r>
        <w:rPr>
          <w:rFonts w:ascii="Cambria" w:hAnsi="Cambria"/>
        </w:rPr>
        <w:t xml:space="preserve">. 2009; Grünwald </w:t>
      </w:r>
      <w:r>
        <w:rPr>
          <w:rFonts w:ascii="Cambria" w:hAnsi="Cambria"/>
          <w:iCs/>
        </w:rPr>
        <w:t>et al</w:t>
      </w:r>
      <w:r>
        <w:rPr>
          <w:rFonts w:ascii="Cambria" w:hAnsi="Cambria"/>
        </w:rPr>
        <w:t xml:space="preserve">. 2011); however, they differ in their specific ecological niches (Murphy </w:t>
      </w:r>
      <w:r>
        <w:rPr>
          <w:rFonts w:ascii="Cambria" w:hAnsi="Cambria"/>
          <w:iCs/>
        </w:rPr>
        <w:t>et al</w:t>
      </w:r>
      <w:r>
        <w:rPr>
          <w:rFonts w:ascii="Cambria" w:hAnsi="Cambria"/>
        </w:rPr>
        <w:t xml:space="preserve">. 2008). Therefore, the spatial distribution of different ecological niches may affect the natural spread of these pathogens. </w:t>
      </w:r>
    </w:p>
    <w:p w:rsidR="00C74066" w:rsidRDefault="00F10705">
      <w:pPr>
        <w:pStyle w:val="ListBullet"/>
        <w:tabs>
          <w:tab w:val="clear" w:pos="360"/>
          <w:tab w:val="num" w:pos="284"/>
        </w:tabs>
        <w:ind w:left="284" w:hanging="284"/>
        <w:rPr>
          <w:rFonts w:ascii="Cambria" w:hAnsi="Cambria"/>
        </w:rPr>
      </w:pPr>
      <w:r>
        <w:rPr>
          <w:rFonts w:ascii="Cambria" w:hAnsi="Cambria"/>
          <w:i/>
          <w:iCs/>
        </w:rPr>
        <w:lastRenderedPageBreak/>
        <w:t xml:space="preserve">Phytophthora </w:t>
      </w:r>
      <w:r>
        <w:rPr>
          <w:rFonts w:ascii="Cambria" w:hAnsi="Cambria"/>
        </w:rPr>
        <w:t>species presence is highly related to forest structure and climate (Murphy et al. 2008). For example, in North America, while the probability of these pathogens increases with more bay laurel hosts present, the pathogens differ in their responses to various climatic variables, including rain and temperature (Murphy et al. 2008).</w:t>
      </w:r>
    </w:p>
    <w:p w:rsidR="00C74066" w:rsidRDefault="00F10705">
      <w:pPr>
        <w:pStyle w:val="AQISNum"/>
        <w:numPr>
          <w:ilvl w:val="1"/>
          <w:numId w:val="31"/>
        </w:numPr>
        <w:tabs>
          <w:tab w:val="clear" w:pos="644"/>
          <w:tab w:val="num" w:pos="840"/>
        </w:tabs>
        <w:spacing w:before="120" w:after="120" w:line="276" w:lineRule="auto"/>
        <w:ind w:left="839" w:hanging="482"/>
        <w:rPr>
          <w:rFonts w:ascii="Cambria" w:hAnsi="Cambria"/>
          <w:szCs w:val="22"/>
        </w:rPr>
      </w:pPr>
      <w:r>
        <w:rPr>
          <w:rFonts w:ascii="Cambria" w:hAnsi="Cambria"/>
          <w:szCs w:val="22"/>
        </w:rPr>
        <w:t xml:space="preserve">The presence of foliar hosts; for example, bay laurel, combined with higher winter or spring rain and higher minimum annual temperatures, are conditions more suitable for </w:t>
      </w:r>
      <w:r>
        <w:rPr>
          <w:rFonts w:ascii="Cambria" w:hAnsi="Cambria"/>
          <w:i/>
          <w:szCs w:val="22"/>
        </w:rPr>
        <w:t xml:space="preserve">P. ramorum. </w:t>
      </w:r>
      <w:r>
        <w:rPr>
          <w:rFonts w:ascii="Cambria" w:hAnsi="Cambria"/>
          <w:szCs w:val="22"/>
        </w:rPr>
        <w:t xml:space="preserve">Similarly, the abundance of foliar hosts, lower annual maximum temperature or lower annual minimum temperature and higher winter rain areas will support the spread of </w:t>
      </w:r>
      <w:r>
        <w:rPr>
          <w:rFonts w:ascii="Cambria" w:hAnsi="Cambria"/>
          <w:i/>
          <w:szCs w:val="22"/>
        </w:rPr>
        <w:t>P. nemorosa</w:t>
      </w:r>
      <w:r>
        <w:rPr>
          <w:rFonts w:ascii="Cambria" w:hAnsi="Cambria"/>
          <w:szCs w:val="22"/>
        </w:rPr>
        <w:t xml:space="preserve">. </w:t>
      </w:r>
      <w:r>
        <w:rPr>
          <w:rFonts w:ascii="Cambria" w:hAnsi="Cambria"/>
          <w:i/>
          <w:szCs w:val="22"/>
        </w:rPr>
        <w:t xml:space="preserve">Phytophthora pseudosyringae </w:t>
      </w:r>
      <w:r>
        <w:rPr>
          <w:rFonts w:ascii="Cambria" w:hAnsi="Cambria"/>
          <w:szCs w:val="22"/>
        </w:rPr>
        <w:t xml:space="preserve">is associated with drier plant communities such as </w:t>
      </w:r>
      <w:r>
        <w:rPr>
          <w:rFonts w:ascii="Cambria" w:eastAsia="TimesNewRomanPSMT" w:hAnsi="Cambria"/>
          <w:szCs w:val="22"/>
        </w:rPr>
        <w:t>coastal live oak forest types (Murphy et al. 2008).</w:t>
      </w:r>
    </w:p>
    <w:p w:rsidR="00C74066" w:rsidRDefault="00F10705">
      <w:pPr>
        <w:pStyle w:val="AQISNum"/>
        <w:numPr>
          <w:ilvl w:val="1"/>
          <w:numId w:val="31"/>
        </w:numPr>
        <w:tabs>
          <w:tab w:val="clear" w:pos="644"/>
          <w:tab w:val="num" w:pos="840"/>
        </w:tabs>
        <w:autoSpaceDE w:val="0"/>
        <w:autoSpaceDN w:val="0"/>
        <w:adjustRightInd w:val="0"/>
        <w:spacing w:before="120" w:after="120" w:line="276" w:lineRule="auto"/>
        <w:ind w:left="840" w:hanging="480"/>
        <w:rPr>
          <w:rFonts w:ascii="Cambria" w:hAnsi="Cambria"/>
          <w:szCs w:val="22"/>
        </w:rPr>
      </w:pPr>
      <w:r>
        <w:rPr>
          <w:rFonts w:ascii="Cambria" w:hAnsi="Cambria"/>
          <w:szCs w:val="22"/>
        </w:rPr>
        <w:t xml:space="preserve">The abundance and presence of foliar hosts, which support high levels of sporulation, increases the occurrence of </w:t>
      </w:r>
      <w:r>
        <w:rPr>
          <w:rFonts w:ascii="Cambria" w:hAnsi="Cambria"/>
          <w:i/>
          <w:iCs/>
          <w:szCs w:val="22"/>
        </w:rPr>
        <w:t xml:space="preserve">P. nemorosa, P. pseudosyringae </w:t>
      </w:r>
      <w:r>
        <w:rPr>
          <w:rFonts w:ascii="Cambria" w:hAnsi="Cambria"/>
          <w:szCs w:val="22"/>
        </w:rPr>
        <w:t xml:space="preserve">and </w:t>
      </w:r>
      <w:r>
        <w:rPr>
          <w:rFonts w:ascii="Cambria" w:hAnsi="Cambria"/>
          <w:i/>
          <w:iCs/>
          <w:szCs w:val="22"/>
        </w:rPr>
        <w:t xml:space="preserve">P. ramorum </w:t>
      </w:r>
      <w:r>
        <w:rPr>
          <w:rFonts w:ascii="Cambria" w:hAnsi="Cambria"/>
          <w:iCs/>
          <w:szCs w:val="22"/>
        </w:rPr>
        <w:t>(</w:t>
      </w:r>
      <w:r>
        <w:rPr>
          <w:rFonts w:ascii="Cambria" w:eastAsia="TimesNewRomanPSMT" w:hAnsi="Cambria"/>
          <w:szCs w:val="22"/>
        </w:rPr>
        <w:t xml:space="preserve">Maloney et al. 2005; Murphy &amp; Rizzo 2006; Wickland &amp; Rizzo 2006). </w:t>
      </w:r>
    </w:p>
    <w:p w:rsidR="00C74066" w:rsidRDefault="00F10705">
      <w:pPr>
        <w:pStyle w:val="ListBullet"/>
        <w:tabs>
          <w:tab w:val="clear" w:pos="360"/>
          <w:tab w:val="num" w:pos="284"/>
        </w:tabs>
        <w:ind w:left="284" w:hanging="284"/>
        <w:rPr>
          <w:rFonts w:ascii="Cambria" w:hAnsi="Cambria"/>
        </w:rPr>
      </w:pPr>
      <w:r>
        <w:rPr>
          <w:rFonts w:ascii="Cambria" w:hAnsi="Cambria"/>
        </w:rPr>
        <w:t xml:space="preserve">Indirect and direct evidence (Davidson et al. 2005; Mascheretti et al. 2008) indicates that the natural dispersal of </w:t>
      </w:r>
      <w:r>
        <w:rPr>
          <w:rFonts w:ascii="Cambria" w:hAnsi="Cambria"/>
          <w:i/>
        </w:rPr>
        <w:t>P</w:t>
      </w:r>
      <w:r w:rsidR="00AD762C">
        <w:rPr>
          <w:rFonts w:ascii="Cambria" w:hAnsi="Cambria"/>
          <w:i/>
        </w:rPr>
        <w:t>.</w:t>
      </w:r>
      <w:r>
        <w:rPr>
          <w:rFonts w:ascii="Cambria" w:hAnsi="Cambria"/>
          <w:i/>
        </w:rPr>
        <w:t xml:space="preserve"> ramorum </w:t>
      </w:r>
      <w:r>
        <w:rPr>
          <w:rFonts w:ascii="Cambria" w:hAnsi="Cambria"/>
        </w:rPr>
        <w:t>is mostl</w:t>
      </w:r>
      <w:r w:rsidR="00AD762C">
        <w:rPr>
          <w:rFonts w:ascii="Cambria" w:hAnsi="Cambria"/>
        </w:rPr>
        <w:t>y at a relatively small scale (one</w:t>
      </w:r>
      <w:r>
        <w:rPr>
          <w:rFonts w:ascii="Cambria" w:hAnsi="Cambria"/>
        </w:rPr>
        <w:t xml:space="preserve"> to 10 meters); however, infection only occurs when water is present on plant surfaces, indicating that zoospore release is a necessary step in the infection process. The optimum temperature for the infection process is reported to be 20 °C (Garbelotto et al. 2003; Davidson et al. 2005; Hayden et al. 2008).</w:t>
      </w:r>
    </w:p>
    <w:p w:rsidR="00C74066" w:rsidRDefault="00F10705">
      <w:pPr>
        <w:pStyle w:val="ListBullet"/>
        <w:tabs>
          <w:tab w:val="clear" w:pos="360"/>
          <w:tab w:val="num" w:pos="284"/>
        </w:tabs>
        <w:ind w:left="284" w:hanging="284"/>
        <w:rPr>
          <w:rFonts w:ascii="Cambria" w:hAnsi="Cambria"/>
        </w:rPr>
      </w:pPr>
      <w:r>
        <w:rPr>
          <w:rFonts w:ascii="Cambria" w:hAnsi="Cambria"/>
        </w:rPr>
        <w:t xml:space="preserve">Long-distance dispersal of </w:t>
      </w:r>
      <w:r>
        <w:rPr>
          <w:rFonts w:ascii="Cambria" w:hAnsi="Cambria"/>
          <w:i/>
        </w:rPr>
        <w:t xml:space="preserve">P. ramorum </w:t>
      </w:r>
      <w:r>
        <w:rPr>
          <w:rFonts w:ascii="Cambria" w:hAnsi="Cambria"/>
        </w:rPr>
        <w:t xml:space="preserve">by natural means includes movement by aerial dissemination (of sporangia, zoospores and possibly chlamydospores) through wind driven rain and turbulent air. Such long-distance spread could transport the pathogen up to several kilometres away; for example, this type of dissemination is considered to be responsible for the spread of the </w:t>
      </w:r>
      <w:bookmarkStart w:id="176" w:name="OLE_LINK3"/>
      <w:bookmarkStart w:id="177" w:name="OLE_LINK4"/>
      <w:r>
        <w:rPr>
          <w:rFonts w:ascii="Cambria" w:hAnsi="Cambria"/>
        </w:rPr>
        <w:t>A2 mating type of the North American clonal lineage (NA1)</w:t>
      </w:r>
      <w:bookmarkEnd w:id="176"/>
      <w:bookmarkEnd w:id="177"/>
      <w:r>
        <w:rPr>
          <w:rFonts w:ascii="Cambria" w:hAnsi="Cambria"/>
        </w:rPr>
        <w:t xml:space="preserve"> in California and Oregon (Hansen 2008). </w:t>
      </w:r>
    </w:p>
    <w:p w:rsidR="00C74066" w:rsidRDefault="00F10705">
      <w:pPr>
        <w:pStyle w:val="ListBullet"/>
        <w:tabs>
          <w:tab w:val="clear" w:pos="360"/>
          <w:tab w:val="num" w:pos="284"/>
        </w:tabs>
        <w:ind w:left="284" w:hanging="284"/>
        <w:rPr>
          <w:rFonts w:ascii="Cambria" w:hAnsi="Cambria"/>
        </w:rPr>
      </w:pPr>
      <w:r>
        <w:rPr>
          <w:rFonts w:ascii="Cambria" w:hAnsi="Cambria"/>
        </w:rPr>
        <w:t xml:space="preserve">However, the frequency of such long-distance dispersal events via wind-driven rain or turbulent air will most likely depend on the frequency of storm events, the amount of infected plants at the source, and the presence of hosts at the sites where inoculum is deposited. Most infections outside nurseries have been attributed to human-mediated movement of infected plants (Jeger et al. 2007). There is evidence for natural spread from nurseries to nearby (within one kilometre) semi-natural environments (Jeger et al. 2007). The large sporangia can be picked up by strong winds and deposited one to three kilometres from the source (Mascheretti </w:t>
      </w:r>
      <w:r>
        <w:rPr>
          <w:rFonts w:ascii="Cambria" w:hAnsi="Cambria"/>
          <w:iCs/>
        </w:rPr>
        <w:t>et al</w:t>
      </w:r>
      <w:r>
        <w:rPr>
          <w:rFonts w:ascii="Cambria" w:hAnsi="Cambria"/>
        </w:rPr>
        <w:t>. 2008).</w:t>
      </w:r>
    </w:p>
    <w:p w:rsidR="00C74066" w:rsidRDefault="00F10705">
      <w:pPr>
        <w:pStyle w:val="Heading4"/>
        <w:spacing w:before="200"/>
        <w:rPr>
          <w:i/>
        </w:rPr>
      </w:pPr>
      <w:r>
        <w:rPr>
          <w:i/>
        </w:rPr>
        <w:t>Potential for movement with commodities or conveyances</w:t>
      </w:r>
    </w:p>
    <w:p w:rsidR="00C74066" w:rsidRDefault="00F10705">
      <w:pPr>
        <w:pStyle w:val="ListBullet"/>
        <w:tabs>
          <w:tab w:val="clear" w:pos="360"/>
          <w:tab w:val="num" w:pos="284"/>
        </w:tabs>
        <w:ind w:left="284" w:hanging="284"/>
        <w:rPr>
          <w:rFonts w:ascii="Cambria" w:hAnsi="Cambria"/>
        </w:rPr>
      </w:pPr>
      <w:r>
        <w:rPr>
          <w:rFonts w:ascii="Cambria" w:hAnsi="Cambria"/>
        </w:rPr>
        <w:t xml:space="preserve">Human-mediated movement of plants and plant products is considered the primary mode for the introduction of plant pathogens. Species of the genus </w:t>
      </w:r>
      <w:r>
        <w:rPr>
          <w:rFonts w:ascii="Cambria" w:hAnsi="Cambria"/>
          <w:i/>
          <w:iCs/>
        </w:rPr>
        <w:t>Phytophthora</w:t>
      </w:r>
      <w:r>
        <w:rPr>
          <w:rFonts w:ascii="Cambria" w:hAnsi="Cambria"/>
        </w:rPr>
        <w:t xml:space="preserve"> are commonly spread in this way and have caused severe epidemics in silviculture, horticulture as well as natural systems all over the world. As visual symptoms may not be present, and in the absence of specific testing regimes, infected nursery stock could easily be moved into new areas. The introduction of infected plant material establishes the pathogen in new areas and unregulated movement will accelerate the spread of these pathogens.</w:t>
      </w:r>
    </w:p>
    <w:p w:rsidR="00C74066" w:rsidRDefault="00F10705">
      <w:pPr>
        <w:pStyle w:val="ListBullet"/>
        <w:tabs>
          <w:tab w:val="clear" w:pos="360"/>
          <w:tab w:val="num" w:pos="284"/>
        </w:tabs>
        <w:ind w:left="284" w:hanging="284"/>
        <w:rPr>
          <w:rFonts w:ascii="Cambria" w:hAnsi="Cambria"/>
        </w:rPr>
      </w:pPr>
      <w:r>
        <w:rPr>
          <w:rFonts w:ascii="Cambria" w:hAnsi="Cambria"/>
          <w:i/>
          <w:iCs/>
        </w:rPr>
        <w:t>Phytophthora ramorum</w:t>
      </w:r>
      <w:r>
        <w:rPr>
          <w:rFonts w:ascii="Cambria" w:hAnsi="Cambria"/>
        </w:rPr>
        <w:t xml:space="preserve"> has the potential to spread from its point of introduction to new areas within Australia by natural means (short distance spread by wind, water or soil) and human </w:t>
      </w:r>
      <w:r>
        <w:rPr>
          <w:rFonts w:ascii="Cambria" w:hAnsi="Cambria"/>
        </w:rPr>
        <w:lastRenderedPageBreak/>
        <w:t xml:space="preserve">mediated activities (long distance spread via trade in nursery stock). Asymptomatic infections may remain undetected and therefore, trade in nursery stock will help spread </w:t>
      </w:r>
      <w:r>
        <w:rPr>
          <w:rFonts w:ascii="Cambria" w:hAnsi="Cambria"/>
          <w:i/>
          <w:iCs/>
        </w:rPr>
        <w:t xml:space="preserve">P. ramorum </w:t>
      </w:r>
      <w:r>
        <w:rPr>
          <w:rFonts w:ascii="Cambria" w:hAnsi="Cambria"/>
        </w:rPr>
        <w:t xml:space="preserve">in Australia. </w:t>
      </w:r>
    </w:p>
    <w:p w:rsidR="00C74066" w:rsidRDefault="00F10705">
      <w:pPr>
        <w:pStyle w:val="ListBullet"/>
        <w:tabs>
          <w:tab w:val="clear" w:pos="360"/>
          <w:tab w:val="num" w:pos="284"/>
        </w:tabs>
        <w:ind w:left="284" w:hanging="284"/>
        <w:rPr>
          <w:rFonts w:ascii="Cambria" w:hAnsi="Cambria"/>
        </w:rPr>
      </w:pPr>
      <w:r>
        <w:rPr>
          <w:rFonts w:ascii="Cambria" w:hAnsi="Cambria"/>
        </w:rPr>
        <w:t xml:space="preserve">The Australian nursery and garden industry is represented in all states and territories of Australia (Map 5). This industry is spread over a wide area, with the greatest volume of production (82 percent) concentrated in the eastern states (New South Wales 35.7 percent, Queensland 28.4 percent and Victoria 17.9 percent) (IBIS World 2008). If infected host material is imported and distributed throughout these nurseries, this will help spread </w:t>
      </w:r>
      <w:r>
        <w:rPr>
          <w:rFonts w:ascii="Cambria" w:hAnsi="Cambria"/>
          <w:i/>
          <w:iCs/>
        </w:rPr>
        <w:t xml:space="preserve">P. ramorum </w:t>
      </w:r>
      <w:r>
        <w:rPr>
          <w:rFonts w:ascii="Cambria" w:hAnsi="Cambria"/>
        </w:rPr>
        <w:t>throughout Australia.</w:t>
      </w:r>
    </w:p>
    <w:p w:rsidR="00C74066" w:rsidRDefault="00F10705">
      <w:pPr>
        <w:pStyle w:val="Caption"/>
        <w:keepLines/>
        <w:rPr>
          <w:rFonts w:asciiTheme="majorHAnsi" w:eastAsiaTheme="majorEastAsia" w:hAnsiTheme="majorHAnsi" w:cstheme="majorBidi"/>
          <w:color w:val="595959" w:themeColor="text1" w:themeTint="A6"/>
          <w:sz w:val="20"/>
        </w:rPr>
      </w:pPr>
      <w:bookmarkStart w:id="178" w:name="_Toc409685811"/>
      <w:bookmarkStart w:id="179" w:name="_Toc412625749"/>
      <w:bookmarkStart w:id="180" w:name="_Toc428793976"/>
      <w:bookmarkStart w:id="181" w:name="_Toc429406127"/>
      <w:bookmarkStart w:id="182" w:name="_Toc429406255"/>
      <w:bookmarkStart w:id="183" w:name="_Toc429469966"/>
      <w:bookmarkStart w:id="184" w:name="_Toc430268659"/>
      <w:bookmarkStart w:id="185" w:name="_Toc433118115"/>
      <w:bookmarkStart w:id="186" w:name="_Toc433979962"/>
      <w:bookmarkStart w:id="187" w:name="_Toc434241816"/>
      <w:bookmarkStart w:id="188" w:name="_Toc434244229"/>
      <w:bookmarkStart w:id="189" w:name="_Toc434244242"/>
      <w:bookmarkStart w:id="190" w:name="_Toc434244767"/>
      <w:r>
        <w:rPr>
          <w:rFonts w:asciiTheme="majorHAnsi" w:eastAsiaTheme="majorEastAsia" w:hAnsiTheme="majorHAnsi" w:cstheme="majorBidi"/>
          <w:color w:val="595959" w:themeColor="text1" w:themeTint="A6"/>
          <w:sz w:val="20"/>
        </w:rPr>
        <w:t xml:space="preserve">Map </w:t>
      </w:r>
      <w:r w:rsidR="00C57DCF">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Map \* ARABIC </w:instrText>
      </w:r>
      <w:r w:rsidR="00C57DCF">
        <w:rPr>
          <w:rFonts w:asciiTheme="majorHAnsi" w:eastAsiaTheme="majorEastAsia" w:hAnsiTheme="majorHAnsi" w:cstheme="majorBidi"/>
          <w:color w:val="595959" w:themeColor="text1" w:themeTint="A6"/>
          <w:sz w:val="20"/>
        </w:rPr>
        <w:fldChar w:fldCharType="separate"/>
      </w:r>
      <w:r w:rsidR="00AF2121">
        <w:rPr>
          <w:rFonts w:asciiTheme="majorHAnsi" w:eastAsiaTheme="majorEastAsia" w:hAnsiTheme="majorHAnsi" w:cstheme="majorBidi"/>
          <w:noProof/>
          <w:color w:val="595959" w:themeColor="text1" w:themeTint="A6"/>
          <w:sz w:val="20"/>
        </w:rPr>
        <w:t>5</w:t>
      </w:r>
      <w:r w:rsidR="00C57DCF">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Distribution of the nursery and garden industry in Australia</w:t>
      </w:r>
      <w:bookmarkEnd w:id="178"/>
      <w:bookmarkEnd w:id="179"/>
      <w:bookmarkEnd w:id="180"/>
      <w:bookmarkEnd w:id="181"/>
      <w:bookmarkEnd w:id="182"/>
      <w:bookmarkEnd w:id="183"/>
      <w:bookmarkEnd w:id="184"/>
      <w:bookmarkEnd w:id="185"/>
      <w:bookmarkEnd w:id="186"/>
      <w:bookmarkEnd w:id="187"/>
      <w:bookmarkEnd w:id="188"/>
      <w:bookmarkEnd w:id="189"/>
      <w:bookmarkEnd w:id="190"/>
    </w:p>
    <w:p w:rsidR="00C74066" w:rsidRDefault="00F10705">
      <w:pPr>
        <w:pStyle w:val="ListBullet"/>
        <w:numPr>
          <w:ilvl w:val="0"/>
          <w:numId w:val="0"/>
        </w:numPr>
        <w:jc w:val="center"/>
      </w:pPr>
      <w:r>
        <w:rPr>
          <w:noProof/>
          <w:lang w:eastAsia="en-AU"/>
        </w:rPr>
        <w:drawing>
          <wp:inline distT="0" distB="0" distL="0" distR="0">
            <wp:extent cx="3922300" cy="3413549"/>
            <wp:effectExtent l="19050" t="0" r="2000" b="0"/>
            <wp:docPr id="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cstate="print"/>
                    <a:srcRect/>
                    <a:stretch>
                      <a:fillRect/>
                    </a:stretch>
                  </pic:blipFill>
                  <pic:spPr bwMode="auto">
                    <a:xfrm>
                      <a:off x="0" y="0"/>
                      <a:ext cx="3923472" cy="3414569"/>
                    </a:xfrm>
                    <a:prstGeom prst="rect">
                      <a:avLst/>
                    </a:prstGeom>
                    <a:noFill/>
                    <a:ln w="9525">
                      <a:noFill/>
                      <a:miter lim="800000"/>
                      <a:headEnd/>
                      <a:tailEnd/>
                    </a:ln>
                  </pic:spPr>
                </pic:pic>
              </a:graphicData>
            </a:graphic>
          </wp:inline>
        </w:drawing>
      </w:r>
    </w:p>
    <w:p w:rsidR="00C74066" w:rsidRDefault="00F10705">
      <w:pPr>
        <w:pStyle w:val="FigureTableNoteSource"/>
      </w:pPr>
      <w:r>
        <w:t>Source: Australian Natural Resources Atlas, Commonwealth of Australia (2001)</w:t>
      </w:r>
    </w:p>
    <w:p w:rsidR="00C74066" w:rsidRDefault="00F10705">
      <w:pPr>
        <w:pStyle w:val="ListBullet"/>
        <w:tabs>
          <w:tab w:val="clear" w:pos="360"/>
          <w:tab w:val="num" w:pos="284"/>
        </w:tabs>
        <w:ind w:left="284" w:hanging="284"/>
        <w:rPr>
          <w:rFonts w:ascii="Cambria" w:hAnsi="Cambria"/>
        </w:rPr>
      </w:pPr>
      <w:r>
        <w:rPr>
          <w:rFonts w:ascii="Cambria" w:hAnsi="Cambria"/>
        </w:rPr>
        <w:t xml:space="preserve">Genotypes of </w:t>
      </w:r>
      <w:r>
        <w:rPr>
          <w:rFonts w:ascii="Cambria" w:hAnsi="Cambria"/>
          <w:i/>
          <w:iCs/>
        </w:rPr>
        <w:t xml:space="preserve">P. ramorum </w:t>
      </w:r>
      <w:r>
        <w:rPr>
          <w:rFonts w:ascii="Cambria" w:hAnsi="Cambria"/>
        </w:rPr>
        <w:t xml:space="preserve">have been spread via nursery stock trade from Europe to North America (Goss </w:t>
      </w:r>
      <w:r>
        <w:rPr>
          <w:rFonts w:ascii="Cambria" w:hAnsi="Cambria"/>
          <w:iCs/>
        </w:rPr>
        <w:t>et al</w:t>
      </w:r>
      <w:r>
        <w:rPr>
          <w:rFonts w:ascii="Cambria" w:hAnsi="Cambria"/>
        </w:rPr>
        <w:t xml:space="preserve">. 2011). In Canadian nurseries, the clonal lineages NA1, NA2 and EU1 have been found. NA2 is the most common lineage whereas NA1 is rare. In addition, the EU1 lineage is frequently detected in Canada (Goss </w:t>
      </w:r>
      <w:r>
        <w:rPr>
          <w:rFonts w:ascii="Cambria" w:hAnsi="Cambria"/>
          <w:iCs/>
        </w:rPr>
        <w:t>et al</w:t>
      </w:r>
      <w:r>
        <w:rPr>
          <w:rFonts w:ascii="Cambria" w:hAnsi="Cambria"/>
        </w:rPr>
        <w:t xml:space="preserve">. 2011), indicating that EU1 has spread from Europe to North America (Goss </w:t>
      </w:r>
      <w:r>
        <w:rPr>
          <w:rFonts w:ascii="Cambria" w:hAnsi="Cambria"/>
          <w:iCs/>
        </w:rPr>
        <w:t>et al</w:t>
      </w:r>
      <w:r>
        <w:rPr>
          <w:rFonts w:ascii="Cambria" w:hAnsi="Cambria"/>
        </w:rPr>
        <w:t>. 2011). Therefore, the pathogen has the ability to spread with nursery stock within Australia.</w:t>
      </w:r>
    </w:p>
    <w:p w:rsidR="00C74066" w:rsidRDefault="00F10705">
      <w:pPr>
        <w:pStyle w:val="ListBullet"/>
        <w:tabs>
          <w:tab w:val="clear" w:pos="360"/>
          <w:tab w:val="num" w:pos="284"/>
        </w:tabs>
        <w:ind w:left="284" w:hanging="284"/>
        <w:rPr>
          <w:rFonts w:ascii="Cambria" w:hAnsi="Cambria"/>
        </w:rPr>
      </w:pPr>
      <w:r>
        <w:rPr>
          <w:rFonts w:ascii="Cambria" w:hAnsi="Cambria"/>
        </w:rPr>
        <w:t xml:space="preserve">The rapid spread of </w:t>
      </w:r>
      <w:r>
        <w:rPr>
          <w:rFonts w:ascii="Cambria" w:hAnsi="Cambria"/>
          <w:i/>
          <w:iCs/>
        </w:rPr>
        <w:t xml:space="preserve">P. ramorum </w:t>
      </w:r>
      <w:r>
        <w:rPr>
          <w:rFonts w:ascii="Cambria" w:hAnsi="Cambria"/>
        </w:rPr>
        <w:t xml:space="preserve">during the early 2000s, in Europe and in the USA, is related to the movement of infected nursery stock from infested regions into new areas (Brasier 2007; Cave et al. 2008; Alexander 2012); therefore, trade in nursery stock will help spread </w:t>
      </w:r>
      <w:r>
        <w:rPr>
          <w:rFonts w:ascii="Cambria" w:hAnsi="Cambria"/>
          <w:i/>
          <w:iCs/>
        </w:rPr>
        <w:t xml:space="preserve">P. ramorum </w:t>
      </w:r>
      <w:r>
        <w:rPr>
          <w:rFonts w:ascii="Cambria" w:hAnsi="Cambria"/>
        </w:rPr>
        <w:t>in Australia.</w:t>
      </w:r>
    </w:p>
    <w:p w:rsidR="00C74066" w:rsidRDefault="00AD762C">
      <w:pPr>
        <w:pStyle w:val="ListBullet"/>
        <w:tabs>
          <w:tab w:val="clear" w:pos="360"/>
          <w:tab w:val="num" w:pos="284"/>
        </w:tabs>
        <w:ind w:left="284" w:hanging="284"/>
        <w:rPr>
          <w:rFonts w:ascii="Cambria" w:hAnsi="Cambria"/>
        </w:rPr>
      </w:pPr>
      <w:r>
        <w:rPr>
          <w:rFonts w:ascii="Cambria" w:hAnsi="Cambria"/>
        </w:rPr>
        <w:t>The increased trade of plants</w:t>
      </w:r>
      <w:r w:rsidR="00F10705">
        <w:rPr>
          <w:rFonts w:ascii="Cambria" w:hAnsi="Cambria"/>
        </w:rPr>
        <w:t xml:space="preserve"> </w:t>
      </w:r>
      <w:r>
        <w:rPr>
          <w:rFonts w:ascii="Cambria" w:hAnsi="Cambria"/>
        </w:rPr>
        <w:t>within and between</w:t>
      </w:r>
      <w:r w:rsidR="00F10705">
        <w:rPr>
          <w:rFonts w:ascii="Cambria" w:hAnsi="Cambria"/>
        </w:rPr>
        <w:t xml:space="preserve"> countries has led to new opportunities for plant pathogens to be moved to new areas or countries (Sansford </w:t>
      </w:r>
      <w:r w:rsidR="00F10705">
        <w:rPr>
          <w:rFonts w:ascii="Cambria" w:hAnsi="Cambria"/>
          <w:iCs/>
        </w:rPr>
        <w:t>et al</w:t>
      </w:r>
      <w:r w:rsidR="00F10705">
        <w:rPr>
          <w:rFonts w:ascii="Cambria" w:hAnsi="Cambria"/>
        </w:rPr>
        <w:t xml:space="preserve">. 2009; Dehnen-Schmutz </w:t>
      </w:r>
      <w:r w:rsidR="00F10705">
        <w:rPr>
          <w:rFonts w:ascii="Cambria" w:hAnsi="Cambria"/>
          <w:iCs/>
        </w:rPr>
        <w:t>et al</w:t>
      </w:r>
      <w:r w:rsidR="00F10705">
        <w:rPr>
          <w:rFonts w:ascii="Cambria" w:hAnsi="Cambria"/>
        </w:rPr>
        <w:t xml:space="preserve">. 2010; Webber 2010; Wingfield </w:t>
      </w:r>
      <w:r w:rsidR="00F10705">
        <w:rPr>
          <w:rFonts w:ascii="Cambria" w:hAnsi="Cambria"/>
          <w:iCs/>
        </w:rPr>
        <w:t>et al</w:t>
      </w:r>
      <w:r w:rsidR="00F10705">
        <w:rPr>
          <w:rFonts w:ascii="Cambria" w:hAnsi="Cambria"/>
        </w:rPr>
        <w:t xml:space="preserve">. 2010; Stenlid </w:t>
      </w:r>
      <w:r w:rsidR="00F10705">
        <w:rPr>
          <w:rFonts w:ascii="Cambria" w:hAnsi="Cambria"/>
          <w:iCs/>
        </w:rPr>
        <w:t>et al</w:t>
      </w:r>
      <w:r w:rsidR="00F10705">
        <w:rPr>
          <w:rFonts w:ascii="Cambria" w:hAnsi="Cambria"/>
        </w:rPr>
        <w:t xml:space="preserve">. 2011). </w:t>
      </w:r>
      <w:r w:rsidR="00F10705">
        <w:rPr>
          <w:rFonts w:ascii="Cambria" w:hAnsi="Cambria"/>
          <w:shd w:val="clear" w:color="auto" w:fill="FFFFFF"/>
        </w:rPr>
        <w:t xml:space="preserve">In Europe, </w:t>
      </w:r>
      <w:r w:rsidR="00F10705">
        <w:rPr>
          <w:rFonts w:ascii="Cambria" w:hAnsi="Cambria"/>
          <w:i/>
          <w:iCs/>
          <w:shd w:val="clear" w:color="auto" w:fill="FFFFFF"/>
        </w:rPr>
        <w:t xml:space="preserve">P. ramorum </w:t>
      </w:r>
      <w:r w:rsidR="00F10705">
        <w:rPr>
          <w:rFonts w:ascii="Cambria" w:hAnsi="Cambria"/>
          <w:shd w:val="clear" w:color="auto" w:fill="FFFFFF"/>
        </w:rPr>
        <w:t xml:space="preserve">has spread to many countries, primarily on nursery plants of </w:t>
      </w:r>
      <w:r w:rsidR="00F10705">
        <w:rPr>
          <w:rFonts w:ascii="Cambria" w:hAnsi="Cambria"/>
          <w:i/>
          <w:iCs/>
          <w:shd w:val="clear" w:color="auto" w:fill="FFFFFF"/>
        </w:rPr>
        <w:t xml:space="preserve">Camellia japonica, Kalmia latifolia, Leucothoe </w:t>
      </w:r>
      <w:r w:rsidR="00F10705">
        <w:rPr>
          <w:rFonts w:ascii="Cambria" w:hAnsi="Cambria"/>
          <w:shd w:val="clear" w:color="auto" w:fill="FFFFFF"/>
        </w:rPr>
        <w:t>species,</w:t>
      </w:r>
      <w:r w:rsidR="00F10705">
        <w:rPr>
          <w:rFonts w:ascii="Cambria" w:hAnsi="Cambria"/>
          <w:i/>
          <w:iCs/>
          <w:shd w:val="clear" w:color="auto" w:fill="FFFFFF"/>
        </w:rPr>
        <w:t xml:space="preserve"> Pieris formosa </w:t>
      </w:r>
      <w:r w:rsidR="00F10705">
        <w:rPr>
          <w:rFonts w:ascii="Cambria" w:hAnsi="Cambria"/>
          <w:shd w:val="clear" w:color="auto" w:fill="FFFFFF"/>
        </w:rPr>
        <w:t xml:space="preserve">var. </w:t>
      </w:r>
      <w:r w:rsidR="00F10705">
        <w:rPr>
          <w:rFonts w:ascii="Cambria" w:hAnsi="Cambria"/>
          <w:i/>
          <w:iCs/>
          <w:shd w:val="clear" w:color="auto" w:fill="FFFFFF"/>
        </w:rPr>
        <w:t>forrestii, P</w:t>
      </w:r>
      <w:r>
        <w:rPr>
          <w:rFonts w:ascii="Cambria" w:hAnsi="Cambria"/>
          <w:i/>
          <w:iCs/>
          <w:shd w:val="clear" w:color="auto" w:fill="FFFFFF"/>
        </w:rPr>
        <w:t>.</w:t>
      </w:r>
      <w:r w:rsidR="00F10705">
        <w:rPr>
          <w:rFonts w:ascii="Cambria" w:hAnsi="Cambria"/>
          <w:i/>
          <w:iCs/>
          <w:shd w:val="clear" w:color="auto" w:fill="FFFFFF"/>
        </w:rPr>
        <w:t xml:space="preserve"> japonica, Rhododendron </w:t>
      </w:r>
      <w:r w:rsidR="00F10705">
        <w:rPr>
          <w:rFonts w:ascii="Cambria" w:hAnsi="Cambria"/>
          <w:iCs/>
          <w:shd w:val="clear" w:color="auto" w:fill="FFFFFF"/>
        </w:rPr>
        <w:lastRenderedPageBreak/>
        <w:t>species</w:t>
      </w:r>
      <w:r w:rsidR="00F10705">
        <w:rPr>
          <w:rFonts w:ascii="Cambria" w:hAnsi="Cambria"/>
          <w:i/>
          <w:iCs/>
          <w:shd w:val="clear" w:color="auto" w:fill="FFFFFF"/>
        </w:rPr>
        <w:t>, Syringa vulgaris,</w:t>
      </w:r>
      <w:r w:rsidR="00F10705">
        <w:rPr>
          <w:rFonts w:ascii="Cambria" w:hAnsi="Cambria"/>
          <w:shd w:val="clear" w:color="auto" w:fill="FFFFFF"/>
        </w:rPr>
        <w:t xml:space="preserve"> </w:t>
      </w:r>
      <w:r w:rsidR="00F10705">
        <w:rPr>
          <w:rFonts w:ascii="Cambria" w:hAnsi="Cambria"/>
          <w:i/>
          <w:iCs/>
          <w:shd w:val="clear" w:color="auto" w:fill="FFFFFF"/>
        </w:rPr>
        <w:t xml:space="preserve">Taxus baccata </w:t>
      </w:r>
      <w:r w:rsidR="00F10705">
        <w:rPr>
          <w:rFonts w:ascii="Cambria" w:hAnsi="Cambria"/>
          <w:shd w:val="clear" w:color="auto" w:fill="FFFFFF"/>
        </w:rPr>
        <w:t xml:space="preserve">and </w:t>
      </w:r>
      <w:r w:rsidR="00F10705">
        <w:rPr>
          <w:rFonts w:ascii="Cambria" w:hAnsi="Cambria"/>
          <w:i/>
          <w:iCs/>
          <w:shd w:val="clear" w:color="auto" w:fill="FFFFFF"/>
        </w:rPr>
        <w:t xml:space="preserve">Viburnum </w:t>
      </w:r>
      <w:r w:rsidR="00F10705">
        <w:rPr>
          <w:rFonts w:ascii="Cambria" w:hAnsi="Cambria"/>
          <w:shd w:val="clear" w:color="auto" w:fill="FFFFFF"/>
        </w:rPr>
        <w:t xml:space="preserve">species (Werres &amp; De Merlier 2003; Husson </w:t>
      </w:r>
      <w:r w:rsidR="00F10705">
        <w:rPr>
          <w:rFonts w:ascii="Cambria" w:hAnsi="Cambria"/>
          <w:iCs/>
          <w:shd w:val="clear" w:color="auto" w:fill="FFFFFF"/>
        </w:rPr>
        <w:t>et al</w:t>
      </w:r>
      <w:r w:rsidR="00F10705">
        <w:rPr>
          <w:rFonts w:ascii="Cambria" w:hAnsi="Cambria"/>
          <w:shd w:val="clear" w:color="auto" w:fill="FFFFFF"/>
        </w:rPr>
        <w:t>. 2007)</w:t>
      </w:r>
      <w:r w:rsidR="00F10705">
        <w:rPr>
          <w:rFonts w:ascii="Cambria" w:hAnsi="Cambria"/>
          <w:i/>
          <w:iCs/>
          <w:shd w:val="clear" w:color="auto" w:fill="FFFFFF"/>
        </w:rPr>
        <w:t>.</w:t>
      </w:r>
    </w:p>
    <w:p w:rsidR="00C74066" w:rsidRDefault="00F10705">
      <w:pPr>
        <w:pStyle w:val="ListBullet"/>
        <w:tabs>
          <w:tab w:val="clear" w:pos="360"/>
          <w:tab w:val="num" w:pos="284"/>
        </w:tabs>
        <w:ind w:left="284" w:hanging="284"/>
        <w:rPr>
          <w:rFonts w:ascii="Cambria" w:hAnsi="Cambria"/>
        </w:rPr>
      </w:pPr>
      <w:r>
        <w:rPr>
          <w:rFonts w:ascii="Cambria" w:hAnsi="Cambria"/>
          <w:i/>
          <w:iCs/>
        </w:rPr>
        <w:t>Phytophthora ramorum</w:t>
      </w:r>
      <w:r>
        <w:rPr>
          <w:rFonts w:ascii="Cambria" w:hAnsi="Cambria"/>
        </w:rPr>
        <w:t xml:space="preserve"> can also spread by animal vectors; snails, shore fly larvae and fungus gnat larvae are known carriers of fungal propagules including chlamydospores and sporangia (Hyder </w:t>
      </w:r>
      <w:r>
        <w:rPr>
          <w:rFonts w:ascii="Cambria" w:hAnsi="Cambria"/>
          <w:iCs/>
        </w:rPr>
        <w:t>et al</w:t>
      </w:r>
      <w:r>
        <w:rPr>
          <w:rFonts w:ascii="Cambria" w:hAnsi="Cambria"/>
        </w:rPr>
        <w:t>. 2009).</w:t>
      </w:r>
    </w:p>
    <w:p w:rsidR="00C74066" w:rsidRDefault="00F10705">
      <w:pPr>
        <w:pStyle w:val="ListBullet"/>
        <w:tabs>
          <w:tab w:val="clear" w:pos="360"/>
          <w:tab w:val="num" w:pos="284"/>
        </w:tabs>
        <w:ind w:left="284" w:hanging="284"/>
        <w:rPr>
          <w:rFonts w:ascii="Cambria" w:hAnsi="Cambria"/>
        </w:rPr>
      </w:pPr>
      <w:r>
        <w:rPr>
          <w:rFonts w:ascii="Cambria" w:hAnsi="Cambria"/>
          <w:i/>
          <w:iCs/>
        </w:rPr>
        <w:t xml:space="preserve">Phytophthora </w:t>
      </w:r>
      <w:r>
        <w:rPr>
          <w:rFonts w:ascii="Cambria" w:hAnsi="Cambria"/>
        </w:rPr>
        <w:t xml:space="preserve">species are capable of surviving for several months in the soil. For example, </w:t>
      </w:r>
      <w:r>
        <w:rPr>
          <w:rFonts w:ascii="Cambria" w:hAnsi="Cambria"/>
          <w:i/>
          <w:iCs/>
        </w:rPr>
        <w:t>P. ramorum</w:t>
      </w:r>
      <w:r>
        <w:rPr>
          <w:rFonts w:ascii="Cambria" w:hAnsi="Cambria"/>
        </w:rPr>
        <w:t xml:space="preserve"> can survive for at least eight to 11 months in soil or potting media (Shishkoff 2007). Chlamydospores germinate and form sporangia near roots and infected root tips can be seen covered with sporangia (Shishkoff 2007). </w:t>
      </w:r>
      <w:r>
        <w:rPr>
          <w:rFonts w:ascii="Cambria" w:hAnsi="Cambria"/>
          <w:i/>
        </w:rPr>
        <w:t>Phytophthora kernoviae</w:t>
      </w:r>
      <w:r>
        <w:rPr>
          <w:rFonts w:ascii="Cambria" w:hAnsi="Cambria"/>
        </w:rPr>
        <w:t xml:space="preserve"> is not known to produce chlamydospores; the propagule most likely involved in soil infestation will be oospores (Widmer 2010). Therefore, the movement of contaminated soil, growing media or debris, particularly around nursery, garden and landscape developments, will help spread </w:t>
      </w:r>
      <w:r>
        <w:rPr>
          <w:rFonts w:ascii="Cambria" w:hAnsi="Cambria"/>
          <w:i/>
          <w:iCs/>
        </w:rPr>
        <w:t xml:space="preserve">Phytophthora </w:t>
      </w:r>
      <w:r>
        <w:rPr>
          <w:rFonts w:ascii="Cambria" w:hAnsi="Cambria"/>
        </w:rPr>
        <w:t xml:space="preserve">species in Australia. </w:t>
      </w:r>
    </w:p>
    <w:p w:rsidR="00C74066" w:rsidRDefault="00F10705">
      <w:pPr>
        <w:pStyle w:val="ListBullet"/>
        <w:tabs>
          <w:tab w:val="clear" w:pos="360"/>
          <w:tab w:val="num" w:pos="284"/>
        </w:tabs>
        <w:ind w:left="284" w:hanging="284"/>
        <w:rPr>
          <w:rFonts w:ascii="Cambria" w:hAnsi="Cambria"/>
        </w:rPr>
      </w:pPr>
      <w:r>
        <w:rPr>
          <w:rFonts w:ascii="Cambria" w:hAnsi="Cambria"/>
          <w:i/>
          <w:iCs/>
        </w:rPr>
        <w:t xml:space="preserve">Phytophthora ramorum </w:t>
      </w:r>
      <w:r>
        <w:rPr>
          <w:rFonts w:ascii="Cambria" w:hAnsi="Cambria"/>
        </w:rPr>
        <w:t xml:space="preserve">has also been detected in rivers and streams near outbreak sites. In California, </w:t>
      </w:r>
      <w:r>
        <w:rPr>
          <w:rFonts w:ascii="Cambria" w:hAnsi="Cambria"/>
          <w:i/>
          <w:iCs/>
        </w:rPr>
        <w:t>P. ramorum</w:t>
      </w:r>
      <w:r>
        <w:rPr>
          <w:rFonts w:ascii="Cambria" w:hAnsi="Cambria"/>
        </w:rPr>
        <w:t xml:space="preserve"> has been recovered in streams at sites eight kilometres downstream of known infestations and at sites with no prior known forest infestations (Davidson </w:t>
      </w:r>
      <w:r>
        <w:rPr>
          <w:rFonts w:ascii="Cambria" w:hAnsi="Cambria"/>
          <w:iCs/>
        </w:rPr>
        <w:t>et al</w:t>
      </w:r>
      <w:r>
        <w:rPr>
          <w:rFonts w:ascii="Cambria" w:hAnsi="Cambria"/>
        </w:rPr>
        <w:t xml:space="preserve">. 2005; Murphy &amp; Rizzo 2005; Murphy </w:t>
      </w:r>
      <w:r>
        <w:rPr>
          <w:rFonts w:ascii="Cambria" w:hAnsi="Cambria"/>
          <w:iCs/>
        </w:rPr>
        <w:t>et al</w:t>
      </w:r>
      <w:r>
        <w:rPr>
          <w:rFonts w:ascii="Cambria" w:hAnsi="Cambria"/>
        </w:rPr>
        <w:t>. 2006). Therefore, irrigation from infected sources could also spread the pathogen.</w:t>
      </w:r>
    </w:p>
    <w:p w:rsidR="00C74066" w:rsidRDefault="00F10705">
      <w:pPr>
        <w:pStyle w:val="ListBullet"/>
        <w:tabs>
          <w:tab w:val="clear" w:pos="360"/>
          <w:tab w:val="num" w:pos="284"/>
        </w:tabs>
        <w:ind w:left="284" w:hanging="284"/>
        <w:rPr>
          <w:rFonts w:ascii="Cambria" w:hAnsi="Cambria"/>
        </w:rPr>
      </w:pPr>
      <w:r>
        <w:rPr>
          <w:rFonts w:ascii="Cambria" w:hAnsi="Cambria"/>
        </w:rPr>
        <w:t>Contaminated footwear is another potentially significant source of pathogen spread, particularly in areas of public access</w:t>
      </w:r>
      <w:r>
        <w:rPr>
          <w:rFonts w:ascii="Cambria" w:hAnsi="Cambria"/>
          <w:i/>
        </w:rPr>
        <w:t>. Phytophthora</w:t>
      </w:r>
      <w:r>
        <w:rPr>
          <w:rFonts w:ascii="Cambria" w:hAnsi="Cambria"/>
          <w:i/>
          <w:iCs/>
        </w:rPr>
        <w:t xml:space="preserve"> ramorum </w:t>
      </w:r>
      <w:r>
        <w:rPr>
          <w:rFonts w:ascii="Cambria" w:hAnsi="Cambria"/>
        </w:rPr>
        <w:t xml:space="preserve">has been detected seasonally from soil on hiking trails and from soil on hikers’ boots (Davidson </w:t>
      </w:r>
      <w:r>
        <w:rPr>
          <w:rFonts w:ascii="Cambria" w:hAnsi="Cambria"/>
          <w:iCs/>
        </w:rPr>
        <w:t xml:space="preserve">et al. </w:t>
      </w:r>
      <w:r>
        <w:rPr>
          <w:rFonts w:ascii="Cambria" w:hAnsi="Cambria"/>
        </w:rPr>
        <w:t xml:space="preserve">2002a; 2005; Tjosvold </w:t>
      </w:r>
      <w:r>
        <w:rPr>
          <w:rFonts w:ascii="Cambria" w:hAnsi="Cambria"/>
          <w:iCs/>
        </w:rPr>
        <w:t>et al.</w:t>
      </w:r>
      <w:r>
        <w:rPr>
          <w:rFonts w:ascii="Cambria" w:hAnsi="Cambria"/>
          <w:i/>
          <w:iCs/>
        </w:rPr>
        <w:t xml:space="preserve"> </w:t>
      </w:r>
      <w:r>
        <w:rPr>
          <w:rFonts w:ascii="Cambria" w:hAnsi="Cambria"/>
        </w:rPr>
        <w:t xml:space="preserve">2002). Spores of </w:t>
      </w:r>
      <w:r>
        <w:rPr>
          <w:rFonts w:ascii="Cambria" w:hAnsi="Cambria"/>
          <w:i/>
          <w:iCs/>
        </w:rPr>
        <w:t xml:space="preserve">P. ramorum </w:t>
      </w:r>
      <w:r>
        <w:rPr>
          <w:rFonts w:ascii="Cambria" w:hAnsi="Cambria"/>
        </w:rPr>
        <w:t xml:space="preserve">have also been detected on the tyres of mountain bikes and vehicles used on dirt roads or trails in infested areas (Davidson &amp; Shaw 2003). Subsequent movement to other natural areas by these visitors will help spread </w:t>
      </w:r>
      <w:r>
        <w:rPr>
          <w:rFonts w:ascii="Cambria" w:hAnsi="Cambria"/>
          <w:i/>
          <w:iCs/>
        </w:rPr>
        <w:t xml:space="preserve">P. ramorum </w:t>
      </w:r>
      <w:r>
        <w:rPr>
          <w:rFonts w:ascii="Cambria" w:hAnsi="Cambria"/>
        </w:rPr>
        <w:t xml:space="preserve">into new areas (Brasier </w:t>
      </w:r>
      <w:r>
        <w:rPr>
          <w:rFonts w:ascii="Cambria" w:hAnsi="Cambria"/>
          <w:iCs/>
        </w:rPr>
        <w:t>et al</w:t>
      </w:r>
      <w:r>
        <w:rPr>
          <w:rFonts w:ascii="Cambria" w:hAnsi="Cambria"/>
        </w:rPr>
        <w:t>. 2007).</w:t>
      </w:r>
    </w:p>
    <w:p w:rsidR="00C74066" w:rsidRDefault="00F10705">
      <w:pPr>
        <w:pStyle w:val="ListBullet"/>
        <w:tabs>
          <w:tab w:val="clear" w:pos="360"/>
          <w:tab w:val="num" w:pos="284"/>
        </w:tabs>
        <w:ind w:left="284" w:hanging="284"/>
        <w:rPr>
          <w:rFonts w:ascii="Cambria" w:hAnsi="Cambria"/>
        </w:rPr>
      </w:pPr>
      <w:r>
        <w:rPr>
          <w:rFonts w:ascii="Cambria" w:hAnsi="Cambria"/>
        </w:rPr>
        <w:t xml:space="preserve">Numerous hosts of </w:t>
      </w:r>
      <w:r>
        <w:rPr>
          <w:rFonts w:ascii="Cambria" w:hAnsi="Cambria"/>
          <w:i/>
          <w:iCs/>
        </w:rPr>
        <w:t xml:space="preserve">P. ramorum </w:t>
      </w:r>
      <w:r>
        <w:rPr>
          <w:rFonts w:ascii="Cambria" w:hAnsi="Cambria"/>
        </w:rPr>
        <w:t xml:space="preserve">are popular for cut flower production, including </w:t>
      </w:r>
      <w:r>
        <w:rPr>
          <w:rFonts w:ascii="Cambria" w:hAnsi="Cambria"/>
          <w:i/>
          <w:iCs/>
        </w:rPr>
        <w:t xml:space="preserve">Acer, Camellia, Hamamelis, Kalmia, Pieris, Rhododendron </w:t>
      </w:r>
      <w:r>
        <w:rPr>
          <w:rFonts w:ascii="Cambria" w:hAnsi="Cambria"/>
        </w:rPr>
        <w:t xml:space="preserve">and </w:t>
      </w:r>
      <w:r>
        <w:rPr>
          <w:rFonts w:ascii="Cambria" w:hAnsi="Cambria"/>
          <w:i/>
          <w:iCs/>
        </w:rPr>
        <w:t xml:space="preserve">Syringa </w:t>
      </w:r>
      <w:r>
        <w:rPr>
          <w:rFonts w:ascii="Cambria" w:hAnsi="Cambria"/>
          <w:iCs/>
        </w:rPr>
        <w:t>species</w:t>
      </w:r>
      <w:r>
        <w:rPr>
          <w:rFonts w:ascii="Cambria" w:hAnsi="Cambria"/>
        </w:rPr>
        <w:t xml:space="preserve">; therefore, </w:t>
      </w:r>
      <w:r>
        <w:rPr>
          <w:rFonts w:ascii="Cambria" w:hAnsi="Cambria"/>
          <w:i/>
          <w:iCs/>
        </w:rPr>
        <w:t xml:space="preserve">P. ramorum </w:t>
      </w:r>
      <w:r>
        <w:rPr>
          <w:rFonts w:ascii="Cambria" w:hAnsi="Cambria"/>
        </w:rPr>
        <w:t>could spread with trade in cut flowers and branches for decorations from infested areas within Australia.</w:t>
      </w:r>
    </w:p>
    <w:p w:rsidR="00C74066" w:rsidRDefault="00F10705">
      <w:pPr>
        <w:pStyle w:val="ListBullet"/>
        <w:tabs>
          <w:tab w:val="clear" w:pos="360"/>
          <w:tab w:val="num" w:pos="284"/>
        </w:tabs>
        <w:ind w:left="284" w:hanging="284"/>
        <w:rPr>
          <w:rFonts w:ascii="Cambria" w:hAnsi="Cambria"/>
        </w:rPr>
      </w:pPr>
      <w:r>
        <w:rPr>
          <w:rFonts w:ascii="Cambria" w:hAnsi="Cambria"/>
        </w:rPr>
        <w:t xml:space="preserve">In the absence of statutory control there is a high probability that </w:t>
      </w:r>
      <w:r>
        <w:rPr>
          <w:rFonts w:ascii="Cambria" w:hAnsi="Cambria"/>
          <w:i/>
          <w:iCs/>
        </w:rPr>
        <w:t xml:space="preserve">Phytophthora </w:t>
      </w:r>
      <w:r>
        <w:rPr>
          <w:rFonts w:ascii="Cambria" w:hAnsi="Cambria"/>
        </w:rPr>
        <w:t xml:space="preserve">species will spread quickly in Australia through the trade of host plants for planting. Spread from nurseries into the environment will be facilitated by the planting of infected plants. Planting of infected propagative material will bring the </w:t>
      </w:r>
      <w:r>
        <w:rPr>
          <w:rFonts w:ascii="Cambria" w:hAnsi="Cambria"/>
          <w:i/>
        </w:rPr>
        <w:t xml:space="preserve">Phytophthora </w:t>
      </w:r>
      <w:r>
        <w:rPr>
          <w:rFonts w:ascii="Cambria" w:hAnsi="Cambria"/>
        </w:rPr>
        <w:t>species under review into the environment. Climatic conditions, such as those found in propagation houses, may be sufficient for its survival and spread.</w:t>
      </w:r>
    </w:p>
    <w:p w:rsidR="00C74066" w:rsidRDefault="00F10705">
      <w:pPr>
        <w:pStyle w:val="Heading4"/>
        <w:spacing w:before="200"/>
        <w:rPr>
          <w:i/>
        </w:rPr>
      </w:pPr>
      <w:r>
        <w:rPr>
          <w:i/>
        </w:rPr>
        <w:t>Potential natural enemies</w:t>
      </w:r>
    </w:p>
    <w:p w:rsidR="00C74066" w:rsidRDefault="00F10705">
      <w:pPr>
        <w:pStyle w:val="ListBullet"/>
        <w:tabs>
          <w:tab w:val="clear" w:pos="360"/>
          <w:tab w:val="num" w:pos="284"/>
        </w:tabs>
        <w:ind w:left="284" w:hanging="284"/>
        <w:rPr>
          <w:rFonts w:ascii="Cambria" w:hAnsi="Cambria"/>
        </w:rPr>
      </w:pPr>
      <w:r>
        <w:rPr>
          <w:rFonts w:ascii="Cambria" w:hAnsi="Cambria"/>
          <w:i/>
          <w:iCs/>
        </w:rPr>
        <w:t xml:space="preserve">Phytophthora ramorum </w:t>
      </w:r>
      <w:r>
        <w:rPr>
          <w:rFonts w:ascii="Cambria" w:hAnsi="Cambria"/>
        </w:rPr>
        <w:t xml:space="preserve">is not known to have any natural enemies </w:t>
      </w:r>
      <w:r w:rsidR="00162120">
        <w:rPr>
          <w:rFonts w:ascii="Cambria" w:hAnsi="Cambria"/>
        </w:rPr>
        <w:t>in Austra</w:t>
      </w:r>
      <w:r w:rsidR="0000614C">
        <w:rPr>
          <w:rFonts w:ascii="Cambria" w:hAnsi="Cambria"/>
        </w:rPr>
        <w:t>l</w:t>
      </w:r>
      <w:r w:rsidR="00162120">
        <w:rPr>
          <w:rFonts w:ascii="Cambria" w:hAnsi="Cambria"/>
        </w:rPr>
        <w:t xml:space="preserve">ia </w:t>
      </w:r>
      <w:r>
        <w:rPr>
          <w:rFonts w:ascii="Cambria" w:hAnsi="Cambria"/>
        </w:rPr>
        <w:t xml:space="preserve">that could hamper its spread. </w:t>
      </w:r>
    </w:p>
    <w:p w:rsidR="00C74066" w:rsidRDefault="00F10705">
      <w:pPr>
        <w:pStyle w:val="Heading3"/>
        <w:keepLines/>
        <w:numPr>
          <w:ilvl w:val="2"/>
          <w:numId w:val="21"/>
        </w:numPr>
        <w:tabs>
          <w:tab w:val="clear" w:pos="720"/>
        </w:tabs>
        <w:spacing w:before="200" w:after="200"/>
        <w:ind w:left="357" w:hanging="357"/>
        <w:rPr>
          <w:rFonts w:ascii="Calibri" w:hAnsi="Calibri" w:cstheme="minorBidi"/>
          <w:sz w:val="24"/>
          <w:szCs w:val="22"/>
        </w:rPr>
      </w:pPr>
      <w:r>
        <w:rPr>
          <w:rFonts w:ascii="Calibri" w:hAnsi="Calibri" w:cstheme="minorBidi"/>
          <w:sz w:val="24"/>
          <w:szCs w:val="22"/>
        </w:rPr>
        <w:lastRenderedPageBreak/>
        <w:t>Overall likelihood of entry, establishment and spread</w:t>
      </w:r>
    </w:p>
    <w:p w:rsidR="00C74066" w:rsidRDefault="00F10705">
      <w:pPr>
        <w:spacing w:before="200"/>
        <w:rPr>
          <w:rFonts w:ascii="Cambria" w:hAnsi="Cambria"/>
        </w:rPr>
      </w:pPr>
      <w:r>
        <w:rPr>
          <w:rFonts w:ascii="Cambria" w:hAnsi="Cambria"/>
        </w:rPr>
        <w:t>The overall likelihood of entry, establishment and spread is determined by combining the likelihoods of entry, establishment and spread using the matrix of ‘rules’ for combining qualitative likelihoods shown in Table 2.</w:t>
      </w:r>
    </w:p>
    <w:p w:rsidR="00C74066" w:rsidRDefault="00F10705">
      <w:pPr>
        <w:pStyle w:val="ListBullet"/>
        <w:tabs>
          <w:tab w:val="clear" w:pos="360"/>
          <w:tab w:val="num" w:pos="284"/>
        </w:tabs>
        <w:ind w:left="284" w:hanging="284"/>
        <w:rPr>
          <w:rFonts w:ascii="Cambria" w:hAnsi="Cambria"/>
          <w:b/>
        </w:rPr>
      </w:pPr>
      <w:r>
        <w:rPr>
          <w:rFonts w:ascii="Cambria" w:hAnsi="Cambria"/>
          <w:color w:val="000000"/>
        </w:rPr>
        <w:t xml:space="preserve">The likelihood that the </w:t>
      </w:r>
      <w:r>
        <w:rPr>
          <w:rFonts w:ascii="Cambria" w:hAnsi="Cambria"/>
          <w:i/>
          <w:color w:val="000000"/>
        </w:rPr>
        <w:t xml:space="preserve">Phytophthora </w:t>
      </w:r>
      <w:r>
        <w:rPr>
          <w:rFonts w:ascii="Cambria" w:hAnsi="Cambria"/>
          <w:color w:val="000000"/>
        </w:rPr>
        <w:t xml:space="preserve">species will enter Australia </w:t>
      </w:r>
      <w:r>
        <w:rPr>
          <w:rFonts w:ascii="Cambria" w:hAnsi="Cambria"/>
        </w:rPr>
        <w:t xml:space="preserve">on </w:t>
      </w:r>
      <w:r w:rsidR="00204745">
        <w:rPr>
          <w:rFonts w:ascii="Cambria" w:hAnsi="Cambria"/>
          <w:color w:val="000000"/>
        </w:rPr>
        <w:t>host plant</w:t>
      </w:r>
      <w:r w:rsidR="00204745">
        <w:rPr>
          <w:rFonts w:ascii="Cambria" w:hAnsi="Cambria"/>
        </w:rPr>
        <w:t xml:space="preserve"> propagative material</w:t>
      </w:r>
      <w:r>
        <w:rPr>
          <w:rFonts w:ascii="Cambria" w:hAnsi="Cambria"/>
        </w:rPr>
        <w:t xml:space="preserve"> </w:t>
      </w:r>
      <w:r>
        <w:rPr>
          <w:rFonts w:ascii="Cambria" w:hAnsi="Cambria"/>
          <w:color w:val="000000"/>
        </w:rPr>
        <w:t xml:space="preserve">from countries where this pathogen is known to occur, </w:t>
      </w:r>
      <w:r>
        <w:rPr>
          <w:rFonts w:ascii="Cambria" w:hAnsi="Cambria"/>
        </w:rPr>
        <w:t>be distributed in a viable state to susceptible hosts, establish in that area and subsequently spread within Australia</w:t>
      </w:r>
      <w:r>
        <w:rPr>
          <w:rFonts w:ascii="Cambria" w:hAnsi="Cambria"/>
          <w:color w:val="000000"/>
        </w:rPr>
        <w:t xml:space="preserve"> is </w:t>
      </w:r>
      <w:r>
        <w:rPr>
          <w:rFonts w:ascii="Cambria" w:hAnsi="Cambria"/>
          <w:b/>
          <w:color w:val="000000"/>
        </w:rPr>
        <w:t>HIGH</w:t>
      </w:r>
      <w:r>
        <w:rPr>
          <w:rFonts w:ascii="Cambria" w:hAnsi="Cambria"/>
          <w:color w:val="000000"/>
        </w:rPr>
        <w:t>.</w:t>
      </w:r>
    </w:p>
    <w:p w:rsidR="00C74066" w:rsidRDefault="00F10705">
      <w:pPr>
        <w:pStyle w:val="Heading3"/>
        <w:keepLines/>
        <w:numPr>
          <w:ilvl w:val="2"/>
          <w:numId w:val="21"/>
        </w:numPr>
        <w:tabs>
          <w:tab w:val="clear" w:pos="720"/>
        </w:tabs>
        <w:spacing w:before="120" w:after="200"/>
        <w:ind w:left="357" w:hanging="357"/>
        <w:rPr>
          <w:rFonts w:ascii="Calibri" w:hAnsi="Calibri" w:cstheme="minorBidi"/>
          <w:sz w:val="24"/>
          <w:szCs w:val="22"/>
        </w:rPr>
      </w:pPr>
      <w:r>
        <w:rPr>
          <w:rFonts w:ascii="Calibri" w:hAnsi="Calibri" w:cstheme="minorBidi"/>
          <w:sz w:val="24"/>
          <w:szCs w:val="22"/>
        </w:rPr>
        <w:t>Consequences</w:t>
      </w:r>
    </w:p>
    <w:p w:rsidR="00C74066" w:rsidRDefault="00F10705">
      <w:pPr>
        <w:spacing w:before="200"/>
        <w:rPr>
          <w:rFonts w:ascii="Cambria" w:hAnsi="Cambria"/>
        </w:rPr>
      </w:pPr>
      <w:r>
        <w:rPr>
          <w:rFonts w:ascii="Cambria" w:hAnsi="Cambria"/>
        </w:rPr>
        <w:t xml:space="preserve">The potential consequences of the introduction and spread of the </w:t>
      </w:r>
      <w:r>
        <w:rPr>
          <w:rFonts w:ascii="Cambria" w:hAnsi="Cambria"/>
          <w:i/>
        </w:rPr>
        <w:t xml:space="preserve">Phytophthora </w:t>
      </w:r>
      <w:r>
        <w:rPr>
          <w:rFonts w:ascii="Cambria" w:hAnsi="Cambria"/>
        </w:rPr>
        <w:t xml:space="preserve">species in Australia have been estimated according to the methods described in Table 3. The introduction of these </w:t>
      </w:r>
      <w:r>
        <w:rPr>
          <w:rFonts w:ascii="Cambria" w:hAnsi="Cambria"/>
          <w:i/>
          <w:iCs/>
        </w:rPr>
        <w:t>Phytophthora</w:t>
      </w:r>
      <w:r>
        <w:rPr>
          <w:rFonts w:ascii="Cambria" w:hAnsi="Cambria"/>
        </w:rPr>
        <w:t xml:space="preserve"> </w:t>
      </w:r>
      <w:r>
        <w:rPr>
          <w:rFonts w:ascii="Cambria" w:hAnsi="Cambria"/>
          <w:iCs/>
        </w:rPr>
        <w:t>species</w:t>
      </w:r>
      <w:r>
        <w:rPr>
          <w:rFonts w:ascii="Cambria" w:hAnsi="Cambria"/>
        </w:rPr>
        <w:t xml:space="preserve"> will have unacceptable economic consequences in Australia as they will cause a variety of direct and indirect economic impacts. In assessing the potential impact of </w:t>
      </w:r>
      <w:r>
        <w:rPr>
          <w:rFonts w:ascii="Cambria" w:hAnsi="Cambria"/>
          <w:i/>
          <w:iCs/>
        </w:rPr>
        <w:t>Phytophthora</w:t>
      </w:r>
      <w:r>
        <w:rPr>
          <w:rFonts w:ascii="Cambria" w:hAnsi="Cambria"/>
        </w:rPr>
        <w:t xml:space="preserve"> </w:t>
      </w:r>
      <w:r>
        <w:rPr>
          <w:rFonts w:ascii="Cambria" w:hAnsi="Cambria"/>
          <w:iCs/>
        </w:rPr>
        <w:t xml:space="preserve">species </w:t>
      </w:r>
      <w:r>
        <w:rPr>
          <w:rFonts w:ascii="Cambria" w:hAnsi="Cambria"/>
        </w:rPr>
        <w:t>in Australia, the economic losses caused by these pathogens in Europe and the USA were considered.</w:t>
      </w:r>
    </w:p>
    <w:p w:rsidR="00C74066" w:rsidRDefault="00F10705">
      <w:pPr>
        <w:spacing w:before="200"/>
        <w:rPr>
          <w:rFonts w:ascii="Cambria" w:hAnsi="Cambria"/>
        </w:rPr>
      </w:pPr>
      <w:r>
        <w:rPr>
          <w:rFonts w:ascii="Cambria" w:hAnsi="Cambria"/>
        </w:rPr>
        <w:t>Reasoning for these ratings is provided below:</w:t>
      </w:r>
    </w:p>
    <w:tbl>
      <w:tblPr>
        <w:tblW w:w="4806" w:type="pct"/>
        <w:tblInd w:w="108" w:type="dxa"/>
        <w:tblBorders>
          <w:top w:val="single" w:sz="4" w:space="0" w:color="auto"/>
          <w:bottom w:val="single" w:sz="4" w:space="0" w:color="auto"/>
        </w:tblBorders>
        <w:tblLook w:val="04A0"/>
      </w:tblPr>
      <w:tblGrid>
        <w:gridCol w:w="1701"/>
        <w:gridCol w:w="7225"/>
      </w:tblGrid>
      <w:tr w:rsidR="00C74066">
        <w:trPr>
          <w:tblHeader/>
        </w:trPr>
        <w:tc>
          <w:tcPr>
            <w:tcW w:w="953" w:type="pct"/>
          </w:tcPr>
          <w:p w:rsidR="00C74066" w:rsidRDefault="00F10705">
            <w:pPr>
              <w:pStyle w:val="TableHeading"/>
              <w:rPr>
                <w:rFonts w:ascii="Cambria" w:hAnsi="Cambria"/>
              </w:rPr>
            </w:pPr>
            <w:r>
              <w:rPr>
                <w:rFonts w:ascii="Cambria" w:hAnsi="Cambria"/>
              </w:rPr>
              <w:t>Criterion</w:t>
            </w:r>
          </w:p>
        </w:tc>
        <w:tc>
          <w:tcPr>
            <w:tcW w:w="4047" w:type="pct"/>
          </w:tcPr>
          <w:p w:rsidR="00C74066" w:rsidRDefault="00F10705">
            <w:pPr>
              <w:pStyle w:val="TableHeading"/>
              <w:rPr>
                <w:rFonts w:ascii="Cambria" w:hAnsi="Cambria"/>
              </w:rPr>
            </w:pPr>
            <w:r>
              <w:rPr>
                <w:rFonts w:ascii="Cambria" w:hAnsi="Cambria"/>
              </w:rPr>
              <w:t>Estimate and rationale</w:t>
            </w:r>
          </w:p>
        </w:tc>
      </w:tr>
      <w:tr w:rsidR="00C74066">
        <w:tc>
          <w:tcPr>
            <w:tcW w:w="5000" w:type="pct"/>
            <w:gridSpan w:val="2"/>
          </w:tcPr>
          <w:p w:rsidR="00C74066" w:rsidRPr="00FF108F" w:rsidRDefault="00F10705">
            <w:pPr>
              <w:pStyle w:val="TableText"/>
              <w:rPr>
                <w:rFonts w:ascii="Cambria" w:hAnsi="Cambria"/>
                <w:b/>
              </w:rPr>
            </w:pPr>
            <w:r w:rsidRPr="00FF108F">
              <w:rPr>
                <w:rFonts w:ascii="Cambria" w:hAnsi="Cambria"/>
                <w:b/>
              </w:rPr>
              <w:t>Direct</w:t>
            </w:r>
          </w:p>
        </w:tc>
      </w:tr>
      <w:tr w:rsidR="00C74066">
        <w:tc>
          <w:tcPr>
            <w:tcW w:w="953" w:type="pct"/>
          </w:tcPr>
          <w:p w:rsidR="00C74066" w:rsidRDefault="00F10705">
            <w:pPr>
              <w:pStyle w:val="TableText"/>
              <w:rPr>
                <w:rFonts w:ascii="Cambria" w:hAnsi="Cambria"/>
              </w:rPr>
            </w:pPr>
            <w:r>
              <w:rPr>
                <w:rFonts w:ascii="Cambria" w:hAnsi="Cambria"/>
              </w:rPr>
              <w:t>Plant life or health</w:t>
            </w:r>
          </w:p>
        </w:tc>
        <w:tc>
          <w:tcPr>
            <w:tcW w:w="4047" w:type="pct"/>
          </w:tcPr>
          <w:p w:rsidR="00C74066" w:rsidRDefault="00F10705">
            <w:pPr>
              <w:pStyle w:val="TableText"/>
              <w:rPr>
                <w:rFonts w:ascii="Cambria" w:hAnsi="Cambria"/>
              </w:rPr>
            </w:pPr>
            <w:r>
              <w:rPr>
                <w:rFonts w:ascii="Cambria" w:hAnsi="Cambria"/>
              </w:rPr>
              <w:t>E – Significant at the regional level</w:t>
            </w:r>
          </w:p>
          <w:p w:rsidR="00C74066" w:rsidRDefault="00F10705">
            <w:pPr>
              <w:pStyle w:val="TableText"/>
              <w:rPr>
                <w:rFonts w:ascii="Cambria" w:hAnsi="Cambria"/>
              </w:rPr>
            </w:pPr>
            <w:r>
              <w:rPr>
                <w:rFonts w:ascii="Cambria" w:hAnsi="Cambria" w:cs="Helvetica"/>
                <w:i/>
                <w:iCs/>
                <w:szCs w:val="18"/>
              </w:rPr>
              <w:t>Phytophthora ramorum</w:t>
            </w:r>
            <w:r>
              <w:rPr>
                <w:rFonts w:ascii="Cambria" w:hAnsi="Cambria" w:cs="Helvetica"/>
                <w:szCs w:val="18"/>
              </w:rPr>
              <w:t xml:space="preserve"> is one of the most destructive pathogens of oak and other host plants as it can destroy susceptible hosts within a short period of time (Rizzo </w:t>
            </w:r>
            <w:r>
              <w:rPr>
                <w:rFonts w:ascii="Cambria" w:hAnsi="Cambria" w:cs="Helvetica"/>
                <w:iCs/>
                <w:szCs w:val="18"/>
              </w:rPr>
              <w:t>et al</w:t>
            </w:r>
            <w:r>
              <w:rPr>
                <w:rFonts w:ascii="Cambria" w:hAnsi="Cambria" w:cs="Helvetica"/>
                <w:szCs w:val="18"/>
              </w:rPr>
              <w:t xml:space="preserve">. 2002b; Ivors </w:t>
            </w:r>
            <w:r>
              <w:rPr>
                <w:rFonts w:ascii="Cambria" w:hAnsi="Cambria" w:cs="Helvetica"/>
                <w:iCs/>
                <w:szCs w:val="18"/>
              </w:rPr>
              <w:t>et al</w:t>
            </w:r>
            <w:r>
              <w:rPr>
                <w:rFonts w:ascii="Cambria" w:hAnsi="Cambria" w:cs="Helvetica"/>
                <w:szCs w:val="18"/>
              </w:rPr>
              <w:t xml:space="preserve">. 2004). </w:t>
            </w:r>
            <w:r>
              <w:rPr>
                <w:rFonts w:ascii="Cambria" w:hAnsi="Cambria" w:cs="Helvetica"/>
                <w:i/>
                <w:iCs/>
                <w:szCs w:val="18"/>
              </w:rPr>
              <w:t xml:space="preserve">Phytophthora ramorum </w:t>
            </w:r>
            <w:r>
              <w:rPr>
                <w:rFonts w:ascii="Cambria" w:hAnsi="Cambria" w:cs="Helvetica"/>
                <w:szCs w:val="18"/>
              </w:rPr>
              <w:t>has the potential to cause economic consequences as it attacks hosts with significant commercial value and directly causes tree mortality.</w:t>
            </w:r>
          </w:p>
          <w:p w:rsidR="00C74066" w:rsidRDefault="00F10705">
            <w:pPr>
              <w:pStyle w:val="TableBullet"/>
              <w:ind w:left="284" w:hanging="284"/>
              <w:rPr>
                <w:rFonts w:ascii="Cambria" w:hAnsi="Cambria" w:cs="Helvetica"/>
                <w:szCs w:val="18"/>
              </w:rPr>
            </w:pPr>
            <w:r>
              <w:rPr>
                <w:rFonts w:ascii="Cambria" w:hAnsi="Cambria" w:cs="Helvetica"/>
                <w:i/>
                <w:iCs/>
                <w:szCs w:val="18"/>
              </w:rPr>
              <w:t xml:space="preserve">Phytophthora ramorum </w:t>
            </w:r>
            <w:r>
              <w:rPr>
                <w:rFonts w:ascii="Cambria" w:hAnsi="Cambria" w:cs="Helvetica"/>
                <w:szCs w:val="18"/>
              </w:rPr>
              <w:t xml:space="preserve">is capable of killing healthy mature oak, tanoak, Japanese larch, wild </w:t>
            </w:r>
            <w:r>
              <w:rPr>
                <w:rFonts w:ascii="Cambria" w:hAnsi="Cambria" w:cs="Helvetica"/>
                <w:i/>
                <w:szCs w:val="18"/>
              </w:rPr>
              <w:t xml:space="preserve">Rhododendron </w:t>
            </w:r>
            <w:r>
              <w:rPr>
                <w:rFonts w:ascii="Cambria" w:hAnsi="Cambria" w:cs="Helvetica"/>
                <w:szCs w:val="18"/>
              </w:rPr>
              <w:t xml:space="preserve">species, evergreen huckleberries and </w:t>
            </w:r>
            <w:r>
              <w:rPr>
                <w:rFonts w:ascii="Cambria" w:hAnsi="Cambria" w:cs="Helvetica"/>
                <w:i/>
                <w:iCs/>
                <w:szCs w:val="18"/>
              </w:rPr>
              <w:t xml:space="preserve">Viburnum </w:t>
            </w:r>
            <w:r>
              <w:rPr>
                <w:rFonts w:ascii="Cambria" w:hAnsi="Cambria" w:cs="Helvetica"/>
                <w:szCs w:val="18"/>
              </w:rPr>
              <w:t xml:space="preserve">species. Thousands of </w:t>
            </w:r>
            <w:r>
              <w:rPr>
                <w:rFonts w:ascii="Cambria" w:hAnsi="Cambria" w:cs="Helvetica"/>
                <w:i/>
                <w:iCs/>
                <w:szCs w:val="18"/>
              </w:rPr>
              <w:t>Lithocarpus</w:t>
            </w:r>
            <w:r>
              <w:rPr>
                <w:rFonts w:ascii="Cambria" w:hAnsi="Cambria" w:cs="Helvetica"/>
                <w:szCs w:val="18"/>
              </w:rPr>
              <w:t xml:space="preserve"> and </w:t>
            </w:r>
            <w:r>
              <w:rPr>
                <w:rFonts w:ascii="Cambria" w:hAnsi="Cambria" w:cs="Helvetica"/>
                <w:i/>
                <w:iCs/>
                <w:szCs w:val="18"/>
              </w:rPr>
              <w:t>Quercus</w:t>
            </w:r>
            <w:r>
              <w:rPr>
                <w:rFonts w:ascii="Cambria" w:hAnsi="Cambria" w:cs="Helvetica"/>
                <w:szCs w:val="18"/>
              </w:rPr>
              <w:t xml:space="preserve"> species plants have been killed in California and Oregon, USA (Rizzo </w:t>
            </w:r>
            <w:r>
              <w:rPr>
                <w:rFonts w:ascii="Cambria" w:hAnsi="Cambria" w:cs="Helvetica"/>
                <w:iCs/>
                <w:szCs w:val="18"/>
              </w:rPr>
              <w:t>et al</w:t>
            </w:r>
            <w:r>
              <w:rPr>
                <w:rFonts w:ascii="Cambria" w:hAnsi="Cambria" w:cs="Helvetica"/>
                <w:szCs w:val="18"/>
              </w:rPr>
              <w:t xml:space="preserve">. 2005). Direct mortality has also been recorded in </w:t>
            </w:r>
            <w:r>
              <w:rPr>
                <w:rFonts w:ascii="Cambria" w:hAnsi="Cambria" w:cs="Helvetica"/>
                <w:i/>
                <w:iCs/>
                <w:szCs w:val="18"/>
              </w:rPr>
              <w:t>Arbutus, Fagus, Rhododendron</w:t>
            </w:r>
            <w:r>
              <w:rPr>
                <w:rFonts w:ascii="Cambria" w:hAnsi="Cambria" w:cs="Helvetica"/>
                <w:szCs w:val="18"/>
              </w:rPr>
              <w:t xml:space="preserve"> and</w:t>
            </w:r>
            <w:r>
              <w:rPr>
                <w:rFonts w:ascii="Cambria" w:hAnsi="Cambria" w:cs="Helvetica"/>
                <w:i/>
                <w:iCs/>
                <w:szCs w:val="18"/>
              </w:rPr>
              <w:t xml:space="preserve"> Vaccinium </w:t>
            </w:r>
            <w:r>
              <w:rPr>
                <w:rFonts w:ascii="Cambria" w:hAnsi="Cambria" w:cs="Helvetica"/>
                <w:szCs w:val="18"/>
              </w:rPr>
              <w:t>species. This pathogen also causes tip dieback on several hosts, and disfiguring leaf spots on several common nursery species, thereby rendering the plants unmarketable.</w:t>
            </w:r>
          </w:p>
          <w:p w:rsidR="00C74066" w:rsidRDefault="00F10705">
            <w:pPr>
              <w:pStyle w:val="TableBullet"/>
              <w:ind w:left="284" w:hanging="284"/>
              <w:rPr>
                <w:rFonts w:ascii="Cambria" w:hAnsi="Cambria"/>
              </w:rPr>
            </w:pPr>
            <w:r>
              <w:rPr>
                <w:rFonts w:ascii="Cambria" w:hAnsi="Cambria" w:cs="Helvetica"/>
                <w:szCs w:val="18"/>
              </w:rPr>
              <w:t>Many of the primary species in plantation and native forests, on which the Australian timber industry is based (</w:t>
            </w:r>
            <w:r>
              <w:rPr>
                <w:rFonts w:ascii="Cambria" w:hAnsi="Cambria" w:cs="Helvetica"/>
                <w:i/>
                <w:iCs/>
                <w:szCs w:val="18"/>
              </w:rPr>
              <w:t>Eucalyptus</w:t>
            </w:r>
            <w:r>
              <w:rPr>
                <w:rFonts w:ascii="Cambria" w:hAnsi="Cambria" w:cs="Helvetica"/>
                <w:iCs/>
                <w:szCs w:val="18"/>
              </w:rPr>
              <w:t xml:space="preserve"> and</w:t>
            </w:r>
            <w:r>
              <w:rPr>
                <w:rFonts w:ascii="Cambria" w:hAnsi="Cambria" w:cs="Helvetica"/>
                <w:i/>
                <w:iCs/>
                <w:szCs w:val="18"/>
              </w:rPr>
              <w:t xml:space="preserve"> Pinus </w:t>
            </w:r>
            <w:r>
              <w:rPr>
                <w:rFonts w:ascii="Cambria" w:hAnsi="Cambria" w:cs="Helvetica"/>
                <w:szCs w:val="18"/>
              </w:rPr>
              <w:t xml:space="preserve">species), are known hosts of </w:t>
            </w:r>
            <w:r>
              <w:rPr>
                <w:rFonts w:ascii="Cambria" w:hAnsi="Cambria" w:cs="Helvetica"/>
                <w:i/>
                <w:iCs/>
                <w:color w:val="000000" w:themeColor="text1"/>
                <w:szCs w:val="18"/>
              </w:rPr>
              <w:t>P. ramorum</w:t>
            </w:r>
            <w:r>
              <w:rPr>
                <w:rFonts w:ascii="Cambria" w:hAnsi="Cambria" w:cs="Helvetica"/>
                <w:szCs w:val="18"/>
              </w:rPr>
              <w:t xml:space="preserve">. </w:t>
            </w:r>
            <w:r>
              <w:rPr>
                <w:rFonts w:ascii="Cambria" w:hAnsi="Cambria" w:cs="Helvetica"/>
                <w:i/>
                <w:iCs/>
                <w:szCs w:val="18"/>
              </w:rPr>
              <w:t xml:space="preserve"> </w:t>
            </w:r>
          </w:p>
          <w:p w:rsidR="00C74066" w:rsidRDefault="00F10705">
            <w:pPr>
              <w:pStyle w:val="TableBullet"/>
              <w:ind w:left="284" w:hanging="284"/>
              <w:rPr>
                <w:rFonts w:ascii="Cambria" w:hAnsi="Cambria"/>
              </w:rPr>
            </w:pPr>
            <w:r>
              <w:rPr>
                <w:rFonts w:ascii="Cambria" w:hAnsi="Cambria" w:cs="Helvetica"/>
                <w:szCs w:val="18"/>
              </w:rPr>
              <w:t xml:space="preserve">The host range of </w:t>
            </w:r>
            <w:r>
              <w:rPr>
                <w:rFonts w:ascii="Cambria" w:hAnsi="Cambria" w:cs="Helvetica"/>
                <w:i/>
                <w:iCs/>
                <w:color w:val="000000" w:themeColor="text1"/>
                <w:szCs w:val="18"/>
              </w:rPr>
              <w:t xml:space="preserve">P. ramorum </w:t>
            </w:r>
            <w:r>
              <w:rPr>
                <w:rFonts w:ascii="Cambria" w:hAnsi="Cambria" w:cs="Helvetica"/>
                <w:szCs w:val="18"/>
              </w:rPr>
              <w:t>includes many important species from Australia’s horticultural industries, such as the blackberry (</w:t>
            </w:r>
            <w:r>
              <w:rPr>
                <w:rFonts w:ascii="Cambria" w:hAnsi="Cambria" w:cs="Helvetica"/>
                <w:i/>
                <w:szCs w:val="18"/>
              </w:rPr>
              <w:t>Rubus</w:t>
            </w:r>
            <w:r>
              <w:rPr>
                <w:rFonts w:ascii="Cambria" w:hAnsi="Cambria" w:cs="Helvetica"/>
                <w:szCs w:val="18"/>
              </w:rPr>
              <w:t xml:space="preserve"> species), blueberry (</w:t>
            </w:r>
            <w:r>
              <w:rPr>
                <w:rFonts w:ascii="Cambria" w:hAnsi="Cambria" w:cs="Helvetica"/>
                <w:i/>
                <w:iCs/>
                <w:szCs w:val="18"/>
              </w:rPr>
              <w:t xml:space="preserve">Viburnum </w:t>
            </w:r>
            <w:r>
              <w:rPr>
                <w:rFonts w:ascii="Cambria" w:hAnsi="Cambria" w:cs="Helvetica"/>
                <w:szCs w:val="18"/>
              </w:rPr>
              <w:t>species), chestnut (</w:t>
            </w:r>
            <w:r>
              <w:rPr>
                <w:rFonts w:ascii="Cambria" w:hAnsi="Cambria" w:cs="Helvetica"/>
                <w:i/>
                <w:iCs/>
                <w:szCs w:val="18"/>
              </w:rPr>
              <w:t xml:space="preserve">Castanea </w:t>
            </w:r>
            <w:r>
              <w:rPr>
                <w:rFonts w:ascii="Cambria" w:hAnsi="Cambria" w:cs="Helvetica"/>
                <w:iCs/>
                <w:szCs w:val="18"/>
              </w:rPr>
              <w:t>species</w:t>
            </w:r>
            <w:r>
              <w:rPr>
                <w:rFonts w:ascii="Cambria" w:hAnsi="Cambria" w:cs="Helvetica"/>
                <w:szCs w:val="18"/>
              </w:rPr>
              <w:t>) and custard apple (</w:t>
            </w:r>
            <w:r>
              <w:rPr>
                <w:rFonts w:ascii="Cambria" w:hAnsi="Cambria" w:cs="Helvetica"/>
                <w:i/>
                <w:iCs/>
                <w:szCs w:val="18"/>
              </w:rPr>
              <w:t xml:space="preserve">Annona </w:t>
            </w:r>
            <w:r>
              <w:rPr>
                <w:rFonts w:ascii="Cambria" w:hAnsi="Cambria" w:cs="Helvetica"/>
                <w:iCs/>
                <w:szCs w:val="18"/>
              </w:rPr>
              <w:t>species</w:t>
            </w:r>
            <w:r>
              <w:rPr>
                <w:rFonts w:ascii="Cambria" w:hAnsi="Cambria" w:cs="Helvetica"/>
                <w:szCs w:val="18"/>
              </w:rPr>
              <w:t xml:space="preserve">) industries. For example, </w:t>
            </w:r>
            <w:r>
              <w:rPr>
                <w:rFonts w:ascii="Cambria" w:hAnsi="Cambria" w:cs="Helvetica"/>
                <w:i/>
                <w:iCs/>
                <w:szCs w:val="18"/>
              </w:rPr>
              <w:t>Castanea sativa</w:t>
            </w:r>
            <w:r>
              <w:rPr>
                <w:rFonts w:ascii="Cambria" w:hAnsi="Cambria" w:cs="Helvetica"/>
                <w:szCs w:val="18"/>
              </w:rPr>
              <w:t xml:space="preserve"> is commercially grown for the production of sweet chestnuts and gourmet mushrooms.</w:t>
            </w:r>
          </w:p>
          <w:p w:rsidR="00C74066" w:rsidRDefault="00F10705">
            <w:pPr>
              <w:pStyle w:val="TableBullet"/>
              <w:ind w:left="284" w:hanging="284"/>
              <w:rPr>
                <w:rFonts w:ascii="Cambria" w:hAnsi="Cambria"/>
              </w:rPr>
            </w:pPr>
            <w:r>
              <w:rPr>
                <w:rFonts w:ascii="Cambria" w:hAnsi="Cambria" w:cs="Helvetica"/>
                <w:iCs/>
                <w:szCs w:val="18"/>
              </w:rPr>
              <w:t>Susceptible</w:t>
            </w:r>
            <w:r>
              <w:rPr>
                <w:rFonts w:ascii="Cambria" w:hAnsi="Cambria" w:cs="Helvetica"/>
                <w:szCs w:val="18"/>
              </w:rPr>
              <w:t xml:space="preserve"> hosts include plants of importance to the nursery industry with amenity value in parks and gardens (</w:t>
            </w:r>
            <w:r>
              <w:rPr>
                <w:rFonts w:ascii="Cambria" w:hAnsi="Cambria" w:cs="Helvetica"/>
                <w:i/>
                <w:iCs/>
                <w:szCs w:val="18"/>
              </w:rPr>
              <w:t>Acer, Quercus, Pieris,</w:t>
            </w:r>
            <w:r>
              <w:rPr>
                <w:rFonts w:ascii="Cambria" w:hAnsi="Cambria" w:cs="Helvetica"/>
                <w:szCs w:val="18"/>
              </w:rPr>
              <w:t xml:space="preserve"> </w:t>
            </w:r>
            <w:r>
              <w:rPr>
                <w:rFonts w:ascii="Cambria" w:hAnsi="Cambria" w:cs="Helvetica"/>
                <w:i/>
                <w:iCs/>
                <w:szCs w:val="18"/>
              </w:rPr>
              <w:t xml:space="preserve">Prunus </w:t>
            </w:r>
            <w:r>
              <w:rPr>
                <w:rFonts w:ascii="Cambria" w:hAnsi="Cambria" w:cs="Helvetica"/>
                <w:iCs/>
                <w:szCs w:val="18"/>
              </w:rPr>
              <w:t>and</w:t>
            </w:r>
            <w:r>
              <w:rPr>
                <w:rFonts w:ascii="Cambria" w:hAnsi="Cambria" w:cs="Helvetica"/>
                <w:i/>
                <w:iCs/>
                <w:szCs w:val="18"/>
              </w:rPr>
              <w:t xml:space="preserve"> Rosa</w:t>
            </w:r>
            <w:r>
              <w:rPr>
                <w:rFonts w:ascii="Cambria" w:hAnsi="Cambria" w:cs="Helvetica"/>
                <w:szCs w:val="18"/>
              </w:rPr>
              <w:t xml:space="preserve"> species). Some highly prized</w:t>
            </w:r>
            <w:r>
              <w:rPr>
                <w:rFonts w:ascii="Cambria" w:hAnsi="Cambria" w:cs="Helvetica"/>
                <w:i/>
                <w:iCs/>
                <w:szCs w:val="18"/>
              </w:rPr>
              <w:t xml:space="preserve"> </w:t>
            </w:r>
            <w:r>
              <w:rPr>
                <w:rFonts w:ascii="Cambria" w:hAnsi="Cambria" w:cs="Helvetica"/>
                <w:szCs w:val="18"/>
              </w:rPr>
              <w:t xml:space="preserve">ornamentals are of key epidemiological importance for </w:t>
            </w:r>
            <w:r>
              <w:rPr>
                <w:rFonts w:ascii="Cambria" w:hAnsi="Cambria" w:cs="Helvetica"/>
                <w:i/>
                <w:szCs w:val="18"/>
              </w:rPr>
              <w:t xml:space="preserve">P. ramorum </w:t>
            </w:r>
            <w:r>
              <w:rPr>
                <w:rFonts w:ascii="Cambria" w:hAnsi="Cambria" w:cs="Helvetica"/>
                <w:szCs w:val="18"/>
              </w:rPr>
              <w:t>(</w:t>
            </w:r>
            <w:r>
              <w:rPr>
                <w:rFonts w:ascii="Cambria" w:hAnsi="Cambria" w:cs="Helvetica"/>
                <w:i/>
                <w:iCs/>
                <w:szCs w:val="18"/>
              </w:rPr>
              <w:t xml:space="preserve">Camellia, Rhododendron </w:t>
            </w:r>
            <w:r>
              <w:rPr>
                <w:rFonts w:ascii="Cambria" w:hAnsi="Cambria" w:cs="Helvetica"/>
                <w:iCs/>
                <w:szCs w:val="18"/>
              </w:rPr>
              <w:t>and</w:t>
            </w:r>
            <w:r>
              <w:rPr>
                <w:rFonts w:ascii="Cambria" w:hAnsi="Cambria" w:cs="Helvetica"/>
                <w:i/>
                <w:iCs/>
                <w:szCs w:val="18"/>
              </w:rPr>
              <w:t xml:space="preserve"> Viburnum</w:t>
            </w:r>
            <w:r>
              <w:rPr>
                <w:rFonts w:ascii="Cambria" w:hAnsi="Cambria" w:cs="Helvetica"/>
                <w:szCs w:val="18"/>
              </w:rPr>
              <w:t xml:space="preserve"> species). </w:t>
            </w:r>
            <w:r>
              <w:rPr>
                <w:rFonts w:ascii="Cambria" w:hAnsi="Cambria" w:cs="Helvetica"/>
                <w:i/>
                <w:iCs/>
                <w:szCs w:val="18"/>
              </w:rPr>
              <w:t xml:space="preserve">Phytophthora ramorum </w:t>
            </w:r>
            <w:r>
              <w:rPr>
                <w:rFonts w:ascii="Cambria" w:hAnsi="Cambria" w:cs="Helvetica"/>
                <w:iCs/>
                <w:szCs w:val="18"/>
              </w:rPr>
              <w:t>may also have a</w:t>
            </w:r>
            <w:r>
              <w:rPr>
                <w:rFonts w:ascii="Cambria" w:hAnsi="Cambria" w:cs="Helvetica"/>
                <w:szCs w:val="18"/>
              </w:rPr>
              <w:t>dverse effects on the health of trees of historic importance in town streetscapes, cemeteries and churchyards (</w:t>
            </w:r>
            <w:r>
              <w:rPr>
                <w:rFonts w:ascii="Cambria" w:hAnsi="Cambria" w:cs="Helvetica"/>
                <w:i/>
                <w:iCs/>
                <w:szCs w:val="18"/>
              </w:rPr>
              <w:t xml:space="preserve">Taxus </w:t>
            </w:r>
            <w:r>
              <w:rPr>
                <w:rFonts w:ascii="Cambria" w:hAnsi="Cambria" w:cs="Helvetica"/>
                <w:szCs w:val="18"/>
              </w:rPr>
              <w:t>species).</w:t>
            </w:r>
          </w:p>
          <w:p w:rsidR="00C74066" w:rsidRDefault="00F10705">
            <w:pPr>
              <w:pStyle w:val="TableBullet"/>
              <w:ind w:left="284" w:hanging="284"/>
              <w:rPr>
                <w:rFonts w:ascii="Cambria" w:hAnsi="Cambria"/>
              </w:rPr>
            </w:pPr>
            <w:r>
              <w:rPr>
                <w:rFonts w:ascii="Cambria" w:hAnsi="Cambria" w:cs="Helvetica"/>
                <w:szCs w:val="18"/>
              </w:rPr>
              <w:t xml:space="preserve">The economic impact on plant life or health may depend on the extent of symptom </w:t>
            </w:r>
            <w:r>
              <w:rPr>
                <w:rFonts w:ascii="Cambria" w:hAnsi="Cambria" w:cs="Helvetica"/>
                <w:szCs w:val="18"/>
              </w:rPr>
              <w:lastRenderedPageBreak/>
              <w:t>expression on Australian species of commercial value. Evidence to date suggests that direct host mortality may be restricted to canker hosts in Fagaceae, and shoot dieback hosts in Ericaceae and Pinaceae. In hosts belonging to other families, twig and leaf infections are more common, enhancing the spread of the pathogen. This can result in yield reductions and enhanced susceptibility to other stresses.</w:t>
            </w:r>
          </w:p>
        </w:tc>
      </w:tr>
      <w:tr w:rsidR="00C74066">
        <w:tc>
          <w:tcPr>
            <w:tcW w:w="953" w:type="pct"/>
          </w:tcPr>
          <w:p w:rsidR="00C74066" w:rsidRDefault="00F10705">
            <w:pPr>
              <w:pStyle w:val="TableText"/>
              <w:rPr>
                <w:rFonts w:ascii="Cambria" w:hAnsi="Cambria"/>
              </w:rPr>
            </w:pPr>
            <w:r>
              <w:rPr>
                <w:rFonts w:ascii="Cambria" w:hAnsi="Cambria"/>
              </w:rPr>
              <w:lastRenderedPageBreak/>
              <w:t>Other aspects of the environment</w:t>
            </w:r>
          </w:p>
        </w:tc>
        <w:tc>
          <w:tcPr>
            <w:tcW w:w="4047" w:type="pct"/>
          </w:tcPr>
          <w:p w:rsidR="00C74066" w:rsidRDefault="00F8157E">
            <w:pPr>
              <w:pStyle w:val="TableText"/>
              <w:rPr>
                <w:rFonts w:ascii="Cambria" w:hAnsi="Cambria"/>
              </w:rPr>
            </w:pPr>
            <w:r>
              <w:rPr>
                <w:rFonts w:ascii="Cambria" w:hAnsi="Cambria"/>
              </w:rPr>
              <w:t>F</w:t>
            </w:r>
            <w:r w:rsidR="00F10705">
              <w:rPr>
                <w:rFonts w:ascii="Cambria" w:hAnsi="Cambria"/>
              </w:rPr>
              <w:t xml:space="preserve"> – </w:t>
            </w:r>
            <w:r>
              <w:rPr>
                <w:rFonts w:ascii="Cambria" w:hAnsi="Cambria"/>
              </w:rPr>
              <w:t>Major s</w:t>
            </w:r>
            <w:r w:rsidR="00F10705">
              <w:rPr>
                <w:rFonts w:ascii="Cambria" w:hAnsi="Cambria"/>
              </w:rPr>
              <w:t>ignifican</w:t>
            </w:r>
            <w:r>
              <w:rPr>
                <w:rFonts w:ascii="Cambria" w:hAnsi="Cambria"/>
              </w:rPr>
              <w:t>ce</w:t>
            </w:r>
            <w:r w:rsidR="00F10705">
              <w:rPr>
                <w:rFonts w:ascii="Cambria" w:hAnsi="Cambria"/>
              </w:rPr>
              <w:t xml:space="preserve"> at regional level</w:t>
            </w:r>
          </w:p>
          <w:p w:rsidR="00C74066" w:rsidRDefault="00F10705">
            <w:pPr>
              <w:pStyle w:val="TableText"/>
              <w:rPr>
                <w:rFonts w:ascii="Cambria" w:hAnsi="Cambria" w:cs="Helvetica"/>
                <w:color w:val="000000" w:themeColor="text1"/>
                <w:szCs w:val="18"/>
              </w:rPr>
            </w:pPr>
            <w:r>
              <w:rPr>
                <w:rFonts w:ascii="Cambria" w:hAnsi="Cambria" w:cs="Helvetica"/>
                <w:color w:val="000000" w:themeColor="text1"/>
                <w:szCs w:val="18"/>
              </w:rPr>
              <w:t>Heavy loss of oaks, or related susceptible genera, could result in significant ecological effects, including changes in forest composition, loss of wildlife, reduced food and habitat availability, increased soil erosion and a significant increase in fuel loads in heavily populated urban-forest interfaces.</w:t>
            </w:r>
          </w:p>
          <w:p w:rsidR="00C74066" w:rsidRDefault="00F10705">
            <w:pPr>
              <w:pStyle w:val="TableBullet"/>
              <w:ind w:left="284" w:hanging="284"/>
              <w:rPr>
                <w:rFonts w:ascii="Cambria" w:hAnsi="Cambria" w:cs="Helvetica"/>
                <w:color w:val="000000" w:themeColor="text1"/>
                <w:szCs w:val="18"/>
              </w:rPr>
            </w:pPr>
            <w:r>
              <w:rPr>
                <w:rFonts w:ascii="Cambria" w:hAnsi="Cambria" w:cs="Helvetica"/>
                <w:color w:val="000000" w:themeColor="text1"/>
                <w:szCs w:val="18"/>
              </w:rPr>
              <w:t xml:space="preserve">Loss of dominant trees and a reduction in cover may reduce the habitat for wildlife (Cave </w:t>
            </w:r>
            <w:r>
              <w:rPr>
                <w:rFonts w:ascii="Cambria" w:hAnsi="Cambria" w:cs="Helvetica"/>
                <w:iCs/>
                <w:color w:val="000000" w:themeColor="text1"/>
                <w:szCs w:val="18"/>
              </w:rPr>
              <w:t>et al</w:t>
            </w:r>
            <w:r>
              <w:rPr>
                <w:rFonts w:ascii="Cambria" w:hAnsi="Cambria" w:cs="Helvetica"/>
                <w:color w:val="000000" w:themeColor="text1"/>
                <w:szCs w:val="18"/>
              </w:rPr>
              <w:t>. 2005) and enhance weed invasion and erosion (CABI 2014). Such complex interactions are also likely in Australian sclerophyll communities, and will complicate the management of Australian ecosystems for the delivery of multiple services.</w:t>
            </w:r>
          </w:p>
          <w:p w:rsidR="00C74066" w:rsidRDefault="00F10705">
            <w:pPr>
              <w:pStyle w:val="TableBullet"/>
              <w:ind w:left="284" w:hanging="284"/>
              <w:rPr>
                <w:rFonts w:ascii="Cambria" w:hAnsi="Cambria" w:cs="Helvetica"/>
                <w:color w:val="000000" w:themeColor="text1"/>
                <w:szCs w:val="18"/>
              </w:rPr>
            </w:pPr>
            <w:r>
              <w:rPr>
                <w:rFonts w:ascii="Cambria" w:hAnsi="Cambria"/>
                <w:i/>
                <w:szCs w:val="18"/>
              </w:rPr>
              <w:t>P</w:t>
            </w:r>
            <w:r>
              <w:rPr>
                <w:rFonts w:ascii="Cambria" w:hAnsi="Cambria" w:cs="Helvetica"/>
                <w:i/>
                <w:iCs/>
                <w:szCs w:val="18"/>
              </w:rPr>
              <w:t>hytophthora</w:t>
            </w:r>
            <w:r>
              <w:rPr>
                <w:rFonts w:ascii="Cambria" w:hAnsi="Cambria"/>
                <w:i/>
                <w:szCs w:val="18"/>
              </w:rPr>
              <w:t xml:space="preserve"> ramorum</w:t>
            </w:r>
            <w:r>
              <w:rPr>
                <w:rFonts w:ascii="Cambria" w:hAnsi="Cambria"/>
                <w:szCs w:val="18"/>
              </w:rPr>
              <w:t xml:space="preserve"> has a wide host range including eleven genera (</w:t>
            </w:r>
            <w:r>
              <w:rPr>
                <w:rFonts w:ascii="Cambria" w:hAnsi="Cambria"/>
                <w:i/>
                <w:szCs w:val="18"/>
              </w:rPr>
              <w:t xml:space="preserve">Adiantum, Cinnamomum, Dryopteris, Eucalyptus, Euonymus, Gaultheria, Ilex, Nothofagus, Pittosporum, Rhododendron </w:t>
            </w:r>
            <w:r>
              <w:rPr>
                <w:rFonts w:ascii="Cambria" w:hAnsi="Cambria"/>
                <w:szCs w:val="18"/>
              </w:rPr>
              <w:t>and</w:t>
            </w:r>
            <w:r>
              <w:rPr>
                <w:rFonts w:ascii="Cambria" w:hAnsi="Cambria"/>
                <w:i/>
                <w:szCs w:val="18"/>
              </w:rPr>
              <w:t xml:space="preserve"> Rubus</w:t>
            </w:r>
            <w:r>
              <w:rPr>
                <w:rFonts w:ascii="Cambria" w:hAnsi="Cambria"/>
                <w:szCs w:val="18"/>
              </w:rPr>
              <w:t xml:space="preserve">) native to Australia. Some of these are major components of Australian ecosystems and production forests. Major native vegetation types present in suitable climate regions in which species susceptible to </w:t>
            </w:r>
            <w:r>
              <w:rPr>
                <w:rFonts w:ascii="Cambria" w:hAnsi="Cambria"/>
                <w:i/>
                <w:szCs w:val="18"/>
              </w:rPr>
              <w:t>P. ramorum</w:t>
            </w:r>
            <w:r>
              <w:rPr>
                <w:rFonts w:ascii="Cambria" w:hAnsi="Cambria"/>
                <w:szCs w:val="18"/>
              </w:rPr>
              <w:t xml:space="preserve"> are dominant include Eucalypt tall open forests, Eucalypt open forests, Eucalypt low open forests, Eucalypt woodlands, Eucalypt open woodlands, Mallee woodlands and heath. Many of these vegetation types have been extensively cleared and are highly fragmented, which may make them more susceptible to invasion by </w:t>
            </w:r>
            <w:r>
              <w:rPr>
                <w:rFonts w:ascii="Cambria" w:hAnsi="Cambria"/>
                <w:i/>
                <w:szCs w:val="18"/>
              </w:rPr>
              <w:t>P. ramorum</w:t>
            </w:r>
            <w:r>
              <w:rPr>
                <w:rFonts w:ascii="Cambria" w:hAnsi="Cambria"/>
                <w:szCs w:val="18"/>
              </w:rPr>
              <w:t>.</w:t>
            </w:r>
          </w:p>
          <w:p w:rsidR="00C74066" w:rsidRDefault="00F10705">
            <w:pPr>
              <w:pStyle w:val="TableBullet"/>
              <w:ind w:left="284" w:hanging="284"/>
              <w:rPr>
                <w:rFonts w:ascii="Cambria" w:hAnsi="Cambria" w:cs="Helvetica"/>
                <w:color w:val="000000" w:themeColor="text1"/>
                <w:szCs w:val="18"/>
              </w:rPr>
            </w:pPr>
            <w:r>
              <w:rPr>
                <w:rFonts w:ascii="Cambria" w:hAnsi="Cambria" w:cs="Helvetica"/>
                <w:color w:val="000000" w:themeColor="text1"/>
                <w:szCs w:val="18"/>
              </w:rPr>
              <w:t xml:space="preserve">There is a relationship between </w:t>
            </w:r>
            <w:r>
              <w:rPr>
                <w:rFonts w:ascii="Cambria" w:hAnsi="Cambria" w:cs="Helvetica"/>
                <w:i/>
                <w:iCs/>
                <w:color w:val="000000" w:themeColor="text1"/>
                <w:szCs w:val="18"/>
              </w:rPr>
              <w:t xml:space="preserve">P. ramorum </w:t>
            </w:r>
            <w:r>
              <w:rPr>
                <w:rFonts w:ascii="Cambria" w:hAnsi="Cambria" w:cs="Helvetica"/>
                <w:color w:val="000000" w:themeColor="text1"/>
                <w:szCs w:val="18"/>
              </w:rPr>
              <w:t xml:space="preserve">and fire in forests in regions of the USA with a Mediterranean climate. Foliar moisture contents of infected tanoak is lower (Kuljian &amp; Varner 2010) and this lower moisture content increases the risk of canopy fires (Kuljian &amp; Varner 2010). In addition to moisture decreases in the foliage, there is an increase in deadwood and fuels (Metz </w:t>
            </w:r>
            <w:r>
              <w:rPr>
                <w:rFonts w:ascii="Cambria" w:hAnsi="Cambria" w:cs="Helvetica"/>
                <w:iCs/>
                <w:color w:val="000000" w:themeColor="text1"/>
                <w:szCs w:val="18"/>
              </w:rPr>
              <w:t>et al</w:t>
            </w:r>
            <w:r>
              <w:rPr>
                <w:rFonts w:ascii="Cambria" w:hAnsi="Cambria" w:cs="Helvetica"/>
                <w:color w:val="000000" w:themeColor="text1"/>
                <w:szCs w:val="18"/>
              </w:rPr>
              <w:t xml:space="preserve">. 2010; 2011). It is likely that similar conclusions can be drawn for the effect on fire risk of a </w:t>
            </w:r>
            <w:r>
              <w:rPr>
                <w:rFonts w:ascii="Cambria" w:hAnsi="Cambria" w:cs="Helvetica"/>
                <w:i/>
                <w:iCs/>
                <w:color w:val="000000" w:themeColor="text1"/>
                <w:szCs w:val="18"/>
              </w:rPr>
              <w:t xml:space="preserve">P. ramorum </w:t>
            </w:r>
            <w:r>
              <w:rPr>
                <w:rFonts w:ascii="Cambria" w:hAnsi="Cambria" w:cs="Helvetica"/>
                <w:color w:val="000000" w:themeColor="text1"/>
                <w:szCs w:val="18"/>
              </w:rPr>
              <w:t>outbreak in other Mediterranean climates, where forests and shrublands are already particularly vulnerable to fires.</w:t>
            </w:r>
          </w:p>
          <w:p w:rsidR="00C74066" w:rsidRDefault="00F10705">
            <w:pPr>
              <w:pStyle w:val="TableBullet"/>
              <w:ind w:left="284" w:hanging="284"/>
              <w:rPr>
                <w:rFonts w:ascii="Cambria" w:hAnsi="Cambria" w:cs="Helvetica"/>
                <w:color w:val="000000" w:themeColor="text1"/>
                <w:szCs w:val="18"/>
              </w:rPr>
            </w:pPr>
            <w:r>
              <w:rPr>
                <w:rFonts w:ascii="Cambria" w:hAnsi="Cambria"/>
                <w:szCs w:val="18"/>
              </w:rPr>
              <w:t xml:space="preserve">In the USA, </w:t>
            </w:r>
            <w:r>
              <w:rPr>
                <w:rFonts w:ascii="Cambria" w:hAnsi="Cambria"/>
                <w:i/>
                <w:szCs w:val="18"/>
              </w:rPr>
              <w:t>Phytophthora ramorum</w:t>
            </w:r>
            <w:r>
              <w:rPr>
                <w:rFonts w:ascii="Cambria" w:hAnsi="Cambria"/>
                <w:szCs w:val="18"/>
              </w:rPr>
              <w:t xml:space="preserve"> has had major impacts on mixed evergreen forests and tanoak-redwood forests, where declines in highly susceptible species are resulting in changes in the composition of these communities.</w:t>
            </w:r>
          </w:p>
          <w:p w:rsidR="00C74066" w:rsidRDefault="00F10705">
            <w:pPr>
              <w:pStyle w:val="TableBullet"/>
              <w:ind w:left="284" w:hanging="284"/>
              <w:rPr>
                <w:rFonts w:ascii="Cambria" w:hAnsi="Cambria"/>
              </w:rPr>
            </w:pPr>
            <w:r>
              <w:rPr>
                <w:rFonts w:ascii="Cambria" w:hAnsi="Cambria" w:cs="Helvetica"/>
                <w:color w:val="000000" w:themeColor="text1"/>
                <w:szCs w:val="18"/>
              </w:rPr>
              <w:t xml:space="preserve">The implications of </w:t>
            </w:r>
            <w:r>
              <w:rPr>
                <w:rFonts w:ascii="Cambria" w:hAnsi="Cambria" w:cs="Helvetica"/>
                <w:i/>
                <w:color w:val="000000" w:themeColor="text1"/>
                <w:szCs w:val="18"/>
              </w:rPr>
              <w:t>P. ramorum</w:t>
            </w:r>
            <w:r>
              <w:rPr>
                <w:rFonts w:ascii="Cambria" w:hAnsi="Cambria" w:cs="Helvetica"/>
                <w:color w:val="000000" w:themeColor="text1"/>
                <w:szCs w:val="18"/>
              </w:rPr>
              <w:t xml:space="preserve"> on natural ecosystems, agriculture and horticulture may potentially be far worse than that currently posed by </w:t>
            </w:r>
            <w:r>
              <w:rPr>
                <w:rFonts w:ascii="Cambria" w:hAnsi="Cambria" w:cs="Helvetica"/>
                <w:i/>
                <w:color w:val="000000" w:themeColor="text1"/>
                <w:szCs w:val="18"/>
              </w:rPr>
              <w:t>P. cinnamomi</w:t>
            </w:r>
            <w:r>
              <w:rPr>
                <w:rFonts w:ascii="Cambria" w:hAnsi="Cambria" w:cs="Helvetica"/>
                <w:color w:val="000000" w:themeColor="text1"/>
                <w:szCs w:val="18"/>
              </w:rPr>
              <w:t xml:space="preserve"> (O’Gara et al. 2005), which is an introduced pathogen with a wide host range that has caused immense damage to Australian forests.</w:t>
            </w:r>
          </w:p>
        </w:tc>
      </w:tr>
      <w:tr w:rsidR="00C74066">
        <w:tc>
          <w:tcPr>
            <w:tcW w:w="5000" w:type="pct"/>
            <w:gridSpan w:val="2"/>
          </w:tcPr>
          <w:p w:rsidR="00C74066" w:rsidRDefault="00F10705">
            <w:pPr>
              <w:pStyle w:val="TableHeading"/>
              <w:rPr>
                <w:rFonts w:ascii="Cambria" w:hAnsi="Cambria"/>
              </w:rPr>
            </w:pPr>
            <w:r>
              <w:rPr>
                <w:rFonts w:ascii="Cambria" w:hAnsi="Cambria"/>
              </w:rPr>
              <w:t>Indirect</w:t>
            </w:r>
          </w:p>
        </w:tc>
      </w:tr>
      <w:tr w:rsidR="00C74066">
        <w:tc>
          <w:tcPr>
            <w:tcW w:w="953" w:type="pct"/>
          </w:tcPr>
          <w:p w:rsidR="00C74066" w:rsidRDefault="00F10705">
            <w:pPr>
              <w:pStyle w:val="TableText"/>
              <w:rPr>
                <w:rFonts w:ascii="Cambria" w:hAnsi="Cambria"/>
              </w:rPr>
            </w:pPr>
            <w:r>
              <w:rPr>
                <w:rFonts w:ascii="Cambria" w:hAnsi="Cambria"/>
              </w:rPr>
              <w:t>Eradication, control, etc.</w:t>
            </w:r>
          </w:p>
        </w:tc>
        <w:tc>
          <w:tcPr>
            <w:tcW w:w="4047" w:type="pct"/>
          </w:tcPr>
          <w:p w:rsidR="00C74066" w:rsidRDefault="008A5BCD">
            <w:pPr>
              <w:pStyle w:val="TableText"/>
              <w:rPr>
                <w:rFonts w:ascii="Cambria" w:hAnsi="Cambria"/>
              </w:rPr>
            </w:pPr>
            <w:r>
              <w:rPr>
                <w:rFonts w:ascii="Cambria" w:hAnsi="Cambria"/>
              </w:rPr>
              <w:t>F</w:t>
            </w:r>
            <w:r w:rsidR="00F10705">
              <w:rPr>
                <w:rFonts w:ascii="Cambria" w:hAnsi="Cambria"/>
              </w:rPr>
              <w:t xml:space="preserve"> – </w:t>
            </w:r>
            <w:r>
              <w:rPr>
                <w:rFonts w:ascii="Cambria" w:hAnsi="Cambria"/>
              </w:rPr>
              <w:t>Major significance</w:t>
            </w:r>
            <w:r w:rsidR="00F10705">
              <w:rPr>
                <w:rFonts w:ascii="Cambria" w:hAnsi="Cambria"/>
              </w:rPr>
              <w:t xml:space="preserve"> at the regional level</w:t>
            </w:r>
          </w:p>
          <w:p w:rsidR="00C74066" w:rsidRDefault="00F10705">
            <w:pPr>
              <w:pStyle w:val="TableText"/>
              <w:rPr>
                <w:rFonts w:ascii="Cambria" w:hAnsi="Cambria"/>
              </w:rPr>
            </w:pPr>
            <w:r>
              <w:rPr>
                <w:rFonts w:ascii="Cambria" w:hAnsi="Cambria" w:cs="Helvetica"/>
                <w:szCs w:val="18"/>
              </w:rPr>
              <w:t xml:space="preserve">The combination of human induced introductions (Mascheretti </w:t>
            </w:r>
            <w:r>
              <w:rPr>
                <w:rFonts w:ascii="Cambria" w:hAnsi="Cambria" w:cs="Helvetica"/>
                <w:iCs/>
                <w:szCs w:val="18"/>
              </w:rPr>
              <w:t>et al</w:t>
            </w:r>
            <w:r>
              <w:rPr>
                <w:rFonts w:ascii="Cambria" w:hAnsi="Cambria" w:cs="Helvetica"/>
                <w:szCs w:val="18"/>
              </w:rPr>
              <w:t xml:space="preserve">. 2009), potential human-mediated spread (Cushman &amp; Meentemeyer 2008) and natural spread (Mascheretti </w:t>
            </w:r>
            <w:r>
              <w:rPr>
                <w:rFonts w:ascii="Cambria" w:hAnsi="Cambria" w:cs="Helvetica"/>
                <w:iCs/>
                <w:szCs w:val="18"/>
              </w:rPr>
              <w:t>et al</w:t>
            </w:r>
            <w:r>
              <w:rPr>
                <w:rFonts w:ascii="Cambria" w:hAnsi="Cambria" w:cs="Helvetica"/>
                <w:szCs w:val="18"/>
              </w:rPr>
              <w:t xml:space="preserve">. 2008; Davis </w:t>
            </w:r>
            <w:r>
              <w:rPr>
                <w:rFonts w:ascii="Cambria" w:hAnsi="Cambria" w:cs="Helvetica"/>
                <w:iCs/>
                <w:szCs w:val="18"/>
              </w:rPr>
              <w:t>et al</w:t>
            </w:r>
            <w:r>
              <w:rPr>
                <w:rFonts w:ascii="Cambria" w:hAnsi="Cambria" w:cs="Helvetica"/>
                <w:szCs w:val="18"/>
              </w:rPr>
              <w:t xml:space="preserve">. 2010) makes this a difficult pathogen to eradicate once introduced into the wild (Prospero </w:t>
            </w:r>
            <w:r>
              <w:rPr>
                <w:rFonts w:ascii="Cambria" w:hAnsi="Cambria" w:cs="Helvetica"/>
                <w:iCs/>
                <w:szCs w:val="18"/>
              </w:rPr>
              <w:t>et al</w:t>
            </w:r>
            <w:r>
              <w:rPr>
                <w:rFonts w:ascii="Cambria" w:hAnsi="Cambria" w:cs="Helvetica"/>
                <w:szCs w:val="18"/>
              </w:rPr>
              <w:t>. 2007).</w:t>
            </w:r>
          </w:p>
          <w:p w:rsidR="00C74066" w:rsidRDefault="00F10705">
            <w:pPr>
              <w:pStyle w:val="TableBullet"/>
              <w:ind w:left="284" w:hanging="284"/>
              <w:rPr>
                <w:rFonts w:ascii="Cambria" w:hAnsi="Cambria" w:cs="Helvetica"/>
                <w:szCs w:val="18"/>
              </w:rPr>
            </w:pPr>
            <w:r>
              <w:rPr>
                <w:rFonts w:ascii="Cambria" w:hAnsi="Cambria" w:cs="Helvetica"/>
                <w:szCs w:val="18"/>
              </w:rPr>
              <w:t>Programs to minimise the impact of this pathogen in landscapes are likely to be costly and include the removal or pruning of affected and unaffected hosts, clear cutting, burning, disposal of infected plant material, herbicide treatment of cut stumps and broadcast burning to consume the litter layer (Goheen et al. 2006a).</w:t>
            </w:r>
          </w:p>
          <w:p w:rsidR="00C74066" w:rsidRDefault="00F10705">
            <w:pPr>
              <w:pStyle w:val="TableBullet"/>
              <w:ind w:left="284" w:hanging="284"/>
              <w:rPr>
                <w:rFonts w:ascii="Cambria" w:hAnsi="Cambria"/>
              </w:rPr>
            </w:pPr>
            <w:r>
              <w:rPr>
                <w:rFonts w:ascii="Cambria" w:hAnsi="Cambria" w:cs="Helvetica"/>
                <w:szCs w:val="18"/>
              </w:rPr>
              <w:t xml:space="preserve">Control measures may require treatments of green waste, stream water and prevention of soil movement (Rizzo </w:t>
            </w:r>
            <w:r>
              <w:rPr>
                <w:rFonts w:ascii="Cambria" w:hAnsi="Cambria" w:cs="Helvetica"/>
                <w:iCs/>
                <w:szCs w:val="18"/>
              </w:rPr>
              <w:t>et al</w:t>
            </w:r>
            <w:r>
              <w:rPr>
                <w:rFonts w:ascii="Cambria" w:hAnsi="Cambria" w:cs="Helvetica"/>
                <w:szCs w:val="18"/>
              </w:rPr>
              <w:t xml:space="preserve">. 2005). Appropriate disposal of </w:t>
            </w:r>
            <w:r>
              <w:rPr>
                <w:rFonts w:ascii="Cambria" w:hAnsi="Cambria" w:cs="Helvetica"/>
                <w:i/>
                <w:iCs/>
                <w:szCs w:val="18"/>
              </w:rPr>
              <w:t>P. ramorum</w:t>
            </w:r>
            <w:r>
              <w:rPr>
                <w:rFonts w:ascii="Cambria" w:hAnsi="Cambria" w:cs="Helvetica"/>
                <w:szCs w:val="18"/>
              </w:rPr>
              <w:t xml:space="preserve"> infected green waste is considered a major economic issue for quarantined counties in California (Cave et al. 2005). The need for management, precautionary and sanitary practices, and </w:t>
            </w:r>
            <w:r>
              <w:rPr>
                <w:rFonts w:ascii="Cambria" w:hAnsi="Cambria" w:cs="Helvetica"/>
                <w:szCs w:val="18"/>
              </w:rPr>
              <w:lastRenderedPageBreak/>
              <w:t>regulations to prevent the further spread of the pathogen—such as washing of vehicles, closure of roads, a</w:t>
            </w:r>
            <w:r w:rsidR="00204745">
              <w:rPr>
                <w:rFonts w:ascii="Cambria" w:hAnsi="Cambria" w:cs="Helvetica"/>
                <w:szCs w:val="18"/>
              </w:rPr>
              <w:t>nd public education campaigns—i</w:t>
            </w:r>
            <w:r>
              <w:rPr>
                <w:rFonts w:ascii="Cambria" w:hAnsi="Cambria" w:cs="Helvetica"/>
                <w:szCs w:val="18"/>
              </w:rPr>
              <w:t>n countries where the pathogen is established</w:t>
            </w:r>
            <w:r w:rsidR="00204745">
              <w:rPr>
                <w:rFonts w:ascii="Cambria" w:hAnsi="Cambria" w:cs="Helvetica"/>
                <w:szCs w:val="18"/>
              </w:rPr>
              <w:t>,</w:t>
            </w:r>
            <w:r>
              <w:rPr>
                <w:rFonts w:ascii="Cambria" w:hAnsi="Cambria" w:cs="Helvetica"/>
                <w:szCs w:val="18"/>
              </w:rPr>
              <w:t xml:space="preserve"> has imposed a significant cost burden on industry and governments (CABI 2014). In addition, implementation of extensive disease surveillance and sampling programs may be required to ensure early detection </w:t>
            </w:r>
            <w:r w:rsidR="001B6553">
              <w:rPr>
                <w:rFonts w:ascii="Cambria" w:hAnsi="Cambria" w:cs="Helvetica"/>
                <w:szCs w:val="18"/>
              </w:rPr>
              <w:t>and to contain further spread</w:t>
            </w:r>
            <w:r>
              <w:rPr>
                <w:rFonts w:ascii="Cambria" w:hAnsi="Cambria" w:cs="Helvetica"/>
                <w:szCs w:val="18"/>
              </w:rPr>
              <w:t xml:space="preserve"> of the pathogen once it has established in the landscape, as in the USA (Goheen et al. 2006a).</w:t>
            </w:r>
          </w:p>
          <w:p w:rsidR="00C74066" w:rsidRDefault="00F10705">
            <w:pPr>
              <w:pStyle w:val="TableBullet"/>
              <w:ind w:left="284" w:hanging="284"/>
              <w:rPr>
                <w:rFonts w:ascii="Cambria" w:hAnsi="Cambria"/>
              </w:rPr>
            </w:pPr>
            <w:r>
              <w:rPr>
                <w:rFonts w:ascii="Cambria" w:hAnsi="Cambria" w:cs="Helvetica"/>
                <w:szCs w:val="18"/>
              </w:rPr>
              <w:t>Eradication will include cutting and burning all infected and nearby host plants, and where permissible, herbicide application to prevent sprouting of host plants.</w:t>
            </w:r>
          </w:p>
        </w:tc>
      </w:tr>
      <w:tr w:rsidR="00C74066">
        <w:tc>
          <w:tcPr>
            <w:tcW w:w="953" w:type="pct"/>
          </w:tcPr>
          <w:p w:rsidR="00C74066" w:rsidRDefault="00F10705">
            <w:pPr>
              <w:pStyle w:val="TableText"/>
              <w:rPr>
                <w:rFonts w:ascii="Cambria" w:hAnsi="Cambria"/>
              </w:rPr>
            </w:pPr>
            <w:r>
              <w:rPr>
                <w:rFonts w:ascii="Cambria" w:hAnsi="Cambria"/>
              </w:rPr>
              <w:lastRenderedPageBreak/>
              <w:t>Domestic trade</w:t>
            </w:r>
          </w:p>
        </w:tc>
        <w:tc>
          <w:tcPr>
            <w:tcW w:w="4047" w:type="pct"/>
          </w:tcPr>
          <w:p w:rsidR="00C74066" w:rsidRDefault="00F10705">
            <w:pPr>
              <w:pStyle w:val="TableText"/>
              <w:rPr>
                <w:rFonts w:ascii="Cambria" w:hAnsi="Cambria"/>
              </w:rPr>
            </w:pPr>
            <w:r>
              <w:rPr>
                <w:rFonts w:ascii="Cambria" w:hAnsi="Cambria"/>
              </w:rPr>
              <w:t>E – Significant at the regional level</w:t>
            </w:r>
          </w:p>
          <w:p w:rsidR="00C74066" w:rsidRDefault="00F10705">
            <w:pPr>
              <w:pStyle w:val="TableBullet"/>
              <w:ind w:left="284" w:hanging="284"/>
              <w:rPr>
                <w:rFonts w:ascii="Cambria" w:hAnsi="Cambria" w:cs="Helvetica"/>
                <w:szCs w:val="18"/>
              </w:rPr>
            </w:pPr>
            <w:r>
              <w:rPr>
                <w:rFonts w:ascii="Cambria" w:hAnsi="Cambria" w:cs="Helvetica"/>
                <w:szCs w:val="18"/>
              </w:rPr>
              <w:t xml:space="preserve">The presence of </w:t>
            </w:r>
            <w:r>
              <w:rPr>
                <w:rFonts w:ascii="Cambria" w:hAnsi="Cambria" w:cs="Helvetica"/>
                <w:i/>
                <w:iCs/>
                <w:szCs w:val="18"/>
              </w:rPr>
              <w:t xml:space="preserve">P. ramorum </w:t>
            </w:r>
            <w:r>
              <w:rPr>
                <w:rFonts w:ascii="Cambria" w:hAnsi="Cambria" w:cs="Helvetica"/>
                <w:szCs w:val="18"/>
              </w:rPr>
              <w:t>is likely to result in domestic movement restrictions for host plants. Interstate restrictions on nursery stock may lead to a loss of markets, which would be likely to require industry adjustment.</w:t>
            </w:r>
          </w:p>
          <w:p w:rsidR="00C74066" w:rsidRDefault="00F10705">
            <w:pPr>
              <w:pStyle w:val="TableBullet"/>
              <w:ind w:left="284" w:hanging="284"/>
              <w:rPr>
                <w:rFonts w:ascii="Cambria" w:hAnsi="Cambria"/>
              </w:rPr>
            </w:pPr>
            <w:r>
              <w:rPr>
                <w:rFonts w:ascii="Cambria" w:hAnsi="Cambria" w:cs="Helvetica"/>
                <w:szCs w:val="18"/>
              </w:rPr>
              <w:t xml:space="preserve">Stringent controls on domestic trade would be required if </w:t>
            </w:r>
            <w:r>
              <w:rPr>
                <w:rFonts w:ascii="Cambria" w:hAnsi="Cambria" w:cs="Helvetica"/>
                <w:i/>
                <w:iCs/>
                <w:szCs w:val="18"/>
              </w:rPr>
              <w:t>P. ramorum</w:t>
            </w:r>
            <w:r>
              <w:rPr>
                <w:rFonts w:ascii="Cambria" w:hAnsi="Cambria" w:cs="Helvetica"/>
                <w:szCs w:val="18"/>
              </w:rPr>
              <w:t xml:space="preserve"> became established in Australia. Restrictions might apply to domestic trade in nursery stock, forest products and other commodities.</w:t>
            </w:r>
          </w:p>
        </w:tc>
      </w:tr>
      <w:tr w:rsidR="00C74066">
        <w:tc>
          <w:tcPr>
            <w:tcW w:w="953" w:type="pct"/>
          </w:tcPr>
          <w:p w:rsidR="00C74066" w:rsidRDefault="00F10705">
            <w:pPr>
              <w:pStyle w:val="TableText"/>
              <w:rPr>
                <w:rFonts w:ascii="Cambria" w:hAnsi="Cambria"/>
              </w:rPr>
            </w:pPr>
            <w:r>
              <w:rPr>
                <w:rFonts w:ascii="Cambria" w:hAnsi="Cambria"/>
              </w:rPr>
              <w:t>International trade</w:t>
            </w:r>
          </w:p>
        </w:tc>
        <w:tc>
          <w:tcPr>
            <w:tcW w:w="4047" w:type="pct"/>
          </w:tcPr>
          <w:p w:rsidR="00C74066" w:rsidRDefault="00F10705">
            <w:pPr>
              <w:pStyle w:val="TableText"/>
              <w:rPr>
                <w:rFonts w:ascii="Cambria" w:hAnsi="Cambria"/>
              </w:rPr>
            </w:pPr>
            <w:r>
              <w:rPr>
                <w:rFonts w:ascii="Cambria" w:hAnsi="Cambria"/>
              </w:rPr>
              <w:t>E – Significant at the regional level</w:t>
            </w:r>
          </w:p>
          <w:p w:rsidR="00C74066" w:rsidRDefault="00F10705">
            <w:pPr>
              <w:pStyle w:val="TableBullet"/>
              <w:ind w:left="284" w:hanging="284"/>
              <w:rPr>
                <w:rFonts w:ascii="Cambria" w:hAnsi="Cambria" w:cs="Helvetica"/>
                <w:szCs w:val="18"/>
              </w:rPr>
            </w:pPr>
            <w:r>
              <w:rPr>
                <w:rFonts w:ascii="Cambria" w:hAnsi="Cambria" w:cs="Helvetica"/>
                <w:szCs w:val="18"/>
              </w:rPr>
              <w:t xml:space="preserve">Because of the threat </w:t>
            </w:r>
            <w:r>
              <w:rPr>
                <w:rFonts w:ascii="Cambria" w:hAnsi="Cambria" w:cs="Helvetica"/>
                <w:i/>
                <w:szCs w:val="18"/>
              </w:rPr>
              <w:t>P. ramorum</w:t>
            </w:r>
            <w:r>
              <w:rPr>
                <w:rFonts w:ascii="Cambria" w:hAnsi="Cambria" w:cs="Helvetica"/>
                <w:szCs w:val="18"/>
              </w:rPr>
              <w:t xml:space="preserve"> poses to oak-dominated forests throughout North America, many state governments have reacted strongly to the possible introduction of the pathogen via the nursery trade.</w:t>
            </w:r>
          </w:p>
          <w:p w:rsidR="00C74066" w:rsidRDefault="00F10705">
            <w:pPr>
              <w:pStyle w:val="TableBullet"/>
              <w:ind w:left="284" w:hanging="284"/>
              <w:rPr>
                <w:rFonts w:ascii="Cambria" w:hAnsi="Cambria"/>
              </w:rPr>
            </w:pPr>
            <w:r>
              <w:rPr>
                <w:rFonts w:ascii="Cambria" w:hAnsi="Cambria" w:cs="Helvetica"/>
                <w:szCs w:val="18"/>
              </w:rPr>
              <w:t xml:space="preserve">If </w:t>
            </w:r>
            <w:r>
              <w:rPr>
                <w:rFonts w:ascii="Cambria" w:hAnsi="Cambria" w:cs="Helvetica"/>
                <w:i/>
                <w:iCs/>
                <w:szCs w:val="18"/>
              </w:rPr>
              <w:t xml:space="preserve">P. ramorum </w:t>
            </w:r>
            <w:r>
              <w:rPr>
                <w:rFonts w:ascii="Cambria" w:hAnsi="Cambria" w:cs="Helvetica"/>
                <w:iCs/>
                <w:szCs w:val="18"/>
              </w:rPr>
              <w:t xml:space="preserve">established in </w:t>
            </w:r>
            <w:r>
              <w:rPr>
                <w:rFonts w:ascii="Cambria" w:hAnsi="Cambria" w:cs="Helvetica"/>
                <w:szCs w:val="18"/>
              </w:rPr>
              <w:t>Australia</w:t>
            </w:r>
            <w:r>
              <w:rPr>
                <w:rFonts w:ascii="Cambria" w:hAnsi="Cambria" w:cs="Helvetica"/>
                <w:iCs/>
                <w:szCs w:val="18"/>
              </w:rPr>
              <w:t>,</w:t>
            </w:r>
            <w:r>
              <w:rPr>
                <w:rFonts w:ascii="Cambria" w:hAnsi="Cambria" w:cs="Helvetica"/>
                <w:i/>
                <w:iCs/>
                <w:szCs w:val="18"/>
              </w:rPr>
              <w:t xml:space="preserve"> </w:t>
            </w:r>
            <w:r>
              <w:rPr>
                <w:rFonts w:ascii="Cambria" w:hAnsi="Cambria" w:cs="Helvetica"/>
                <w:iCs/>
                <w:szCs w:val="18"/>
              </w:rPr>
              <w:t>r</w:t>
            </w:r>
            <w:r>
              <w:rPr>
                <w:rFonts w:ascii="Cambria" w:hAnsi="Cambria" w:cs="Helvetica"/>
                <w:szCs w:val="18"/>
              </w:rPr>
              <w:t xml:space="preserve">estrictions on Australian exports of nursery stock would be anticipated. At least 68 countries, including South Korea, Canada, Mexico, Taiwan and New Zealand, have established quarantine policies and protocols against plant materials from areas known to have the pathogen (Sansford et al. 2009). Establishment of </w:t>
            </w:r>
            <w:r>
              <w:rPr>
                <w:rFonts w:ascii="Cambria" w:hAnsi="Cambria" w:cs="Helvetica"/>
                <w:i/>
                <w:iCs/>
                <w:szCs w:val="18"/>
              </w:rPr>
              <w:t>P. ramorum</w:t>
            </w:r>
            <w:r>
              <w:rPr>
                <w:rFonts w:ascii="Cambria" w:hAnsi="Cambria" w:cs="Helvetica"/>
                <w:szCs w:val="18"/>
              </w:rPr>
              <w:t xml:space="preserve"> in Australia may therefore reduce access to international markets and result in additional requirements to achieve phytosanitary conformity that will impose a cost burden.</w:t>
            </w:r>
          </w:p>
        </w:tc>
      </w:tr>
      <w:tr w:rsidR="00C74066">
        <w:tc>
          <w:tcPr>
            <w:tcW w:w="953" w:type="pct"/>
          </w:tcPr>
          <w:p w:rsidR="00C74066" w:rsidRDefault="00F10705">
            <w:pPr>
              <w:pStyle w:val="TableText"/>
              <w:rPr>
                <w:rFonts w:ascii="Cambria" w:hAnsi="Cambria"/>
              </w:rPr>
            </w:pPr>
            <w:r>
              <w:rPr>
                <w:rFonts w:ascii="Cambria" w:hAnsi="Cambria"/>
              </w:rPr>
              <w:t>Environmental and non-commercial</w:t>
            </w:r>
          </w:p>
        </w:tc>
        <w:tc>
          <w:tcPr>
            <w:tcW w:w="4047" w:type="pct"/>
          </w:tcPr>
          <w:p w:rsidR="00C74066" w:rsidRDefault="00F10705">
            <w:pPr>
              <w:pStyle w:val="TableText"/>
              <w:rPr>
                <w:rFonts w:ascii="Cambria" w:hAnsi="Cambria"/>
              </w:rPr>
            </w:pPr>
            <w:r>
              <w:rPr>
                <w:rFonts w:ascii="Cambria" w:hAnsi="Cambria"/>
              </w:rPr>
              <w:t>E – Significant at the regional level</w:t>
            </w:r>
          </w:p>
          <w:p w:rsidR="00C74066" w:rsidRDefault="00F10705">
            <w:pPr>
              <w:pStyle w:val="TableBullet"/>
              <w:ind w:left="284" w:hanging="284"/>
              <w:rPr>
                <w:rFonts w:ascii="Cambria" w:hAnsi="Cambria" w:cs="Helvetica"/>
                <w:szCs w:val="18"/>
              </w:rPr>
            </w:pPr>
            <w:r>
              <w:rPr>
                <w:rFonts w:ascii="Cambria" w:hAnsi="Cambria" w:cs="Helvetica"/>
                <w:szCs w:val="18"/>
              </w:rPr>
              <w:t xml:space="preserve">Death or dieback of host plants and restrictions on access to infested areas will impact negatively on the aesthetic, recreational and tourism value of town parks and natural recreation areas. Native Americans are concerned that the effect of </w:t>
            </w:r>
            <w:r>
              <w:rPr>
                <w:rFonts w:ascii="Cambria" w:hAnsi="Cambria" w:cs="Helvetica"/>
                <w:i/>
                <w:iCs/>
                <w:szCs w:val="18"/>
              </w:rPr>
              <w:t xml:space="preserve">P. ramorum </w:t>
            </w:r>
            <w:r>
              <w:rPr>
                <w:rFonts w:ascii="Cambria" w:hAnsi="Cambria" w:cs="Helvetica"/>
                <w:szCs w:val="18"/>
              </w:rPr>
              <w:t xml:space="preserve">on natural ecosystems may impact negatively on their traditional uses and values (Goheen </w:t>
            </w:r>
            <w:r>
              <w:rPr>
                <w:rFonts w:ascii="Cambria" w:hAnsi="Cambria" w:cs="Helvetica"/>
                <w:iCs/>
                <w:szCs w:val="18"/>
              </w:rPr>
              <w:t>et al</w:t>
            </w:r>
            <w:r>
              <w:rPr>
                <w:rFonts w:ascii="Cambria" w:hAnsi="Cambria" w:cs="Helvetica"/>
                <w:szCs w:val="18"/>
              </w:rPr>
              <w:t>. 2006a) which may also be true for indigenous Australians.</w:t>
            </w:r>
          </w:p>
          <w:p w:rsidR="00C74066" w:rsidRDefault="00F10705">
            <w:pPr>
              <w:pStyle w:val="TableBullet"/>
              <w:ind w:left="284" w:hanging="284"/>
              <w:rPr>
                <w:rFonts w:ascii="Cambria" w:hAnsi="Cambria"/>
              </w:rPr>
            </w:pPr>
            <w:r>
              <w:rPr>
                <w:rFonts w:ascii="Cambria" w:hAnsi="Cambria" w:cs="Helvetica"/>
                <w:szCs w:val="18"/>
              </w:rPr>
              <w:t xml:space="preserve">The control measures currently available are severe, and most (for example, host removal) are damaging to the urban and natural landscapes to which they are applied (Rizzo </w:t>
            </w:r>
            <w:r>
              <w:rPr>
                <w:rFonts w:ascii="Cambria" w:hAnsi="Cambria" w:cs="Helvetica"/>
                <w:iCs/>
                <w:szCs w:val="18"/>
              </w:rPr>
              <w:t>et al</w:t>
            </w:r>
            <w:r>
              <w:rPr>
                <w:rFonts w:ascii="Cambria" w:hAnsi="Cambria" w:cs="Helvetica"/>
                <w:szCs w:val="18"/>
              </w:rPr>
              <w:t xml:space="preserve">. 2005). Copper sulphate, copper hydroxide and mancozeb fungicides which may be used to control the pathogen (Cave </w:t>
            </w:r>
            <w:r>
              <w:rPr>
                <w:rFonts w:ascii="Cambria" w:hAnsi="Cambria" w:cs="Helvetica"/>
                <w:iCs/>
                <w:szCs w:val="18"/>
              </w:rPr>
              <w:t>et al</w:t>
            </w:r>
            <w:r>
              <w:rPr>
                <w:rFonts w:ascii="Cambria" w:hAnsi="Cambria" w:cs="Helvetica"/>
                <w:szCs w:val="18"/>
              </w:rPr>
              <w:t>. 2005) can have undesirable environmental consequences and exert selection pressures towards resistant isolates if applied at broad scales.</w:t>
            </w:r>
          </w:p>
        </w:tc>
      </w:tr>
    </w:tbl>
    <w:p w:rsidR="00C74066" w:rsidRDefault="00F10705">
      <w:pPr>
        <w:spacing w:before="200"/>
        <w:rPr>
          <w:rFonts w:ascii="Cambria" w:hAnsi="Cambria"/>
          <w:b/>
        </w:rPr>
      </w:pPr>
      <w:r w:rsidRPr="00CC5243">
        <w:rPr>
          <w:rFonts w:ascii="Cambria" w:hAnsi="Cambria"/>
        </w:rPr>
        <w:t xml:space="preserve">Based on the decision rules described in Table 4, that is, where the potential consequences of a pest with respect to </w:t>
      </w:r>
      <w:r w:rsidR="00CC5243" w:rsidRPr="00CC5243">
        <w:rPr>
          <w:rFonts w:ascii="Cambria" w:hAnsi="Cambria"/>
        </w:rPr>
        <w:t>more than one</w:t>
      </w:r>
      <w:r w:rsidRPr="00CC5243">
        <w:rPr>
          <w:rFonts w:ascii="Cambria" w:hAnsi="Cambria"/>
        </w:rPr>
        <w:t xml:space="preserve"> criteria have an impact of ‘</w:t>
      </w:r>
      <w:r w:rsidR="00CC5243" w:rsidRPr="00CC5243">
        <w:rPr>
          <w:rFonts w:ascii="Cambria" w:hAnsi="Cambria"/>
        </w:rPr>
        <w:t>F</w:t>
      </w:r>
      <w:r w:rsidRPr="00CC5243">
        <w:rPr>
          <w:rFonts w:ascii="Cambria" w:hAnsi="Cambria"/>
        </w:rPr>
        <w:t xml:space="preserve">’, the overall consequences are estimated to be </w:t>
      </w:r>
      <w:r w:rsidR="008A5BCD" w:rsidRPr="00CC5243">
        <w:rPr>
          <w:rFonts w:ascii="Cambria" w:hAnsi="Cambria"/>
          <w:b/>
        </w:rPr>
        <w:t>EXTREME</w:t>
      </w:r>
      <w:r w:rsidRPr="00CC5243">
        <w:rPr>
          <w:rFonts w:ascii="Cambria" w:hAnsi="Cambria"/>
        </w:rPr>
        <w:t>.</w:t>
      </w:r>
      <w:r>
        <w:rPr>
          <w:rFonts w:ascii="Cambria" w:hAnsi="Cambria"/>
        </w:rPr>
        <w:t xml:space="preserve"> </w:t>
      </w:r>
    </w:p>
    <w:p w:rsidR="00C74066" w:rsidRDefault="00F10705">
      <w:pPr>
        <w:pStyle w:val="Heading3"/>
        <w:keepLines/>
        <w:numPr>
          <w:ilvl w:val="2"/>
          <w:numId w:val="21"/>
        </w:numPr>
        <w:tabs>
          <w:tab w:val="clear" w:pos="720"/>
        </w:tabs>
        <w:spacing w:before="200" w:after="200"/>
        <w:ind w:left="357" w:hanging="357"/>
        <w:rPr>
          <w:rFonts w:ascii="Calibri" w:hAnsi="Calibri" w:cstheme="minorBidi"/>
          <w:sz w:val="24"/>
          <w:szCs w:val="22"/>
        </w:rPr>
      </w:pPr>
      <w:r>
        <w:rPr>
          <w:rFonts w:ascii="Calibri" w:hAnsi="Calibri" w:cstheme="minorBidi"/>
          <w:sz w:val="24"/>
          <w:szCs w:val="22"/>
        </w:rPr>
        <w:t>Unrestricted risk estimate</w:t>
      </w:r>
    </w:p>
    <w:p w:rsidR="00C74066" w:rsidRDefault="00F10705">
      <w:pPr>
        <w:spacing w:before="200"/>
        <w:rPr>
          <w:rFonts w:ascii="Cambria" w:hAnsi="Cambria"/>
        </w:rPr>
      </w:pPr>
      <w:r>
        <w:rPr>
          <w:rFonts w:ascii="Cambria" w:hAnsi="Cambria"/>
        </w:rPr>
        <w:t>Unrestricted risk is the result of combining the likelihoods of entry, establishment and spread with the outcome of overall consequences. Likelihood and consequences are combined using the risk estimation matrix shown in Table 5.</w:t>
      </w:r>
    </w:p>
    <w:tbl>
      <w:tblPr>
        <w:tblW w:w="4809" w:type="pct"/>
        <w:tblInd w:w="108" w:type="dxa"/>
        <w:tblBorders>
          <w:top w:val="single" w:sz="4" w:space="0" w:color="auto"/>
          <w:bottom w:val="single" w:sz="4" w:space="0" w:color="auto"/>
        </w:tblBorders>
        <w:tblLook w:val="04A0"/>
      </w:tblPr>
      <w:tblGrid>
        <w:gridCol w:w="6259"/>
        <w:gridCol w:w="2672"/>
      </w:tblGrid>
      <w:tr w:rsidR="00C74066">
        <w:tc>
          <w:tcPr>
            <w:tcW w:w="5000" w:type="pct"/>
            <w:gridSpan w:val="2"/>
          </w:tcPr>
          <w:p w:rsidR="00C74066" w:rsidRDefault="00F10705">
            <w:pPr>
              <w:pStyle w:val="TableHeading"/>
              <w:rPr>
                <w:rFonts w:ascii="Cambria" w:hAnsi="Cambria"/>
              </w:rPr>
            </w:pPr>
            <w:r>
              <w:rPr>
                <w:rFonts w:ascii="Cambria" w:hAnsi="Cambria"/>
              </w:rPr>
              <w:lastRenderedPageBreak/>
              <w:t xml:space="preserve">Unrestricted risk estimate for </w:t>
            </w:r>
            <w:r>
              <w:rPr>
                <w:rFonts w:ascii="Cambria" w:hAnsi="Cambria"/>
                <w:i/>
              </w:rPr>
              <w:t xml:space="preserve">Phytophthora </w:t>
            </w:r>
            <w:r>
              <w:rPr>
                <w:rFonts w:ascii="Cambria" w:hAnsi="Cambria"/>
                <w:i/>
                <w:iCs/>
              </w:rPr>
              <w:t>ramorum</w:t>
            </w:r>
          </w:p>
        </w:tc>
      </w:tr>
      <w:tr w:rsidR="00C74066">
        <w:tc>
          <w:tcPr>
            <w:tcW w:w="3504" w:type="pct"/>
          </w:tcPr>
          <w:p w:rsidR="00C74066" w:rsidRDefault="00F10705">
            <w:pPr>
              <w:pStyle w:val="TableText"/>
              <w:rPr>
                <w:rFonts w:ascii="Cambria" w:hAnsi="Cambria"/>
              </w:rPr>
            </w:pPr>
            <w:r>
              <w:rPr>
                <w:rFonts w:ascii="Cambria" w:hAnsi="Cambria"/>
              </w:rPr>
              <w:t>Overall likelihood of entry, establishment and spread</w:t>
            </w:r>
          </w:p>
        </w:tc>
        <w:tc>
          <w:tcPr>
            <w:tcW w:w="1496" w:type="pct"/>
          </w:tcPr>
          <w:p w:rsidR="00C74066" w:rsidRDefault="00F10705">
            <w:pPr>
              <w:pStyle w:val="TableText"/>
              <w:rPr>
                <w:rFonts w:ascii="Cambria" w:hAnsi="Cambria"/>
              </w:rPr>
            </w:pPr>
            <w:r>
              <w:rPr>
                <w:rFonts w:ascii="Cambria" w:hAnsi="Cambria"/>
              </w:rPr>
              <w:t>HIGH</w:t>
            </w:r>
          </w:p>
        </w:tc>
      </w:tr>
      <w:tr w:rsidR="00C74066">
        <w:tc>
          <w:tcPr>
            <w:tcW w:w="3504" w:type="pct"/>
          </w:tcPr>
          <w:p w:rsidR="00C74066" w:rsidRDefault="00F10705">
            <w:pPr>
              <w:pStyle w:val="TableText"/>
              <w:rPr>
                <w:rFonts w:ascii="Cambria" w:hAnsi="Cambria"/>
              </w:rPr>
            </w:pPr>
            <w:r>
              <w:rPr>
                <w:rFonts w:ascii="Cambria" w:hAnsi="Cambria"/>
              </w:rPr>
              <w:t>Consequences</w:t>
            </w:r>
          </w:p>
        </w:tc>
        <w:tc>
          <w:tcPr>
            <w:tcW w:w="1496" w:type="pct"/>
          </w:tcPr>
          <w:p w:rsidR="00C74066" w:rsidRDefault="008A5BCD" w:rsidP="008A5BCD">
            <w:pPr>
              <w:pStyle w:val="TableText"/>
              <w:rPr>
                <w:rFonts w:ascii="Cambria" w:hAnsi="Cambria"/>
              </w:rPr>
            </w:pPr>
            <w:r>
              <w:rPr>
                <w:rFonts w:ascii="Cambria" w:hAnsi="Cambria"/>
              </w:rPr>
              <w:t>EXTREME</w:t>
            </w:r>
          </w:p>
        </w:tc>
      </w:tr>
      <w:tr w:rsidR="00C74066">
        <w:tc>
          <w:tcPr>
            <w:tcW w:w="3504" w:type="pct"/>
          </w:tcPr>
          <w:p w:rsidR="00C74066" w:rsidRDefault="00F10705">
            <w:pPr>
              <w:pStyle w:val="TableText"/>
              <w:rPr>
                <w:rFonts w:ascii="Cambria" w:hAnsi="Cambria"/>
              </w:rPr>
            </w:pPr>
            <w:r>
              <w:rPr>
                <w:rFonts w:ascii="Cambria" w:hAnsi="Cambria"/>
              </w:rPr>
              <w:t>Unrestricted risk</w:t>
            </w:r>
          </w:p>
        </w:tc>
        <w:tc>
          <w:tcPr>
            <w:tcW w:w="1496" w:type="pct"/>
          </w:tcPr>
          <w:p w:rsidR="00C74066" w:rsidRDefault="008A5BCD" w:rsidP="008A5BCD">
            <w:pPr>
              <w:pStyle w:val="TableText"/>
              <w:rPr>
                <w:rFonts w:ascii="Cambria" w:hAnsi="Cambria"/>
              </w:rPr>
            </w:pPr>
            <w:r>
              <w:rPr>
                <w:rFonts w:ascii="Cambria" w:hAnsi="Cambria"/>
              </w:rPr>
              <w:t>EXTREME</w:t>
            </w:r>
          </w:p>
        </w:tc>
      </w:tr>
    </w:tbl>
    <w:p w:rsidR="00C74066" w:rsidRDefault="00F10705">
      <w:pPr>
        <w:spacing w:before="200"/>
        <w:rPr>
          <w:rFonts w:ascii="Cambria" w:hAnsi="Cambria"/>
        </w:rPr>
      </w:pPr>
      <w:r>
        <w:rPr>
          <w:rFonts w:ascii="Cambria" w:hAnsi="Cambria"/>
        </w:rPr>
        <w:t xml:space="preserve">As indicated, the unrestricted risk estimate for </w:t>
      </w:r>
      <w:r>
        <w:rPr>
          <w:rFonts w:ascii="Cambria" w:hAnsi="Cambria"/>
          <w:iCs/>
        </w:rPr>
        <w:t xml:space="preserve">the </w:t>
      </w:r>
      <w:r>
        <w:rPr>
          <w:rFonts w:ascii="Cambria" w:hAnsi="Cambria"/>
          <w:i/>
          <w:iCs/>
        </w:rPr>
        <w:t xml:space="preserve">Phytophthora </w:t>
      </w:r>
      <w:r>
        <w:rPr>
          <w:rFonts w:ascii="Cambria" w:hAnsi="Cambria"/>
          <w:iCs/>
        </w:rPr>
        <w:t>species</w:t>
      </w:r>
      <w:r>
        <w:rPr>
          <w:rFonts w:ascii="Cambria" w:hAnsi="Cambria"/>
          <w:i/>
        </w:rPr>
        <w:t xml:space="preserve"> </w:t>
      </w:r>
      <w:r w:rsidR="008A5BCD">
        <w:rPr>
          <w:rFonts w:ascii="Cambria" w:hAnsi="Cambria"/>
        </w:rPr>
        <w:t>has been assessed as ‘extreme</w:t>
      </w:r>
      <w:r>
        <w:rPr>
          <w:rFonts w:ascii="Cambria" w:hAnsi="Cambria"/>
        </w:rPr>
        <w:t xml:space="preserve">’, which is above Australia’s ALOP. Therefore, specific risk management measures are required for </w:t>
      </w:r>
      <w:r>
        <w:rPr>
          <w:rFonts w:ascii="Cambria" w:hAnsi="Cambria"/>
          <w:iCs/>
        </w:rPr>
        <w:t xml:space="preserve">these </w:t>
      </w:r>
      <w:r>
        <w:rPr>
          <w:rFonts w:ascii="Cambria" w:hAnsi="Cambria"/>
          <w:i/>
          <w:iCs/>
        </w:rPr>
        <w:t xml:space="preserve">Phytophthora </w:t>
      </w:r>
      <w:r>
        <w:rPr>
          <w:rFonts w:ascii="Cambria" w:hAnsi="Cambria"/>
          <w:iCs/>
        </w:rPr>
        <w:t>species</w:t>
      </w:r>
      <w:r>
        <w:rPr>
          <w:rFonts w:ascii="Cambria" w:hAnsi="Cambria"/>
        </w:rPr>
        <w:t>.</w:t>
      </w:r>
      <w:bookmarkStart w:id="191" w:name="_Toc384197753"/>
      <w:bookmarkStart w:id="192" w:name="_Toc384209841"/>
      <w:bookmarkStart w:id="193" w:name="_Toc384275085"/>
      <w:bookmarkStart w:id="194" w:name="_Toc385508245"/>
      <w:bookmarkStart w:id="195" w:name="_Toc388949928"/>
    </w:p>
    <w:p w:rsidR="00C74066" w:rsidRDefault="00C74066">
      <w:pPr>
        <w:spacing w:before="200"/>
        <w:rPr>
          <w:rFonts w:ascii="Calibri" w:hAnsi="Calibri"/>
          <w:b/>
          <w:bCs/>
          <w:szCs w:val="18"/>
        </w:rPr>
      </w:pPr>
    </w:p>
    <w:p w:rsidR="005754B4" w:rsidRDefault="005754B4">
      <w:pPr>
        <w:pStyle w:val="Caption"/>
        <w:sectPr w:rsidR="005754B4">
          <w:headerReference w:type="default" r:id="rId37"/>
          <w:pgSz w:w="11906" w:h="16838"/>
          <w:pgMar w:top="1418" w:right="1418" w:bottom="1418" w:left="1418" w:header="567" w:footer="283" w:gutter="0"/>
          <w:cols w:space="708"/>
          <w:docGrid w:linePitch="360"/>
        </w:sectPr>
      </w:pPr>
    </w:p>
    <w:bookmarkEnd w:id="191"/>
    <w:bookmarkEnd w:id="192"/>
    <w:bookmarkEnd w:id="193"/>
    <w:bookmarkEnd w:id="194"/>
    <w:bookmarkEnd w:id="195"/>
    <w:p w:rsidR="005754B4" w:rsidRDefault="005754B4">
      <w:pPr>
        <w:pStyle w:val="Heading1"/>
        <w:pageBreakBefore w:val="0"/>
        <w:numPr>
          <w:ilvl w:val="0"/>
          <w:numId w:val="21"/>
        </w:numPr>
        <w:tabs>
          <w:tab w:val="clear" w:pos="432"/>
        </w:tabs>
        <w:spacing w:before="480" w:after="120"/>
        <w:ind w:left="357" w:hanging="357"/>
        <w:rPr>
          <w:rFonts w:eastAsiaTheme="majorEastAsia" w:cstheme="majorBidi"/>
          <w:b/>
          <w:color w:val="D52B1E"/>
          <w:sz w:val="34"/>
        </w:rPr>
        <w:sectPr w:rsidR="005754B4" w:rsidSect="00873038">
          <w:headerReference w:type="default" r:id="rId38"/>
          <w:type w:val="continuous"/>
          <w:pgSz w:w="11906" w:h="16838"/>
          <w:pgMar w:top="1418" w:right="1418" w:bottom="1418" w:left="1418" w:header="567" w:footer="284" w:gutter="0"/>
          <w:cols w:space="708"/>
          <w:docGrid w:linePitch="360"/>
        </w:sectPr>
      </w:pPr>
    </w:p>
    <w:p w:rsidR="00EE3410" w:rsidRDefault="00EE3410">
      <w:pPr>
        <w:pStyle w:val="Heading1"/>
        <w:pageBreakBefore w:val="0"/>
        <w:numPr>
          <w:ilvl w:val="0"/>
          <w:numId w:val="21"/>
        </w:numPr>
        <w:tabs>
          <w:tab w:val="clear" w:pos="432"/>
        </w:tabs>
        <w:spacing w:before="480" w:after="120"/>
        <w:ind w:left="357" w:hanging="357"/>
        <w:rPr>
          <w:rFonts w:eastAsiaTheme="majorEastAsia" w:cstheme="majorBidi"/>
          <w:b/>
          <w:color w:val="D52B1E"/>
          <w:sz w:val="34"/>
        </w:rPr>
        <w:sectPr w:rsidR="00EE3410" w:rsidSect="0025320C">
          <w:headerReference w:type="default" r:id="rId39"/>
          <w:type w:val="continuous"/>
          <w:pgSz w:w="11906" w:h="16838"/>
          <w:pgMar w:top="1418" w:right="1418" w:bottom="1418" w:left="1418" w:header="567" w:footer="284" w:gutter="0"/>
          <w:cols w:space="708"/>
          <w:docGrid w:linePitch="360"/>
        </w:sectPr>
      </w:pPr>
    </w:p>
    <w:p w:rsidR="00C74066" w:rsidRDefault="00F10705">
      <w:pPr>
        <w:pStyle w:val="Heading1"/>
        <w:pageBreakBefore w:val="0"/>
        <w:numPr>
          <w:ilvl w:val="0"/>
          <w:numId w:val="21"/>
        </w:numPr>
        <w:tabs>
          <w:tab w:val="clear" w:pos="432"/>
        </w:tabs>
        <w:spacing w:before="480" w:after="120"/>
        <w:ind w:left="357" w:hanging="357"/>
        <w:rPr>
          <w:rFonts w:eastAsiaTheme="majorEastAsia" w:cstheme="majorBidi"/>
          <w:b/>
          <w:color w:val="D52B1E"/>
          <w:sz w:val="34"/>
        </w:rPr>
      </w:pPr>
      <w:bookmarkStart w:id="196" w:name="_Toc434247477"/>
      <w:r>
        <w:rPr>
          <w:rFonts w:eastAsiaTheme="majorEastAsia" w:cstheme="majorBidi"/>
          <w:b/>
          <w:color w:val="D52B1E"/>
          <w:sz w:val="34"/>
        </w:rPr>
        <w:lastRenderedPageBreak/>
        <w:t>Pest risk management</w:t>
      </w:r>
      <w:bookmarkEnd w:id="196"/>
    </w:p>
    <w:p w:rsidR="00C74066" w:rsidRDefault="00F10705">
      <w:pPr>
        <w:spacing w:before="200"/>
        <w:rPr>
          <w:rFonts w:ascii="Cambria" w:hAnsi="Cambria"/>
        </w:rPr>
      </w:pPr>
      <w:r>
        <w:rPr>
          <w:rFonts w:ascii="Cambria" w:hAnsi="Cambria"/>
        </w:rPr>
        <w:t>Phytosanitary measures to prevent the introduction and spread of quarantine pests may include any combination of measures including pre- or post-harvest treatments, inspection at various points, surveillance, official control or certification. A measure or combination of measures may be applied at any one or more points along the continuum between the point of origin and the final destination. Pest risk management explores options that can be implemented (i) in the exporting country, (ii) at the point of entry or (iii) within the importing country. The ultimate goal is to prevent the introduction of identified quarantine pests in the PRA area.</w:t>
      </w:r>
    </w:p>
    <w:p w:rsidR="00C74066" w:rsidRDefault="00F10705">
      <w:pPr>
        <w:pStyle w:val="BAText1"/>
        <w:spacing w:before="200" w:line="276" w:lineRule="auto"/>
        <w:rPr>
          <w:rFonts w:ascii="Cambria" w:hAnsi="Cambria"/>
        </w:rPr>
      </w:pPr>
      <w:r>
        <w:rPr>
          <w:rFonts w:ascii="Cambria" w:hAnsi="Cambria"/>
        </w:rPr>
        <w:t xml:space="preserve">Australia is a member of the World Trade Organisation (WTO) and has obligations under the Agreement on the Application of Sanitary and Phytosanitary Measures (WTO 1995). </w:t>
      </w:r>
      <w:r>
        <w:rPr>
          <w:rFonts w:ascii="Cambria" w:hAnsi="Cambria"/>
          <w:i/>
        </w:rPr>
        <w:t>Article 3</w:t>
      </w:r>
      <w:r>
        <w:rPr>
          <w:rFonts w:ascii="Cambria" w:hAnsi="Cambria"/>
        </w:rPr>
        <w:t xml:space="preserve"> requires that members base their phytosanitary measures on international standards; however, it also allows members to use phytosanitary measures which result in a higher level of phytosanitary protection than that arising from international standards, where there is scientific justification or the member has determined that a higher level of protection is appropriate. </w:t>
      </w:r>
      <w:r>
        <w:rPr>
          <w:rFonts w:ascii="Cambria" w:hAnsi="Cambria"/>
          <w:i/>
        </w:rPr>
        <w:t>Article 5</w:t>
      </w:r>
      <w:r>
        <w:rPr>
          <w:rFonts w:ascii="Cambria" w:hAnsi="Cambria"/>
        </w:rPr>
        <w:t xml:space="preserve"> requires that when determining the appropriate level of protection (ALOP), negative trade effects should be minimised. Phytosanitary measures were evaluated and selected to effectively restrict the risks posed to meet </w:t>
      </w:r>
      <w:smartTag w:uri="urn:schemas-microsoft-com:office:smarttags" w:element="place">
        <w:smartTag w:uri="urn:schemas-microsoft-com:office:smarttags" w:element="country-region">
          <w:r>
            <w:rPr>
              <w:rFonts w:ascii="Cambria" w:hAnsi="Cambria"/>
            </w:rPr>
            <w:t>Australia</w:t>
          </w:r>
        </w:smartTag>
      </w:smartTag>
      <w:r>
        <w:rPr>
          <w:rFonts w:ascii="Cambria" w:hAnsi="Cambria"/>
        </w:rPr>
        <w:t>’s ALOP whilst minimising negative effects on trade.</w:t>
      </w:r>
    </w:p>
    <w:p w:rsidR="00C74066" w:rsidRDefault="00F10705">
      <w:pPr>
        <w:spacing w:before="200"/>
        <w:rPr>
          <w:rFonts w:ascii="Cambria" w:hAnsi="Cambria"/>
        </w:rPr>
      </w:pPr>
      <w:r>
        <w:rPr>
          <w:rFonts w:ascii="Cambria" w:hAnsi="Cambria"/>
        </w:rPr>
        <w:t xml:space="preserve">The department considers that phytosanitary measures are justified against </w:t>
      </w:r>
      <w:r>
        <w:rPr>
          <w:rFonts w:ascii="Cambria" w:hAnsi="Cambria"/>
          <w:i/>
        </w:rPr>
        <w:t xml:space="preserve">Phytophthora </w:t>
      </w:r>
      <w:r>
        <w:rPr>
          <w:rFonts w:ascii="Cambria" w:hAnsi="Cambria"/>
        </w:rPr>
        <w:t>species under review as these pathogens pose an unrestricted risk exceeding Australia’s ALOP.</w:t>
      </w:r>
    </w:p>
    <w:p w:rsidR="00C74066" w:rsidRDefault="00F10705">
      <w:pPr>
        <w:pStyle w:val="Heading2"/>
        <w:numPr>
          <w:ilvl w:val="1"/>
          <w:numId w:val="21"/>
        </w:numPr>
        <w:tabs>
          <w:tab w:val="clear" w:pos="576"/>
        </w:tabs>
        <w:spacing w:before="200" w:after="120"/>
        <w:ind w:left="709" w:hanging="709"/>
        <w:rPr>
          <w:rFonts w:eastAsiaTheme="majorEastAsia" w:cstheme="majorBidi"/>
          <w:color w:val="773141"/>
          <w:sz w:val="28"/>
        </w:rPr>
      </w:pPr>
      <w:bookmarkStart w:id="197" w:name="_Toc434247478"/>
      <w:r>
        <w:rPr>
          <w:rFonts w:eastAsiaTheme="majorEastAsia" w:cstheme="majorBidi"/>
          <w:color w:val="773141"/>
          <w:sz w:val="28"/>
        </w:rPr>
        <w:t>Recommended risk mitigation measures</w:t>
      </w:r>
      <w:bookmarkEnd w:id="197"/>
    </w:p>
    <w:p w:rsidR="00C74066" w:rsidRDefault="00F10705">
      <w:pPr>
        <w:pStyle w:val="Heading3"/>
        <w:keepLines/>
        <w:numPr>
          <w:ilvl w:val="2"/>
          <w:numId w:val="21"/>
        </w:numPr>
        <w:tabs>
          <w:tab w:val="clear" w:pos="720"/>
        </w:tabs>
        <w:spacing w:before="120" w:after="200"/>
        <w:ind w:left="357" w:hanging="357"/>
        <w:rPr>
          <w:rFonts w:ascii="Calibri" w:hAnsi="Calibri" w:cstheme="minorBidi"/>
          <w:sz w:val="24"/>
          <w:szCs w:val="22"/>
        </w:rPr>
      </w:pPr>
      <w:r>
        <w:rPr>
          <w:rFonts w:ascii="Calibri" w:hAnsi="Calibri" w:cstheme="minorBidi"/>
          <w:sz w:val="24"/>
          <w:szCs w:val="22"/>
        </w:rPr>
        <w:t>Propagative material from non-</w:t>
      </w:r>
      <w:r>
        <w:rPr>
          <w:rFonts w:ascii="Calibri" w:hAnsi="Calibri" w:cstheme="minorBidi"/>
          <w:i/>
          <w:sz w:val="24"/>
          <w:szCs w:val="22"/>
        </w:rPr>
        <w:t>Phytophthora ramorum</w:t>
      </w:r>
      <w:r>
        <w:rPr>
          <w:rFonts w:ascii="Calibri" w:hAnsi="Calibri" w:cstheme="minorBidi"/>
          <w:sz w:val="24"/>
          <w:szCs w:val="22"/>
        </w:rPr>
        <w:t xml:space="preserve"> countries</w:t>
      </w:r>
    </w:p>
    <w:p w:rsidR="00C74066" w:rsidRDefault="00F10705">
      <w:pPr>
        <w:spacing w:before="200"/>
        <w:rPr>
          <w:rFonts w:ascii="Cambria" w:hAnsi="Cambria"/>
        </w:rPr>
      </w:pPr>
      <w:r>
        <w:rPr>
          <w:rFonts w:ascii="Cambria" w:hAnsi="Cambria"/>
        </w:rPr>
        <w:t xml:space="preserve">This review recommends that </w:t>
      </w:r>
      <w:r w:rsidR="00333F5A">
        <w:rPr>
          <w:rFonts w:ascii="Cambria" w:hAnsi="Cambria"/>
        </w:rPr>
        <w:t xml:space="preserve">the </w:t>
      </w:r>
      <w:r>
        <w:rPr>
          <w:rFonts w:ascii="Cambria" w:hAnsi="Cambria"/>
        </w:rPr>
        <w:t>existing conditions for propagative material (tissue cultures, dormant cuttings, budwood and bare-rooted plants) from non-</w:t>
      </w:r>
      <w:r>
        <w:rPr>
          <w:rFonts w:ascii="Cambria" w:hAnsi="Cambria"/>
          <w:i/>
        </w:rPr>
        <w:t xml:space="preserve">Phytophthora ramorum </w:t>
      </w:r>
      <w:r>
        <w:rPr>
          <w:rFonts w:ascii="Cambria" w:hAnsi="Cambria"/>
        </w:rPr>
        <w:t xml:space="preserve">countries should continue. Additionally, it is recommended that the same conditions be extended to areas where </w:t>
      </w:r>
      <w:r>
        <w:rPr>
          <w:rFonts w:ascii="Cambria" w:hAnsi="Cambria"/>
          <w:i/>
        </w:rPr>
        <w:t>P</w:t>
      </w:r>
      <w:r w:rsidR="00333F5A">
        <w:rPr>
          <w:rFonts w:ascii="Cambria" w:hAnsi="Cambria"/>
          <w:i/>
        </w:rPr>
        <w:t>.</w:t>
      </w:r>
      <w:r>
        <w:rPr>
          <w:rFonts w:ascii="Cambria" w:hAnsi="Cambria"/>
          <w:i/>
        </w:rPr>
        <w:t xml:space="preserve"> kernoviae, P</w:t>
      </w:r>
      <w:r w:rsidR="00333F5A">
        <w:rPr>
          <w:rFonts w:ascii="Cambria" w:hAnsi="Cambria"/>
          <w:i/>
        </w:rPr>
        <w:t>.</w:t>
      </w:r>
      <w:r>
        <w:rPr>
          <w:rFonts w:ascii="Cambria" w:hAnsi="Cambria"/>
          <w:i/>
        </w:rPr>
        <w:t xml:space="preserve"> nemorosa </w:t>
      </w:r>
      <w:r>
        <w:rPr>
          <w:rFonts w:ascii="Cambria" w:hAnsi="Cambria"/>
        </w:rPr>
        <w:t>and</w:t>
      </w:r>
      <w:r>
        <w:rPr>
          <w:rFonts w:ascii="Cambria" w:hAnsi="Cambria"/>
          <w:i/>
        </w:rPr>
        <w:t xml:space="preserve"> P</w:t>
      </w:r>
      <w:r w:rsidR="00333F5A">
        <w:rPr>
          <w:rFonts w:ascii="Cambria" w:hAnsi="Cambria"/>
          <w:i/>
        </w:rPr>
        <w:t>.</w:t>
      </w:r>
      <w:r>
        <w:rPr>
          <w:rFonts w:ascii="Cambria" w:hAnsi="Cambria"/>
          <w:i/>
        </w:rPr>
        <w:t xml:space="preserve"> pseudosyringae</w:t>
      </w:r>
      <w:r>
        <w:rPr>
          <w:rFonts w:ascii="Cambria" w:hAnsi="Cambria"/>
        </w:rPr>
        <w:t xml:space="preserve"> are not known to occur. The recommended conditions for </w:t>
      </w:r>
      <w:r>
        <w:rPr>
          <w:rFonts w:ascii="Cambria" w:hAnsi="Cambria"/>
          <w:i/>
        </w:rPr>
        <w:t xml:space="preserve">Phytophthora </w:t>
      </w:r>
      <w:r w:rsidR="00333F5A">
        <w:rPr>
          <w:rFonts w:ascii="Cambria" w:hAnsi="Cambria"/>
        </w:rPr>
        <w:t xml:space="preserve">species </w:t>
      </w:r>
      <w:r>
        <w:rPr>
          <w:rFonts w:ascii="Cambria" w:hAnsi="Cambria"/>
        </w:rPr>
        <w:t>host propagative material (tissue cultures, dormant cuttings, budwood and bare-rooted plants) from non-</w:t>
      </w:r>
      <w:r>
        <w:rPr>
          <w:rFonts w:ascii="Cambria" w:hAnsi="Cambria"/>
          <w:i/>
        </w:rPr>
        <w:t>Phytophthora</w:t>
      </w:r>
      <w:r>
        <w:rPr>
          <w:rFonts w:ascii="Cambria" w:hAnsi="Cambria"/>
        </w:rPr>
        <w:t xml:space="preserve"> </w:t>
      </w:r>
      <w:r>
        <w:rPr>
          <w:rFonts w:ascii="Cambria" w:hAnsi="Cambria"/>
          <w:i/>
        </w:rPr>
        <w:t>ramorum</w:t>
      </w:r>
      <w:r>
        <w:rPr>
          <w:rFonts w:ascii="Cambria" w:hAnsi="Cambria"/>
        </w:rPr>
        <w:t xml:space="preserve"> countries are summarised below: </w:t>
      </w:r>
    </w:p>
    <w:p w:rsidR="00C74066" w:rsidRPr="00333F5A" w:rsidRDefault="00F10705">
      <w:pPr>
        <w:pStyle w:val="Heading4"/>
        <w:spacing w:before="120"/>
        <w:rPr>
          <w:rFonts w:asciiTheme="minorHAnsi" w:hAnsiTheme="minorHAnsi"/>
          <w:i/>
        </w:rPr>
      </w:pPr>
      <w:r w:rsidRPr="00333F5A">
        <w:rPr>
          <w:rFonts w:asciiTheme="minorHAnsi" w:hAnsiTheme="minorHAnsi"/>
          <w:i/>
        </w:rPr>
        <w:t>Tissue cultures (microplantlets)</w:t>
      </w:r>
    </w:p>
    <w:p w:rsidR="00C64640" w:rsidRDefault="00F10705" w:rsidP="00C64640">
      <w:pPr>
        <w:pStyle w:val="ListBullet"/>
        <w:tabs>
          <w:tab w:val="clear" w:pos="360"/>
          <w:tab w:val="num" w:pos="284"/>
        </w:tabs>
        <w:ind w:left="284" w:hanging="284"/>
        <w:rPr>
          <w:rFonts w:ascii="Cambria" w:hAnsi="Cambria"/>
        </w:rPr>
      </w:pPr>
      <w:r>
        <w:rPr>
          <w:rFonts w:ascii="Cambria" w:hAnsi="Cambria"/>
          <w:b/>
        </w:rPr>
        <w:t xml:space="preserve">Import permit: </w:t>
      </w:r>
      <w:r>
        <w:rPr>
          <w:rFonts w:ascii="Cambria" w:hAnsi="Cambria"/>
        </w:rPr>
        <w:t xml:space="preserve">An import permit is required; </w:t>
      </w:r>
    </w:p>
    <w:p w:rsidR="00C64640" w:rsidRDefault="00F10705" w:rsidP="00C64640">
      <w:pPr>
        <w:pStyle w:val="ListBullet"/>
        <w:tabs>
          <w:tab w:val="clear" w:pos="360"/>
          <w:tab w:val="num" w:pos="284"/>
        </w:tabs>
        <w:ind w:left="284" w:hanging="284"/>
        <w:rPr>
          <w:rFonts w:ascii="Cambria" w:hAnsi="Cambria"/>
        </w:rPr>
      </w:pPr>
      <w:r w:rsidRPr="00C64640">
        <w:rPr>
          <w:rFonts w:ascii="Cambria" w:hAnsi="Cambria"/>
          <w:b/>
        </w:rPr>
        <w:t xml:space="preserve">Phytosanitary Certificate with an additional declaration: </w:t>
      </w:r>
      <w:r w:rsidRPr="00C64640">
        <w:rPr>
          <w:rFonts w:ascii="Cambria" w:hAnsi="Cambria"/>
        </w:rPr>
        <w:t xml:space="preserve">Each </w:t>
      </w:r>
      <w:r w:rsidRPr="00C64640">
        <w:rPr>
          <w:rFonts w:ascii="Cambria" w:hAnsi="Cambria"/>
          <w:lang w:eastAsia="en-AU"/>
        </w:rPr>
        <w:t>consignment</w:t>
      </w:r>
      <w:r w:rsidRPr="00C64640">
        <w:rPr>
          <w:rFonts w:ascii="Cambria" w:hAnsi="Cambria"/>
        </w:rPr>
        <w:t xml:space="preserve"> of tissue cultures </w:t>
      </w:r>
      <w:r w:rsidRPr="00C64640">
        <w:rPr>
          <w:rFonts w:ascii="Cambria" w:hAnsi="Cambria"/>
          <w:lang w:eastAsia="en-AU"/>
        </w:rPr>
        <w:t>must be accompanied with a Phytosanitary Certificate with an additional declaration stating ‘</w:t>
      </w:r>
      <w:r w:rsidRPr="00C64640">
        <w:rPr>
          <w:rFonts w:ascii="Cambria" w:hAnsi="Cambria"/>
          <w:i/>
          <w:iCs/>
        </w:rPr>
        <w:t>Tissue cultures in this consignment were visually inspected immediately prior to export and found to be free from any symptoms of disease or microbial infection</w:t>
      </w:r>
      <w:r w:rsidRPr="00C64640">
        <w:rPr>
          <w:rFonts w:ascii="Cambria" w:hAnsi="Cambria"/>
        </w:rPr>
        <w:t>’;</w:t>
      </w:r>
      <w:r w:rsidR="00C143F5" w:rsidRPr="00C64640">
        <w:rPr>
          <w:rFonts w:ascii="Cambria" w:hAnsi="Cambria"/>
        </w:rPr>
        <w:t xml:space="preserve"> </w:t>
      </w:r>
    </w:p>
    <w:p w:rsidR="00C74066" w:rsidRPr="00C64640" w:rsidRDefault="00F10705" w:rsidP="00C64640">
      <w:pPr>
        <w:pStyle w:val="ListBullet"/>
        <w:tabs>
          <w:tab w:val="clear" w:pos="360"/>
          <w:tab w:val="num" w:pos="284"/>
        </w:tabs>
        <w:ind w:left="284" w:hanging="284"/>
        <w:rPr>
          <w:rFonts w:ascii="Cambria" w:hAnsi="Cambria"/>
        </w:rPr>
      </w:pPr>
      <w:r w:rsidRPr="00C64640">
        <w:rPr>
          <w:rFonts w:asciiTheme="majorHAnsi" w:hAnsiTheme="majorHAnsi"/>
          <w:b/>
        </w:rPr>
        <w:t>Mandatory on-arrival inspection</w:t>
      </w:r>
      <w:r w:rsidRPr="00C64640">
        <w:rPr>
          <w:rFonts w:asciiTheme="majorHAnsi" w:hAnsiTheme="majorHAnsi"/>
        </w:rPr>
        <w:t xml:space="preserve">: Each consignment must be subject to on-arrival inspection to verify freedom from disease symptoms, live insects, soil and other extraneous contaminants of quarantine concern. If tissue cultures have established roots or callus </w:t>
      </w:r>
      <w:r w:rsidRPr="00C64640">
        <w:rPr>
          <w:rFonts w:asciiTheme="majorHAnsi" w:hAnsiTheme="majorHAnsi"/>
        </w:rPr>
        <w:lastRenderedPageBreak/>
        <w:t>development and they meet all on-arrival inspection requirements they may be released from quarantine; and</w:t>
      </w:r>
    </w:p>
    <w:p w:rsidR="00C74066" w:rsidRDefault="00F10705">
      <w:pPr>
        <w:pStyle w:val="ListBullet"/>
        <w:tabs>
          <w:tab w:val="clear" w:pos="360"/>
          <w:tab w:val="num" w:pos="284"/>
        </w:tabs>
        <w:ind w:left="284" w:hanging="284"/>
        <w:rPr>
          <w:rFonts w:ascii="Cambria" w:hAnsi="Cambria"/>
          <w:b/>
        </w:rPr>
      </w:pPr>
      <w:r>
        <w:rPr>
          <w:rFonts w:ascii="Cambria" w:hAnsi="Cambria"/>
          <w:b/>
        </w:rPr>
        <w:t xml:space="preserve">Mandatory growth in the PEQ: </w:t>
      </w:r>
      <w:r>
        <w:rPr>
          <w:rFonts w:ascii="Cambria" w:hAnsi="Cambria"/>
        </w:rPr>
        <w:t xml:space="preserve">If tissue cultures do not have established roots or callus development or do not meet on-arrival inspection requirements then they must be grown in approved PEQ facilities </w:t>
      </w:r>
      <w:r w:rsidR="001B6119">
        <w:rPr>
          <w:rFonts w:ascii="Cambria" w:hAnsi="Cambria"/>
        </w:rPr>
        <w:t>for disease screening</w:t>
      </w:r>
      <w:r>
        <w:rPr>
          <w:rFonts w:ascii="Cambria" w:hAnsi="Cambria"/>
        </w:rPr>
        <w:t xml:space="preserve"> prior to release.</w:t>
      </w:r>
    </w:p>
    <w:p w:rsidR="00C74066" w:rsidRPr="00333F5A" w:rsidRDefault="00F10705">
      <w:pPr>
        <w:pStyle w:val="Heading4"/>
        <w:spacing w:before="120"/>
        <w:rPr>
          <w:rFonts w:asciiTheme="minorHAnsi" w:hAnsiTheme="minorHAnsi"/>
          <w:i/>
        </w:rPr>
      </w:pPr>
      <w:r w:rsidRPr="00333F5A">
        <w:rPr>
          <w:rFonts w:asciiTheme="minorHAnsi" w:hAnsiTheme="minorHAnsi"/>
          <w:i/>
        </w:rPr>
        <w:t>Dormant hardwood cuttings, budwood and bare-rooted plants (other than tissue cultures)</w:t>
      </w:r>
    </w:p>
    <w:p w:rsidR="00C74066" w:rsidRDefault="00F10705">
      <w:pPr>
        <w:pStyle w:val="ListBullet"/>
        <w:tabs>
          <w:tab w:val="clear" w:pos="360"/>
          <w:tab w:val="num" w:pos="284"/>
        </w:tabs>
        <w:ind w:left="284" w:hanging="284"/>
        <w:rPr>
          <w:rFonts w:ascii="Cambria" w:hAnsi="Cambria"/>
        </w:rPr>
      </w:pPr>
      <w:r>
        <w:rPr>
          <w:rFonts w:ascii="Cambria" w:hAnsi="Cambria"/>
          <w:b/>
        </w:rPr>
        <w:t xml:space="preserve">Import permit: </w:t>
      </w:r>
      <w:r>
        <w:rPr>
          <w:rFonts w:ascii="Cambria" w:hAnsi="Cambria"/>
        </w:rPr>
        <w:t xml:space="preserve">An import permit is required; </w:t>
      </w:r>
    </w:p>
    <w:p w:rsidR="00C74066" w:rsidRDefault="00F10705">
      <w:pPr>
        <w:pStyle w:val="ListBullet"/>
        <w:tabs>
          <w:tab w:val="clear" w:pos="360"/>
          <w:tab w:val="num" w:pos="284"/>
        </w:tabs>
        <w:ind w:left="284" w:hanging="284"/>
        <w:rPr>
          <w:rFonts w:ascii="Cambria" w:hAnsi="Cambria"/>
        </w:rPr>
      </w:pPr>
      <w:r>
        <w:rPr>
          <w:rFonts w:ascii="Cambria" w:hAnsi="Cambria"/>
          <w:b/>
        </w:rPr>
        <w:t xml:space="preserve">Additional declaration on Phytosanitary Certification of country freedom: </w:t>
      </w:r>
      <w:r>
        <w:rPr>
          <w:rFonts w:ascii="Cambria" w:hAnsi="Cambria"/>
        </w:rPr>
        <w:t xml:space="preserve">Each </w:t>
      </w:r>
      <w:r>
        <w:rPr>
          <w:rFonts w:ascii="Cambria" w:hAnsi="Cambria"/>
          <w:lang w:eastAsia="en-AU"/>
        </w:rPr>
        <w:t>consignment</w:t>
      </w:r>
      <w:r>
        <w:rPr>
          <w:rFonts w:ascii="Cambria" w:hAnsi="Cambria"/>
        </w:rPr>
        <w:t xml:space="preserve"> of dormant cuttings, budwood and bare-rooted plants </w:t>
      </w:r>
      <w:r>
        <w:rPr>
          <w:rFonts w:ascii="Cambria" w:hAnsi="Cambria"/>
          <w:lang w:eastAsia="en-AU"/>
        </w:rPr>
        <w:t xml:space="preserve">must be accompanied with a Phytosanitary Certificate with an additional declaration stating </w:t>
      </w:r>
      <w:r>
        <w:rPr>
          <w:rFonts w:ascii="Cambria" w:hAnsi="Cambria"/>
        </w:rPr>
        <w:t>‘</w:t>
      </w:r>
      <w:r>
        <w:rPr>
          <w:rFonts w:ascii="Cambria" w:hAnsi="Cambria"/>
          <w:i/>
        </w:rPr>
        <w:t xml:space="preserve">Phytophthora kernoviae, Phytophthora nemorosa, Phytophthora pseudosyringae </w:t>
      </w:r>
      <w:r>
        <w:rPr>
          <w:rFonts w:ascii="Cambria" w:hAnsi="Cambria"/>
        </w:rPr>
        <w:t>and</w:t>
      </w:r>
      <w:r>
        <w:rPr>
          <w:rFonts w:ascii="Cambria" w:hAnsi="Cambria"/>
          <w:i/>
        </w:rPr>
        <w:t xml:space="preserve"> Phytophthora ramorum</w:t>
      </w:r>
      <w:r>
        <w:rPr>
          <w:rFonts w:ascii="Cambria" w:hAnsi="Cambria"/>
        </w:rPr>
        <w:t xml:space="preserve"> are not known to occur </w:t>
      </w:r>
      <w:r w:rsidR="005A5251">
        <w:rPr>
          <w:rFonts w:ascii="Cambria" w:hAnsi="Cambria"/>
        </w:rPr>
        <w:t xml:space="preserve">in </w:t>
      </w:r>
      <w:r>
        <w:rPr>
          <w:rFonts w:ascii="Cambria" w:hAnsi="Cambria"/>
        </w:rPr>
        <w:t>[insert country of origin]</w:t>
      </w:r>
      <w:r w:rsidR="00333F5A">
        <w:rPr>
          <w:rFonts w:ascii="Cambria" w:hAnsi="Cambria"/>
        </w:rPr>
        <w:t>’</w:t>
      </w:r>
      <w:r>
        <w:rPr>
          <w:rFonts w:ascii="Cambria" w:hAnsi="Cambria"/>
        </w:rPr>
        <w:t>;</w:t>
      </w:r>
    </w:p>
    <w:p w:rsidR="00C74066" w:rsidRDefault="00F10705">
      <w:pPr>
        <w:pStyle w:val="ListBullet"/>
        <w:tabs>
          <w:tab w:val="clear" w:pos="360"/>
          <w:tab w:val="num" w:pos="284"/>
        </w:tabs>
        <w:ind w:left="284" w:hanging="284"/>
        <w:rPr>
          <w:rFonts w:ascii="Cambria" w:hAnsi="Cambria"/>
        </w:rPr>
      </w:pPr>
      <w:r>
        <w:rPr>
          <w:rFonts w:ascii="Cambria" w:hAnsi="Cambria"/>
          <w:b/>
        </w:rPr>
        <w:t>Mandatory on-arrival inspection</w:t>
      </w:r>
      <w:r>
        <w:rPr>
          <w:rFonts w:ascii="Cambria" w:hAnsi="Cambria"/>
        </w:rPr>
        <w:t>: Each consignment of dormant cuttings, budwood and bare-rooted plants must be subject to on-arrival inspection to verify freedom from disease symptoms, live insects, soil and other extraneous contaminants of quarantine concern;</w:t>
      </w:r>
    </w:p>
    <w:p w:rsidR="00C74066" w:rsidRDefault="00F10705">
      <w:pPr>
        <w:pStyle w:val="ListBullet"/>
        <w:tabs>
          <w:tab w:val="clear" w:pos="360"/>
          <w:tab w:val="num" w:pos="284"/>
        </w:tabs>
        <w:ind w:left="284" w:hanging="284"/>
        <w:rPr>
          <w:rFonts w:ascii="Cambria" w:hAnsi="Cambria"/>
        </w:rPr>
      </w:pPr>
      <w:r>
        <w:rPr>
          <w:rFonts w:ascii="Cambria" w:hAnsi="Cambria"/>
          <w:b/>
        </w:rPr>
        <w:t xml:space="preserve">Mandatory on arrival </w:t>
      </w:r>
      <w:r w:rsidR="00651527">
        <w:rPr>
          <w:rFonts w:ascii="Cambria" w:hAnsi="Cambria"/>
          <w:b/>
        </w:rPr>
        <w:t>treatment</w:t>
      </w:r>
      <w:r>
        <w:rPr>
          <w:rFonts w:ascii="Cambria" w:hAnsi="Cambria"/>
          <w:b/>
        </w:rPr>
        <w:t>:</w:t>
      </w:r>
      <w:r>
        <w:rPr>
          <w:rFonts w:ascii="Cambria" w:hAnsi="Cambria"/>
        </w:rPr>
        <w:t xml:space="preserve"> Each consignment of dormant cuttings, budwood and bare-rooted plants must be subject to on-arrival methyl-bromide fumigation. Methyl-bromide is a commonly used fumigant because of its effectiveness in killing arthropods regardless of the commodity. However, the department is recommending insecticidal dip as an alternative to methyl-bromide. The insecticidal dip (Imidacloprid 100 milligrams per litre and one percent Eco oil) is considered an appropriate broad spectrum insecticide, regardless of host. Methyl-bromide fumigation or insecticidal dip is not a treatment targeting the </w:t>
      </w:r>
      <w:r>
        <w:rPr>
          <w:rFonts w:ascii="Cambria" w:hAnsi="Cambria"/>
          <w:i/>
        </w:rPr>
        <w:t xml:space="preserve">Phytophthora </w:t>
      </w:r>
      <w:r>
        <w:rPr>
          <w:rFonts w:ascii="Cambria" w:hAnsi="Cambria"/>
        </w:rPr>
        <w:t xml:space="preserve">species under review; and </w:t>
      </w:r>
    </w:p>
    <w:p w:rsidR="00C74066" w:rsidRDefault="00F10705">
      <w:pPr>
        <w:pStyle w:val="ListBullet"/>
        <w:tabs>
          <w:tab w:val="clear" w:pos="360"/>
          <w:tab w:val="num" w:pos="284"/>
        </w:tabs>
        <w:ind w:left="284" w:hanging="284"/>
        <w:rPr>
          <w:rFonts w:ascii="Cambria" w:hAnsi="Cambria"/>
          <w:b/>
        </w:rPr>
      </w:pPr>
      <w:r>
        <w:rPr>
          <w:rFonts w:ascii="Cambria" w:hAnsi="Cambria"/>
          <w:b/>
        </w:rPr>
        <w:t xml:space="preserve">Mandatory growth in the PEQ: </w:t>
      </w:r>
      <w:r>
        <w:rPr>
          <w:rFonts w:ascii="Cambria" w:hAnsi="Cambria"/>
        </w:rPr>
        <w:t>Mandatory growth in PEQ of dormant hardwood cuttings, budwood and bare-rooted plants.</w:t>
      </w:r>
    </w:p>
    <w:p w:rsidR="00C74066" w:rsidRDefault="00F10705">
      <w:pPr>
        <w:pStyle w:val="Heading3"/>
        <w:keepLines/>
        <w:numPr>
          <w:ilvl w:val="2"/>
          <w:numId w:val="21"/>
        </w:numPr>
        <w:tabs>
          <w:tab w:val="clear" w:pos="720"/>
        </w:tabs>
        <w:spacing w:before="120" w:after="200"/>
        <w:ind w:left="357" w:hanging="357"/>
        <w:rPr>
          <w:rFonts w:ascii="Calibri" w:hAnsi="Calibri" w:cstheme="minorBidi"/>
          <w:sz w:val="24"/>
          <w:szCs w:val="22"/>
        </w:rPr>
      </w:pPr>
      <w:r>
        <w:rPr>
          <w:rFonts w:ascii="Calibri" w:hAnsi="Calibri" w:cstheme="minorBidi"/>
          <w:sz w:val="24"/>
          <w:szCs w:val="22"/>
        </w:rPr>
        <w:t xml:space="preserve">Propagative material from </w:t>
      </w:r>
      <w:r>
        <w:rPr>
          <w:rFonts w:ascii="Calibri" w:hAnsi="Calibri" w:cstheme="minorBidi"/>
          <w:i/>
          <w:sz w:val="24"/>
          <w:szCs w:val="22"/>
        </w:rPr>
        <w:t>Phytophthora ramorum</w:t>
      </w:r>
      <w:r>
        <w:rPr>
          <w:rFonts w:ascii="Calibri" w:hAnsi="Calibri" w:cstheme="minorBidi"/>
          <w:sz w:val="24"/>
          <w:szCs w:val="22"/>
        </w:rPr>
        <w:t xml:space="preserve"> countries</w:t>
      </w:r>
    </w:p>
    <w:p w:rsidR="00E066B3" w:rsidRPr="00796500" w:rsidRDefault="00F10705">
      <w:pPr>
        <w:spacing w:before="200"/>
        <w:rPr>
          <w:rFonts w:ascii="Cambria" w:hAnsi="Cambria"/>
        </w:rPr>
      </w:pPr>
      <w:r>
        <w:rPr>
          <w:rFonts w:ascii="Cambria" w:hAnsi="Cambria"/>
        </w:rPr>
        <w:t xml:space="preserve">This review recommends that </w:t>
      </w:r>
      <w:r>
        <w:rPr>
          <w:rFonts w:ascii="Cambria" w:hAnsi="Cambria"/>
          <w:i/>
        </w:rPr>
        <w:t xml:space="preserve">Phytophthora kernoviae, P. nemorosa </w:t>
      </w:r>
      <w:r>
        <w:rPr>
          <w:rFonts w:ascii="Cambria" w:hAnsi="Cambria"/>
        </w:rPr>
        <w:t>and</w:t>
      </w:r>
      <w:r>
        <w:rPr>
          <w:rFonts w:ascii="Cambria" w:hAnsi="Cambria"/>
          <w:i/>
        </w:rPr>
        <w:t xml:space="preserve"> P. pseudosyringae </w:t>
      </w:r>
      <w:r>
        <w:rPr>
          <w:rFonts w:ascii="Cambria" w:hAnsi="Cambria"/>
        </w:rPr>
        <w:t xml:space="preserve">be treated as posing similar risk as </w:t>
      </w:r>
      <w:r>
        <w:rPr>
          <w:rFonts w:ascii="Cambria" w:hAnsi="Cambria"/>
          <w:i/>
        </w:rPr>
        <w:t>Phytophthora ramorum</w:t>
      </w:r>
      <w:r>
        <w:rPr>
          <w:rFonts w:ascii="Cambria" w:hAnsi="Cambria"/>
        </w:rPr>
        <w:t>.</w:t>
      </w:r>
      <w:r>
        <w:rPr>
          <w:rFonts w:ascii="Cambria" w:hAnsi="Cambria"/>
          <w:i/>
        </w:rPr>
        <w:t xml:space="preserve"> </w:t>
      </w:r>
      <w:r>
        <w:rPr>
          <w:rFonts w:ascii="Cambria" w:hAnsi="Cambria"/>
        </w:rPr>
        <w:t xml:space="preserve">Therefore, propagative material from </w:t>
      </w:r>
      <w:r w:rsidRPr="00796500">
        <w:rPr>
          <w:rFonts w:ascii="Cambria" w:hAnsi="Cambria"/>
        </w:rPr>
        <w:t xml:space="preserve">countries where </w:t>
      </w:r>
      <w:r w:rsidR="003D01AB">
        <w:rPr>
          <w:rFonts w:ascii="Cambria" w:hAnsi="Cambria"/>
          <w:i/>
        </w:rPr>
        <w:t xml:space="preserve">P. kernoviae, P. nemorosa </w:t>
      </w:r>
      <w:r w:rsidR="003D01AB">
        <w:rPr>
          <w:rFonts w:ascii="Cambria" w:hAnsi="Cambria"/>
        </w:rPr>
        <w:t>and</w:t>
      </w:r>
      <w:r w:rsidR="003D01AB">
        <w:rPr>
          <w:rFonts w:ascii="Cambria" w:hAnsi="Cambria"/>
          <w:i/>
        </w:rPr>
        <w:t xml:space="preserve"> P. pseudosyringae</w:t>
      </w:r>
      <w:r w:rsidR="003D01AB">
        <w:rPr>
          <w:rFonts w:ascii="Cambria" w:hAnsi="Cambria"/>
        </w:rPr>
        <w:t xml:space="preserve"> </w:t>
      </w:r>
      <w:r w:rsidRPr="00796500">
        <w:rPr>
          <w:rFonts w:ascii="Cambria" w:hAnsi="Cambria"/>
        </w:rPr>
        <w:t>are known to occur should be subject to the same conditions.</w:t>
      </w:r>
    </w:p>
    <w:p w:rsidR="00E066B3" w:rsidRDefault="00E066B3" w:rsidP="00E066B3">
      <w:pPr>
        <w:spacing w:before="200"/>
        <w:rPr>
          <w:rFonts w:ascii="Cambria" w:hAnsi="Cambria"/>
        </w:rPr>
      </w:pPr>
      <w:r w:rsidRPr="00796500">
        <w:rPr>
          <w:rFonts w:ascii="Cambria" w:hAnsi="Cambria"/>
        </w:rPr>
        <w:t xml:space="preserve">The recommended risk management measures for </w:t>
      </w:r>
      <w:r w:rsidRPr="00796500">
        <w:rPr>
          <w:rFonts w:ascii="Cambria" w:hAnsi="Cambria"/>
          <w:i/>
        </w:rPr>
        <w:t xml:space="preserve">P. ramorum </w:t>
      </w:r>
      <w:r w:rsidRPr="00796500">
        <w:rPr>
          <w:rFonts w:ascii="Cambria" w:hAnsi="Cambria"/>
        </w:rPr>
        <w:t>host prop</w:t>
      </w:r>
      <w:r w:rsidR="00333F5A" w:rsidRPr="00796500">
        <w:rPr>
          <w:rFonts w:ascii="Cambria" w:hAnsi="Cambria"/>
        </w:rPr>
        <w:t>agative material are based on a systems approach</w:t>
      </w:r>
      <w:r w:rsidRPr="00796500">
        <w:rPr>
          <w:rFonts w:ascii="Cambria" w:hAnsi="Cambria"/>
        </w:rPr>
        <w:t xml:space="preserve">. Each of the recommended measures is not designed to be ‘stand </w:t>
      </w:r>
      <w:r w:rsidR="00C309C3" w:rsidRPr="00796500">
        <w:rPr>
          <w:rFonts w:ascii="Cambria" w:hAnsi="Cambria"/>
        </w:rPr>
        <w:t>alone’;</w:t>
      </w:r>
      <w:r w:rsidRPr="00796500">
        <w:rPr>
          <w:rFonts w:ascii="Cambria" w:hAnsi="Cambria"/>
        </w:rPr>
        <w:t xml:space="preserve"> rather</w:t>
      </w:r>
      <w:r w:rsidR="00C309C3" w:rsidRPr="00796500">
        <w:rPr>
          <w:rFonts w:ascii="Cambria" w:hAnsi="Cambria"/>
        </w:rPr>
        <w:t>,</w:t>
      </w:r>
      <w:r w:rsidRPr="00796500">
        <w:rPr>
          <w:rFonts w:ascii="Cambria" w:hAnsi="Cambria"/>
        </w:rPr>
        <w:t xml:space="preserve"> the measures work in combination to ensure the risk is progressively reduced and managed. The department considers the recommended risk management measures reduce the risk of </w:t>
      </w:r>
      <w:r w:rsidRPr="00796500">
        <w:rPr>
          <w:rFonts w:ascii="Cambria" w:hAnsi="Cambria"/>
          <w:i/>
        </w:rPr>
        <w:t xml:space="preserve">P. ramorum, P. kernoviae, P. nemorosa </w:t>
      </w:r>
      <w:r w:rsidRPr="00796500">
        <w:rPr>
          <w:rFonts w:ascii="Cambria" w:hAnsi="Cambria"/>
        </w:rPr>
        <w:t>and</w:t>
      </w:r>
      <w:r w:rsidRPr="00796500">
        <w:rPr>
          <w:rFonts w:ascii="Cambria" w:hAnsi="Cambria"/>
          <w:i/>
        </w:rPr>
        <w:t xml:space="preserve"> P. pseudosyringae</w:t>
      </w:r>
      <w:r w:rsidRPr="00796500">
        <w:rPr>
          <w:rFonts w:ascii="Cambria" w:hAnsi="Cambria"/>
        </w:rPr>
        <w:t xml:space="preserve"> to at least a very low level, thereby meeting Australia’s appropriate level of protection (ALOP). </w:t>
      </w:r>
    </w:p>
    <w:p w:rsidR="00C74066" w:rsidRDefault="00F10705">
      <w:pPr>
        <w:spacing w:before="200"/>
        <w:rPr>
          <w:rFonts w:ascii="Cambria" w:hAnsi="Cambria"/>
        </w:rPr>
      </w:pPr>
      <w:r>
        <w:rPr>
          <w:rFonts w:ascii="Cambria" w:hAnsi="Cambria"/>
        </w:rPr>
        <w:t xml:space="preserve"> The review recommends that:</w:t>
      </w:r>
    </w:p>
    <w:p w:rsidR="00C74066" w:rsidRDefault="00F10705">
      <w:pPr>
        <w:pStyle w:val="ListBullet"/>
        <w:tabs>
          <w:tab w:val="clear" w:pos="360"/>
          <w:tab w:val="num" w:pos="284"/>
        </w:tabs>
        <w:ind w:left="284" w:hanging="284"/>
        <w:rPr>
          <w:rFonts w:ascii="Cambria" w:hAnsi="Cambria"/>
        </w:rPr>
      </w:pPr>
      <w:r>
        <w:rPr>
          <w:rFonts w:ascii="Cambria" w:hAnsi="Cambria"/>
          <w:b/>
        </w:rPr>
        <w:t>Natural hosts</w:t>
      </w:r>
      <w:r>
        <w:rPr>
          <w:rFonts w:ascii="Cambria" w:hAnsi="Cambria"/>
        </w:rPr>
        <w:t xml:space="preserve"> of the </w:t>
      </w:r>
      <w:r>
        <w:rPr>
          <w:rFonts w:ascii="Cambria" w:hAnsi="Cambria"/>
          <w:i/>
        </w:rPr>
        <w:t>Phytophthora</w:t>
      </w:r>
      <w:r>
        <w:rPr>
          <w:rFonts w:ascii="Cambria" w:hAnsi="Cambria"/>
        </w:rPr>
        <w:t xml:space="preserve"> species under review be regulated at the genus level (the host list may be amended from time to time to refl</w:t>
      </w:r>
      <w:r w:rsidR="00100CE3">
        <w:rPr>
          <w:rFonts w:ascii="Cambria" w:hAnsi="Cambria"/>
        </w:rPr>
        <w:t>ect identification of new hosts</w:t>
      </w:r>
      <w:r>
        <w:rPr>
          <w:rFonts w:ascii="Cambria" w:hAnsi="Cambria"/>
        </w:rPr>
        <w:t xml:space="preserve"> and amendments will be notified on the department’s import conditions database); and</w:t>
      </w:r>
    </w:p>
    <w:p w:rsidR="00C74066" w:rsidRDefault="00F10705">
      <w:pPr>
        <w:pStyle w:val="ListBullet"/>
        <w:tabs>
          <w:tab w:val="clear" w:pos="360"/>
          <w:tab w:val="num" w:pos="284"/>
        </w:tabs>
        <w:ind w:left="284" w:hanging="284"/>
        <w:rPr>
          <w:rFonts w:ascii="Cambria" w:hAnsi="Cambria"/>
        </w:rPr>
      </w:pPr>
      <w:r>
        <w:rPr>
          <w:rFonts w:ascii="Cambria" w:hAnsi="Cambria"/>
          <w:b/>
        </w:rPr>
        <w:lastRenderedPageBreak/>
        <w:t xml:space="preserve">Experimental hosts </w:t>
      </w:r>
      <w:r>
        <w:rPr>
          <w:rFonts w:ascii="Cambria" w:hAnsi="Cambria"/>
        </w:rPr>
        <w:t xml:space="preserve">of </w:t>
      </w:r>
      <w:r>
        <w:rPr>
          <w:rFonts w:ascii="Cambria" w:hAnsi="Cambria"/>
          <w:i/>
        </w:rPr>
        <w:t xml:space="preserve">Phytophthora ramorum </w:t>
      </w:r>
      <w:r>
        <w:rPr>
          <w:rFonts w:ascii="Cambria" w:hAnsi="Cambria"/>
        </w:rPr>
        <w:t xml:space="preserve">should not be regulated; therefore, existing regulations will be lifted for experimental hosts of </w:t>
      </w:r>
      <w:r>
        <w:rPr>
          <w:rFonts w:ascii="Cambria" w:hAnsi="Cambria"/>
          <w:i/>
        </w:rPr>
        <w:t>Phytophthora ramorum</w:t>
      </w:r>
      <w:r>
        <w:rPr>
          <w:rFonts w:ascii="Cambria" w:hAnsi="Cambria"/>
        </w:rPr>
        <w:t>.</w:t>
      </w:r>
    </w:p>
    <w:p w:rsidR="00C74066" w:rsidRPr="00100CE3" w:rsidRDefault="00F10705">
      <w:pPr>
        <w:pStyle w:val="Heading4"/>
        <w:spacing w:before="200"/>
        <w:rPr>
          <w:rFonts w:asciiTheme="minorHAnsi" w:hAnsiTheme="minorHAnsi"/>
          <w:i/>
        </w:rPr>
      </w:pPr>
      <w:r w:rsidRPr="00100CE3">
        <w:rPr>
          <w:rFonts w:asciiTheme="minorHAnsi" w:hAnsiTheme="minorHAnsi"/>
          <w:i/>
        </w:rPr>
        <w:t>Tissue cultures (microplantlets)</w:t>
      </w:r>
    </w:p>
    <w:p w:rsidR="00C74066" w:rsidRDefault="00F10705">
      <w:pPr>
        <w:spacing w:before="200"/>
        <w:rPr>
          <w:rFonts w:ascii="Cambria" w:hAnsi="Cambria"/>
        </w:rPr>
      </w:pPr>
      <w:r>
        <w:rPr>
          <w:rFonts w:ascii="Cambria" w:hAnsi="Cambria"/>
        </w:rPr>
        <w:t xml:space="preserve">Current import requirements allow tissue cultures of all natural hosts of the </w:t>
      </w:r>
      <w:r>
        <w:rPr>
          <w:rFonts w:ascii="Cambria" w:hAnsi="Cambria"/>
          <w:i/>
        </w:rPr>
        <w:t xml:space="preserve">Phytophthora </w:t>
      </w:r>
      <w:r>
        <w:rPr>
          <w:rFonts w:ascii="Cambria" w:hAnsi="Cambria"/>
        </w:rPr>
        <w:t>species under review entry into Australia, this is recommended to continue. Imported tissue cultures are to be well rooted prior to arrival as this helps in their establishment out of agar into the growth media.</w:t>
      </w:r>
    </w:p>
    <w:p w:rsidR="00C74066" w:rsidRDefault="00F10705">
      <w:pPr>
        <w:spacing w:before="200"/>
        <w:rPr>
          <w:rFonts w:ascii="Cambria" w:hAnsi="Cambria"/>
        </w:rPr>
      </w:pPr>
      <w:r>
        <w:rPr>
          <w:rFonts w:ascii="Cambria" w:hAnsi="Cambria"/>
        </w:rPr>
        <w:t xml:space="preserve">The recommended conditions for </w:t>
      </w:r>
      <w:r>
        <w:rPr>
          <w:rFonts w:ascii="Cambria" w:hAnsi="Cambria"/>
          <w:i/>
        </w:rPr>
        <w:t xml:space="preserve">Phytophthora </w:t>
      </w:r>
      <w:r w:rsidR="00100CE3">
        <w:rPr>
          <w:rFonts w:ascii="Cambria" w:hAnsi="Cambria"/>
        </w:rPr>
        <w:t xml:space="preserve">species </w:t>
      </w:r>
      <w:r>
        <w:rPr>
          <w:rFonts w:ascii="Cambria" w:hAnsi="Cambria"/>
        </w:rPr>
        <w:t xml:space="preserve">host propagative material (tissue cultures) from countries where these </w:t>
      </w:r>
      <w:r>
        <w:rPr>
          <w:rFonts w:ascii="Cambria" w:hAnsi="Cambria"/>
          <w:i/>
        </w:rPr>
        <w:t>Phytophthora</w:t>
      </w:r>
      <w:r>
        <w:rPr>
          <w:rFonts w:ascii="Cambria" w:hAnsi="Cambria"/>
        </w:rPr>
        <w:t xml:space="preserve"> species are known to occur are summarised below: </w:t>
      </w:r>
    </w:p>
    <w:p w:rsidR="00C74066" w:rsidRDefault="00F10705">
      <w:pPr>
        <w:pStyle w:val="ListBullet"/>
        <w:tabs>
          <w:tab w:val="clear" w:pos="360"/>
          <w:tab w:val="num" w:pos="284"/>
        </w:tabs>
        <w:ind w:left="284" w:hanging="284"/>
        <w:rPr>
          <w:rFonts w:ascii="Cambria" w:hAnsi="Cambria"/>
        </w:rPr>
      </w:pPr>
      <w:r>
        <w:rPr>
          <w:rFonts w:ascii="Cambria" w:hAnsi="Cambria"/>
          <w:b/>
        </w:rPr>
        <w:t xml:space="preserve">Mandatory on-arrival inspection: </w:t>
      </w:r>
      <w:r>
        <w:rPr>
          <w:rFonts w:ascii="Cambria" w:hAnsi="Cambria"/>
        </w:rPr>
        <w:t>Imported tissue cultures must be subjected to mandatory on-arrival inspection to verify freedom from disease symptoms, live insects, soil and other extraneous contaminants of quarantine concern; and</w:t>
      </w:r>
    </w:p>
    <w:p w:rsidR="00C74066" w:rsidRDefault="00F10705">
      <w:pPr>
        <w:pStyle w:val="ListBullet"/>
        <w:tabs>
          <w:tab w:val="clear" w:pos="360"/>
          <w:tab w:val="num" w:pos="284"/>
        </w:tabs>
        <w:ind w:left="284" w:hanging="284"/>
        <w:rPr>
          <w:rFonts w:ascii="Cambria" w:hAnsi="Cambria"/>
        </w:rPr>
      </w:pPr>
      <w:r>
        <w:rPr>
          <w:rFonts w:ascii="Cambria" w:hAnsi="Cambria"/>
          <w:b/>
        </w:rPr>
        <w:t xml:space="preserve">Mandatory growth in PEQ facilities: </w:t>
      </w:r>
      <w:r>
        <w:rPr>
          <w:rFonts w:ascii="Cambria" w:hAnsi="Cambria"/>
        </w:rPr>
        <w:t>The imported tissue cultures must be grown in a closed government PEQ faci</w:t>
      </w:r>
      <w:r w:rsidR="00100CE3">
        <w:rPr>
          <w:rFonts w:ascii="Cambria" w:hAnsi="Cambria"/>
        </w:rPr>
        <w:t>lity for a minimum of 12 months</w:t>
      </w:r>
      <w:r>
        <w:rPr>
          <w:rFonts w:ascii="Cambria" w:hAnsi="Cambria"/>
        </w:rPr>
        <w:t xml:space="preserve"> with pathogen screening/testing. The minimum PEQ period may be longer if plants are a host of other quarantine pathogens. </w:t>
      </w:r>
    </w:p>
    <w:p w:rsidR="00C74066" w:rsidRDefault="00F10705">
      <w:pPr>
        <w:pStyle w:val="ListBullet"/>
        <w:numPr>
          <w:ilvl w:val="0"/>
          <w:numId w:val="0"/>
        </w:numPr>
        <w:spacing w:before="200" w:after="200"/>
        <w:ind w:left="284"/>
        <w:rPr>
          <w:rFonts w:ascii="Cambria" w:hAnsi="Cambria"/>
        </w:rPr>
      </w:pPr>
      <w:r>
        <w:rPr>
          <w:rFonts w:ascii="Cambria" w:hAnsi="Cambria"/>
        </w:rPr>
        <w:t xml:space="preserve">Imported tissue cultures must be grown in mist beds/fog for the first six weeks at 19 °C to 25 °C to favour symptom expression. During growth in PEQ, tissue cultures must be subjected to visual inspection and molecular testing (a </w:t>
      </w:r>
      <w:r>
        <w:rPr>
          <w:rFonts w:ascii="Cambria" w:hAnsi="Cambria"/>
          <w:snapToGrid w:val="0"/>
        </w:rPr>
        <w:t xml:space="preserve">generic </w:t>
      </w:r>
      <w:r>
        <w:rPr>
          <w:rFonts w:ascii="Cambria" w:hAnsi="Cambria"/>
          <w:i/>
          <w:iCs/>
          <w:snapToGrid w:val="0"/>
        </w:rPr>
        <w:t xml:space="preserve">Phytophthora </w:t>
      </w:r>
      <w:r>
        <w:rPr>
          <w:rFonts w:ascii="Cambria" w:hAnsi="Cambria"/>
          <w:snapToGrid w:val="0"/>
        </w:rPr>
        <w:t xml:space="preserve">PCR of leaf tissues for each plant to verify freedom from </w:t>
      </w:r>
      <w:r>
        <w:rPr>
          <w:rFonts w:ascii="Cambria" w:hAnsi="Cambria"/>
          <w:i/>
          <w:iCs/>
          <w:snapToGrid w:val="0"/>
        </w:rPr>
        <w:t xml:space="preserve">Phytophthora </w:t>
      </w:r>
      <w:r>
        <w:rPr>
          <w:rFonts w:ascii="Cambria" w:hAnsi="Cambria"/>
          <w:snapToGrid w:val="0"/>
        </w:rPr>
        <w:t>species)</w:t>
      </w:r>
      <w:r>
        <w:rPr>
          <w:rFonts w:ascii="Cambria" w:hAnsi="Cambria"/>
        </w:rPr>
        <w:t>.</w:t>
      </w:r>
    </w:p>
    <w:p w:rsidR="00C74066" w:rsidRPr="00100CE3" w:rsidRDefault="00F10705">
      <w:pPr>
        <w:pStyle w:val="Heading4"/>
        <w:spacing w:before="200"/>
        <w:rPr>
          <w:rFonts w:asciiTheme="minorHAnsi" w:hAnsiTheme="minorHAnsi"/>
          <w:i/>
        </w:rPr>
      </w:pPr>
      <w:r w:rsidRPr="00100CE3">
        <w:rPr>
          <w:rFonts w:asciiTheme="minorHAnsi" w:hAnsiTheme="minorHAnsi"/>
          <w:i/>
        </w:rPr>
        <w:t>Dormant cuttings and budwood</w:t>
      </w:r>
    </w:p>
    <w:p w:rsidR="00C74066" w:rsidRDefault="00F10705">
      <w:pPr>
        <w:spacing w:before="200"/>
        <w:rPr>
          <w:rFonts w:ascii="Cambria" w:hAnsi="Cambria"/>
        </w:rPr>
      </w:pPr>
      <w:r>
        <w:rPr>
          <w:rFonts w:ascii="Cambria" w:hAnsi="Cambria"/>
        </w:rPr>
        <w:t xml:space="preserve">The review recommends that one-year-old dormant cuttings and budwood of all natural hosts of the </w:t>
      </w:r>
      <w:r>
        <w:rPr>
          <w:rFonts w:ascii="Cambria" w:hAnsi="Cambria"/>
          <w:i/>
        </w:rPr>
        <w:t xml:space="preserve">Phytophthora </w:t>
      </w:r>
      <w:r>
        <w:rPr>
          <w:rFonts w:ascii="Cambria" w:hAnsi="Cambria"/>
        </w:rPr>
        <w:t>species under review are allowed entry into Australia.</w:t>
      </w:r>
    </w:p>
    <w:p w:rsidR="00C74066" w:rsidRDefault="00F10705">
      <w:pPr>
        <w:spacing w:before="200"/>
        <w:rPr>
          <w:rFonts w:ascii="Cambria" w:hAnsi="Cambria"/>
        </w:rPr>
      </w:pPr>
      <w:r>
        <w:rPr>
          <w:rFonts w:ascii="Cambria" w:hAnsi="Cambria"/>
        </w:rPr>
        <w:t xml:space="preserve">The recommended conditions for one-year-old dormant cuttings and budwood from countries where these </w:t>
      </w:r>
      <w:r>
        <w:rPr>
          <w:rFonts w:ascii="Cambria" w:hAnsi="Cambria"/>
          <w:i/>
        </w:rPr>
        <w:t>Phytophthora</w:t>
      </w:r>
      <w:r>
        <w:rPr>
          <w:rFonts w:ascii="Cambria" w:hAnsi="Cambria"/>
        </w:rPr>
        <w:t xml:space="preserve"> species are known to occur are summarised below: </w:t>
      </w:r>
    </w:p>
    <w:p w:rsidR="00C74066" w:rsidRDefault="00F10705">
      <w:pPr>
        <w:pStyle w:val="ListBullet"/>
        <w:tabs>
          <w:tab w:val="clear" w:pos="360"/>
          <w:tab w:val="num" w:pos="284"/>
        </w:tabs>
        <w:ind w:left="284" w:hanging="284"/>
        <w:rPr>
          <w:rFonts w:ascii="Cambria" w:hAnsi="Cambria"/>
          <w:lang w:eastAsia="en-AU"/>
        </w:rPr>
      </w:pPr>
      <w:r>
        <w:rPr>
          <w:rFonts w:ascii="Cambria" w:hAnsi="Cambria"/>
          <w:b/>
        </w:rPr>
        <w:t xml:space="preserve">Phytosanitary Certificate with an additional declaration: </w:t>
      </w:r>
      <w:r>
        <w:rPr>
          <w:rFonts w:ascii="Cambria" w:hAnsi="Cambria"/>
        </w:rPr>
        <w:t xml:space="preserve">Each </w:t>
      </w:r>
      <w:r>
        <w:rPr>
          <w:rFonts w:ascii="Cambria" w:hAnsi="Cambria"/>
          <w:lang w:eastAsia="en-AU"/>
        </w:rPr>
        <w:t>consignment</w:t>
      </w:r>
      <w:r>
        <w:rPr>
          <w:rFonts w:ascii="Cambria" w:hAnsi="Cambria"/>
        </w:rPr>
        <w:t xml:space="preserve"> </w:t>
      </w:r>
      <w:r>
        <w:rPr>
          <w:rFonts w:ascii="Cambria" w:hAnsi="Cambria"/>
          <w:lang w:eastAsia="en-AU"/>
        </w:rPr>
        <w:t xml:space="preserve">must be accompanied </w:t>
      </w:r>
      <w:r w:rsidR="00A20A93">
        <w:rPr>
          <w:rFonts w:ascii="Cambria" w:hAnsi="Cambria"/>
          <w:lang w:eastAsia="en-AU"/>
        </w:rPr>
        <w:t>by</w:t>
      </w:r>
      <w:r>
        <w:rPr>
          <w:rFonts w:ascii="Cambria" w:hAnsi="Cambria"/>
          <w:lang w:eastAsia="en-AU"/>
        </w:rPr>
        <w:t xml:space="preserve"> a Phytosanitary Certificate with an additional declaration stating ‘dormant cuttings and budwood </w:t>
      </w:r>
      <w:r>
        <w:rPr>
          <w:rFonts w:ascii="Cambria" w:hAnsi="Cambria"/>
          <w:iCs/>
        </w:rPr>
        <w:t xml:space="preserve">in this consignment were </w:t>
      </w:r>
      <w:r>
        <w:rPr>
          <w:rFonts w:ascii="Cambria" w:hAnsi="Cambria" w:cs="Helvetica"/>
        </w:rPr>
        <w:t xml:space="preserve">inspected by the NPPO </w:t>
      </w:r>
      <w:r>
        <w:rPr>
          <w:rFonts w:ascii="Cambria" w:hAnsi="Cambria"/>
        </w:rPr>
        <w:t>and found free of obvious disease symptoms’;</w:t>
      </w:r>
    </w:p>
    <w:p w:rsidR="00C74066" w:rsidRDefault="00F10705">
      <w:pPr>
        <w:pStyle w:val="ListBullet"/>
        <w:tabs>
          <w:tab w:val="clear" w:pos="360"/>
          <w:tab w:val="num" w:pos="284"/>
        </w:tabs>
        <w:ind w:left="284" w:hanging="284"/>
        <w:rPr>
          <w:rFonts w:ascii="Cambria" w:hAnsi="Cambria"/>
          <w:b/>
        </w:rPr>
      </w:pPr>
      <w:r>
        <w:rPr>
          <w:rFonts w:ascii="Cambria" w:hAnsi="Cambria"/>
          <w:b/>
        </w:rPr>
        <w:t xml:space="preserve">Mandatory on arrival inspection: </w:t>
      </w:r>
      <w:r>
        <w:rPr>
          <w:rFonts w:ascii="Cambria" w:hAnsi="Cambria"/>
        </w:rPr>
        <w:t>Imported one-year-old dormant cuttings and budwood must be subjected to mandatory on-arrival inspection to verify freedom from disease symptoms, live insects, soil and other extraneous contaminants of quarantine concern;</w:t>
      </w:r>
    </w:p>
    <w:p w:rsidR="00C74066" w:rsidRDefault="00F10705">
      <w:pPr>
        <w:pStyle w:val="ListBullet"/>
        <w:tabs>
          <w:tab w:val="clear" w:pos="360"/>
          <w:tab w:val="num" w:pos="284"/>
        </w:tabs>
        <w:ind w:left="284" w:hanging="284"/>
        <w:rPr>
          <w:rFonts w:ascii="Cambria" w:hAnsi="Cambria"/>
        </w:rPr>
      </w:pPr>
      <w:r>
        <w:rPr>
          <w:rFonts w:ascii="Cambria" w:hAnsi="Cambria"/>
          <w:b/>
        </w:rPr>
        <w:t xml:space="preserve">Mandatory on-arrival treatment: </w:t>
      </w:r>
      <w:r>
        <w:rPr>
          <w:rFonts w:ascii="Cambria" w:hAnsi="Cambria"/>
        </w:rPr>
        <w:t>Imported one-year-old dormant cuttings and budwood must be subjected to mandatory on-arrival methyl-bromide fumigation or insecticidal dip</w:t>
      </w:r>
      <w:r w:rsidR="00796500">
        <w:rPr>
          <w:rFonts w:ascii="Cambria" w:hAnsi="Cambria"/>
        </w:rPr>
        <w:t xml:space="preserve"> to address the risk of arthropod pests</w:t>
      </w:r>
      <w:r>
        <w:rPr>
          <w:rFonts w:ascii="Cambria" w:hAnsi="Cambria"/>
        </w:rPr>
        <w:t xml:space="preserve">; </w:t>
      </w:r>
    </w:p>
    <w:p w:rsidR="00C74066" w:rsidRDefault="00F10705">
      <w:pPr>
        <w:pStyle w:val="ListBullet"/>
        <w:tabs>
          <w:tab w:val="clear" w:pos="360"/>
          <w:tab w:val="num" w:pos="284"/>
        </w:tabs>
        <w:ind w:left="284" w:hanging="284"/>
        <w:rPr>
          <w:rFonts w:ascii="Cambria" w:hAnsi="Cambria"/>
        </w:rPr>
      </w:pPr>
      <w:r>
        <w:rPr>
          <w:rFonts w:ascii="Cambria" w:hAnsi="Cambria"/>
          <w:b/>
        </w:rPr>
        <w:t>Mandatory culturing on-arrival:</w:t>
      </w:r>
      <w:r>
        <w:rPr>
          <w:rFonts w:ascii="Cambria" w:hAnsi="Cambria"/>
        </w:rPr>
        <w:t xml:space="preserve"> Imported one-year-old dormant cuttings and budwood must be subjected to mandatory culturing to detect fungal pathogens including the </w:t>
      </w:r>
      <w:r>
        <w:rPr>
          <w:rFonts w:ascii="Cambria" w:hAnsi="Cambria"/>
          <w:i/>
        </w:rPr>
        <w:t xml:space="preserve">Phytophthora </w:t>
      </w:r>
      <w:r>
        <w:rPr>
          <w:rFonts w:ascii="Cambria" w:hAnsi="Cambria"/>
        </w:rPr>
        <w:t>species under review;</w:t>
      </w:r>
    </w:p>
    <w:p w:rsidR="00C74066" w:rsidRDefault="00F10705">
      <w:pPr>
        <w:pStyle w:val="ListBullet"/>
        <w:tabs>
          <w:tab w:val="clear" w:pos="360"/>
          <w:tab w:val="num" w:pos="284"/>
        </w:tabs>
        <w:ind w:left="284" w:hanging="284"/>
        <w:rPr>
          <w:rFonts w:ascii="Cambria" w:hAnsi="Cambria"/>
        </w:rPr>
      </w:pPr>
      <w:r>
        <w:rPr>
          <w:rFonts w:ascii="Cambria" w:hAnsi="Cambria"/>
          <w:b/>
        </w:rPr>
        <w:lastRenderedPageBreak/>
        <w:t>Mandatory molecular testing</w:t>
      </w:r>
      <w:r w:rsidR="001B6119">
        <w:rPr>
          <w:rFonts w:ascii="Cambria" w:hAnsi="Cambria"/>
          <w:b/>
        </w:rPr>
        <w:t xml:space="preserve"> on-arrival</w:t>
      </w:r>
      <w:r>
        <w:rPr>
          <w:rFonts w:ascii="Cambria" w:hAnsi="Cambria"/>
          <w:b/>
        </w:rPr>
        <w:t xml:space="preserve">: </w:t>
      </w:r>
      <w:r>
        <w:rPr>
          <w:rFonts w:ascii="Cambria" w:hAnsi="Cambria"/>
        </w:rPr>
        <w:t xml:space="preserve">Pre-screening of imported one-year-old dormant cuttings and budwood using a generic </w:t>
      </w:r>
      <w:r>
        <w:rPr>
          <w:rFonts w:ascii="Cambria" w:hAnsi="Cambria"/>
          <w:i/>
        </w:rPr>
        <w:t xml:space="preserve">Phytophthora </w:t>
      </w:r>
      <w:r>
        <w:rPr>
          <w:rFonts w:ascii="Cambria" w:hAnsi="Cambria"/>
        </w:rPr>
        <w:t xml:space="preserve">PCR. Stem tissues from imported </w:t>
      </w:r>
      <w:r w:rsidR="009574AA">
        <w:rPr>
          <w:rFonts w:ascii="Cambria" w:hAnsi="Cambria"/>
        </w:rPr>
        <w:t xml:space="preserve">dormant </w:t>
      </w:r>
      <w:r>
        <w:rPr>
          <w:rFonts w:ascii="Cambria" w:hAnsi="Cambria"/>
        </w:rPr>
        <w:t xml:space="preserve">cuttings and budwood must be removed and subjected to a mandatory generic </w:t>
      </w:r>
      <w:r>
        <w:rPr>
          <w:rFonts w:ascii="Cambria" w:hAnsi="Cambria"/>
          <w:i/>
          <w:iCs/>
        </w:rPr>
        <w:t xml:space="preserve">Phytophthora </w:t>
      </w:r>
      <w:r>
        <w:rPr>
          <w:rFonts w:ascii="Cambria" w:hAnsi="Cambria"/>
        </w:rPr>
        <w:t>PCR;</w:t>
      </w:r>
    </w:p>
    <w:p w:rsidR="00C74066" w:rsidRDefault="00F10705">
      <w:pPr>
        <w:pStyle w:val="ListBullet"/>
        <w:tabs>
          <w:tab w:val="clear" w:pos="360"/>
          <w:tab w:val="num" w:pos="284"/>
        </w:tabs>
        <w:ind w:left="284" w:hanging="284"/>
        <w:rPr>
          <w:rFonts w:ascii="Cambria" w:hAnsi="Cambria"/>
        </w:rPr>
      </w:pPr>
      <w:r>
        <w:rPr>
          <w:rFonts w:ascii="Cambria" w:hAnsi="Cambria"/>
          <w:b/>
        </w:rPr>
        <w:t xml:space="preserve">Mandatory sodium hypochlorite treatment: </w:t>
      </w:r>
      <w:r>
        <w:rPr>
          <w:rFonts w:ascii="Cambria" w:hAnsi="Cambria"/>
        </w:rPr>
        <w:t xml:space="preserve">Imported one-year-old dormant cuttings and budwood must be subjected to a sodium hypochlorite treatment (NaOCl </w:t>
      </w:r>
      <w:r w:rsidR="001D7C6A">
        <w:rPr>
          <w:rFonts w:ascii="Cambria" w:hAnsi="Cambria"/>
        </w:rPr>
        <w:t xml:space="preserve">solution of </w:t>
      </w:r>
      <w:r w:rsidR="00F63C99">
        <w:rPr>
          <w:rFonts w:ascii="Cambria" w:hAnsi="Cambria"/>
        </w:rPr>
        <w:t>one percent</w:t>
      </w:r>
      <w:r w:rsidR="001D7C6A">
        <w:rPr>
          <w:rFonts w:ascii="Cambria" w:hAnsi="Cambria"/>
        </w:rPr>
        <w:t xml:space="preserve"> available chlorine </w:t>
      </w:r>
      <w:r>
        <w:rPr>
          <w:rFonts w:ascii="Cambria" w:hAnsi="Cambria"/>
        </w:rPr>
        <w:t>for five minutes) for surface sterilisation; and</w:t>
      </w:r>
    </w:p>
    <w:p w:rsidR="00C74066" w:rsidRDefault="00F10705">
      <w:pPr>
        <w:pStyle w:val="ListBullet"/>
        <w:tabs>
          <w:tab w:val="clear" w:pos="360"/>
          <w:tab w:val="num" w:pos="284"/>
        </w:tabs>
        <w:ind w:left="284" w:hanging="284"/>
        <w:rPr>
          <w:rFonts w:ascii="Cambria" w:hAnsi="Cambria"/>
          <w:b/>
        </w:rPr>
      </w:pPr>
      <w:r>
        <w:rPr>
          <w:rFonts w:ascii="Cambria" w:hAnsi="Cambria"/>
          <w:b/>
        </w:rPr>
        <w:t xml:space="preserve">Mandatory growth in PEQ facilities: </w:t>
      </w:r>
      <w:r>
        <w:rPr>
          <w:rFonts w:ascii="Cambria" w:hAnsi="Cambria"/>
        </w:rPr>
        <w:t>Imported one-year-old dormant cuttings and budwood must be grown in a closed government PEQ facility for a minimum of 12 months; with pathogen screening</w:t>
      </w:r>
      <w:r w:rsidR="001B6119">
        <w:rPr>
          <w:rFonts w:ascii="Cambria" w:hAnsi="Cambria"/>
        </w:rPr>
        <w:t xml:space="preserve"> and </w:t>
      </w:r>
      <w:r>
        <w:rPr>
          <w:rFonts w:ascii="Cambria" w:hAnsi="Cambria"/>
        </w:rPr>
        <w:t xml:space="preserve">testing. </w:t>
      </w:r>
    </w:p>
    <w:p w:rsidR="00C74066" w:rsidRDefault="00F10705">
      <w:pPr>
        <w:pStyle w:val="ListBullet"/>
        <w:numPr>
          <w:ilvl w:val="0"/>
          <w:numId w:val="0"/>
        </w:numPr>
        <w:spacing w:line="269" w:lineRule="auto"/>
        <w:ind w:left="284"/>
        <w:rPr>
          <w:rFonts w:ascii="Cambria" w:hAnsi="Cambria"/>
        </w:rPr>
      </w:pPr>
      <w:r>
        <w:rPr>
          <w:rFonts w:ascii="Cambria" w:hAnsi="Cambria"/>
        </w:rPr>
        <w:t>Imported one-year-old dormant cuttings and budwood must be grown in mist beds/fog for the first six weeks at 19 °C to 25 °C to favour symptom expression.</w:t>
      </w:r>
    </w:p>
    <w:p w:rsidR="00C74066" w:rsidRDefault="00F10705">
      <w:pPr>
        <w:pStyle w:val="ListBullet"/>
        <w:numPr>
          <w:ilvl w:val="0"/>
          <w:numId w:val="0"/>
        </w:numPr>
        <w:spacing w:line="269" w:lineRule="auto"/>
        <w:ind w:left="284"/>
        <w:rPr>
          <w:rFonts w:ascii="Cambria" w:hAnsi="Cambria"/>
        </w:rPr>
      </w:pPr>
      <w:r>
        <w:rPr>
          <w:rFonts w:ascii="Cambria" w:hAnsi="Cambria"/>
        </w:rPr>
        <w:t xml:space="preserve">During growth in PEQ, imported one-year-old dormant cuttings and budwood must be subjected to visual inspection and molecular testing. It is recommended that a </w:t>
      </w:r>
      <w:r>
        <w:rPr>
          <w:rFonts w:ascii="Cambria" w:hAnsi="Cambria"/>
          <w:snapToGrid w:val="0"/>
        </w:rPr>
        <w:t xml:space="preserve">generic </w:t>
      </w:r>
      <w:r>
        <w:rPr>
          <w:rFonts w:ascii="Cambria" w:hAnsi="Cambria"/>
          <w:i/>
          <w:iCs/>
          <w:snapToGrid w:val="0"/>
        </w:rPr>
        <w:t xml:space="preserve">Phytophthora </w:t>
      </w:r>
      <w:r>
        <w:rPr>
          <w:rFonts w:ascii="Cambria" w:hAnsi="Cambria"/>
          <w:snapToGrid w:val="0"/>
        </w:rPr>
        <w:t xml:space="preserve">PCR of leaf tissues for each plant be carried out. If </w:t>
      </w:r>
      <w:r>
        <w:rPr>
          <w:rFonts w:ascii="Cambria" w:hAnsi="Cambria"/>
          <w:i/>
          <w:iCs/>
          <w:snapToGrid w:val="0"/>
        </w:rPr>
        <w:t xml:space="preserve">Phytophthora </w:t>
      </w:r>
      <w:r>
        <w:rPr>
          <w:rFonts w:ascii="Cambria" w:hAnsi="Cambria"/>
          <w:snapToGrid w:val="0"/>
        </w:rPr>
        <w:t>species are detected</w:t>
      </w:r>
      <w:r w:rsidR="001B6119">
        <w:rPr>
          <w:rFonts w:ascii="Cambria" w:hAnsi="Cambria"/>
          <w:snapToGrid w:val="0"/>
        </w:rPr>
        <w:t>,</w:t>
      </w:r>
      <w:r>
        <w:rPr>
          <w:rFonts w:ascii="Cambria" w:hAnsi="Cambria"/>
          <w:snapToGrid w:val="0"/>
        </w:rPr>
        <w:t xml:space="preserve"> then additional identification or </w:t>
      </w:r>
      <w:r>
        <w:rPr>
          <w:rFonts w:ascii="Cambria" w:hAnsi="Cambria"/>
        </w:rPr>
        <w:t>molecular testing should be carried out.</w:t>
      </w:r>
    </w:p>
    <w:p w:rsidR="00C74066" w:rsidRPr="00A20A93" w:rsidRDefault="00F10705">
      <w:pPr>
        <w:pStyle w:val="Heading4"/>
        <w:spacing w:before="200"/>
        <w:rPr>
          <w:rFonts w:asciiTheme="minorHAnsi" w:hAnsiTheme="minorHAnsi"/>
          <w:i/>
        </w:rPr>
      </w:pPr>
      <w:r w:rsidRPr="00A20A93">
        <w:rPr>
          <w:rFonts w:asciiTheme="minorHAnsi" w:hAnsiTheme="minorHAnsi"/>
          <w:i/>
        </w:rPr>
        <w:t>Bare-rooted plants without foliage</w:t>
      </w:r>
    </w:p>
    <w:p w:rsidR="00C74066" w:rsidRDefault="00F10705">
      <w:pPr>
        <w:rPr>
          <w:rFonts w:ascii="Cambria" w:hAnsi="Cambria"/>
        </w:rPr>
      </w:pPr>
      <w:r>
        <w:rPr>
          <w:rFonts w:ascii="Cambria" w:hAnsi="Cambria"/>
        </w:rPr>
        <w:t xml:space="preserve">The review recommends that one-year-old bare-rooted plants without foliage of all natural hosts of the </w:t>
      </w:r>
      <w:r>
        <w:rPr>
          <w:rFonts w:ascii="Cambria" w:hAnsi="Cambria"/>
          <w:i/>
        </w:rPr>
        <w:t xml:space="preserve">Phytophthora </w:t>
      </w:r>
      <w:r>
        <w:rPr>
          <w:rFonts w:ascii="Cambria" w:hAnsi="Cambria"/>
        </w:rPr>
        <w:t xml:space="preserve">species under review </w:t>
      </w:r>
      <w:r w:rsidR="001B6119">
        <w:rPr>
          <w:rFonts w:ascii="Cambria" w:hAnsi="Cambria"/>
        </w:rPr>
        <w:t>be</w:t>
      </w:r>
      <w:r>
        <w:rPr>
          <w:rFonts w:ascii="Cambria" w:hAnsi="Cambria"/>
        </w:rPr>
        <w:t xml:space="preserve"> allowed entry into Australia, subject to import conditions.</w:t>
      </w:r>
    </w:p>
    <w:p w:rsidR="00C74066" w:rsidRDefault="00F10705">
      <w:pPr>
        <w:spacing w:before="200"/>
        <w:rPr>
          <w:rFonts w:ascii="Cambria" w:hAnsi="Cambria"/>
        </w:rPr>
      </w:pPr>
      <w:r>
        <w:rPr>
          <w:rFonts w:ascii="Cambria" w:hAnsi="Cambria"/>
        </w:rPr>
        <w:t>Bare-rooted plants should be imported during October to February from the Northern Hemisphere. If this does not occur, there may be delays in the release of planting material because the growth period may be too short to obtain sufficient material to conduct the required testing.</w:t>
      </w:r>
    </w:p>
    <w:p w:rsidR="00C74066" w:rsidRDefault="00F10705">
      <w:pPr>
        <w:spacing w:before="200"/>
        <w:rPr>
          <w:rFonts w:ascii="Cambria" w:hAnsi="Cambria"/>
        </w:rPr>
      </w:pPr>
      <w:r>
        <w:rPr>
          <w:rFonts w:ascii="Cambria" w:hAnsi="Cambria"/>
        </w:rPr>
        <w:t xml:space="preserve">The recommended conditions for one-year-old bare-rooted plants from countries where these </w:t>
      </w:r>
      <w:r>
        <w:rPr>
          <w:rFonts w:ascii="Cambria" w:hAnsi="Cambria"/>
          <w:i/>
        </w:rPr>
        <w:t>Phytophthora</w:t>
      </w:r>
      <w:r>
        <w:rPr>
          <w:rFonts w:ascii="Cambria" w:hAnsi="Cambria"/>
        </w:rPr>
        <w:t xml:space="preserve"> species are known to occur are summarised below: </w:t>
      </w:r>
    </w:p>
    <w:p w:rsidR="00C74066" w:rsidRDefault="00F10705">
      <w:pPr>
        <w:pStyle w:val="ListBullet"/>
        <w:tabs>
          <w:tab w:val="clear" w:pos="360"/>
          <w:tab w:val="num" w:pos="284"/>
        </w:tabs>
        <w:spacing w:line="269" w:lineRule="auto"/>
        <w:ind w:left="284" w:hanging="284"/>
        <w:rPr>
          <w:rFonts w:ascii="Cambria" w:hAnsi="Cambria"/>
          <w:lang w:eastAsia="en-AU"/>
        </w:rPr>
      </w:pPr>
      <w:r>
        <w:rPr>
          <w:rFonts w:ascii="Cambria" w:hAnsi="Cambria"/>
          <w:b/>
        </w:rPr>
        <w:t xml:space="preserve">Phytosanitary Certificate with an additional declaration: </w:t>
      </w:r>
      <w:r>
        <w:rPr>
          <w:rFonts w:ascii="Cambria" w:hAnsi="Cambria"/>
        </w:rPr>
        <w:t xml:space="preserve">Each </w:t>
      </w:r>
      <w:r>
        <w:rPr>
          <w:rFonts w:ascii="Cambria" w:hAnsi="Cambria"/>
          <w:lang w:eastAsia="en-AU"/>
        </w:rPr>
        <w:t>consignment</w:t>
      </w:r>
      <w:r>
        <w:rPr>
          <w:rFonts w:ascii="Cambria" w:hAnsi="Cambria"/>
        </w:rPr>
        <w:t xml:space="preserve"> </w:t>
      </w:r>
      <w:r>
        <w:rPr>
          <w:rFonts w:ascii="Cambria" w:hAnsi="Cambria"/>
          <w:lang w:eastAsia="en-AU"/>
        </w:rPr>
        <w:t xml:space="preserve">must be accompanied </w:t>
      </w:r>
      <w:r w:rsidR="00796500">
        <w:rPr>
          <w:rFonts w:ascii="Cambria" w:hAnsi="Cambria"/>
          <w:lang w:eastAsia="en-AU"/>
        </w:rPr>
        <w:t>by</w:t>
      </w:r>
      <w:r>
        <w:rPr>
          <w:rFonts w:ascii="Cambria" w:hAnsi="Cambria"/>
          <w:lang w:eastAsia="en-AU"/>
        </w:rPr>
        <w:t xml:space="preserve"> a Phytosanitary Certificate with an additional declaration stating ‘</w:t>
      </w:r>
      <w:r>
        <w:rPr>
          <w:rFonts w:ascii="Cambria" w:hAnsi="Cambria" w:cs="Helvetica"/>
        </w:rPr>
        <w:t xml:space="preserve">the bare-rooted plants have been inspected by the NPPO </w:t>
      </w:r>
      <w:r>
        <w:rPr>
          <w:rFonts w:ascii="Cambria" w:hAnsi="Cambria"/>
        </w:rPr>
        <w:t>and found free of obvious disease symptoms’;</w:t>
      </w:r>
    </w:p>
    <w:p w:rsidR="00C74066" w:rsidRDefault="00F10705">
      <w:pPr>
        <w:pStyle w:val="ListBullet"/>
        <w:tabs>
          <w:tab w:val="clear" w:pos="360"/>
          <w:tab w:val="num" w:pos="284"/>
        </w:tabs>
        <w:spacing w:before="200" w:line="269" w:lineRule="auto"/>
        <w:ind w:left="284" w:hanging="284"/>
        <w:rPr>
          <w:rFonts w:ascii="Cambria" w:hAnsi="Cambria"/>
          <w:b/>
        </w:rPr>
      </w:pPr>
      <w:r>
        <w:rPr>
          <w:rFonts w:ascii="Cambria" w:hAnsi="Cambria"/>
          <w:b/>
        </w:rPr>
        <w:t xml:space="preserve">Mandatory on arrival inspection: </w:t>
      </w:r>
      <w:r>
        <w:rPr>
          <w:rFonts w:ascii="Cambria" w:hAnsi="Cambria"/>
        </w:rPr>
        <w:t>Imported one-year-old bare-rooted plants must be subjected to mandatory on-arrival inspection to verify freedom from disease symptoms, live insects, soil and other extraneous contaminants of quarantine concern;</w:t>
      </w:r>
    </w:p>
    <w:p w:rsidR="00C74066" w:rsidRDefault="00F10705">
      <w:pPr>
        <w:pStyle w:val="ListBullet"/>
        <w:tabs>
          <w:tab w:val="clear" w:pos="360"/>
          <w:tab w:val="num" w:pos="284"/>
        </w:tabs>
        <w:spacing w:before="200" w:line="269" w:lineRule="auto"/>
        <w:ind w:left="284" w:hanging="284"/>
        <w:rPr>
          <w:rFonts w:ascii="Cambria" w:hAnsi="Cambria"/>
        </w:rPr>
      </w:pPr>
      <w:r>
        <w:rPr>
          <w:rFonts w:ascii="Cambria" w:hAnsi="Cambria"/>
          <w:b/>
        </w:rPr>
        <w:t xml:space="preserve">Mandatory on-arrival treatment: </w:t>
      </w:r>
      <w:r>
        <w:rPr>
          <w:rFonts w:ascii="Cambria" w:hAnsi="Cambria"/>
        </w:rPr>
        <w:t>Imported one-year-old bare-rooted plants must be subjected to mandatory on-arrival methyl-bromide fumigation or insecticidal dip</w:t>
      </w:r>
      <w:r w:rsidR="00796500">
        <w:rPr>
          <w:rFonts w:ascii="Cambria" w:hAnsi="Cambria"/>
        </w:rPr>
        <w:t xml:space="preserve"> to address the risk of arthropod pests</w:t>
      </w:r>
      <w:r>
        <w:rPr>
          <w:rFonts w:ascii="Cambria" w:hAnsi="Cambria"/>
        </w:rPr>
        <w:t xml:space="preserve">;  </w:t>
      </w:r>
    </w:p>
    <w:p w:rsidR="00C74066" w:rsidRDefault="00F10705">
      <w:pPr>
        <w:pStyle w:val="ListBullet"/>
        <w:tabs>
          <w:tab w:val="clear" w:pos="360"/>
          <w:tab w:val="num" w:pos="284"/>
        </w:tabs>
        <w:spacing w:line="269" w:lineRule="auto"/>
        <w:ind w:left="284" w:hanging="284"/>
        <w:rPr>
          <w:rFonts w:ascii="Cambria" w:hAnsi="Cambria"/>
        </w:rPr>
      </w:pPr>
      <w:r>
        <w:rPr>
          <w:rFonts w:ascii="Cambria" w:hAnsi="Cambria"/>
          <w:b/>
        </w:rPr>
        <w:t>Mandatory culturing on-arrival:</w:t>
      </w:r>
      <w:r>
        <w:rPr>
          <w:rFonts w:ascii="Cambria" w:hAnsi="Cambria"/>
        </w:rPr>
        <w:t xml:space="preserve"> Imported one-year-old bare-rooted plants must be subjected to mandatory culturing to detect fungal pathogens including the </w:t>
      </w:r>
      <w:r>
        <w:rPr>
          <w:rFonts w:ascii="Cambria" w:hAnsi="Cambria"/>
          <w:i/>
        </w:rPr>
        <w:t xml:space="preserve">Phytophthora </w:t>
      </w:r>
      <w:r>
        <w:rPr>
          <w:rFonts w:ascii="Cambria" w:hAnsi="Cambria"/>
        </w:rPr>
        <w:t>species under review;</w:t>
      </w:r>
    </w:p>
    <w:p w:rsidR="00C74066" w:rsidRDefault="00F10705">
      <w:pPr>
        <w:pStyle w:val="ListBullet"/>
        <w:tabs>
          <w:tab w:val="clear" w:pos="360"/>
          <w:tab w:val="num" w:pos="284"/>
        </w:tabs>
        <w:spacing w:before="200" w:line="269" w:lineRule="auto"/>
        <w:ind w:left="284" w:hanging="284"/>
        <w:rPr>
          <w:rFonts w:ascii="Cambria" w:hAnsi="Cambria"/>
        </w:rPr>
      </w:pPr>
      <w:r>
        <w:rPr>
          <w:rFonts w:ascii="Cambria" w:hAnsi="Cambria"/>
          <w:b/>
        </w:rPr>
        <w:lastRenderedPageBreak/>
        <w:t xml:space="preserve">Mandatory molecular testing on-arrival: </w:t>
      </w:r>
      <w:r>
        <w:rPr>
          <w:rFonts w:ascii="Cambria" w:hAnsi="Cambria"/>
        </w:rPr>
        <w:t xml:space="preserve">Imported one-year-old bare-rooted plants must be subjected to a mandatory generic </w:t>
      </w:r>
      <w:r>
        <w:rPr>
          <w:rFonts w:ascii="Cambria" w:hAnsi="Cambria"/>
          <w:i/>
          <w:iCs/>
        </w:rPr>
        <w:t xml:space="preserve">Phytophthora </w:t>
      </w:r>
      <w:r>
        <w:rPr>
          <w:rFonts w:ascii="Cambria" w:hAnsi="Cambria"/>
        </w:rPr>
        <w:t xml:space="preserve">PCR on-arrival to pre-screen for the </w:t>
      </w:r>
      <w:r>
        <w:rPr>
          <w:rFonts w:ascii="Cambria" w:hAnsi="Cambria"/>
          <w:i/>
        </w:rPr>
        <w:t xml:space="preserve">Phytophthora </w:t>
      </w:r>
      <w:r>
        <w:rPr>
          <w:rFonts w:ascii="Cambria" w:hAnsi="Cambria"/>
        </w:rPr>
        <w:t>species under review</w:t>
      </w:r>
      <w:r w:rsidR="008451DB">
        <w:rPr>
          <w:rFonts w:ascii="Cambria" w:hAnsi="Cambria"/>
        </w:rPr>
        <w:t>;</w:t>
      </w:r>
      <w:r>
        <w:rPr>
          <w:rFonts w:ascii="Cambria" w:hAnsi="Cambria"/>
        </w:rPr>
        <w:t xml:space="preserve"> </w:t>
      </w:r>
    </w:p>
    <w:p w:rsidR="00C74066" w:rsidRDefault="00F10705">
      <w:pPr>
        <w:pStyle w:val="ListBullet"/>
        <w:tabs>
          <w:tab w:val="clear" w:pos="360"/>
          <w:tab w:val="num" w:pos="284"/>
        </w:tabs>
        <w:spacing w:before="200" w:line="269" w:lineRule="auto"/>
        <w:ind w:left="284" w:hanging="284"/>
        <w:rPr>
          <w:rFonts w:ascii="Cambria" w:hAnsi="Cambria"/>
        </w:rPr>
      </w:pPr>
      <w:r>
        <w:rPr>
          <w:rFonts w:ascii="Cambria" w:hAnsi="Cambria"/>
          <w:b/>
        </w:rPr>
        <w:t xml:space="preserve">Mandatory sodium hypochlorite treatment: </w:t>
      </w:r>
      <w:r>
        <w:rPr>
          <w:rFonts w:ascii="Cambria" w:hAnsi="Cambria"/>
        </w:rPr>
        <w:t>Imported one-year-old bare-rooted plants must be subjected to sodium hypochlorite treatment (</w:t>
      </w:r>
      <w:r w:rsidR="001D7C6A">
        <w:rPr>
          <w:rFonts w:ascii="Cambria" w:hAnsi="Cambria"/>
        </w:rPr>
        <w:t xml:space="preserve">NaOCl solution of </w:t>
      </w:r>
      <w:r w:rsidR="00F63C99">
        <w:rPr>
          <w:rFonts w:ascii="Cambria" w:hAnsi="Cambria"/>
        </w:rPr>
        <w:t>one percent</w:t>
      </w:r>
      <w:r w:rsidR="001D7C6A">
        <w:rPr>
          <w:rFonts w:ascii="Cambria" w:hAnsi="Cambria"/>
        </w:rPr>
        <w:t xml:space="preserve"> available chlorine for five minutes</w:t>
      </w:r>
      <w:r>
        <w:rPr>
          <w:rFonts w:ascii="Cambria" w:hAnsi="Cambria"/>
        </w:rPr>
        <w:t>) for surface sterilisation; and</w:t>
      </w:r>
    </w:p>
    <w:p w:rsidR="00C74066" w:rsidRDefault="00F10705">
      <w:pPr>
        <w:pStyle w:val="ListBullet"/>
        <w:tabs>
          <w:tab w:val="clear" w:pos="360"/>
          <w:tab w:val="num" w:pos="284"/>
        </w:tabs>
        <w:spacing w:before="200" w:line="269" w:lineRule="auto"/>
        <w:ind w:left="284" w:hanging="284"/>
        <w:rPr>
          <w:rFonts w:ascii="Cambria" w:hAnsi="Cambria"/>
          <w:b/>
        </w:rPr>
      </w:pPr>
      <w:r>
        <w:rPr>
          <w:rFonts w:ascii="Cambria" w:hAnsi="Cambria"/>
          <w:b/>
        </w:rPr>
        <w:t xml:space="preserve">Mandatory growth in PEQ facilities: </w:t>
      </w:r>
      <w:r>
        <w:rPr>
          <w:rFonts w:ascii="Cambria" w:hAnsi="Cambria"/>
        </w:rPr>
        <w:t>Imported one-year-old bare-rooted plants must be grown in a closed government PEQ facility for a minimum of 15 months; with pathogen screening</w:t>
      </w:r>
      <w:r w:rsidR="001B6119">
        <w:rPr>
          <w:rFonts w:ascii="Cambria" w:hAnsi="Cambria"/>
        </w:rPr>
        <w:t xml:space="preserve"> and </w:t>
      </w:r>
      <w:r>
        <w:rPr>
          <w:rFonts w:ascii="Cambria" w:hAnsi="Cambria"/>
        </w:rPr>
        <w:t xml:space="preserve">testing. </w:t>
      </w:r>
    </w:p>
    <w:p w:rsidR="00C74066" w:rsidRDefault="00F10705">
      <w:pPr>
        <w:pStyle w:val="ListBullet"/>
        <w:numPr>
          <w:ilvl w:val="0"/>
          <w:numId w:val="0"/>
        </w:numPr>
        <w:spacing w:line="269" w:lineRule="auto"/>
        <w:ind w:left="284"/>
        <w:rPr>
          <w:rFonts w:ascii="Cambria" w:hAnsi="Cambria"/>
        </w:rPr>
      </w:pPr>
      <w:r>
        <w:rPr>
          <w:rFonts w:ascii="Cambria" w:hAnsi="Cambria"/>
        </w:rPr>
        <w:t>Imported one-year-old bare-rooted plants must be grown in mist beds/fog for the first six weeks at 19 °C to 25 °C to favour symptom expression.</w:t>
      </w:r>
    </w:p>
    <w:p w:rsidR="00C74066" w:rsidRDefault="00F10705">
      <w:pPr>
        <w:pStyle w:val="ListBullet"/>
        <w:numPr>
          <w:ilvl w:val="0"/>
          <w:numId w:val="0"/>
        </w:numPr>
        <w:spacing w:line="269" w:lineRule="auto"/>
        <w:ind w:left="284"/>
        <w:rPr>
          <w:rFonts w:ascii="Cambria" w:hAnsi="Cambria"/>
        </w:rPr>
      </w:pPr>
      <w:r>
        <w:rPr>
          <w:rFonts w:ascii="Cambria" w:hAnsi="Cambria"/>
        </w:rPr>
        <w:t xml:space="preserve">During growth in PEQ, imported propagative material must be subjected to visual inspection and molecular testing. It is recommended that a </w:t>
      </w:r>
      <w:r>
        <w:rPr>
          <w:rFonts w:ascii="Cambria" w:hAnsi="Cambria"/>
          <w:snapToGrid w:val="0"/>
        </w:rPr>
        <w:t xml:space="preserve">generic </w:t>
      </w:r>
      <w:r>
        <w:rPr>
          <w:rFonts w:ascii="Cambria" w:hAnsi="Cambria"/>
          <w:i/>
          <w:iCs/>
          <w:snapToGrid w:val="0"/>
        </w:rPr>
        <w:t xml:space="preserve">Phytophthora </w:t>
      </w:r>
      <w:r>
        <w:rPr>
          <w:rFonts w:ascii="Cambria" w:hAnsi="Cambria"/>
          <w:snapToGrid w:val="0"/>
        </w:rPr>
        <w:t xml:space="preserve">PCR of leaf tissues for each plant be carried out. If </w:t>
      </w:r>
      <w:r>
        <w:rPr>
          <w:rFonts w:ascii="Cambria" w:hAnsi="Cambria"/>
          <w:i/>
          <w:iCs/>
          <w:snapToGrid w:val="0"/>
        </w:rPr>
        <w:t xml:space="preserve">Phytophthora </w:t>
      </w:r>
      <w:r>
        <w:rPr>
          <w:rFonts w:ascii="Cambria" w:hAnsi="Cambria"/>
          <w:snapToGrid w:val="0"/>
        </w:rPr>
        <w:t xml:space="preserve">species are detected then additional identification or </w:t>
      </w:r>
      <w:r>
        <w:rPr>
          <w:rFonts w:ascii="Cambria" w:hAnsi="Cambria"/>
        </w:rPr>
        <w:t>molecular testing should be carried out.</w:t>
      </w:r>
    </w:p>
    <w:p w:rsidR="00873038" w:rsidRDefault="00873038">
      <w:pPr>
        <w:pStyle w:val="ListBullet"/>
        <w:numPr>
          <w:ilvl w:val="0"/>
          <w:numId w:val="0"/>
        </w:numPr>
        <w:spacing w:line="269" w:lineRule="auto"/>
        <w:ind w:left="284"/>
        <w:rPr>
          <w:rFonts w:ascii="Cambria" w:hAnsi="Cambria"/>
        </w:rPr>
      </w:pPr>
    </w:p>
    <w:p w:rsidR="00873038" w:rsidRDefault="00873038">
      <w:pPr>
        <w:pStyle w:val="ListBullet"/>
        <w:numPr>
          <w:ilvl w:val="0"/>
          <w:numId w:val="0"/>
        </w:numPr>
        <w:spacing w:line="269" w:lineRule="auto"/>
        <w:ind w:left="284"/>
        <w:rPr>
          <w:rFonts w:ascii="Cambria" w:hAnsi="Cambria"/>
        </w:rPr>
      </w:pPr>
    </w:p>
    <w:p w:rsidR="0025320C" w:rsidRDefault="0025320C">
      <w:pPr>
        <w:pStyle w:val="Heading1"/>
        <w:pageBreakBefore w:val="0"/>
        <w:numPr>
          <w:ilvl w:val="0"/>
          <w:numId w:val="21"/>
        </w:numPr>
        <w:tabs>
          <w:tab w:val="clear" w:pos="432"/>
        </w:tabs>
        <w:spacing w:before="480" w:after="120"/>
        <w:ind w:left="357" w:hanging="357"/>
        <w:rPr>
          <w:rFonts w:eastAsiaTheme="majorEastAsia" w:cstheme="majorBidi"/>
          <w:b/>
          <w:color w:val="D52B1E"/>
          <w:sz w:val="34"/>
        </w:rPr>
        <w:sectPr w:rsidR="0025320C" w:rsidSect="00EE3410">
          <w:pgSz w:w="11906" w:h="16838"/>
          <w:pgMar w:top="1418" w:right="1418" w:bottom="1418" w:left="1418" w:header="567" w:footer="284" w:gutter="0"/>
          <w:cols w:space="708"/>
          <w:docGrid w:linePitch="360"/>
        </w:sectPr>
      </w:pPr>
    </w:p>
    <w:p w:rsidR="00C74066" w:rsidRDefault="00F10705">
      <w:pPr>
        <w:pStyle w:val="Heading1"/>
        <w:pageBreakBefore w:val="0"/>
        <w:numPr>
          <w:ilvl w:val="0"/>
          <w:numId w:val="21"/>
        </w:numPr>
        <w:tabs>
          <w:tab w:val="clear" w:pos="432"/>
        </w:tabs>
        <w:spacing w:before="480" w:after="120"/>
        <w:ind w:left="357" w:hanging="357"/>
        <w:rPr>
          <w:rFonts w:eastAsiaTheme="majorEastAsia" w:cstheme="majorBidi"/>
          <w:b/>
          <w:color w:val="D52B1E"/>
          <w:sz w:val="34"/>
        </w:rPr>
      </w:pPr>
      <w:bookmarkStart w:id="198" w:name="_Toc434247479"/>
      <w:r>
        <w:rPr>
          <w:rFonts w:eastAsiaTheme="majorEastAsia" w:cstheme="majorBidi"/>
          <w:b/>
          <w:color w:val="D52B1E"/>
          <w:sz w:val="34"/>
        </w:rPr>
        <w:lastRenderedPageBreak/>
        <w:t>Conclusion</w:t>
      </w:r>
      <w:bookmarkEnd w:id="198"/>
    </w:p>
    <w:p w:rsidR="00C74066" w:rsidRDefault="00F10705">
      <w:pPr>
        <w:spacing w:before="200"/>
        <w:rPr>
          <w:rFonts w:ascii="Cambria" w:hAnsi="Cambria"/>
          <w:iCs/>
        </w:rPr>
      </w:pPr>
      <w:r>
        <w:rPr>
          <w:rFonts w:ascii="Cambria" w:hAnsi="Cambria"/>
        </w:rPr>
        <w:t xml:space="preserve">The findings of this final review of policy are based on a comprehensive analysis of the scientific literature. </w:t>
      </w:r>
      <w:r>
        <w:rPr>
          <w:rFonts w:ascii="Cambria" w:hAnsi="Cambria"/>
          <w:i/>
        </w:rPr>
        <w:t xml:space="preserve">Phytophthora </w:t>
      </w:r>
      <w:r>
        <w:rPr>
          <w:rFonts w:ascii="Cambria" w:hAnsi="Cambria"/>
          <w:i/>
          <w:iCs/>
        </w:rPr>
        <w:t>kernoviae</w:t>
      </w:r>
      <w:r>
        <w:rPr>
          <w:rFonts w:ascii="Cambria" w:hAnsi="Cambria"/>
        </w:rPr>
        <w:t xml:space="preserve">, </w:t>
      </w:r>
      <w:r>
        <w:rPr>
          <w:rFonts w:ascii="Cambria" w:hAnsi="Cambria"/>
          <w:i/>
          <w:iCs/>
        </w:rPr>
        <w:t xml:space="preserve">P. nemorosa </w:t>
      </w:r>
      <w:r>
        <w:rPr>
          <w:rFonts w:ascii="Cambria" w:hAnsi="Cambria"/>
          <w:iCs/>
        </w:rPr>
        <w:t>and</w:t>
      </w:r>
      <w:r>
        <w:rPr>
          <w:rFonts w:ascii="Cambria" w:hAnsi="Cambria"/>
          <w:i/>
          <w:iCs/>
        </w:rPr>
        <w:t xml:space="preserve"> P. pseudosyringae</w:t>
      </w:r>
      <w:r>
        <w:rPr>
          <w:rFonts w:ascii="Cambria" w:hAnsi="Cambria"/>
          <w:iCs/>
        </w:rPr>
        <w:t xml:space="preserve"> </w:t>
      </w:r>
      <w:r>
        <w:rPr>
          <w:rFonts w:ascii="Cambria" w:hAnsi="Cambria"/>
        </w:rPr>
        <w:t xml:space="preserve">share a similar host range and geographic range with </w:t>
      </w:r>
      <w:r>
        <w:rPr>
          <w:rFonts w:ascii="Cambria" w:hAnsi="Cambria"/>
          <w:i/>
          <w:iCs/>
        </w:rPr>
        <w:t>P. ramorum</w:t>
      </w:r>
      <w:r>
        <w:rPr>
          <w:rFonts w:ascii="Cambria" w:hAnsi="Cambria"/>
          <w:iCs/>
        </w:rPr>
        <w:t xml:space="preserve"> and cause </w:t>
      </w:r>
      <w:r>
        <w:rPr>
          <w:rFonts w:ascii="Cambria" w:hAnsi="Cambria"/>
        </w:rPr>
        <w:t xml:space="preserve">symptoms that are indistinguishable from those caused by </w:t>
      </w:r>
      <w:r>
        <w:rPr>
          <w:rFonts w:ascii="Cambria" w:hAnsi="Cambria"/>
          <w:i/>
          <w:iCs/>
        </w:rPr>
        <w:t>P. ramorum</w:t>
      </w:r>
      <w:r>
        <w:rPr>
          <w:rFonts w:ascii="Cambria" w:hAnsi="Cambria"/>
        </w:rPr>
        <w:t xml:space="preserve">. Therefore, these </w:t>
      </w:r>
      <w:r>
        <w:rPr>
          <w:rFonts w:ascii="Cambria" w:hAnsi="Cambria"/>
          <w:i/>
          <w:iCs/>
        </w:rPr>
        <w:t xml:space="preserve">Phytophthora </w:t>
      </w:r>
      <w:r>
        <w:rPr>
          <w:rFonts w:ascii="Cambria" w:hAnsi="Cambria"/>
          <w:iCs/>
        </w:rPr>
        <w:t xml:space="preserve">species are identified as pests of quarantine concern to Australia. Accordingly, </w:t>
      </w:r>
      <w:r>
        <w:rPr>
          <w:rFonts w:ascii="Cambria" w:hAnsi="Cambria"/>
        </w:rPr>
        <w:t xml:space="preserve">the host list for </w:t>
      </w:r>
      <w:r>
        <w:rPr>
          <w:rFonts w:ascii="Cambria" w:hAnsi="Cambria"/>
          <w:i/>
          <w:iCs/>
        </w:rPr>
        <w:t>Phytophthora kernoviae</w:t>
      </w:r>
      <w:r>
        <w:rPr>
          <w:rFonts w:ascii="Cambria" w:hAnsi="Cambria"/>
        </w:rPr>
        <w:t xml:space="preserve">, </w:t>
      </w:r>
      <w:r>
        <w:rPr>
          <w:rFonts w:ascii="Cambria" w:hAnsi="Cambria"/>
          <w:i/>
          <w:iCs/>
        </w:rPr>
        <w:t>P. nemorosa</w:t>
      </w:r>
      <w:r>
        <w:rPr>
          <w:rFonts w:ascii="Cambria" w:hAnsi="Cambria"/>
        </w:rPr>
        <w:t xml:space="preserve">, </w:t>
      </w:r>
      <w:r>
        <w:rPr>
          <w:rFonts w:ascii="Cambria" w:hAnsi="Cambria"/>
          <w:i/>
          <w:iCs/>
        </w:rPr>
        <w:t xml:space="preserve">P. pseudosyringae </w:t>
      </w:r>
      <w:r>
        <w:rPr>
          <w:rFonts w:ascii="Cambria" w:hAnsi="Cambria"/>
        </w:rPr>
        <w:t xml:space="preserve">and </w:t>
      </w:r>
      <w:r>
        <w:rPr>
          <w:rFonts w:ascii="Cambria" w:hAnsi="Cambria"/>
          <w:i/>
          <w:iCs/>
        </w:rPr>
        <w:t xml:space="preserve">P. ramorum </w:t>
      </w:r>
      <w:r>
        <w:rPr>
          <w:rFonts w:ascii="Cambria" w:hAnsi="Cambria"/>
          <w:iCs/>
        </w:rPr>
        <w:t>was revised. The review recommends that:</w:t>
      </w:r>
    </w:p>
    <w:p w:rsidR="00C74066" w:rsidRDefault="00F10705">
      <w:pPr>
        <w:pStyle w:val="ListBullet"/>
        <w:tabs>
          <w:tab w:val="clear" w:pos="360"/>
          <w:tab w:val="num" w:pos="284"/>
        </w:tabs>
        <w:ind w:left="284" w:hanging="284"/>
        <w:rPr>
          <w:rFonts w:ascii="Cambria" w:hAnsi="Cambria"/>
        </w:rPr>
      </w:pPr>
      <w:r>
        <w:rPr>
          <w:rFonts w:ascii="Cambria" w:hAnsi="Cambria"/>
        </w:rPr>
        <w:t xml:space="preserve">natural hosts of </w:t>
      </w:r>
      <w:r>
        <w:rPr>
          <w:rFonts w:ascii="Cambria" w:hAnsi="Cambria"/>
          <w:i/>
        </w:rPr>
        <w:t>P</w:t>
      </w:r>
      <w:r w:rsidR="00796500">
        <w:rPr>
          <w:rFonts w:ascii="Cambria" w:hAnsi="Cambria"/>
          <w:i/>
        </w:rPr>
        <w:t>.</w:t>
      </w:r>
      <w:r>
        <w:rPr>
          <w:rFonts w:ascii="Cambria" w:hAnsi="Cambria"/>
          <w:i/>
        </w:rPr>
        <w:t xml:space="preserve"> ramorum</w:t>
      </w:r>
      <w:r>
        <w:rPr>
          <w:rFonts w:ascii="Cambria" w:hAnsi="Cambria"/>
        </w:rPr>
        <w:t xml:space="preserve">, </w:t>
      </w:r>
      <w:r>
        <w:rPr>
          <w:rFonts w:ascii="Cambria" w:hAnsi="Cambria"/>
          <w:i/>
          <w:iCs/>
        </w:rPr>
        <w:t>P. kernoviae</w:t>
      </w:r>
      <w:r>
        <w:rPr>
          <w:rFonts w:ascii="Cambria" w:hAnsi="Cambria"/>
        </w:rPr>
        <w:t xml:space="preserve">, </w:t>
      </w:r>
      <w:r>
        <w:rPr>
          <w:rFonts w:ascii="Cambria" w:hAnsi="Cambria"/>
          <w:i/>
          <w:iCs/>
        </w:rPr>
        <w:t xml:space="preserve">P. nemorosa </w:t>
      </w:r>
      <w:r>
        <w:rPr>
          <w:rFonts w:ascii="Cambria" w:hAnsi="Cambria"/>
          <w:iCs/>
        </w:rPr>
        <w:t>and</w:t>
      </w:r>
      <w:r>
        <w:rPr>
          <w:rFonts w:ascii="Cambria" w:hAnsi="Cambria"/>
          <w:i/>
          <w:iCs/>
        </w:rPr>
        <w:t xml:space="preserve"> P. pseudosyringae</w:t>
      </w:r>
      <w:r>
        <w:rPr>
          <w:rFonts w:ascii="Cambria" w:hAnsi="Cambria"/>
        </w:rPr>
        <w:t xml:space="preserve"> be regulated at genus level; and</w:t>
      </w:r>
    </w:p>
    <w:p w:rsidR="00C74066" w:rsidRDefault="00F10705">
      <w:pPr>
        <w:pStyle w:val="ListBullet"/>
        <w:tabs>
          <w:tab w:val="clear" w:pos="360"/>
          <w:tab w:val="num" w:pos="284"/>
        </w:tabs>
        <w:ind w:left="284" w:hanging="284"/>
        <w:rPr>
          <w:rFonts w:ascii="Cambria" w:hAnsi="Cambria"/>
        </w:rPr>
      </w:pPr>
      <w:r>
        <w:rPr>
          <w:rFonts w:ascii="Cambria" w:hAnsi="Cambria"/>
        </w:rPr>
        <w:t>experimental hosts should be removed from the regulated host list.</w:t>
      </w:r>
    </w:p>
    <w:p w:rsidR="00C74066" w:rsidRDefault="00F10705">
      <w:pPr>
        <w:spacing w:before="200"/>
        <w:rPr>
          <w:rFonts w:ascii="Cambria" w:hAnsi="Cambria"/>
        </w:rPr>
      </w:pPr>
      <w:r>
        <w:rPr>
          <w:rFonts w:ascii="Cambria" w:hAnsi="Cambria"/>
        </w:rPr>
        <w:t xml:space="preserve">The recommended risk management measures for </w:t>
      </w:r>
      <w:r>
        <w:rPr>
          <w:rFonts w:ascii="Cambria" w:hAnsi="Cambria"/>
          <w:i/>
        </w:rPr>
        <w:t xml:space="preserve">P. ramorum </w:t>
      </w:r>
      <w:r>
        <w:rPr>
          <w:rFonts w:ascii="Cambria" w:hAnsi="Cambria"/>
        </w:rPr>
        <w:t xml:space="preserve">host propagative material are based on </w:t>
      </w:r>
      <w:r w:rsidR="00796500">
        <w:rPr>
          <w:rFonts w:ascii="Cambria" w:hAnsi="Cambria"/>
        </w:rPr>
        <w:t>a systems approach</w:t>
      </w:r>
      <w:r>
        <w:rPr>
          <w:rFonts w:ascii="Cambria" w:hAnsi="Cambria"/>
        </w:rPr>
        <w:t>. Each of the recommended measures is not designed to be ‘</w:t>
      </w:r>
      <w:r w:rsidRPr="00796500">
        <w:rPr>
          <w:rFonts w:ascii="Cambria" w:hAnsi="Cambria"/>
        </w:rPr>
        <w:t>stand alone’</w:t>
      </w:r>
      <w:r w:rsidR="00796500">
        <w:rPr>
          <w:rFonts w:ascii="Cambria" w:hAnsi="Cambria"/>
        </w:rPr>
        <w:t>;</w:t>
      </w:r>
      <w:r w:rsidRPr="00796500">
        <w:rPr>
          <w:rFonts w:ascii="Cambria" w:hAnsi="Cambria"/>
        </w:rPr>
        <w:t xml:space="preserve"> </w:t>
      </w:r>
      <w:r>
        <w:rPr>
          <w:rFonts w:ascii="Cambria" w:hAnsi="Cambria"/>
        </w:rPr>
        <w:t>rather</w:t>
      </w:r>
      <w:r w:rsidR="00796500">
        <w:rPr>
          <w:rFonts w:ascii="Cambria" w:hAnsi="Cambria"/>
        </w:rPr>
        <w:t>,</w:t>
      </w:r>
      <w:r>
        <w:rPr>
          <w:rFonts w:ascii="Cambria" w:hAnsi="Cambria"/>
        </w:rPr>
        <w:t xml:space="preserve"> the measures work in combination to ensure the risk is progressively reduced and managed. The department considers the recommended risk management measures reduce the risk of </w:t>
      </w:r>
      <w:r>
        <w:rPr>
          <w:rFonts w:ascii="Cambria" w:hAnsi="Cambria"/>
          <w:i/>
        </w:rPr>
        <w:t xml:space="preserve">P. ramorum, P. kernoviae, P. nemorosa </w:t>
      </w:r>
      <w:r>
        <w:rPr>
          <w:rFonts w:ascii="Cambria" w:hAnsi="Cambria"/>
        </w:rPr>
        <w:t>and</w:t>
      </w:r>
      <w:r>
        <w:rPr>
          <w:rFonts w:ascii="Cambria" w:hAnsi="Cambria"/>
          <w:i/>
        </w:rPr>
        <w:t xml:space="preserve"> P. pseudosyringae</w:t>
      </w:r>
      <w:r>
        <w:rPr>
          <w:rFonts w:ascii="Cambria" w:hAnsi="Cambria"/>
        </w:rPr>
        <w:t xml:space="preserve"> to at least a very low level, thereby meeting Australia’s appropriate level of protection (ALOP). This review recommends the following </w:t>
      </w:r>
      <w:r w:rsidR="006E5F66">
        <w:rPr>
          <w:rFonts w:ascii="Cambria" w:hAnsi="Cambria"/>
        </w:rPr>
        <w:t xml:space="preserve">tiered </w:t>
      </w:r>
      <w:r>
        <w:rPr>
          <w:rFonts w:ascii="Cambria" w:hAnsi="Cambria"/>
        </w:rPr>
        <w:t>approach:</w:t>
      </w:r>
    </w:p>
    <w:p w:rsidR="00796500" w:rsidRPr="00796500" w:rsidRDefault="00796500" w:rsidP="00796500">
      <w:pPr>
        <w:spacing w:before="120" w:after="120"/>
        <w:rPr>
          <w:rFonts w:eastAsia="Times New Roman" w:cs="Times New Roman"/>
          <w:b/>
          <w:lang w:eastAsia="en-AU"/>
        </w:rPr>
      </w:pPr>
      <w:r w:rsidRPr="00796500">
        <w:rPr>
          <w:rFonts w:eastAsia="Times New Roman" w:cs="Times New Roman"/>
          <w:b/>
          <w:lang w:eastAsia="en-AU"/>
        </w:rPr>
        <w:t>Off-shore measures to minimise risks</w:t>
      </w:r>
    </w:p>
    <w:p w:rsidR="00796500" w:rsidRDefault="00796500" w:rsidP="00796500">
      <w:pPr>
        <w:pStyle w:val="ListBullet"/>
        <w:tabs>
          <w:tab w:val="clear" w:pos="360"/>
          <w:tab w:val="num" w:pos="284"/>
        </w:tabs>
        <w:spacing w:line="269" w:lineRule="auto"/>
        <w:ind w:left="284" w:hanging="284"/>
        <w:rPr>
          <w:rFonts w:ascii="Cambria" w:hAnsi="Cambria"/>
        </w:rPr>
      </w:pPr>
      <w:r>
        <w:rPr>
          <w:rFonts w:ascii="Cambria" w:hAnsi="Cambria"/>
        </w:rPr>
        <w:t>Bare-rooted plants are produced in a commercial environment and inspected by the NPPO to verify freedom from disease symptoms.</w:t>
      </w:r>
    </w:p>
    <w:p w:rsidR="00796500" w:rsidRDefault="00796500" w:rsidP="00796500">
      <w:pPr>
        <w:pStyle w:val="ListBullet"/>
        <w:tabs>
          <w:tab w:val="clear" w:pos="360"/>
          <w:tab w:val="num" w:pos="284"/>
        </w:tabs>
        <w:spacing w:line="269" w:lineRule="auto"/>
        <w:ind w:left="284" w:hanging="284"/>
        <w:rPr>
          <w:rFonts w:ascii="Cambria" w:hAnsi="Cambria"/>
        </w:rPr>
      </w:pPr>
      <w:r w:rsidRPr="00FE052C">
        <w:rPr>
          <w:rFonts w:ascii="Cambria" w:hAnsi="Cambria"/>
        </w:rPr>
        <w:t xml:space="preserve">Restricting bare-rooted plants, budwood and </w:t>
      </w:r>
      <w:r>
        <w:rPr>
          <w:rFonts w:ascii="Cambria" w:hAnsi="Cambria"/>
        </w:rPr>
        <w:t xml:space="preserve">dormant </w:t>
      </w:r>
      <w:r w:rsidRPr="00FE052C">
        <w:rPr>
          <w:rFonts w:ascii="Cambria" w:hAnsi="Cambria"/>
        </w:rPr>
        <w:t>cuttings to</w:t>
      </w:r>
      <w:r>
        <w:rPr>
          <w:rFonts w:ascii="Cambria" w:hAnsi="Cambria"/>
        </w:rPr>
        <w:t xml:space="preserve"> one-year-old material, thereby lessening the exposure of material to disease infection.</w:t>
      </w:r>
    </w:p>
    <w:p w:rsidR="00796500" w:rsidRDefault="00796500" w:rsidP="00796500">
      <w:pPr>
        <w:pStyle w:val="ListBullet"/>
        <w:tabs>
          <w:tab w:val="clear" w:pos="360"/>
          <w:tab w:val="num" w:pos="284"/>
        </w:tabs>
        <w:spacing w:line="269" w:lineRule="auto"/>
        <w:ind w:left="284" w:hanging="284"/>
        <w:rPr>
          <w:rFonts w:ascii="Cambria" w:hAnsi="Cambria"/>
        </w:rPr>
      </w:pPr>
      <w:r>
        <w:rPr>
          <w:rFonts w:ascii="Cambria" w:hAnsi="Cambria"/>
        </w:rPr>
        <w:t>An official Phytosanitary Certificate endorsed with an additional declaration that bare-rooted plants, dormant cuttings, budwood and tissue cultures have been inspected and found free from obvious disease symptoms.</w:t>
      </w:r>
    </w:p>
    <w:p w:rsidR="00796500" w:rsidRPr="00796500" w:rsidRDefault="00796500" w:rsidP="00796500">
      <w:pPr>
        <w:spacing w:before="120" w:after="120"/>
        <w:rPr>
          <w:rFonts w:eastAsia="Times New Roman" w:cs="Times New Roman"/>
          <w:b/>
          <w:lang w:eastAsia="en-AU"/>
        </w:rPr>
      </w:pPr>
      <w:r w:rsidRPr="00796500">
        <w:rPr>
          <w:rFonts w:eastAsia="Times New Roman" w:cs="Times New Roman"/>
          <w:b/>
          <w:lang w:eastAsia="en-AU"/>
        </w:rPr>
        <w:t>On-shore measures to minimise risks</w:t>
      </w:r>
    </w:p>
    <w:p w:rsidR="00796500" w:rsidRDefault="00796500" w:rsidP="00796500">
      <w:pPr>
        <w:pStyle w:val="ListBullet"/>
        <w:tabs>
          <w:tab w:val="clear" w:pos="360"/>
          <w:tab w:val="num" w:pos="284"/>
        </w:tabs>
        <w:spacing w:line="269" w:lineRule="auto"/>
        <w:ind w:left="284" w:hanging="284"/>
        <w:rPr>
          <w:rFonts w:ascii="Cambria" w:eastAsia="Times New Roman" w:hAnsi="Cambria" w:cs="Times New Roman"/>
          <w:lang w:eastAsia="en-AU"/>
        </w:rPr>
      </w:pPr>
      <w:r>
        <w:rPr>
          <w:rFonts w:ascii="Cambria" w:eastAsia="Times New Roman" w:hAnsi="Cambria" w:cs="Times New Roman"/>
          <w:lang w:eastAsia="en-AU"/>
        </w:rPr>
        <w:t xml:space="preserve">On-arrival examination of </w:t>
      </w:r>
      <w:r w:rsidRPr="005D1CD6">
        <w:rPr>
          <w:rFonts w:ascii="Cambria" w:hAnsi="Cambria"/>
        </w:rPr>
        <w:t xml:space="preserve">bare-rooted plants, budwood and </w:t>
      </w:r>
      <w:r>
        <w:rPr>
          <w:rFonts w:ascii="Cambria" w:hAnsi="Cambria"/>
        </w:rPr>
        <w:t xml:space="preserve">dormant </w:t>
      </w:r>
      <w:r w:rsidRPr="005D1CD6">
        <w:rPr>
          <w:rFonts w:ascii="Cambria" w:hAnsi="Cambria"/>
        </w:rPr>
        <w:t>cuttings</w:t>
      </w:r>
      <w:r>
        <w:rPr>
          <w:rFonts w:ascii="Cambria" w:hAnsi="Cambria"/>
        </w:rPr>
        <w:t xml:space="preserve"> </w:t>
      </w:r>
      <w:r>
        <w:rPr>
          <w:rFonts w:ascii="Cambria" w:eastAsia="Times New Roman" w:hAnsi="Cambria" w:cs="Times New Roman"/>
          <w:lang w:eastAsia="en-AU"/>
        </w:rPr>
        <w:t>for disease symptoms, treatment (surface sterilization, fumigation) and growth under conditions that favour symptom expression (mist and air temperatures of 19 °C to 25 °C for six weeks).</w:t>
      </w:r>
    </w:p>
    <w:p w:rsidR="00796500" w:rsidRDefault="00796500" w:rsidP="00796500">
      <w:pPr>
        <w:pStyle w:val="ListBullet"/>
        <w:tabs>
          <w:tab w:val="clear" w:pos="360"/>
          <w:tab w:val="num" w:pos="284"/>
        </w:tabs>
        <w:spacing w:line="269" w:lineRule="auto"/>
        <w:ind w:left="284" w:hanging="284"/>
        <w:rPr>
          <w:rFonts w:ascii="Cambria" w:eastAsia="Times New Roman" w:hAnsi="Cambria" w:cs="Times New Roman"/>
          <w:lang w:eastAsia="en-AU"/>
        </w:rPr>
      </w:pPr>
      <w:r>
        <w:rPr>
          <w:rFonts w:ascii="Cambria" w:eastAsia="Times New Roman" w:hAnsi="Cambria" w:cs="Times New Roman"/>
          <w:lang w:eastAsia="en-AU"/>
        </w:rPr>
        <w:t xml:space="preserve">On-arrival examination of </w:t>
      </w:r>
      <w:r w:rsidRPr="005D1CD6">
        <w:rPr>
          <w:rFonts w:ascii="Cambria" w:hAnsi="Cambria"/>
        </w:rPr>
        <w:t>tissue cultures</w:t>
      </w:r>
      <w:r>
        <w:rPr>
          <w:rFonts w:ascii="Cambria" w:hAnsi="Cambria"/>
        </w:rPr>
        <w:t xml:space="preserve"> </w:t>
      </w:r>
      <w:r w:rsidRPr="00C64640">
        <w:rPr>
          <w:rFonts w:asciiTheme="majorHAnsi" w:hAnsiTheme="majorHAnsi"/>
        </w:rPr>
        <w:t>to verify freedom from disease symptoms, live insects, soil and other extraneous contaminants of quarantine concern</w:t>
      </w:r>
      <w:r>
        <w:rPr>
          <w:rFonts w:ascii="Cambria" w:eastAsia="Times New Roman" w:hAnsi="Cambria" w:cs="Times New Roman"/>
          <w:lang w:eastAsia="en-AU"/>
        </w:rPr>
        <w:t>.</w:t>
      </w:r>
    </w:p>
    <w:p w:rsidR="00796500" w:rsidRPr="00796500" w:rsidRDefault="00796500" w:rsidP="00796500">
      <w:pPr>
        <w:spacing w:before="120" w:after="120"/>
        <w:rPr>
          <w:rFonts w:eastAsia="Times New Roman" w:cs="Times New Roman"/>
          <w:b/>
          <w:lang w:eastAsia="en-AU"/>
        </w:rPr>
      </w:pPr>
      <w:r w:rsidRPr="00796500">
        <w:rPr>
          <w:rFonts w:eastAsia="Times New Roman" w:cs="Times New Roman"/>
          <w:b/>
          <w:lang w:eastAsia="en-AU"/>
        </w:rPr>
        <w:t>On-arrival testing</w:t>
      </w:r>
    </w:p>
    <w:p w:rsidR="00796500" w:rsidRDefault="00796500" w:rsidP="00796500">
      <w:pPr>
        <w:pStyle w:val="ListBullet"/>
        <w:shd w:val="clear" w:color="auto" w:fill="FFFFFF"/>
        <w:tabs>
          <w:tab w:val="clear" w:pos="360"/>
          <w:tab w:val="num" w:pos="284"/>
        </w:tabs>
        <w:spacing w:after="0" w:line="269" w:lineRule="auto"/>
        <w:ind w:left="284" w:hanging="284"/>
        <w:rPr>
          <w:rFonts w:ascii="Cambria" w:hAnsi="Cambria"/>
          <w:bCs/>
        </w:rPr>
      </w:pPr>
      <w:r>
        <w:rPr>
          <w:rFonts w:ascii="Cambria" w:hAnsi="Cambria"/>
        </w:rPr>
        <w:t>On-arrival, propagative material (</w:t>
      </w:r>
      <w:r w:rsidRPr="00291A03">
        <w:rPr>
          <w:rFonts w:ascii="Cambria" w:hAnsi="Cambria"/>
        </w:rPr>
        <w:t xml:space="preserve">bare-rooted plants, budwood and </w:t>
      </w:r>
      <w:r>
        <w:rPr>
          <w:rFonts w:ascii="Cambria" w:hAnsi="Cambria"/>
        </w:rPr>
        <w:t xml:space="preserve">dormant </w:t>
      </w:r>
      <w:r w:rsidRPr="00291A03">
        <w:rPr>
          <w:rFonts w:ascii="Cambria" w:hAnsi="Cambria"/>
        </w:rPr>
        <w:t>cuttings)</w:t>
      </w:r>
      <w:r>
        <w:rPr>
          <w:rFonts w:ascii="Cambria" w:hAnsi="Cambria"/>
        </w:rPr>
        <w:t xml:space="preserve"> is cultured on selective culture media and tested for </w:t>
      </w:r>
      <w:r>
        <w:rPr>
          <w:rFonts w:ascii="Cambria" w:hAnsi="Cambria"/>
          <w:i/>
        </w:rPr>
        <w:t>Phytophthora</w:t>
      </w:r>
      <w:r>
        <w:rPr>
          <w:rFonts w:ascii="Cambria" w:hAnsi="Cambria"/>
        </w:rPr>
        <w:t xml:space="preserve"> species using a generic PCR.</w:t>
      </w:r>
    </w:p>
    <w:p w:rsidR="00796500" w:rsidRPr="00796500" w:rsidRDefault="00796500" w:rsidP="00796500">
      <w:pPr>
        <w:spacing w:before="120" w:after="120"/>
        <w:rPr>
          <w:rFonts w:eastAsia="Times New Roman" w:cs="Times New Roman"/>
          <w:b/>
          <w:lang w:eastAsia="en-AU"/>
        </w:rPr>
      </w:pPr>
      <w:r w:rsidRPr="00796500">
        <w:rPr>
          <w:rFonts w:eastAsia="Times New Roman" w:cs="Times New Roman"/>
          <w:b/>
          <w:lang w:eastAsia="en-AU"/>
        </w:rPr>
        <w:t>Minimum 12 to 15 month growth in Post Entry Quarantine (PEQ)</w:t>
      </w:r>
    </w:p>
    <w:p w:rsidR="00796500" w:rsidRDefault="00796500" w:rsidP="00796500">
      <w:pPr>
        <w:pStyle w:val="ListBullet"/>
        <w:shd w:val="clear" w:color="auto" w:fill="FFFFFF"/>
        <w:tabs>
          <w:tab w:val="clear" w:pos="360"/>
          <w:tab w:val="num" w:pos="284"/>
        </w:tabs>
        <w:spacing w:after="0" w:line="269" w:lineRule="auto"/>
        <w:ind w:left="284" w:hanging="284"/>
        <w:rPr>
          <w:rFonts w:ascii="Cambria" w:hAnsi="Cambria"/>
        </w:rPr>
      </w:pPr>
      <w:r>
        <w:rPr>
          <w:rFonts w:ascii="Cambria" w:hAnsi="Cambria"/>
        </w:rPr>
        <w:t xml:space="preserve">Mandatory growth of </w:t>
      </w:r>
      <w:r w:rsidR="001B6119">
        <w:rPr>
          <w:rFonts w:ascii="Cambria" w:hAnsi="Cambria"/>
        </w:rPr>
        <w:t>propagative material</w:t>
      </w:r>
      <w:r>
        <w:rPr>
          <w:rFonts w:ascii="Cambria" w:hAnsi="Cambria"/>
        </w:rPr>
        <w:t xml:space="preserve"> in a closed government PEQ facility for a minimum of 12 to 15 months (dormant cuttings, budwood and tissue cultures for a </w:t>
      </w:r>
      <w:r w:rsidR="0000614C">
        <w:rPr>
          <w:rFonts w:ascii="Cambria" w:hAnsi="Cambria"/>
        </w:rPr>
        <w:t>minimum</w:t>
      </w:r>
      <w:r>
        <w:rPr>
          <w:rFonts w:ascii="Cambria" w:hAnsi="Cambria"/>
        </w:rPr>
        <w:t xml:space="preserve"> of 12 months, bare-rooted plants for a minimum of 15 months) with </w:t>
      </w:r>
      <w:r w:rsidR="00B13261">
        <w:rPr>
          <w:rFonts w:ascii="Cambria" w:hAnsi="Cambria"/>
        </w:rPr>
        <w:t>disease screening</w:t>
      </w:r>
      <w:r>
        <w:rPr>
          <w:rFonts w:ascii="Cambria" w:hAnsi="Cambria"/>
        </w:rPr>
        <w:t>.</w:t>
      </w:r>
    </w:p>
    <w:p w:rsidR="008F3DA5" w:rsidRPr="008F3DA5" w:rsidRDefault="008F3DA5" w:rsidP="008F3DA5">
      <w:pPr>
        <w:pStyle w:val="ListBullet"/>
        <w:shd w:val="clear" w:color="auto" w:fill="FFFFFF"/>
        <w:tabs>
          <w:tab w:val="clear" w:pos="360"/>
          <w:tab w:val="num" w:pos="284"/>
        </w:tabs>
        <w:spacing w:after="0" w:line="269" w:lineRule="auto"/>
        <w:ind w:left="284" w:hanging="284"/>
        <w:rPr>
          <w:rFonts w:ascii="Cambria" w:hAnsi="Cambria"/>
        </w:rPr>
      </w:pPr>
      <w:r w:rsidRPr="008F3DA5">
        <w:rPr>
          <w:rFonts w:ascii="Cambria" w:hAnsi="Cambria"/>
        </w:rPr>
        <w:lastRenderedPageBreak/>
        <w:t>Imported one-year-old</w:t>
      </w:r>
      <w:r>
        <w:rPr>
          <w:rFonts w:ascii="Cambria" w:hAnsi="Cambria"/>
        </w:rPr>
        <w:t xml:space="preserve"> bare-rooted plants, </w:t>
      </w:r>
      <w:r w:rsidRPr="008F3DA5">
        <w:rPr>
          <w:rFonts w:ascii="Cambria" w:hAnsi="Cambria"/>
        </w:rPr>
        <w:t>dormant cuttings and budwood must be grown in mist beds/fog for the first six weeks at 19 °C to 25 °C to favour symptom expression.</w:t>
      </w:r>
    </w:p>
    <w:p w:rsidR="008F3DA5" w:rsidRPr="008F3DA5" w:rsidRDefault="008F3DA5" w:rsidP="00796500">
      <w:pPr>
        <w:pStyle w:val="ListBullet"/>
        <w:shd w:val="clear" w:color="auto" w:fill="FFFFFF"/>
        <w:tabs>
          <w:tab w:val="clear" w:pos="360"/>
          <w:tab w:val="num" w:pos="284"/>
        </w:tabs>
        <w:spacing w:after="0" w:line="269" w:lineRule="auto"/>
        <w:ind w:left="284" w:hanging="284"/>
        <w:rPr>
          <w:rFonts w:ascii="Cambria" w:hAnsi="Cambria"/>
        </w:rPr>
      </w:pPr>
      <w:r w:rsidRPr="008F3DA5">
        <w:rPr>
          <w:rFonts w:ascii="Cambria" w:hAnsi="Cambria"/>
        </w:rPr>
        <w:t>During growth in PEQ, imported one-year-old</w:t>
      </w:r>
      <w:r>
        <w:rPr>
          <w:rFonts w:ascii="Cambria" w:hAnsi="Cambria"/>
        </w:rPr>
        <w:t xml:space="preserve"> bare-rooted plants, </w:t>
      </w:r>
      <w:r w:rsidR="00B13261">
        <w:rPr>
          <w:rFonts w:ascii="Cambria" w:hAnsi="Cambria"/>
        </w:rPr>
        <w:t xml:space="preserve">dormant cuttings, </w:t>
      </w:r>
      <w:r w:rsidRPr="008F3DA5">
        <w:rPr>
          <w:rFonts w:ascii="Cambria" w:hAnsi="Cambria"/>
        </w:rPr>
        <w:t xml:space="preserve">budwood </w:t>
      </w:r>
      <w:r w:rsidR="00B13261">
        <w:rPr>
          <w:rFonts w:ascii="Cambria" w:hAnsi="Cambria"/>
        </w:rPr>
        <w:t xml:space="preserve">and tissue cultures </w:t>
      </w:r>
      <w:r w:rsidRPr="008F3DA5">
        <w:rPr>
          <w:rFonts w:ascii="Cambria" w:hAnsi="Cambria"/>
        </w:rPr>
        <w:t xml:space="preserve">must be subjected to visual inspection and molecular testing. It is recommended that a generic </w:t>
      </w:r>
      <w:r w:rsidRPr="008F3DA5">
        <w:rPr>
          <w:rFonts w:ascii="Cambria" w:hAnsi="Cambria"/>
          <w:i/>
        </w:rPr>
        <w:t>Phytophthora</w:t>
      </w:r>
      <w:r w:rsidRPr="008F3DA5">
        <w:rPr>
          <w:rFonts w:ascii="Cambria" w:hAnsi="Cambria"/>
        </w:rPr>
        <w:t xml:space="preserve"> PCR of leaf tissues for each plant be carried out. If </w:t>
      </w:r>
      <w:r w:rsidRPr="008F3DA5">
        <w:rPr>
          <w:rFonts w:ascii="Cambria" w:hAnsi="Cambria"/>
          <w:i/>
        </w:rPr>
        <w:t>Phytophthora</w:t>
      </w:r>
      <w:r w:rsidRPr="008F3DA5">
        <w:rPr>
          <w:rFonts w:ascii="Cambria" w:hAnsi="Cambria"/>
        </w:rPr>
        <w:t xml:space="preserve"> species are detected then additional identification or molecular testing should be carried out.</w:t>
      </w:r>
    </w:p>
    <w:p w:rsidR="00796500" w:rsidRDefault="00796500" w:rsidP="00796500">
      <w:pPr>
        <w:spacing w:before="200"/>
        <w:rPr>
          <w:rFonts w:ascii="Cambria" w:hAnsi="Cambria"/>
        </w:rPr>
      </w:pPr>
      <w:r>
        <w:rPr>
          <w:rFonts w:ascii="Cambria" w:hAnsi="Cambria"/>
        </w:rPr>
        <w:t xml:space="preserve">The existing conditions for propagative material from countries where these </w:t>
      </w:r>
      <w:r>
        <w:rPr>
          <w:rFonts w:ascii="Cambria" w:hAnsi="Cambria"/>
          <w:i/>
        </w:rPr>
        <w:t xml:space="preserve">Phytophthora </w:t>
      </w:r>
      <w:r>
        <w:rPr>
          <w:rFonts w:ascii="Cambria" w:hAnsi="Cambria"/>
        </w:rPr>
        <w:t>species are not known to occur are recommended to continue.</w:t>
      </w:r>
    </w:p>
    <w:p w:rsidR="0025320C" w:rsidRDefault="0025320C" w:rsidP="00796500">
      <w:pPr>
        <w:spacing w:before="200"/>
        <w:rPr>
          <w:rFonts w:ascii="Cambria" w:hAnsi="Cambria"/>
        </w:rPr>
        <w:sectPr w:rsidR="0025320C" w:rsidSect="0025320C">
          <w:headerReference w:type="default" r:id="rId40"/>
          <w:pgSz w:w="11906" w:h="16838"/>
          <w:pgMar w:top="1418" w:right="1418" w:bottom="1418" w:left="1418" w:header="567" w:footer="284" w:gutter="0"/>
          <w:cols w:space="708"/>
          <w:docGrid w:linePitch="360"/>
        </w:sectPr>
      </w:pPr>
    </w:p>
    <w:p w:rsidR="00F90F04" w:rsidRDefault="00F90F04" w:rsidP="00796500">
      <w:pPr>
        <w:spacing w:before="200"/>
        <w:rPr>
          <w:rFonts w:ascii="Cambria" w:hAnsi="Cambria"/>
        </w:rPr>
        <w:sectPr w:rsidR="00F90F04" w:rsidSect="00873038">
          <w:type w:val="continuous"/>
          <w:pgSz w:w="11906" w:h="16838"/>
          <w:pgMar w:top="1418" w:right="1418" w:bottom="1418" w:left="1418" w:header="567" w:footer="284" w:gutter="0"/>
          <w:cols w:space="708"/>
          <w:docGrid w:linePitch="360"/>
        </w:sectPr>
      </w:pPr>
    </w:p>
    <w:p w:rsidR="00C74066" w:rsidRDefault="00F10705">
      <w:pPr>
        <w:pStyle w:val="Heading1nonumbers"/>
        <w:rPr>
          <w:lang w:val="en-AU"/>
        </w:rPr>
      </w:pPr>
      <w:bookmarkStart w:id="199" w:name="_Toc392488735"/>
      <w:bookmarkStart w:id="200" w:name="_Toc434247480"/>
      <w:r>
        <w:rPr>
          <w:lang w:val="en-AU"/>
        </w:rPr>
        <w:lastRenderedPageBreak/>
        <w:t xml:space="preserve">Appendix A: Natural hosts of </w:t>
      </w:r>
      <w:r>
        <w:rPr>
          <w:i/>
          <w:lang w:val="en-AU"/>
        </w:rPr>
        <w:t>Phytophthora</w:t>
      </w:r>
      <w:r>
        <w:rPr>
          <w:lang w:val="en-AU"/>
        </w:rPr>
        <w:t xml:space="preserve"> species and their status in Australia</w:t>
      </w:r>
      <w:bookmarkEnd w:id="199"/>
      <w:bookmarkEnd w:id="200"/>
    </w:p>
    <w:p w:rsidR="00E164E8" w:rsidRPr="009064C9" w:rsidRDefault="009064C9">
      <w:pPr>
        <w:spacing w:before="200"/>
        <w:rPr>
          <w:rFonts w:asciiTheme="majorHAnsi" w:hAnsiTheme="majorHAnsi" w:cs="Arial"/>
          <w:sz w:val="20"/>
          <w:szCs w:val="20"/>
        </w:rPr>
      </w:pPr>
      <w:r w:rsidRPr="009064C9">
        <w:rPr>
          <w:rFonts w:asciiTheme="majorHAnsi" w:hAnsiTheme="majorHAnsi" w:cs="Arial"/>
          <w:sz w:val="20"/>
          <w:szCs w:val="20"/>
        </w:rPr>
        <w:t xml:space="preserve">The host ranges of </w:t>
      </w:r>
      <w:r w:rsidRPr="009064C9">
        <w:rPr>
          <w:rFonts w:asciiTheme="majorHAnsi" w:hAnsiTheme="majorHAnsi" w:cs="Arial"/>
          <w:i/>
          <w:sz w:val="20"/>
          <w:szCs w:val="20"/>
        </w:rPr>
        <w:t>Phytophthora ramorum,</w:t>
      </w:r>
      <w:r w:rsidRPr="009064C9">
        <w:rPr>
          <w:rFonts w:asciiTheme="majorHAnsi" w:hAnsiTheme="majorHAnsi" w:cs="Arial"/>
          <w:sz w:val="20"/>
          <w:szCs w:val="20"/>
        </w:rPr>
        <w:t xml:space="preserve"> </w:t>
      </w:r>
      <w:r w:rsidRPr="009064C9">
        <w:rPr>
          <w:rFonts w:asciiTheme="majorHAnsi" w:hAnsiTheme="majorHAnsi" w:cs="Arial"/>
          <w:i/>
          <w:iCs/>
          <w:sz w:val="20"/>
          <w:szCs w:val="20"/>
        </w:rPr>
        <w:t>P. kernoviae</w:t>
      </w:r>
      <w:r w:rsidRPr="009064C9">
        <w:rPr>
          <w:rFonts w:asciiTheme="majorHAnsi" w:hAnsiTheme="majorHAnsi" w:cs="Arial"/>
          <w:sz w:val="20"/>
          <w:szCs w:val="20"/>
        </w:rPr>
        <w:t xml:space="preserve">, </w:t>
      </w:r>
      <w:r w:rsidRPr="009064C9">
        <w:rPr>
          <w:rFonts w:asciiTheme="majorHAnsi" w:hAnsiTheme="majorHAnsi" w:cs="Arial"/>
          <w:i/>
          <w:iCs/>
          <w:sz w:val="20"/>
          <w:szCs w:val="20"/>
        </w:rPr>
        <w:t xml:space="preserve">P. nemorosa </w:t>
      </w:r>
      <w:r w:rsidRPr="009064C9">
        <w:rPr>
          <w:rFonts w:asciiTheme="majorHAnsi" w:hAnsiTheme="majorHAnsi" w:cs="Arial"/>
          <w:sz w:val="20"/>
          <w:szCs w:val="20"/>
        </w:rPr>
        <w:t xml:space="preserve">and </w:t>
      </w:r>
      <w:r w:rsidRPr="009064C9">
        <w:rPr>
          <w:rFonts w:asciiTheme="majorHAnsi" w:hAnsiTheme="majorHAnsi" w:cs="Arial"/>
          <w:i/>
          <w:iCs/>
          <w:sz w:val="20"/>
          <w:szCs w:val="20"/>
        </w:rPr>
        <w:t>P. pseudosyringae</w:t>
      </w:r>
      <w:r w:rsidRPr="009064C9">
        <w:rPr>
          <w:rFonts w:asciiTheme="majorHAnsi" w:hAnsiTheme="majorHAnsi" w:cs="Arial"/>
          <w:iCs/>
          <w:sz w:val="20"/>
          <w:szCs w:val="20"/>
        </w:rPr>
        <w:t xml:space="preserve"> overlap</w:t>
      </w:r>
      <w:r>
        <w:rPr>
          <w:rFonts w:asciiTheme="majorHAnsi" w:hAnsiTheme="majorHAnsi" w:cs="Arial"/>
          <w:iCs/>
          <w:sz w:val="20"/>
          <w:szCs w:val="20"/>
        </w:rPr>
        <w:t xml:space="preserve">; </w:t>
      </w:r>
      <w:r w:rsidRPr="009064C9">
        <w:rPr>
          <w:rFonts w:asciiTheme="majorHAnsi" w:hAnsiTheme="majorHAnsi" w:cs="Arial"/>
          <w:iCs/>
          <w:sz w:val="20"/>
          <w:szCs w:val="20"/>
        </w:rPr>
        <w:t xml:space="preserve">therefore, some of the </w:t>
      </w:r>
      <w:r w:rsidRPr="009064C9">
        <w:rPr>
          <w:rFonts w:asciiTheme="majorHAnsi" w:hAnsiTheme="majorHAnsi" w:cs="Arial"/>
          <w:sz w:val="20"/>
          <w:szCs w:val="20"/>
        </w:rPr>
        <w:t xml:space="preserve">hosts </w:t>
      </w:r>
      <w:r w:rsidRPr="009064C9">
        <w:rPr>
          <w:rFonts w:asciiTheme="majorHAnsi" w:hAnsiTheme="majorHAnsi" w:cs="Arial"/>
          <w:iCs/>
          <w:sz w:val="20"/>
          <w:szCs w:val="20"/>
        </w:rPr>
        <w:t>listed</w:t>
      </w:r>
      <w:r w:rsidRPr="009064C9">
        <w:rPr>
          <w:rFonts w:asciiTheme="majorHAnsi" w:hAnsiTheme="majorHAnsi" w:cs="Arial"/>
          <w:sz w:val="20"/>
          <w:szCs w:val="20"/>
        </w:rPr>
        <w:t xml:space="preserve"> may also be susceptible to these other </w:t>
      </w:r>
      <w:r w:rsidRPr="009064C9">
        <w:rPr>
          <w:rFonts w:asciiTheme="majorHAnsi" w:hAnsiTheme="majorHAnsi" w:cs="Arial"/>
          <w:i/>
          <w:sz w:val="20"/>
          <w:szCs w:val="20"/>
        </w:rPr>
        <w:t>Phytophthora</w:t>
      </w:r>
      <w:r w:rsidRPr="009064C9">
        <w:rPr>
          <w:rFonts w:asciiTheme="majorHAnsi" w:hAnsiTheme="majorHAnsi" w:cs="Arial"/>
          <w:sz w:val="20"/>
          <w:szCs w:val="20"/>
        </w:rPr>
        <w:t xml:space="preserve"> species. </w:t>
      </w:r>
      <w:r w:rsidR="00F10705" w:rsidRPr="009064C9">
        <w:rPr>
          <w:rFonts w:asciiTheme="majorHAnsi" w:hAnsiTheme="majorHAnsi" w:cs="Arial"/>
          <w:sz w:val="20"/>
          <w:szCs w:val="20"/>
        </w:rPr>
        <w:t xml:space="preserve">Unless specified, the hosts listed in the table are </w:t>
      </w:r>
      <w:r w:rsidR="00F10705" w:rsidRPr="009064C9">
        <w:rPr>
          <w:rFonts w:asciiTheme="majorHAnsi" w:hAnsiTheme="majorHAnsi" w:cs="Arial"/>
          <w:i/>
          <w:sz w:val="20"/>
          <w:szCs w:val="20"/>
        </w:rPr>
        <w:t>P. ramorum</w:t>
      </w:r>
      <w:r w:rsidR="00F10705" w:rsidRPr="009064C9">
        <w:rPr>
          <w:rFonts w:asciiTheme="majorHAnsi" w:hAnsiTheme="majorHAnsi" w:cs="Arial"/>
          <w:sz w:val="20"/>
          <w:szCs w:val="20"/>
        </w:rPr>
        <w:t xml:space="preserve"> hosts</w:t>
      </w:r>
      <w:r w:rsidR="00D17C49">
        <w:rPr>
          <w:rFonts w:asciiTheme="majorHAnsi" w:hAnsiTheme="majorHAnsi" w:cs="Arial"/>
          <w:sz w:val="20"/>
          <w:szCs w:val="20"/>
        </w:rPr>
        <w:t>, where species are</w:t>
      </w:r>
      <w:r w:rsidR="00F10705" w:rsidRPr="009064C9">
        <w:rPr>
          <w:rFonts w:asciiTheme="majorHAnsi" w:hAnsiTheme="majorHAnsi" w:cs="Arial"/>
          <w:sz w:val="20"/>
          <w:szCs w:val="20"/>
        </w:rPr>
        <w:t xml:space="preserve"> known to be susceptible to </w:t>
      </w:r>
      <w:r w:rsidR="00F10705" w:rsidRPr="009064C9">
        <w:rPr>
          <w:rFonts w:asciiTheme="majorHAnsi" w:hAnsiTheme="majorHAnsi" w:cs="Arial"/>
          <w:i/>
          <w:iCs/>
          <w:sz w:val="20"/>
          <w:szCs w:val="20"/>
        </w:rPr>
        <w:t>P. kernoviae</w:t>
      </w:r>
      <w:r w:rsidR="00F10705" w:rsidRPr="009064C9">
        <w:rPr>
          <w:rFonts w:asciiTheme="majorHAnsi" w:hAnsiTheme="majorHAnsi" w:cs="Arial"/>
          <w:sz w:val="20"/>
          <w:szCs w:val="20"/>
        </w:rPr>
        <w:t xml:space="preserve">, </w:t>
      </w:r>
      <w:r w:rsidR="00F10705" w:rsidRPr="009064C9">
        <w:rPr>
          <w:rFonts w:asciiTheme="majorHAnsi" w:hAnsiTheme="majorHAnsi" w:cs="Arial"/>
          <w:i/>
          <w:iCs/>
          <w:sz w:val="20"/>
          <w:szCs w:val="20"/>
        </w:rPr>
        <w:t xml:space="preserve">P. nemorosa </w:t>
      </w:r>
      <w:r w:rsidR="00F10705" w:rsidRPr="009064C9">
        <w:rPr>
          <w:rFonts w:asciiTheme="majorHAnsi" w:hAnsiTheme="majorHAnsi" w:cs="Arial"/>
          <w:sz w:val="20"/>
          <w:szCs w:val="20"/>
        </w:rPr>
        <w:t xml:space="preserve">or </w:t>
      </w:r>
      <w:r w:rsidR="00F10705" w:rsidRPr="009064C9">
        <w:rPr>
          <w:rFonts w:asciiTheme="majorHAnsi" w:hAnsiTheme="majorHAnsi" w:cs="Arial"/>
          <w:i/>
          <w:iCs/>
          <w:sz w:val="20"/>
          <w:szCs w:val="20"/>
        </w:rPr>
        <w:t>P. pseudosyringae</w:t>
      </w:r>
      <w:r w:rsidR="00D17C49">
        <w:rPr>
          <w:rFonts w:asciiTheme="majorHAnsi" w:hAnsiTheme="majorHAnsi" w:cs="Arial"/>
          <w:i/>
          <w:iCs/>
          <w:sz w:val="20"/>
          <w:szCs w:val="20"/>
        </w:rPr>
        <w:t xml:space="preserve">, </w:t>
      </w:r>
      <w:r w:rsidR="00F10705" w:rsidRPr="009064C9">
        <w:rPr>
          <w:rFonts w:asciiTheme="majorHAnsi" w:hAnsiTheme="majorHAnsi" w:cs="Arial"/>
          <w:sz w:val="20"/>
          <w:szCs w:val="20"/>
        </w:rPr>
        <w:t xml:space="preserve">this is indicated in the table. </w:t>
      </w:r>
      <w:r w:rsidR="004E16B2" w:rsidRPr="009064C9">
        <w:rPr>
          <w:rFonts w:asciiTheme="majorHAnsi" w:hAnsiTheme="majorHAnsi" w:cs="Arial"/>
          <w:sz w:val="20"/>
          <w:szCs w:val="20"/>
        </w:rPr>
        <w:t xml:space="preserve">The synonyms listed in this table are based on the </w:t>
      </w:r>
      <w:r w:rsidR="004E16B2" w:rsidRPr="009064C9">
        <w:rPr>
          <w:rFonts w:asciiTheme="majorHAnsi" w:hAnsiTheme="majorHAnsi" w:cs="Lucida Grande"/>
          <w:sz w:val="20"/>
          <w:szCs w:val="20"/>
        </w:rPr>
        <w:t xml:space="preserve">Missouri Botanical Garden </w:t>
      </w:r>
      <w:r w:rsidR="004E16B2" w:rsidRPr="009064C9">
        <w:rPr>
          <w:rFonts w:asciiTheme="majorHAnsi" w:hAnsiTheme="majorHAnsi"/>
          <w:sz w:val="20"/>
          <w:szCs w:val="20"/>
        </w:rPr>
        <w:t>taxonomic database, Tropicos (</w:t>
      </w:r>
      <w:r w:rsidR="004E16B2" w:rsidRPr="009064C9">
        <w:rPr>
          <w:rFonts w:asciiTheme="majorHAnsi" w:hAnsiTheme="majorHAnsi" w:cs="Lucida Grande"/>
          <w:sz w:val="20"/>
          <w:szCs w:val="20"/>
        </w:rPr>
        <w:t>tropicos.org</w:t>
      </w:r>
      <w:r w:rsidR="004E16B2" w:rsidRPr="009064C9">
        <w:rPr>
          <w:rFonts w:asciiTheme="majorHAnsi" w:hAnsiTheme="majorHAnsi"/>
          <w:sz w:val="20"/>
          <w:szCs w:val="20"/>
        </w:rPr>
        <w:t xml:space="preserve">). </w:t>
      </w:r>
      <w:r w:rsidR="00F10705" w:rsidRPr="009064C9">
        <w:rPr>
          <w:rFonts w:asciiTheme="majorHAnsi" w:hAnsiTheme="majorHAnsi" w:cs="Arial"/>
          <w:sz w:val="20"/>
          <w:szCs w:val="20"/>
        </w:rPr>
        <w:t xml:space="preserve">The geographical distribution </w:t>
      </w:r>
      <w:r w:rsidR="00661262">
        <w:rPr>
          <w:rFonts w:asciiTheme="majorHAnsi" w:hAnsiTheme="majorHAnsi" w:cs="Arial"/>
          <w:sz w:val="20"/>
          <w:szCs w:val="20"/>
        </w:rPr>
        <w:t xml:space="preserve">in Australia </w:t>
      </w:r>
      <w:r w:rsidR="00F10705" w:rsidRPr="009064C9">
        <w:rPr>
          <w:rFonts w:asciiTheme="majorHAnsi" w:hAnsiTheme="majorHAnsi" w:cs="Arial"/>
          <w:sz w:val="20"/>
          <w:szCs w:val="20"/>
        </w:rPr>
        <w:t xml:space="preserve">of </w:t>
      </w:r>
      <w:r w:rsidR="00661262">
        <w:rPr>
          <w:rFonts w:asciiTheme="majorHAnsi" w:hAnsiTheme="majorHAnsi" w:cs="Arial"/>
          <w:sz w:val="20"/>
          <w:szCs w:val="20"/>
        </w:rPr>
        <w:t xml:space="preserve">the </w:t>
      </w:r>
      <w:r w:rsidR="00F10705" w:rsidRPr="009064C9">
        <w:rPr>
          <w:rFonts w:asciiTheme="majorHAnsi" w:hAnsiTheme="majorHAnsi" w:cs="Arial"/>
          <w:sz w:val="20"/>
          <w:szCs w:val="20"/>
        </w:rPr>
        <w:t>natural hosts of</w:t>
      </w:r>
      <w:r w:rsidR="00661262">
        <w:rPr>
          <w:rFonts w:asciiTheme="majorHAnsi" w:hAnsiTheme="majorHAnsi" w:cs="Arial"/>
          <w:sz w:val="20"/>
          <w:szCs w:val="20"/>
        </w:rPr>
        <w:t xml:space="preserve"> the </w:t>
      </w:r>
      <w:r w:rsidR="00F10705" w:rsidRPr="009064C9">
        <w:rPr>
          <w:rFonts w:asciiTheme="majorHAnsi" w:hAnsiTheme="majorHAnsi" w:cs="Arial"/>
          <w:i/>
          <w:sz w:val="20"/>
          <w:szCs w:val="20"/>
        </w:rPr>
        <w:t xml:space="preserve">Phytophthora </w:t>
      </w:r>
      <w:r w:rsidR="00F10705" w:rsidRPr="009064C9">
        <w:rPr>
          <w:rFonts w:asciiTheme="majorHAnsi" w:hAnsiTheme="majorHAnsi" w:cs="Arial"/>
          <w:sz w:val="20"/>
          <w:szCs w:val="20"/>
        </w:rPr>
        <w:t xml:space="preserve">species </w:t>
      </w:r>
      <w:r w:rsidR="00661262">
        <w:rPr>
          <w:rFonts w:asciiTheme="majorHAnsi" w:hAnsiTheme="majorHAnsi" w:cs="Arial"/>
          <w:sz w:val="20"/>
          <w:szCs w:val="20"/>
        </w:rPr>
        <w:t>under review</w:t>
      </w:r>
      <w:r w:rsidR="00F10705" w:rsidRPr="009064C9">
        <w:rPr>
          <w:rFonts w:asciiTheme="majorHAnsi" w:hAnsiTheme="majorHAnsi" w:cs="Arial"/>
          <w:sz w:val="20"/>
          <w:szCs w:val="20"/>
        </w:rPr>
        <w:t xml:space="preserve"> is provided (source: Australia’s Virtual Herbarium 2014, unless otherwise specified).</w:t>
      </w:r>
      <w:r w:rsidR="004E16B2" w:rsidRPr="009064C9">
        <w:rPr>
          <w:rFonts w:asciiTheme="majorHAnsi" w:hAnsiTheme="majorHAnsi" w:cs="Arial"/>
          <w:sz w:val="20"/>
          <w:szCs w:val="20"/>
        </w:rPr>
        <w:t xml:space="preserve"> </w:t>
      </w:r>
      <w:r w:rsidR="00365420">
        <w:rPr>
          <w:rFonts w:asciiTheme="majorHAnsi" w:hAnsiTheme="majorHAnsi" w:cs="Arial"/>
          <w:sz w:val="20"/>
          <w:szCs w:val="20"/>
        </w:rPr>
        <w:t xml:space="preserve">While the hosts of these </w:t>
      </w:r>
      <w:r w:rsidR="00365420">
        <w:rPr>
          <w:rFonts w:asciiTheme="majorHAnsi" w:hAnsiTheme="majorHAnsi" w:cs="Arial"/>
          <w:i/>
          <w:sz w:val="20"/>
          <w:szCs w:val="20"/>
        </w:rPr>
        <w:t xml:space="preserve">Phytophthora </w:t>
      </w:r>
      <w:r w:rsidR="00365420">
        <w:rPr>
          <w:rFonts w:asciiTheme="majorHAnsi" w:hAnsiTheme="majorHAnsi" w:cs="Arial"/>
          <w:sz w:val="20"/>
          <w:szCs w:val="20"/>
        </w:rPr>
        <w:t>species are regulated at the genus level, t</w:t>
      </w:r>
      <w:r w:rsidR="00E164E8" w:rsidRPr="009064C9">
        <w:rPr>
          <w:rFonts w:asciiTheme="majorHAnsi" w:hAnsiTheme="majorHAnsi" w:cs="Arial"/>
          <w:sz w:val="20"/>
          <w:szCs w:val="20"/>
        </w:rPr>
        <w:t>his table has been completed at the species level and all subordinate taxa are subject to the same conditions as the species.</w:t>
      </w:r>
      <w:r w:rsidR="004E16B2" w:rsidRPr="009064C9">
        <w:rPr>
          <w:rFonts w:asciiTheme="majorHAnsi" w:hAnsiTheme="majorHAnsi" w:cs="Arial"/>
          <w:sz w:val="20"/>
          <w:szCs w:val="20"/>
        </w:rPr>
        <w:t xml:space="preserve"> </w:t>
      </w:r>
      <w:r w:rsidR="00E164E8" w:rsidRPr="009064C9">
        <w:rPr>
          <w:rFonts w:asciiTheme="majorHAnsi" w:hAnsiTheme="majorHAnsi" w:cs="Arial"/>
          <w:sz w:val="20"/>
          <w:szCs w:val="20"/>
        </w:rPr>
        <w:t xml:space="preserve">Hybrids are not listed in this table </w:t>
      </w:r>
      <w:r w:rsidR="00487956">
        <w:rPr>
          <w:rFonts w:asciiTheme="majorHAnsi" w:hAnsiTheme="majorHAnsi" w:cs="Arial"/>
          <w:sz w:val="20"/>
          <w:szCs w:val="20"/>
        </w:rPr>
        <w:t xml:space="preserve">unless </w:t>
      </w:r>
      <w:r w:rsidR="00E164E8" w:rsidRPr="009064C9">
        <w:rPr>
          <w:rFonts w:asciiTheme="majorHAnsi" w:hAnsiTheme="majorHAnsi" w:cs="Arial"/>
          <w:sz w:val="20"/>
          <w:szCs w:val="20"/>
        </w:rPr>
        <w:t xml:space="preserve">one of the parent species </w:t>
      </w:r>
      <w:r w:rsidR="00487956">
        <w:rPr>
          <w:rFonts w:asciiTheme="majorHAnsi" w:hAnsiTheme="majorHAnsi" w:cs="Arial"/>
          <w:sz w:val="20"/>
          <w:szCs w:val="20"/>
        </w:rPr>
        <w:t xml:space="preserve">does not </w:t>
      </w:r>
      <w:r w:rsidR="00E164E8" w:rsidRPr="009064C9">
        <w:rPr>
          <w:rFonts w:asciiTheme="majorHAnsi" w:hAnsiTheme="majorHAnsi" w:cs="Arial"/>
          <w:sz w:val="20"/>
          <w:szCs w:val="20"/>
        </w:rPr>
        <w:t xml:space="preserve">belong to a genus that is not known to be a natural host of the </w:t>
      </w:r>
      <w:r w:rsidR="00E164E8" w:rsidRPr="009064C9">
        <w:rPr>
          <w:rFonts w:asciiTheme="majorHAnsi" w:hAnsiTheme="majorHAnsi" w:cs="Arial"/>
          <w:i/>
          <w:sz w:val="20"/>
          <w:szCs w:val="20"/>
        </w:rPr>
        <w:t xml:space="preserve">Phytophthora </w:t>
      </w:r>
      <w:r w:rsidR="00E164E8" w:rsidRPr="009064C9">
        <w:rPr>
          <w:rFonts w:asciiTheme="majorHAnsi" w:hAnsiTheme="majorHAnsi" w:cs="Arial"/>
          <w:sz w:val="20"/>
          <w:szCs w:val="20"/>
        </w:rPr>
        <w:t>species under review.</w:t>
      </w:r>
    </w:p>
    <w:tbl>
      <w:tblPr>
        <w:tblW w:w="4923" w:type="pct"/>
        <w:tblBorders>
          <w:top w:val="single" w:sz="4" w:space="0" w:color="auto"/>
          <w:bottom w:val="single" w:sz="4" w:space="0" w:color="auto"/>
          <w:insideH w:val="single" w:sz="4" w:space="0" w:color="D9D9D9" w:themeColor="background1" w:themeShade="D9"/>
        </w:tblBorders>
        <w:tblLook w:val="04A0"/>
      </w:tblPr>
      <w:tblGrid>
        <w:gridCol w:w="3939"/>
        <w:gridCol w:w="3685"/>
        <w:gridCol w:w="3116"/>
        <w:gridCol w:w="3259"/>
      </w:tblGrid>
      <w:tr w:rsidR="00C74066" w:rsidRPr="00B933AF">
        <w:trPr>
          <w:tblHeader/>
        </w:trPr>
        <w:tc>
          <w:tcPr>
            <w:tcW w:w="1407" w:type="pct"/>
            <w:tcBorders>
              <w:bottom w:val="nil"/>
            </w:tcBorders>
          </w:tcPr>
          <w:p w:rsidR="00C74066" w:rsidRPr="00B933AF" w:rsidRDefault="00F10705" w:rsidP="0033344A">
            <w:pPr>
              <w:pStyle w:val="TableHeading"/>
              <w:spacing w:before="40" w:after="40"/>
              <w:rPr>
                <w:rFonts w:asciiTheme="majorHAnsi" w:hAnsiTheme="majorHAnsi"/>
                <w:szCs w:val="18"/>
              </w:rPr>
            </w:pPr>
            <w:r w:rsidRPr="00B933AF">
              <w:rPr>
                <w:rFonts w:asciiTheme="majorHAnsi" w:hAnsiTheme="majorHAnsi"/>
                <w:szCs w:val="18"/>
              </w:rPr>
              <w:t>Scientific name/common name(s)</w:t>
            </w:r>
          </w:p>
        </w:tc>
        <w:tc>
          <w:tcPr>
            <w:tcW w:w="1316" w:type="pct"/>
            <w:tcBorders>
              <w:bottom w:val="nil"/>
            </w:tcBorders>
          </w:tcPr>
          <w:p w:rsidR="00C74066" w:rsidRPr="00B933AF" w:rsidRDefault="00F10705" w:rsidP="0033344A">
            <w:pPr>
              <w:pStyle w:val="TableHeading"/>
              <w:spacing w:before="40" w:after="40"/>
              <w:rPr>
                <w:rFonts w:asciiTheme="majorHAnsi" w:hAnsiTheme="majorHAnsi"/>
                <w:szCs w:val="18"/>
              </w:rPr>
            </w:pPr>
            <w:r w:rsidRPr="00B933AF">
              <w:rPr>
                <w:rFonts w:asciiTheme="majorHAnsi" w:hAnsiTheme="majorHAnsi"/>
                <w:szCs w:val="18"/>
              </w:rPr>
              <w:t>Synonym(s)</w:t>
            </w:r>
          </w:p>
        </w:tc>
        <w:tc>
          <w:tcPr>
            <w:tcW w:w="1113" w:type="pct"/>
            <w:tcBorders>
              <w:bottom w:val="nil"/>
            </w:tcBorders>
          </w:tcPr>
          <w:p w:rsidR="00C74066" w:rsidRPr="00B933AF" w:rsidRDefault="00F10705" w:rsidP="0033344A">
            <w:pPr>
              <w:pStyle w:val="TableHeading"/>
              <w:spacing w:before="40" w:after="40"/>
              <w:rPr>
                <w:rFonts w:asciiTheme="majorHAnsi" w:hAnsiTheme="majorHAnsi"/>
                <w:szCs w:val="18"/>
              </w:rPr>
            </w:pPr>
            <w:r w:rsidRPr="00B933AF">
              <w:rPr>
                <w:rFonts w:asciiTheme="majorHAnsi" w:hAnsiTheme="majorHAnsi"/>
                <w:szCs w:val="18"/>
              </w:rPr>
              <w:t xml:space="preserve">Reference </w:t>
            </w:r>
          </w:p>
        </w:tc>
        <w:tc>
          <w:tcPr>
            <w:tcW w:w="1164" w:type="pct"/>
            <w:tcBorders>
              <w:bottom w:val="nil"/>
            </w:tcBorders>
          </w:tcPr>
          <w:p w:rsidR="00C74066" w:rsidRPr="00B933AF" w:rsidRDefault="00F10705" w:rsidP="0033344A">
            <w:pPr>
              <w:pStyle w:val="TableHeading"/>
              <w:spacing w:before="40" w:after="40"/>
              <w:rPr>
                <w:rFonts w:asciiTheme="majorHAnsi" w:hAnsiTheme="majorHAnsi"/>
                <w:szCs w:val="18"/>
              </w:rPr>
            </w:pPr>
            <w:r w:rsidRPr="00B933AF">
              <w:rPr>
                <w:rFonts w:asciiTheme="majorHAnsi" w:hAnsiTheme="majorHAnsi"/>
                <w:szCs w:val="18"/>
              </w:rPr>
              <w:t>Presence in Australia</w:t>
            </w:r>
          </w:p>
        </w:tc>
      </w:tr>
      <w:tr w:rsidR="00C74066" w:rsidRPr="00B933AF">
        <w:tc>
          <w:tcPr>
            <w:tcW w:w="1407" w:type="pct"/>
            <w:tcBorders>
              <w:top w:val="nil"/>
              <w:left w:val="nil"/>
              <w:bottom w:val="single" w:sz="8" w:space="0" w:color="D9D9D9" w:themeColor="background1" w:themeShade="D9"/>
              <w:right w:val="nil"/>
            </w:tcBorders>
          </w:tcPr>
          <w:p w:rsidR="00C74066" w:rsidRPr="00B933AF" w:rsidRDefault="00F10705" w:rsidP="0033344A">
            <w:pPr>
              <w:spacing w:before="40" w:after="40"/>
              <w:ind w:left="-2"/>
              <w:rPr>
                <w:rFonts w:asciiTheme="majorHAnsi" w:hAnsiTheme="majorHAnsi" w:cs="Helvetica"/>
                <w:sz w:val="18"/>
                <w:szCs w:val="18"/>
              </w:rPr>
            </w:pPr>
            <w:r w:rsidRPr="00B933AF">
              <w:rPr>
                <w:rFonts w:asciiTheme="majorHAnsi" w:hAnsiTheme="majorHAnsi" w:cs="Helvetica"/>
                <w:i/>
                <w:iCs/>
                <w:sz w:val="18"/>
                <w:szCs w:val="18"/>
              </w:rPr>
              <w:t>Abies</w:t>
            </w:r>
            <w:r w:rsidRPr="00B933AF">
              <w:rPr>
                <w:rFonts w:asciiTheme="majorHAnsi" w:hAnsiTheme="majorHAnsi" w:cs="Helvetica"/>
                <w:sz w:val="18"/>
                <w:szCs w:val="18"/>
              </w:rPr>
              <w:t xml:space="preserve"> </w:t>
            </w:r>
            <w:r w:rsidRPr="00B933AF">
              <w:rPr>
                <w:rFonts w:asciiTheme="majorHAnsi" w:hAnsiTheme="majorHAnsi" w:cs="Helvetica"/>
                <w:i/>
                <w:iCs/>
                <w:sz w:val="18"/>
                <w:szCs w:val="18"/>
              </w:rPr>
              <w:t>concolor</w:t>
            </w:r>
            <w:r w:rsidRPr="00B933AF">
              <w:rPr>
                <w:rFonts w:asciiTheme="majorHAnsi" w:hAnsiTheme="majorHAnsi" w:cs="Helvetica"/>
                <w:sz w:val="18"/>
                <w:szCs w:val="18"/>
              </w:rPr>
              <w:t xml:space="preserve"> (Gordon &amp; Glend.) Lindl. ex Hildebr. [Pinaceae] – White fir</w:t>
            </w:r>
          </w:p>
        </w:tc>
        <w:tc>
          <w:tcPr>
            <w:tcW w:w="1316" w:type="pct"/>
            <w:tcBorders>
              <w:top w:val="nil"/>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Lucida Grande"/>
                <w:i/>
                <w:iCs/>
                <w:sz w:val="18"/>
                <w:szCs w:val="18"/>
              </w:rPr>
              <w:t xml:space="preserve">Abies lowiana </w:t>
            </w:r>
            <w:r w:rsidRPr="00B933AF">
              <w:rPr>
                <w:rFonts w:asciiTheme="majorHAnsi" w:hAnsiTheme="majorHAnsi" w:cs="Lucida Grande"/>
                <w:iCs/>
                <w:sz w:val="18"/>
                <w:szCs w:val="18"/>
              </w:rPr>
              <w:t xml:space="preserve">(Gordon) A. Murray bis, </w:t>
            </w:r>
            <w:r w:rsidRPr="00B933AF">
              <w:rPr>
                <w:rFonts w:asciiTheme="majorHAnsi" w:hAnsiTheme="majorHAnsi" w:cs="Lucida Grande"/>
                <w:i/>
                <w:iCs/>
                <w:sz w:val="18"/>
                <w:szCs w:val="18"/>
              </w:rPr>
              <w:t xml:space="preserve">Picea concolor </w:t>
            </w:r>
            <w:r w:rsidRPr="00B933AF">
              <w:rPr>
                <w:rFonts w:asciiTheme="majorHAnsi" w:hAnsiTheme="majorHAnsi" w:cs="Lucida Grande"/>
                <w:iCs/>
                <w:sz w:val="18"/>
                <w:szCs w:val="18"/>
              </w:rPr>
              <w:t>Gordon &amp; Glend.</w:t>
            </w:r>
            <w:r w:rsidRPr="00B933AF">
              <w:rPr>
                <w:rFonts w:asciiTheme="majorHAnsi" w:hAnsiTheme="majorHAnsi" w:cs="Lucida Grande"/>
                <w:i/>
                <w:iCs/>
                <w:sz w:val="18"/>
                <w:szCs w:val="18"/>
              </w:rPr>
              <w:t xml:space="preserve">, Picea lowiana </w:t>
            </w:r>
            <w:r w:rsidRPr="00B933AF">
              <w:rPr>
                <w:rFonts w:asciiTheme="majorHAnsi" w:hAnsiTheme="majorHAnsi" w:cs="Lucida Grande"/>
                <w:iCs/>
                <w:sz w:val="18"/>
                <w:szCs w:val="18"/>
              </w:rPr>
              <w:t xml:space="preserve">Gordon, </w:t>
            </w:r>
            <w:r w:rsidRPr="00B933AF">
              <w:rPr>
                <w:rFonts w:asciiTheme="majorHAnsi" w:hAnsiTheme="majorHAnsi" w:cs="Lucida Grande"/>
                <w:i/>
                <w:iCs/>
                <w:sz w:val="18"/>
                <w:szCs w:val="18"/>
              </w:rPr>
              <w:t xml:space="preserve">Pinus concolor </w:t>
            </w:r>
            <w:r w:rsidRPr="00B933AF">
              <w:rPr>
                <w:rFonts w:asciiTheme="majorHAnsi" w:hAnsiTheme="majorHAnsi" w:cs="Lucida Grande"/>
                <w:iCs/>
                <w:sz w:val="18"/>
                <w:szCs w:val="18"/>
              </w:rPr>
              <w:t xml:space="preserve">Engelm. ex Parl., </w:t>
            </w:r>
            <w:r w:rsidRPr="00B933AF">
              <w:rPr>
                <w:rFonts w:asciiTheme="majorHAnsi" w:hAnsiTheme="majorHAnsi" w:cs="Lucida Grande"/>
                <w:i/>
                <w:iCs/>
                <w:sz w:val="18"/>
                <w:szCs w:val="18"/>
              </w:rPr>
              <w:t xml:space="preserve">Pinus lowiana </w:t>
            </w:r>
            <w:r w:rsidRPr="00B933AF">
              <w:rPr>
                <w:rFonts w:asciiTheme="majorHAnsi" w:hAnsiTheme="majorHAnsi" w:cs="Lucida Grande"/>
                <w:iCs/>
                <w:sz w:val="18"/>
                <w:szCs w:val="18"/>
              </w:rPr>
              <w:t>(Gordon) Mc Nab</w:t>
            </w:r>
            <w:r w:rsidRPr="00B933AF">
              <w:rPr>
                <w:rFonts w:asciiTheme="majorHAnsi" w:hAnsiTheme="majorHAnsi" w:cs="Helvetica"/>
                <w:i/>
                <w:iCs/>
                <w:sz w:val="18"/>
                <w:szCs w:val="18"/>
              </w:rPr>
              <w:t xml:space="preserve"> </w:t>
            </w:r>
          </w:p>
        </w:tc>
        <w:tc>
          <w:tcPr>
            <w:tcW w:w="1113" w:type="pct"/>
            <w:tcBorders>
              <w:top w:val="nil"/>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Helvetica"/>
                <w:color w:val="000000"/>
                <w:sz w:val="18"/>
                <w:szCs w:val="18"/>
              </w:rPr>
              <w:t xml:space="preserve">Cave </w:t>
            </w:r>
            <w:r w:rsidRPr="00B933AF">
              <w:rPr>
                <w:rFonts w:asciiTheme="majorHAnsi" w:hAnsiTheme="majorHAnsi" w:cs="Helvetica"/>
                <w:iCs/>
                <w:color w:val="000000"/>
                <w:sz w:val="18"/>
                <w:szCs w:val="18"/>
              </w:rPr>
              <w:t>et al.</w:t>
            </w:r>
            <w:r w:rsidRPr="00B933AF">
              <w:rPr>
                <w:rFonts w:asciiTheme="majorHAnsi" w:hAnsiTheme="majorHAnsi" w:cs="Helvetica"/>
                <w:color w:val="000000"/>
                <w:sz w:val="18"/>
                <w:szCs w:val="18"/>
              </w:rPr>
              <w:t xml:space="preserve"> 2008; Sansford </w:t>
            </w:r>
            <w:r w:rsidRPr="00B933AF">
              <w:rPr>
                <w:rFonts w:asciiTheme="majorHAnsi" w:hAnsiTheme="majorHAnsi" w:cs="Helvetica"/>
                <w:iCs/>
                <w:color w:val="000000"/>
                <w:sz w:val="18"/>
                <w:szCs w:val="18"/>
              </w:rPr>
              <w:t>et al</w:t>
            </w:r>
            <w:r w:rsidRPr="00B933AF">
              <w:rPr>
                <w:rFonts w:asciiTheme="majorHAnsi" w:hAnsiTheme="majorHAnsi" w:cs="Helvetica"/>
                <w:color w:val="000000"/>
                <w:sz w:val="18"/>
                <w:szCs w:val="18"/>
              </w:rPr>
              <w:t>. 2009</w:t>
            </w:r>
          </w:p>
        </w:tc>
        <w:tc>
          <w:tcPr>
            <w:tcW w:w="1164" w:type="pct"/>
            <w:tcBorders>
              <w:top w:val="nil"/>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ind w:left="-2"/>
              <w:rPr>
                <w:rFonts w:asciiTheme="majorHAnsi" w:hAnsiTheme="majorHAnsi" w:cs="Helvetica"/>
                <w:sz w:val="18"/>
                <w:szCs w:val="18"/>
              </w:rPr>
            </w:pPr>
            <w:r w:rsidRPr="00B933AF">
              <w:rPr>
                <w:rFonts w:asciiTheme="majorHAnsi" w:hAnsiTheme="majorHAnsi" w:cs="Helvetica"/>
                <w:i/>
                <w:iCs/>
                <w:sz w:val="18"/>
                <w:szCs w:val="18"/>
              </w:rPr>
              <w:t>Abies</w:t>
            </w:r>
            <w:r w:rsidRPr="00B933AF">
              <w:rPr>
                <w:rFonts w:asciiTheme="majorHAnsi" w:hAnsiTheme="majorHAnsi" w:cs="Helvetica"/>
                <w:sz w:val="18"/>
                <w:szCs w:val="18"/>
              </w:rPr>
              <w:t xml:space="preserve"> </w:t>
            </w:r>
            <w:r w:rsidRPr="00B933AF">
              <w:rPr>
                <w:rFonts w:asciiTheme="majorHAnsi" w:hAnsiTheme="majorHAnsi" w:cs="Helvetica"/>
                <w:i/>
                <w:iCs/>
                <w:sz w:val="18"/>
                <w:szCs w:val="18"/>
              </w:rPr>
              <w:t>grandis</w:t>
            </w:r>
            <w:r w:rsidRPr="00B933AF">
              <w:rPr>
                <w:rFonts w:asciiTheme="majorHAnsi" w:hAnsiTheme="majorHAnsi" w:cs="Helvetica"/>
                <w:sz w:val="18"/>
                <w:szCs w:val="18"/>
              </w:rPr>
              <w:t xml:space="preserve"> (Douglas ex D. Don) Lindl. [Pinaceae] – Grand fir</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Lucida Grande"/>
                <w:i/>
                <w:iCs/>
                <w:sz w:val="18"/>
                <w:szCs w:val="18"/>
              </w:rPr>
              <w:t>Pinus grandis</w:t>
            </w:r>
            <w:r w:rsidRPr="00B933AF">
              <w:rPr>
                <w:rFonts w:asciiTheme="majorHAnsi" w:hAnsiTheme="majorHAnsi" w:cs="Lucida Grande"/>
                <w:sz w:val="18"/>
                <w:szCs w:val="18"/>
              </w:rPr>
              <w:t xml:space="preserve"> Douglas ex D. Don</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Helvetica"/>
                <w:sz w:val="18"/>
                <w:szCs w:val="18"/>
              </w:rPr>
              <w:t xml:space="preserve">Cave </w:t>
            </w:r>
            <w:r w:rsidRPr="00B933AF">
              <w:rPr>
                <w:rFonts w:asciiTheme="majorHAnsi" w:hAnsiTheme="majorHAnsi" w:cs="Helvetica"/>
                <w:iCs/>
                <w:sz w:val="18"/>
                <w:szCs w:val="18"/>
              </w:rPr>
              <w:t>et al</w:t>
            </w:r>
            <w:r w:rsidRPr="00B933AF">
              <w:rPr>
                <w:rFonts w:asciiTheme="majorHAnsi" w:hAnsiTheme="majorHAnsi" w:cs="Helvetica"/>
                <w:sz w:val="18"/>
                <w:szCs w:val="18"/>
              </w:rPr>
              <w:t>. 2008</w:t>
            </w:r>
            <w:r w:rsidRPr="00B933AF">
              <w:rPr>
                <w:rFonts w:asciiTheme="majorHAnsi" w:hAnsiTheme="majorHAnsi" w:cs="Helvetica"/>
                <w:color w:val="000000"/>
                <w:sz w:val="18"/>
                <w:szCs w:val="18"/>
              </w:rPr>
              <w:t xml:space="preserve">; </w:t>
            </w:r>
            <w:r w:rsidRPr="00B933AF">
              <w:rPr>
                <w:rFonts w:asciiTheme="majorHAnsi" w:hAnsiTheme="majorHAnsi" w:cs="Helvetica"/>
                <w:sz w:val="18"/>
                <w:szCs w:val="18"/>
              </w:rPr>
              <w:t xml:space="preserve">Riley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2011</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Helvetica"/>
                <w:sz w:val="18"/>
                <w:szCs w:val="18"/>
              </w:rPr>
              <w:t>VIC</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Abies</w:t>
            </w:r>
            <w:r w:rsidRPr="00B933AF">
              <w:rPr>
                <w:rFonts w:asciiTheme="majorHAnsi" w:hAnsiTheme="majorHAnsi" w:cs="Helvetica"/>
                <w:sz w:val="18"/>
                <w:szCs w:val="18"/>
              </w:rPr>
              <w:t xml:space="preserve"> </w:t>
            </w:r>
            <w:r w:rsidRPr="00B933AF">
              <w:rPr>
                <w:rFonts w:asciiTheme="majorHAnsi" w:hAnsiTheme="majorHAnsi" w:cs="Helvetica"/>
                <w:i/>
                <w:iCs/>
                <w:sz w:val="18"/>
                <w:szCs w:val="18"/>
              </w:rPr>
              <w:t>magnifica</w:t>
            </w:r>
            <w:r w:rsidRPr="00B933AF">
              <w:rPr>
                <w:rFonts w:asciiTheme="majorHAnsi" w:hAnsiTheme="majorHAnsi" w:cs="Helvetica"/>
                <w:sz w:val="18"/>
                <w:szCs w:val="18"/>
              </w:rPr>
              <w:t xml:space="preserve"> A. Murray [Pinaceae] – California red fir</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Cave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2008; Chastagner &amp; Riley 2010</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Abies</w:t>
            </w:r>
            <w:r w:rsidRPr="00B933AF">
              <w:rPr>
                <w:rFonts w:asciiTheme="majorHAnsi" w:hAnsiTheme="majorHAnsi" w:cs="Helvetica"/>
                <w:sz w:val="18"/>
                <w:szCs w:val="18"/>
              </w:rPr>
              <w:t xml:space="preserve"> </w:t>
            </w:r>
            <w:r w:rsidRPr="00B933AF">
              <w:rPr>
                <w:rFonts w:asciiTheme="majorHAnsi" w:hAnsiTheme="majorHAnsi" w:cs="Helvetica"/>
                <w:i/>
                <w:iCs/>
                <w:sz w:val="18"/>
                <w:szCs w:val="18"/>
              </w:rPr>
              <w:t>procera</w:t>
            </w:r>
            <w:r w:rsidRPr="00B933AF">
              <w:rPr>
                <w:rFonts w:asciiTheme="majorHAnsi" w:hAnsiTheme="majorHAnsi" w:cs="Helvetica"/>
                <w:sz w:val="18"/>
                <w:szCs w:val="18"/>
              </w:rPr>
              <w:t xml:space="preserve"> Rehder [Pinaceae] – Noble fir</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highlight w:val="yellow"/>
              </w:rPr>
            </w:pPr>
            <w:r w:rsidRPr="00B933AF">
              <w:rPr>
                <w:rFonts w:asciiTheme="majorHAnsi" w:hAnsiTheme="majorHAnsi" w:cs="Helvetica"/>
                <w:i/>
                <w:iCs/>
                <w:sz w:val="18"/>
                <w:szCs w:val="18"/>
              </w:rPr>
              <w:t>Abies nobilis</w:t>
            </w:r>
            <w:r w:rsidRPr="00B933AF">
              <w:rPr>
                <w:rFonts w:asciiTheme="majorHAnsi" w:hAnsiTheme="majorHAnsi" w:cs="Helvetica"/>
                <w:sz w:val="18"/>
                <w:szCs w:val="18"/>
              </w:rPr>
              <w:t xml:space="preserve"> (Douglas ex D. Don) Lindl.</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highlight w:val="yellow"/>
              </w:rPr>
            </w:pPr>
            <w:r w:rsidRPr="00B933AF">
              <w:rPr>
                <w:rFonts w:asciiTheme="majorHAnsi" w:hAnsiTheme="majorHAnsi" w:cs="Helvetica"/>
                <w:sz w:val="18"/>
                <w:szCs w:val="18"/>
              </w:rPr>
              <w:t>FERA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Helvetica"/>
                <w:sz w:val="18"/>
                <w:szCs w:val="18"/>
              </w:rPr>
              <w:t>TAS</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Acer</w:t>
            </w:r>
            <w:r w:rsidRPr="00B933AF">
              <w:rPr>
                <w:rFonts w:asciiTheme="majorHAnsi" w:hAnsiTheme="majorHAnsi" w:cs="Helvetica"/>
                <w:sz w:val="18"/>
                <w:szCs w:val="18"/>
              </w:rPr>
              <w:t xml:space="preserve"> </w:t>
            </w:r>
            <w:r w:rsidRPr="00B933AF">
              <w:rPr>
                <w:rFonts w:asciiTheme="majorHAnsi" w:hAnsiTheme="majorHAnsi" w:cs="Helvetica"/>
                <w:i/>
                <w:iCs/>
                <w:sz w:val="18"/>
                <w:szCs w:val="18"/>
              </w:rPr>
              <w:t>circinatum</w:t>
            </w:r>
            <w:r w:rsidRPr="00B933AF">
              <w:rPr>
                <w:rFonts w:asciiTheme="majorHAnsi" w:hAnsiTheme="majorHAnsi" w:cs="Helvetica"/>
                <w:sz w:val="18"/>
                <w:szCs w:val="18"/>
              </w:rPr>
              <w:t xml:space="preserve"> Pursh [Aceraceae] – Vine maple</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theme="minorHAnsi"/>
                <w:sz w:val="18"/>
                <w:szCs w:val="18"/>
              </w:rPr>
            </w:pPr>
            <w:r w:rsidRPr="00B933AF">
              <w:rPr>
                <w:rFonts w:asciiTheme="majorHAnsi" w:hAnsiTheme="majorHAnsi" w:cstheme="minorHAnsi"/>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pStyle w:val="AQISText"/>
              <w:spacing w:before="40" w:after="40" w:line="276" w:lineRule="auto"/>
              <w:ind w:right="-108"/>
              <w:jc w:val="left"/>
              <w:rPr>
                <w:rFonts w:asciiTheme="majorHAnsi" w:hAnsiTheme="majorHAnsi" w:cs="Helvetica"/>
                <w:sz w:val="18"/>
                <w:szCs w:val="18"/>
              </w:rPr>
            </w:pPr>
            <w:r w:rsidRPr="00B933AF">
              <w:rPr>
                <w:rFonts w:asciiTheme="majorHAnsi" w:hAnsiTheme="majorHAnsi" w:cs="Helvetica"/>
                <w:sz w:val="18"/>
                <w:szCs w:val="18"/>
              </w:rPr>
              <w:t>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Acer davidii</w:t>
            </w:r>
            <w:r w:rsidRPr="00B933AF">
              <w:rPr>
                <w:rFonts w:asciiTheme="majorHAnsi" w:hAnsiTheme="majorHAnsi" w:cs="Helvetica"/>
                <w:sz w:val="18"/>
                <w:szCs w:val="18"/>
              </w:rPr>
              <w:t xml:space="preserve"> Franch. [Aceraceae] – Striped bark maple</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theme="minorHAnsi"/>
                <w:sz w:val="18"/>
                <w:szCs w:val="18"/>
              </w:rPr>
            </w:pPr>
            <w:r w:rsidRPr="00B933AF">
              <w:rPr>
                <w:rFonts w:asciiTheme="majorHAnsi" w:hAnsiTheme="majorHAnsi" w:cs="Helvetica"/>
                <w:i/>
                <w:iCs/>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Helvetica"/>
                <w:sz w:val="18"/>
                <w:szCs w:val="18"/>
              </w:rPr>
              <w:t xml:space="preserve">Cave </w:t>
            </w:r>
            <w:r w:rsidRPr="00B933AF">
              <w:rPr>
                <w:rFonts w:asciiTheme="majorHAnsi" w:hAnsiTheme="majorHAnsi" w:cs="Helvetica"/>
                <w:iCs/>
                <w:sz w:val="18"/>
                <w:szCs w:val="18"/>
              </w:rPr>
              <w:t>et al</w:t>
            </w:r>
            <w:r w:rsidRPr="00B933AF">
              <w:rPr>
                <w:rFonts w:asciiTheme="majorHAnsi" w:hAnsiTheme="majorHAnsi" w:cs="Helvetica"/>
                <w:sz w:val="18"/>
                <w:szCs w:val="18"/>
              </w:rPr>
              <w:t>. 2008</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Helvetica"/>
                <w:sz w:val="18"/>
                <w:szCs w:val="18"/>
              </w:rPr>
              <w:t>VIC</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Acer laevigatum</w:t>
            </w:r>
            <w:r w:rsidRPr="00B933AF">
              <w:rPr>
                <w:rFonts w:asciiTheme="majorHAnsi" w:hAnsiTheme="majorHAnsi" w:cs="Helvetica"/>
                <w:sz w:val="18"/>
                <w:szCs w:val="18"/>
              </w:rPr>
              <w:t xml:space="preserve"> Wall. [Aceraceae] – Evergreen maple</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theme="minorHAnsi"/>
                <w:sz w:val="18"/>
                <w:szCs w:val="18"/>
              </w:rPr>
            </w:pPr>
            <w:r w:rsidRPr="00B933AF">
              <w:rPr>
                <w:rFonts w:asciiTheme="majorHAnsi" w:hAnsiTheme="majorHAnsi" w:cs="Helvetica"/>
                <w:i/>
                <w:iCs/>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Helvetica"/>
                <w:sz w:val="18"/>
                <w:szCs w:val="18"/>
              </w:rPr>
              <w:t xml:space="preserve">Cave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2008</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Acer</w:t>
            </w:r>
            <w:r w:rsidRPr="00B933AF">
              <w:rPr>
                <w:rFonts w:asciiTheme="majorHAnsi" w:hAnsiTheme="majorHAnsi" w:cs="Helvetica"/>
                <w:sz w:val="18"/>
                <w:szCs w:val="18"/>
              </w:rPr>
              <w:t xml:space="preserve"> </w:t>
            </w:r>
            <w:r w:rsidRPr="00B933AF">
              <w:rPr>
                <w:rFonts w:asciiTheme="majorHAnsi" w:hAnsiTheme="majorHAnsi" w:cs="Helvetica"/>
                <w:i/>
                <w:iCs/>
                <w:sz w:val="18"/>
                <w:szCs w:val="18"/>
              </w:rPr>
              <w:t>macrophyllum</w:t>
            </w:r>
            <w:r w:rsidRPr="00B933AF">
              <w:rPr>
                <w:rFonts w:asciiTheme="majorHAnsi" w:hAnsiTheme="majorHAnsi" w:cs="Helvetica"/>
                <w:sz w:val="18"/>
                <w:szCs w:val="18"/>
              </w:rPr>
              <w:t xml:space="preserve"> Pursh [Aceraceae] – Bigleaf maple</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theme="minorHAnsi"/>
                <w:sz w:val="18"/>
                <w:szCs w:val="18"/>
              </w:rPr>
            </w:pPr>
            <w:r w:rsidRPr="00B933AF">
              <w:rPr>
                <w:rFonts w:asciiTheme="majorHAnsi" w:hAnsiTheme="majorHAnsi" w:cstheme="minorHAnsi"/>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Helvetica"/>
                <w:sz w:val="18"/>
                <w:szCs w:val="18"/>
              </w:rPr>
              <w:t xml:space="preserve">Scianna </w:t>
            </w:r>
            <w:r w:rsidRPr="00B933AF">
              <w:rPr>
                <w:rFonts w:asciiTheme="majorHAnsi" w:hAnsiTheme="majorHAnsi" w:cs="Helvetica"/>
                <w:iCs/>
                <w:sz w:val="18"/>
                <w:szCs w:val="18"/>
              </w:rPr>
              <w:t>et al</w:t>
            </w:r>
            <w:r w:rsidRPr="00B933AF">
              <w:rPr>
                <w:rFonts w:asciiTheme="majorHAnsi" w:hAnsiTheme="majorHAnsi" w:cs="Helvetica"/>
                <w:sz w:val="18"/>
                <w:szCs w:val="18"/>
              </w:rPr>
              <w:t>. 2003</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Acer</w:t>
            </w:r>
            <w:r w:rsidRPr="00B933AF">
              <w:rPr>
                <w:rFonts w:asciiTheme="majorHAnsi" w:hAnsiTheme="majorHAnsi" w:cs="Helvetica"/>
                <w:sz w:val="18"/>
                <w:szCs w:val="18"/>
              </w:rPr>
              <w:t xml:space="preserve"> </w:t>
            </w:r>
            <w:r w:rsidRPr="00B933AF">
              <w:rPr>
                <w:rFonts w:asciiTheme="majorHAnsi" w:hAnsiTheme="majorHAnsi" w:cs="Helvetica"/>
                <w:i/>
                <w:iCs/>
                <w:sz w:val="18"/>
                <w:szCs w:val="18"/>
              </w:rPr>
              <w:t>pseudoplatanus</w:t>
            </w:r>
            <w:r w:rsidRPr="00B933AF">
              <w:rPr>
                <w:rFonts w:asciiTheme="majorHAnsi" w:hAnsiTheme="majorHAnsi" w:cs="Helvetica"/>
                <w:sz w:val="18"/>
                <w:szCs w:val="18"/>
              </w:rPr>
              <w:t xml:space="preserve"> L. [Aceraceae] – Sycamore maple</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theme="minorHAnsi"/>
                <w:sz w:val="18"/>
                <w:szCs w:val="18"/>
              </w:rPr>
            </w:pPr>
            <w:r w:rsidRPr="00B933AF">
              <w:rPr>
                <w:rFonts w:asciiTheme="majorHAnsi" w:hAnsiTheme="majorHAnsi" w:cstheme="minorHAnsi"/>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Helvetica"/>
                <w:sz w:val="18"/>
                <w:szCs w:val="18"/>
              </w:rPr>
              <w:t xml:space="preserve">Cave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2008</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Helvetica"/>
                <w:sz w:val="18"/>
                <w:szCs w:val="18"/>
              </w:rPr>
              <w:t>SA, NSW, VIC, TAS</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
                <w:iCs/>
                <w:sz w:val="18"/>
                <w:szCs w:val="18"/>
              </w:rPr>
            </w:pPr>
            <w:r w:rsidRPr="00B933AF">
              <w:rPr>
                <w:rFonts w:asciiTheme="majorHAnsi" w:hAnsiTheme="majorHAnsi" w:cs="Helvetica"/>
                <w:i/>
                <w:iCs/>
                <w:sz w:val="18"/>
                <w:szCs w:val="18"/>
              </w:rPr>
              <w:lastRenderedPageBreak/>
              <w:t>Adiantum jordanii</w:t>
            </w:r>
            <w:r w:rsidRPr="00B933AF">
              <w:rPr>
                <w:rFonts w:asciiTheme="majorHAnsi" w:hAnsiTheme="majorHAnsi" w:cs="Helvetica"/>
                <w:sz w:val="18"/>
                <w:szCs w:val="18"/>
              </w:rPr>
              <w:t xml:space="preserve"> Mueller [Pteridaceae] – California maiden hair</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Helvetica"/>
                <w:sz w:val="18"/>
                <w:szCs w:val="18"/>
              </w:rPr>
              <w:t xml:space="preserve">Vettraino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2006a</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Helvetica"/>
                <w:sz w:val="18"/>
                <w:szCs w:val="18"/>
              </w:rPr>
              <w:t>Not listed as occurring in Australia</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
                <w:iCs/>
                <w:sz w:val="18"/>
                <w:szCs w:val="18"/>
              </w:rPr>
            </w:pPr>
            <w:r w:rsidRPr="00B933AF">
              <w:rPr>
                <w:rFonts w:asciiTheme="majorHAnsi" w:hAnsiTheme="majorHAnsi" w:cs="Helvetica"/>
                <w:i/>
                <w:iCs/>
                <w:sz w:val="18"/>
                <w:szCs w:val="18"/>
              </w:rPr>
              <w:t>Adiantum pedatum</w:t>
            </w:r>
            <w:r w:rsidRPr="00B933AF">
              <w:rPr>
                <w:rFonts w:asciiTheme="majorHAnsi" w:hAnsiTheme="majorHAnsi" w:cs="Helvetica"/>
                <w:sz w:val="18"/>
                <w:szCs w:val="18"/>
              </w:rPr>
              <w:t xml:space="preserve"> L.</w:t>
            </w:r>
            <w:r w:rsidRPr="00B933AF">
              <w:rPr>
                <w:rFonts w:asciiTheme="majorHAnsi" w:hAnsiTheme="majorHAnsi" w:cs="Helvetica"/>
                <w:b/>
                <w:bCs/>
                <w:sz w:val="18"/>
                <w:szCs w:val="18"/>
              </w:rPr>
              <w:t xml:space="preserve"> </w:t>
            </w:r>
            <w:r w:rsidRPr="00B933AF">
              <w:rPr>
                <w:rFonts w:asciiTheme="majorHAnsi" w:hAnsiTheme="majorHAnsi" w:cs="Helvetica"/>
                <w:sz w:val="18"/>
                <w:szCs w:val="18"/>
              </w:rPr>
              <w:t>[Pteridaceae] – Northern Maidenhair Fern, Five-finger Fern</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Adiantum aleuticum</w:t>
            </w:r>
            <w:r w:rsidRPr="00B933AF">
              <w:rPr>
                <w:rFonts w:asciiTheme="majorHAnsi" w:hAnsiTheme="majorHAnsi"/>
                <w:sz w:val="18"/>
                <w:szCs w:val="18"/>
              </w:rPr>
              <w:t xml:space="preserve"> (Rupr.) C.A. Paris, </w:t>
            </w:r>
            <w:r w:rsidRPr="00B933AF">
              <w:rPr>
                <w:rFonts w:asciiTheme="majorHAnsi" w:hAnsiTheme="majorHAnsi"/>
                <w:i/>
                <w:sz w:val="18"/>
                <w:szCs w:val="18"/>
              </w:rPr>
              <w:t>Adiantum boreale</w:t>
            </w:r>
            <w:r w:rsidRPr="00B933AF">
              <w:rPr>
                <w:rFonts w:asciiTheme="majorHAnsi" w:hAnsiTheme="majorHAnsi"/>
                <w:sz w:val="18"/>
                <w:szCs w:val="18"/>
              </w:rPr>
              <w:t xml:space="preserve"> C. Presl, </w:t>
            </w:r>
            <w:r w:rsidRPr="00B933AF">
              <w:rPr>
                <w:rFonts w:asciiTheme="majorHAnsi" w:hAnsiTheme="majorHAnsi" w:cs="Lucida Grande"/>
                <w:i/>
                <w:iCs/>
                <w:sz w:val="18"/>
                <w:szCs w:val="18"/>
              </w:rPr>
              <w:t>Adiantum hispidulum</w:t>
            </w:r>
            <w:r w:rsidRPr="00B933AF">
              <w:rPr>
                <w:rFonts w:asciiTheme="majorHAnsi" w:hAnsiTheme="majorHAnsi" w:cs="Lucida Grande"/>
                <w:sz w:val="18"/>
                <w:szCs w:val="18"/>
              </w:rPr>
              <w:t xml:space="preserve"> Sw.*</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Helvetica"/>
                <w:sz w:val="18"/>
                <w:szCs w:val="18"/>
              </w:rPr>
              <w:t xml:space="preserve">Vettraino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2006a</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Aesculus californica</w:t>
            </w:r>
            <w:r w:rsidRPr="00B933AF">
              <w:rPr>
                <w:rFonts w:asciiTheme="majorHAnsi" w:hAnsiTheme="majorHAnsi" w:cs="Helvetica"/>
                <w:sz w:val="18"/>
                <w:szCs w:val="18"/>
              </w:rPr>
              <w:t xml:space="preserve"> (Spach) Nutt. [Hippocastanaceae] – California buckeye </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Garbelotto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2003; Scianna </w:t>
            </w:r>
            <w:r w:rsidRPr="00B933AF">
              <w:rPr>
                <w:rFonts w:asciiTheme="majorHAnsi" w:hAnsiTheme="majorHAnsi" w:cs="Helvetica"/>
                <w:iCs/>
                <w:sz w:val="18"/>
                <w:szCs w:val="18"/>
              </w:rPr>
              <w:t>et al</w:t>
            </w:r>
            <w:r w:rsidRPr="00B933AF">
              <w:rPr>
                <w:rFonts w:asciiTheme="majorHAnsi" w:hAnsiTheme="majorHAnsi" w:cs="Helvetica"/>
                <w:sz w:val="18"/>
                <w:szCs w:val="18"/>
              </w:rPr>
              <w:t>. 2003</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Aesculus hippocastanum</w:t>
            </w:r>
            <w:r w:rsidRPr="00B933AF">
              <w:rPr>
                <w:rFonts w:asciiTheme="majorHAnsi" w:hAnsiTheme="majorHAnsi" w:cs="Helvetica"/>
                <w:sz w:val="18"/>
                <w:szCs w:val="18"/>
              </w:rPr>
              <w:t xml:space="preserve"> L. [Hippocastanaceae] – Horse chestnut </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Lucida Grande"/>
                <w:i/>
                <w:iCs/>
                <w:sz w:val="18"/>
                <w:szCs w:val="18"/>
              </w:rPr>
              <w:t>Hippocastanum vulgare</w:t>
            </w:r>
            <w:r w:rsidRPr="00B933AF">
              <w:rPr>
                <w:rFonts w:asciiTheme="majorHAnsi" w:hAnsiTheme="majorHAnsi" w:cs="Lucida Grande"/>
                <w:sz w:val="18"/>
                <w:szCs w:val="18"/>
              </w:rPr>
              <w:t xml:space="preserve"> Gaertn.</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Helvetica"/>
                <w:sz w:val="18"/>
                <w:szCs w:val="18"/>
              </w:rPr>
              <w:t xml:space="preserve">Cave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2008; Sansford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Helvetica"/>
                <w:sz w:val="18"/>
                <w:szCs w:val="18"/>
              </w:rPr>
              <w:t>SA, NSW, ACT</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Alnus glutinosa</w:t>
            </w:r>
            <w:r w:rsidRPr="00B933AF">
              <w:rPr>
                <w:rFonts w:asciiTheme="majorHAnsi" w:hAnsiTheme="majorHAnsi" w:cs="Helvetica"/>
                <w:sz w:val="18"/>
                <w:szCs w:val="18"/>
              </w:rPr>
              <w:t xml:space="preserve"> (L.) Gaertn. [Betulaceae] (L.</w:t>
            </w:r>
            <w:r w:rsidR="00100D81">
              <w:rPr>
                <w:rFonts w:asciiTheme="majorHAnsi" w:hAnsiTheme="majorHAnsi" w:cs="Helvetica"/>
                <w:sz w:val="18"/>
                <w:szCs w:val="18"/>
              </w:rPr>
              <w:t>) Lam.) – European alder (</w:t>
            </w:r>
            <w:r w:rsidRPr="00B933AF">
              <w:rPr>
                <w:rFonts w:asciiTheme="majorHAnsi" w:hAnsiTheme="majorHAnsi"/>
                <w:sz w:val="18"/>
                <w:szCs w:val="18"/>
              </w:rPr>
              <w:t xml:space="preserve">Only reported as a host of </w:t>
            </w:r>
            <w:r w:rsidRPr="00B933AF">
              <w:rPr>
                <w:rFonts w:asciiTheme="majorHAnsi" w:hAnsiTheme="majorHAnsi"/>
                <w:i/>
                <w:sz w:val="18"/>
                <w:szCs w:val="18"/>
              </w:rPr>
              <w:t>Phytophthora pseudosyringae</w:t>
            </w:r>
            <w:r w:rsidRPr="00B933AF">
              <w:rPr>
                <w:rFonts w:asciiTheme="majorHAnsi" w:hAnsiTheme="majorHAnsi" w:cs="Helvetica"/>
                <w:sz w:val="18"/>
                <w:szCs w:val="18"/>
              </w:rPr>
              <w:t>)</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Lucida Grande"/>
                <w:i/>
                <w:iCs/>
                <w:sz w:val="18"/>
                <w:szCs w:val="18"/>
              </w:rPr>
              <w:t>Alnus alnus</w:t>
            </w:r>
            <w:r w:rsidRPr="00B933AF">
              <w:rPr>
                <w:rFonts w:asciiTheme="majorHAnsi" w:hAnsiTheme="majorHAnsi" w:cs="Lucida Grande"/>
                <w:sz w:val="18"/>
                <w:szCs w:val="18"/>
              </w:rPr>
              <w:t xml:space="preserve"> (L.) Britton, </w:t>
            </w:r>
            <w:r w:rsidRPr="00B933AF">
              <w:rPr>
                <w:rFonts w:asciiTheme="majorHAnsi" w:hAnsiTheme="majorHAnsi"/>
                <w:i/>
                <w:iCs/>
                <w:sz w:val="18"/>
                <w:szCs w:val="18"/>
              </w:rPr>
              <w:t>Alnus vulgaris</w:t>
            </w:r>
            <w:r w:rsidRPr="00B933AF">
              <w:rPr>
                <w:rFonts w:asciiTheme="majorHAnsi" w:hAnsiTheme="majorHAnsi"/>
                <w:sz w:val="18"/>
                <w:szCs w:val="18"/>
              </w:rPr>
              <w:t xml:space="preserve"> Hill</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Jung et al. 2003</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SA, NSW, ACT, TAS</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100D81">
            <w:pPr>
              <w:spacing w:before="40" w:after="40"/>
              <w:rPr>
                <w:rFonts w:asciiTheme="majorHAnsi" w:hAnsiTheme="majorHAnsi" w:cs="Helvetica"/>
                <w:sz w:val="18"/>
                <w:szCs w:val="18"/>
              </w:rPr>
            </w:pPr>
            <w:r w:rsidRPr="00B933AF">
              <w:rPr>
                <w:rFonts w:asciiTheme="majorHAnsi" w:hAnsiTheme="majorHAnsi" w:cs="Helvetica"/>
                <w:i/>
                <w:iCs/>
                <w:sz w:val="18"/>
                <w:szCs w:val="18"/>
              </w:rPr>
              <w:t>Annona cherimola</w:t>
            </w:r>
            <w:r w:rsidRPr="00B933AF">
              <w:rPr>
                <w:rFonts w:asciiTheme="majorHAnsi" w:hAnsiTheme="majorHAnsi" w:cs="Helvetica"/>
                <w:sz w:val="18"/>
                <w:szCs w:val="18"/>
              </w:rPr>
              <w:t xml:space="preserve"> Mill. [Annonaceae] – Cherimoya, Custard apple (</w:t>
            </w:r>
            <w:r w:rsidRPr="00B933AF">
              <w:rPr>
                <w:rFonts w:asciiTheme="majorHAnsi" w:hAnsiTheme="majorHAnsi"/>
                <w:sz w:val="18"/>
                <w:szCs w:val="18"/>
              </w:rPr>
              <w:t xml:space="preserve">Only reported as a host of </w:t>
            </w:r>
            <w:r w:rsidRPr="00B933AF">
              <w:rPr>
                <w:rFonts w:asciiTheme="majorHAnsi" w:hAnsiTheme="majorHAnsi"/>
                <w:i/>
                <w:sz w:val="18"/>
                <w:szCs w:val="18"/>
              </w:rPr>
              <w:t>Phytophthora kernoviae</w:t>
            </w:r>
            <w:r w:rsidRPr="00B933AF">
              <w:rPr>
                <w:rFonts w:asciiTheme="majorHAnsi" w:hAnsiTheme="majorHAnsi" w:cs="Helvetica"/>
                <w:sz w:val="18"/>
                <w:szCs w:val="18"/>
              </w:rPr>
              <w:t>)</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sz w:val="18"/>
                <w:szCs w:val="18"/>
              </w:rPr>
              <w:t>Annona pubescens</w:t>
            </w:r>
            <w:r w:rsidRPr="00B933AF">
              <w:rPr>
                <w:rFonts w:asciiTheme="majorHAnsi" w:hAnsiTheme="majorHAnsi" w:cs="Helvetica"/>
                <w:sz w:val="18"/>
                <w:szCs w:val="18"/>
              </w:rPr>
              <w:t xml:space="preserve"> Salisb., </w:t>
            </w:r>
            <w:r w:rsidRPr="00B933AF">
              <w:rPr>
                <w:rFonts w:asciiTheme="majorHAnsi" w:hAnsiTheme="majorHAnsi" w:cs="Helvetica"/>
                <w:i/>
                <w:sz w:val="18"/>
                <w:szCs w:val="18"/>
              </w:rPr>
              <w:t>Annona tripetala</w:t>
            </w:r>
            <w:r w:rsidRPr="00B933AF">
              <w:rPr>
                <w:rFonts w:asciiTheme="majorHAnsi" w:hAnsiTheme="majorHAnsi" w:cs="Helvetica"/>
                <w:sz w:val="18"/>
                <w:szCs w:val="18"/>
              </w:rPr>
              <w:t xml:space="preserve"> Aiton</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Ramsfield et al. 2009; EPPO 2013</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theme="minorHAnsi"/>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Arbutus menziesii</w:t>
            </w:r>
            <w:r w:rsidRPr="00B933AF">
              <w:rPr>
                <w:rFonts w:asciiTheme="majorHAnsi" w:hAnsiTheme="majorHAnsi" w:cs="Helvetica"/>
                <w:sz w:val="18"/>
                <w:szCs w:val="18"/>
              </w:rPr>
              <w:t xml:space="preserve"> Pursh [Aracaceae] – Madrone </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Helvetica"/>
                <w:sz w:val="18"/>
                <w:szCs w:val="18"/>
              </w:rPr>
              <w:t>Maloney et al. 2002</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Arbutus unedo</w:t>
            </w:r>
            <w:r w:rsidRPr="00B933AF">
              <w:rPr>
                <w:rFonts w:asciiTheme="majorHAnsi" w:hAnsiTheme="majorHAnsi" w:cs="Helvetica"/>
                <w:sz w:val="18"/>
                <w:szCs w:val="18"/>
              </w:rPr>
              <w:t xml:space="preserve"> L. [Aracaceae] – Strawberry tree</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Sansford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ACT, SA, NSW, VIC, TAS, WA</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Arctostaphylos</w:t>
            </w:r>
            <w:r w:rsidRPr="00B933AF">
              <w:rPr>
                <w:rFonts w:asciiTheme="majorHAnsi" w:hAnsiTheme="majorHAnsi" w:cs="Helvetica"/>
                <w:sz w:val="18"/>
                <w:szCs w:val="18"/>
              </w:rPr>
              <w:t xml:space="preserve"> </w:t>
            </w:r>
            <w:r w:rsidRPr="00B933AF">
              <w:rPr>
                <w:rFonts w:asciiTheme="majorHAnsi" w:hAnsiTheme="majorHAnsi" w:cs="Helvetica"/>
                <w:i/>
                <w:iCs/>
                <w:sz w:val="18"/>
                <w:szCs w:val="18"/>
              </w:rPr>
              <w:t>columbiana</w:t>
            </w:r>
            <w:r w:rsidRPr="00B933AF">
              <w:rPr>
                <w:rFonts w:asciiTheme="majorHAnsi" w:hAnsiTheme="majorHAnsi" w:cs="Helvetica"/>
                <w:sz w:val="18"/>
                <w:szCs w:val="18"/>
              </w:rPr>
              <w:t xml:space="preserve"> Piper [Ericaceae] – Hairy manzanita </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Sansford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2009; Hansen </w:t>
            </w:r>
            <w:r w:rsidRPr="00B933AF">
              <w:rPr>
                <w:rFonts w:asciiTheme="majorHAnsi" w:hAnsiTheme="majorHAnsi" w:cs="Helvetica"/>
                <w:iCs/>
                <w:sz w:val="18"/>
                <w:szCs w:val="18"/>
              </w:rPr>
              <w:t>et al</w:t>
            </w:r>
            <w:r w:rsidRPr="00B933AF">
              <w:rPr>
                <w:rFonts w:asciiTheme="majorHAnsi" w:hAnsiTheme="majorHAnsi" w:cs="Helvetica"/>
                <w:sz w:val="18"/>
                <w:szCs w:val="18"/>
              </w:rPr>
              <w:t>. 2003a</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Cs/>
                <w:sz w:val="18"/>
                <w:szCs w:val="18"/>
              </w:rPr>
            </w:pPr>
            <w:r w:rsidRPr="00B933AF">
              <w:rPr>
                <w:rFonts w:asciiTheme="majorHAnsi" w:hAnsiTheme="majorHAnsi" w:cs="Helvetica"/>
                <w:i/>
                <w:iCs/>
                <w:sz w:val="18"/>
                <w:szCs w:val="18"/>
              </w:rPr>
              <w:t>Arctostaphylos glandulosa</w:t>
            </w:r>
            <w:r w:rsidRPr="00B933AF">
              <w:rPr>
                <w:rFonts w:asciiTheme="majorHAnsi" w:hAnsiTheme="majorHAnsi" w:cs="Helvetica"/>
                <w:iCs/>
                <w:sz w:val="18"/>
                <w:szCs w:val="18"/>
              </w:rPr>
              <w:t xml:space="preserve"> Eastw. [</w:t>
            </w:r>
            <w:r w:rsidRPr="00B933AF">
              <w:rPr>
                <w:rFonts w:asciiTheme="majorHAnsi" w:hAnsiTheme="majorHAnsi" w:cs="Helvetica"/>
                <w:sz w:val="18"/>
                <w:szCs w:val="18"/>
              </w:rPr>
              <w:t>Ericaceae</w:t>
            </w:r>
            <w:r w:rsidRPr="00B933AF">
              <w:rPr>
                <w:rFonts w:asciiTheme="majorHAnsi" w:hAnsiTheme="majorHAnsi" w:cs="Helvetica"/>
                <w:iCs/>
                <w:sz w:val="18"/>
                <w:szCs w:val="18"/>
              </w:rPr>
              <w:t xml:space="preserve">] – Eastwood </w:t>
            </w:r>
            <w:r w:rsidRPr="00B933AF">
              <w:rPr>
                <w:rFonts w:asciiTheme="majorHAnsi" w:hAnsiTheme="majorHAnsi" w:cs="Helvetica"/>
                <w:sz w:val="18"/>
                <w:szCs w:val="18"/>
              </w:rPr>
              <w:t>manzanita</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Arctostaphylos</w:t>
            </w:r>
            <w:r w:rsidRPr="00B933AF">
              <w:rPr>
                <w:rFonts w:asciiTheme="majorHAnsi" w:hAnsiTheme="majorHAnsi" w:cs="Helvetica"/>
                <w:sz w:val="18"/>
                <w:szCs w:val="18"/>
              </w:rPr>
              <w:t xml:space="preserve"> </w:t>
            </w:r>
            <w:r w:rsidRPr="00B933AF">
              <w:rPr>
                <w:rFonts w:asciiTheme="majorHAnsi" w:hAnsiTheme="majorHAnsi" w:cs="Helvetica"/>
                <w:i/>
                <w:iCs/>
                <w:sz w:val="18"/>
                <w:szCs w:val="18"/>
              </w:rPr>
              <w:t>manzanita</w:t>
            </w:r>
            <w:r w:rsidRPr="00B933AF">
              <w:rPr>
                <w:rFonts w:asciiTheme="majorHAnsi" w:hAnsiTheme="majorHAnsi" w:cs="Helvetica"/>
                <w:sz w:val="18"/>
                <w:szCs w:val="18"/>
              </w:rPr>
              <w:t xml:space="preserve"> Parry [Ericaceae] – Whiteleaf </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Garbelotto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2003; Scianna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2003; Cave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2008</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ACT</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Arctostaphylos</w:t>
            </w:r>
            <w:r w:rsidRPr="00B933AF">
              <w:rPr>
                <w:rFonts w:asciiTheme="majorHAnsi" w:hAnsiTheme="majorHAnsi" w:cs="Helvetica"/>
                <w:sz w:val="18"/>
                <w:szCs w:val="18"/>
              </w:rPr>
              <w:t xml:space="preserve"> </w:t>
            </w:r>
            <w:r w:rsidRPr="00B933AF">
              <w:rPr>
                <w:rFonts w:asciiTheme="majorHAnsi" w:hAnsiTheme="majorHAnsi" w:cs="Helvetica"/>
                <w:i/>
                <w:iCs/>
                <w:sz w:val="18"/>
                <w:szCs w:val="18"/>
              </w:rPr>
              <w:t>uva-ursi</w:t>
            </w:r>
            <w:r w:rsidRPr="00B933AF">
              <w:rPr>
                <w:rFonts w:asciiTheme="majorHAnsi" w:hAnsiTheme="majorHAnsi" w:cs="Helvetica"/>
                <w:sz w:val="18"/>
                <w:szCs w:val="18"/>
              </w:rPr>
              <w:t xml:space="preserve"> (L.) Spreng. [Ericaceae] – Kinnikinnick</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Arbutus buxifolia</w:t>
            </w:r>
            <w:r w:rsidRPr="00B933AF">
              <w:rPr>
                <w:rFonts w:asciiTheme="majorHAnsi" w:hAnsiTheme="majorHAnsi"/>
                <w:sz w:val="18"/>
                <w:szCs w:val="18"/>
              </w:rPr>
              <w:t xml:space="preserve"> Stokes, </w:t>
            </w:r>
            <w:r w:rsidRPr="00B933AF">
              <w:rPr>
                <w:rFonts w:asciiTheme="majorHAnsi" w:hAnsiTheme="majorHAnsi"/>
                <w:i/>
                <w:sz w:val="18"/>
                <w:szCs w:val="18"/>
              </w:rPr>
              <w:t>Arbutus uva-ursi</w:t>
            </w:r>
            <w:r w:rsidRPr="00B933AF">
              <w:rPr>
                <w:rFonts w:asciiTheme="majorHAnsi" w:hAnsiTheme="majorHAnsi"/>
                <w:sz w:val="18"/>
                <w:szCs w:val="18"/>
              </w:rPr>
              <w:t xml:space="preserve"> L., </w:t>
            </w:r>
            <w:r w:rsidRPr="00B933AF">
              <w:rPr>
                <w:rFonts w:asciiTheme="majorHAnsi" w:hAnsiTheme="majorHAnsi"/>
                <w:i/>
                <w:sz w:val="18"/>
                <w:szCs w:val="18"/>
              </w:rPr>
              <w:t>Arctostaphylos adenotricha</w:t>
            </w:r>
            <w:r w:rsidRPr="00B933AF">
              <w:rPr>
                <w:rFonts w:asciiTheme="majorHAnsi" w:hAnsiTheme="majorHAnsi"/>
                <w:sz w:val="18"/>
                <w:szCs w:val="18"/>
              </w:rPr>
              <w:t xml:space="preserve"> (Fernald &amp; J.F. Macbr.) Á. Löve, D. Löve &amp; B.M. Kapoor, </w:t>
            </w:r>
            <w:r w:rsidRPr="00B933AF">
              <w:rPr>
                <w:rFonts w:asciiTheme="majorHAnsi" w:hAnsiTheme="majorHAnsi"/>
                <w:i/>
                <w:sz w:val="18"/>
                <w:szCs w:val="18"/>
              </w:rPr>
              <w:t>Arctostaphylos coloradensis</w:t>
            </w:r>
            <w:r w:rsidRPr="00B933AF">
              <w:rPr>
                <w:rFonts w:asciiTheme="majorHAnsi" w:hAnsiTheme="majorHAnsi"/>
                <w:sz w:val="18"/>
                <w:szCs w:val="18"/>
              </w:rPr>
              <w:t xml:space="preserve"> Rollins, </w:t>
            </w:r>
            <w:r w:rsidRPr="00B933AF">
              <w:rPr>
                <w:rFonts w:asciiTheme="majorHAnsi" w:hAnsiTheme="majorHAnsi"/>
                <w:i/>
                <w:sz w:val="18"/>
                <w:szCs w:val="18"/>
              </w:rPr>
              <w:t>Arctostaphylos officinalis</w:t>
            </w:r>
            <w:r w:rsidRPr="00B933AF">
              <w:rPr>
                <w:rFonts w:asciiTheme="majorHAnsi" w:hAnsiTheme="majorHAnsi"/>
                <w:sz w:val="18"/>
                <w:szCs w:val="18"/>
              </w:rPr>
              <w:t xml:space="preserve"> Wimm. &amp; Grab., </w:t>
            </w:r>
            <w:r w:rsidRPr="00B933AF">
              <w:rPr>
                <w:rFonts w:asciiTheme="majorHAnsi" w:hAnsiTheme="majorHAnsi"/>
                <w:i/>
                <w:sz w:val="18"/>
                <w:szCs w:val="18"/>
              </w:rPr>
              <w:t>Arctostaphylos procumbens</w:t>
            </w:r>
            <w:r w:rsidRPr="00B933AF">
              <w:rPr>
                <w:rFonts w:asciiTheme="majorHAnsi" w:hAnsiTheme="majorHAnsi"/>
                <w:sz w:val="18"/>
                <w:szCs w:val="18"/>
              </w:rPr>
              <w:t xml:space="preserve"> E. Mey., </w:t>
            </w:r>
            <w:r w:rsidRPr="00B933AF">
              <w:rPr>
                <w:rFonts w:asciiTheme="majorHAnsi" w:hAnsiTheme="majorHAnsi"/>
                <w:i/>
                <w:sz w:val="18"/>
                <w:szCs w:val="18"/>
              </w:rPr>
              <w:t>Daphnidostaphylis fendleri</w:t>
            </w:r>
            <w:r w:rsidRPr="00B933AF">
              <w:rPr>
                <w:rFonts w:asciiTheme="majorHAnsi" w:hAnsiTheme="majorHAnsi"/>
                <w:sz w:val="18"/>
                <w:szCs w:val="18"/>
              </w:rPr>
              <w:t xml:space="preserve"> Klotzsch, </w:t>
            </w:r>
            <w:r w:rsidRPr="00B933AF">
              <w:rPr>
                <w:rFonts w:asciiTheme="majorHAnsi" w:hAnsiTheme="majorHAnsi"/>
                <w:i/>
                <w:sz w:val="18"/>
                <w:szCs w:val="18"/>
              </w:rPr>
              <w:lastRenderedPageBreak/>
              <w:t>Mairania uva-ursi</w:t>
            </w:r>
            <w:r w:rsidRPr="00B933AF">
              <w:rPr>
                <w:rFonts w:asciiTheme="majorHAnsi" w:hAnsiTheme="majorHAnsi"/>
                <w:sz w:val="18"/>
                <w:szCs w:val="18"/>
              </w:rPr>
              <w:t xml:space="preserve"> (L.) Desv., </w:t>
            </w:r>
            <w:r w:rsidRPr="00B933AF">
              <w:rPr>
                <w:rFonts w:asciiTheme="majorHAnsi" w:hAnsiTheme="majorHAnsi"/>
                <w:i/>
                <w:sz w:val="18"/>
                <w:szCs w:val="18"/>
              </w:rPr>
              <w:t>Uva-ursi buxifolia</w:t>
            </w:r>
            <w:r w:rsidRPr="00B933AF">
              <w:rPr>
                <w:rFonts w:asciiTheme="majorHAnsi" w:hAnsiTheme="majorHAnsi"/>
                <w:sz w:val="18"/>
                <w:szCs w:val="18"/>
              </w:rPr>
              <w:t xml:space="preserve"> (Stokes) Gray, </w:t>
            </w:r>
            <w:r w:rsidRPr="00B933AF">
              <w:rPr>
                <w:rFonts w:asciiTheme="majorHAnsi" w:hAnsiTheme="majorHAnsi"/>
                <w:i/>
                <w:sz w:val="18"/>
                <w:szCs w:val="18"/>
              </w:rPr>
              <w:t>Uva-ursi procumbens</w:t>
            </w:r>
            <w:r w:rsidRPr="00B933AF">
              <w:rPr>
                <w:rFonts w:asciiTheme="majorHAnsi" w:hAnsiTheme="majorHAnsi"/>
                <w:sz w:val="18"/>
                <w:szCs w:val="18"/>
              </w:rPr>
              <w:t xml:space="preserve"> Moench, </w:t>
            </w:r>
            <w:r w:rsidRPr="00B933AF">
              <w:rPr>
                <w:rFonts w:asciiTheme="majorHAnsi" w:hAnsiTheme="majorHAnsi"/>
                <w:i/>
                <w:sz w:val="18"/>
                <w:szCs w:val="18"/>
              </w:rPr>
              <w:t>Uva-ursi uva-ursi</w:t>
            </w:r>
            <w:r w:rsidRPr="00B933AF">
              <w:rPr>
                <w:rFonts w:asciiTheme="majorHAnsi" w:hAnsiTheme="majorHAnsi"/>
                <w:sz w:val="18"/>
                <w:szCs w:val="18"/>
              </w:rPr>
              <w:t xml:space="preserve"> (L.) Britton, </w:t>
            </w:r>
            <w:r w:rsidRPr="00B933AF">
              <w:rPr>
                <w:rFonts w:asciiTheme="majorHAnsi" w:hAnsiTheme="majorHAnsi"/>
                <w:i/>
                <w:sz w:val="18"/>
                <w:szCs w:val="18"/>
              </w:rPr>
              <w:t>Uva-ursi uva-ursi</w:t>
            </w:r>
            <w:r w:rsidRPr="00B933AF">
              <w:rPr>
                <w:rFonts w:asciiTheme="majorHAnsi" w:hAnsiTheme="majorHAnsi"/>
                <w:sz w:val="18"/>
                <w:szCs w:val="18"/>
              </w:rPr>
              <w:t xml:space="preserve"> (L.) Cockerell</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lastRenderedPageBreak/>
              <w:t>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
                <w:iCs/>
                <w:sz w:val="18"/>
                <w:szCs w:val="18"/>
              </w:rPr>
            </w:pPr>
            <w:r w:rsidRPr="00B933AF">
              <w:rPr>
                <w:rFonts w:asciiTheme="majorHAnsi" w:hAnsiTheme="majorHAnsi" w:cs="Helvetica"/>
                <w:i/>
                <w:iCs/>
                <w:sz w:val="18"/>
                <w:szCs w:val="18"/>
              </w:rPr>
              <w:lastRenderedPageBreak/>
              <w:t xml:space="preserve">Arctostaphylos virgata </w:t>
            </w:r>
            <w:r w:rsidRPr="00B933AF">
              <w:rPr>
                <w:rFonts w:asciiTheme="majorHAnsi" w:hAnsiTheme="majorHAnsi" w:cs="Helvetica"/>
                <w:iCs/>
                <w:sz w:val="18"/>
                <w:szCs w:val="18"/>
              </w:rPr>
              <w:t>Eastw. [</w:t>
            </w:r>
            <w:r w:rsidRPr="00B933AF">
              <w:rPr>
                <w:rFonts w:asciiTheme="majorHAnsi" w:hAnsiTheme="majorHAnsi" w:cs="Helvetica"/>
                <w:sz w:val="18"/>
                <w:szCs w:val="18"/>
              </w:rPr>
              <w:t>Ericaceae</w:t>
            </w:r>
            <w:r w:rsidRPr="00B933AF">
              <w:rPr>
                <w:rFonts w:asciiTheme="majorHAnsi" w:hAnsiTheme="majorHAnsi" w:cs="Helvetica"/>
                <w:iCs/>
                <w:sz w:val="18"/>
                <w:szCs w:val="18"/>
              </w:rPr>
              <w:t xml:space="preserve">] – </w:t>
            </w:r>
            <w:r w:rsidRPr="00B933AF">
              <w:rPr>
                <w:rFonts w:asciiTheme="majorHAnsi" w:hAnsiTheme="majorHAnsi" w:cs="Helvetica"/>
                <w:sz w:val="18"/>
                <w:szCs w:val="18"/>
              </w:rPr>
              <w:t>Bolinas manzanita, Marin manzanita</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
                <w:iCs/>
                <w:sz w:val="18"/>
                <w:szCs w:val="18"/>
              </w:rPr>
            </w:pPr>
            <w:r w:rsidRPr="00B933AF">
              <w:rPr>
                <w:rFonts w:asciiTheme="majorHAnsi" w:hAnsiTheme="majorHAnsi" w:cs="Helvetica"/>
                <w:i/>
                <w:iCs/>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Not listed as occurring in Australia</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Ardisia</w:t>
            </w:r>
            <w:r w:rsidRPr="00B933AF">
              <w:rPr>
                <w:rFonts w:asciiTheme="majorHAnsi" w:hAnsiTheme="majorHAnsi" w:cs="Helvetica"/>
                <w:sz w:val="18"/>
                <w:szCs w:val="18"/>
              </w:rPr>
              <w:t xml:space="preserve"> </w:t>
            </w:r>
            <w:r w:rsidRPr="00B933AF">
              <w:rPr>
                <w:rFonts w:asciiTheme="majorHAnsi" w:hAnsiTheme="majorHAnsi" w:cs="Helvetica"/>
                <w:i/>
                <w:iCs/>
                <w:sz w:val="18"/>
                <w:szCs w:val="18"/>
              </w:rPr>
              <w:t>japonica</w:t>
            </w:r>
            <w:r w:rsidRPr="00B933AF">
              <w:rPr>
                <w:rFonts w:asciiTheme="majorHAnsi" w:hAnsiTheme="majorHAnsi" w:cs="Helvetica"/>
                <w:sz w:val="18"/>
                <w:szCs w:val="18"/>
              </w:rPr>
              <w:t xml:space="preserve"> (Thunb.) Blume [Myrsinaceae] – Marlberry, Ardisia</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Bladhia japonica</w:t>
            </w:r>
            <w:r w:rsidRPr="00B933AF">
              <w:rPr>
                <w:rFonts w:asciiTheme="majorHAnsi" w:hAnsiTheme="majorHAnsi" w:cs="Helvetica"/>
                <w:sz w:val="18"/>
                <w:szCs w:val="18"/>
              </w:rPr>
              <w:t xml:space="preserve"> Thunb., </w:t>
            </w:r>
            <w:r w:rsidRPr="00B933AF">
              <w:rPr>
                <w:rFonts w:asciiTheme="majorHAnsi" w:hAnsiTheme="majorHAnsi"/>
                <w:i/>
                <w:sz w:val="18"/>
                <w:szCs w:val="18"/>
              </w:rPr>
              <w:t>Tinus japonica</w:t>
            </w:r>
            <w:r w:rsidRPr="00B933AF">
              <w:rPr>
                <w:rFonts w:asciiTheme="majorHAnsi" w:hAnsiTheme="majorHAnsi"/>
                <w:sz w:val="18"/>
                <w:szCs w:val="18"/>
              </w:rPr>
              <w:t xml:space="preserve"> (Thunb.) Kuntze</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theme="minorHAnsi"/>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Cs/>
                <w:sz w:val="18"/>
                <w:szCs w:val="18"/>
              </w:rPr>
            </w:pPr>
            <w:r w:rsidRPr="00B933AF">
              <w:rPr>
                <w:rFonts w:asciiTheme="majorHAnsi" w:hAnsiTheme="majorHAnsi" w:cs="Helvetica"/>
                <w:i/>
                <w:iCs/>
                <w:sz w:val="18"/>
                <w:szCs w:val="18"/>
              </w:rPr>
              <w:t xml:space="preserve">Artemisia tridentata </w:t>
            </w:r>
            <w:r w:rsidRPr="00B933AF">
              <w:rPr>
                <w:rFonts w:asciiTheme="majorHAnsi" w:hAnsiTheme="majorHAnsi" w:cs="Helvetica"/>
                <w:iCs/>
                <w:sz w:val="18"/>
                <w:szCs w:val="18"/>
              </w:rPr>
              <w:t>Nutt. [Asteraceae] – Big Sagebush</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
                <w:iCs/>
                <w:sz w:val="18"/>
                <w:szCs w:val="18"/>
              </w:rPr>
            </w:pPr>
            <w:r w:rsidRPr="00B933AF">
              <w:rPr>
                <w:rFonts w:asciiTheme="majorHAnsi" w:hAnsiTheme="majorHAnsi" w:cs="Helvetica"/>
                <w:i/>
                <w:sz w:val="18"/>
                <w:szCs w:val="18"/>
              </w:rPr>
              <w:t>Seriphidium tridentatum</w:t>
            </w:r>
            <w:r w:rsidRPr="00B933AF">
              <w:rPr>
                <w:rFonts w:asciiTheme="majorHAnsi" w:hAnsiTheme="majorHAnsi" w:cs="Helvetica"/>
                <w:sz w:val="18"/>
                <w:szCs w:val="18"/>
              </w:rPr>
              <w:t xml:space="preserve"> (Nutt.) W.A. Weber</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Vettraino et al. 2010</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Not listed as occurring in Australia</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 xml:space="preserve">Berberis aquifolium </w:t>
            </w:r>
            <w:r w:rsidRPr="00B933AF">
              <w:rPr>
                <w:rFonts w:asciiTheme="majorHAnsi" w:hAnsiTheme="majorHAnsi" w:cs="Helvetica"/>
                <w:sz w:val="18"/>
                <w:szCs w:val="18"/>
              </w:rPr>
              <w:t>Pursh [Berberidaceae] – Holly leaved barberry, Oregon grape</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Berberis dictyota</w:t>
            </w:r>
            <w:r w:rsidRPr="00B933AF">
              <w:rPr>
                <w:rFonts w:asciiTheme="majorHAnsi" w:hAnsiTheme="majorHAnsi"/>
                <w:sz w:val="18"/>
                <w:szCs w:val="18"/>
              </w:rPr>
              <w:t xml:space="preserve"> Jeps.*, </w:t>
            </w:r>
            <w:r w:rsidRPr="00B933AF">
              <w:rPr>
                <w:rFonts w:asciiTheme="majorHAnsi" w:hAnsiTheme="majorHAnsi"/>
                <w:i/>
                <w:sz w:val="18"/>
                <w:szCs w:val="18"/>
              </w:rPr>
              <w:t>Mahonia aquifolium</w:t>
            </w:r>
            <w:r w:rsidRPr="00B933AF">
              <w:rPr>
                <w:rFonts w:asciiTheme="majorHAnsi" w:hAnsiTheme="majorHAnsi"/>
                <w:sz w:val="18"/>
                <w:szCs w:val="18"/>
              </w:rPr>
              <w:t xml:space="preserve"> (Pursh) Nutt.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theme="minorHAnsi"/>
                <w:sz w:val="18"/>
                <w:szCs w:val="18"/>
              </w:rPr>
            </w:pPr>
            <w:r w:rsidRPr="00B933AF">
              <w:rPr>
                <w:rFonts w:asciiTheme="majorHAnsi" w:hAnsiTheme="majorHAnsi" w:cs="Helvetica"/>
                <w:sz w:val="18"/>
                <w:szCs w:val="18"/>
              </w:rPr>
              <w:t>ACT, NSW, SA, TAS, VIC</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
                <w:iCs/>
                <w:sz w:val="18"/>
                <w:szCs w:val="18"/>
              </w:rPr>
            </w:pPr>
            <w:r w:rsidRPr="00B933AF">
              <w:rPr>
                <w:rFonts w:asciiTheme="majorHAnsi" w:hAnsiTheme="majorHAnsi" w:cs="Helvetica"/>
                <w:i/>
                <w:iCs/>
                <w:sz w:val="18"/>
                <w:szCs w:val="18"/>
              </w:rPr>
              <w:t>Berberis nervosa</w:t>
            </w:r>
            <w:r w:rsidRPr="00B933AF">
              <w:rPr>
                <w:rFonts w:asciiTheme="majorHAnsi" w:hAnsiTheme="majorHAnsi" w:cs="Helvetica"/>
                <w:sz w:val="18"/>
                <w:szCs w:val="18"/>
              </w:rPr>
              <w:t xml:space="preserve"> Pursh [Berberidaceae] – Cascades mahonia, Creeping Oregon grape</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Mahonia nervosa</w:t>
            </w:r>
            <w:r w:rsidRPr="00B933AF">
              <w:rPr>
                <w:rFonts w:asciiTheme="majorHAnsi" w:hAnsiTheme="majorHAnsi" w:cs="Helvetica"/>
                <w:sz w:val="18"/>
                <w:szCs w:val="18"/>
              </w:rPr>
              <w:t xml:space="preserve"> (Pursh) Nutt.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Not listed as occurring in Australia</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Betula</w:t>
            </w:r>
            <w:r w:rsidRPr="00B933AF">
              <w:rPr>
                <w:rFonts w:asciiTheme="majorHAnsi" w:hAnsiTheme="majorHAnsi" w:cs="Helvetica"/>
                <w:sz w:val="18"/>
                <w:szCs w:val="18"/>
              </w:rPr>
              <w:t xml:space="preserve"> </w:t>
            </w:r>
            <w:r w:rsidRPr="00B933AF">
              <w:rPr>
                <w:rFonts w:asciiTheme="majorHAnsi" w:hAnsiTheme="majorHAnsi" w:cs="Helvetica"/>
                <w:i/>
                <w:iCs/>
                <w:sz w:val="18"/>
                <w:szCs w:val="18"/>
              </w:rPr>
              <w:t>pendula</w:t>
            </w:r>
            <w:r w:rsidRPr="00B933AF">
              <w:rPr>
                <w:rFonts w:asciiTheme="majorHAnsi" w:hAnsiTheme="majorHAnsi" w:cs="Helvetica"/>
                <w:sz w:val="18"/>
                <w:szCs w:val="18"/>
              </w:rPr>
              <w:t xml:space="preserve"> Roth [Betulaceae] </w:t>
            </w:r>
            <w:r w:rsidRPr="00B933AF">
              <w:rPr>
                <w:rFonts w:asciiTheme="majorHAnsi" w:hAnsiTheme="majorHAnsi" w:cs="Helvetica"/>
                <w:i/>
                <w:iCs/>
                <w:sz w:val="18"/>
                <w:szCs w:val="18"/>
              </w:rPr>
              <w:t xml:space="preserve">– </w:t>
            </w:r>
            <w:r w:rsidRPr="00B933AF">
              <w:rPr>
                <w:rFonts w:asciiTheme="majorHAnsi" w:hAnsiTheme="majorHAnsi" w:cs="Helvetica"/>
                <w:sz w:val="18"/>
                <w:szCs w:val="18"/>
              </w:rPr>
              <w:t>European white birch</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Betula platyphylloides</w:t>
            </w:r>
            <w:r w:rsidRPr="00B933AF">
              <w:rPr>
                <w:rFonts w:asciiTheme="majorHAnsi" w:hAnsiTheme="majorHAnsi"/>
                <w:sz w:val="18"/>
                <w:szCs w:val="18"/>
              </w:rPr>
              <w:t xml:space="preserve"> V.N. Vassil., </w:t>
            </w:r>
            <w:r w:rsidRPr="00B933AF">
              <w:rPr>
                <w:rFonts w:asciiTheme="majorHAnsi" w:hAnsiTheme="majorHAnsi"/>
                <w:i/>
                <w:sz w:val="18"/>
                <w:szCs w:val="18"/>
              </w:rPr>
              <w:t>Betula pseudopendula</w:t>
            </w:r>
            <w:r w:rsidRPr="00B933AF">
              <w:rPr>
                <w:rFonts w:asciiTheme="majorHAnsi" w:hAnsiTheme="majorHAnsi"/>
                <w:sz w:val="18"/>
                <w:szCs w:val="18"/>
              </w:rPr>
              <w:t xml:space="preserve"> V.N. Vassil., </w:t>
            </w:r>
            <w:r w:rsidRPr="00B933AF">
              <w:rPr>
                <w:rFonts w:asciiTheme="majorHAnsi" w:hAnsiTheme="majorHAnsi"/>
                <w:i/>
                <w:sz w:val="18"/>
                <w:szCs w:val="18"/>
              </w:rPr>
              <w:t>Betula talassica</w:t>
            </w:r>
            <w:r w:rsidRPr="00B933AF">
              <w:rPr>
                <w:rFonts w:asciiTheme="majorHAnsi" w:hAnsiTheme="majorHAnsi"/>
                <w:sz w:val="18"/>
                <w:szCs w:val="18"/>
              </w:rPr>
              <w:t xml:space="preserve"> Poljakov, </w:t>
            </w:r>
            <w:r w:rsidRPr="00B933AF">
              <w:rPr>
                <w:rFonts w:asciiTheme="majorHAnsi" w:hAnsiTheme="majorHAnsi"/>
                <w:i/>
                <w:sz w:val="18"/>
                <w:szCs w:val="18"/>
              </w:rPr>
              <w:t>Betula verrucosa</w:t>
            </w:r>
            <w:r w:rsidRPr="00B933AF">
              <w:rPr>
                <w:rFonts w:asciiTheme="majorHAnsi" w:hAnsiTheme="majorHAnsi"/>
                <w:sz w:val="18"/>
                <w:szCs w:val="18"/>
              </w:rPr>
              <w:t xml:space="preserve"> Ehrh.</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TAS, ACT, VIC, NSW, SA</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Calluna</w:t>
            </w:r>
            <w:r w:rsidRPr="00B933AF">
              <w:rPr>
                <w:rFonts w:asciiTheme="majorHAnsi" w:hAnsiTheme="majorHAnsi" w:cs="Helvetica"/>
                <w:sz w:val="18"/>
                <w:szCs w:val="18"/>
              </w:rPr>
              <w:t xml:space="preserve"> </w:t>
            </w:r>
            <w:r w:rsidRPr="00B933AF">
              <w:rPr>
                <w:rFonts w:asciiTheme="majorHAnsi" w:hAnsiTheme="majorHAnsi" w:cs="Helvetica"/>
                <w:i/>
                <w:iCs/>
                <w:sz w:val="18"/>
                <w:szCs w:val="18"/>
              </w:rPr>
              <w:t>vulgaris</w:t>
            </w:r>
            <w:r w:rsidRPr="00B933AF">
              <w:rPr>
                <w:rFonts w:asciiTheme="majorHAnsi" w:hAnsiTheme="majorHAnsi" w:cs="Helvetica"/>
                <w:sz w:val="18"/>
                <w:szCs w:val="18"/>
              </w:rPr>
              <w:t xml:space="preserve"> (L.) Hull [Ericaceae] – Heather</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Cave et al. 2008; Sansford et al. 2009; Orlikowski &amp; Szkuta 2004</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TAS, ACT, NSW, QLD</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Calycanthus</w:t>
            </w:r>
            <w:r w:rsidRPr="00B933AF">
              <w:rPr>
                <w:rFonts w:asciiTheme="majorHAnsi" w:hAnsiTheme="majorHAnsi" w:cs="Helvetica"/>
                <w:sz w:val="18"/>
                <w:szCs w:val="18"/>
              </w:rPr>
              <w:t xml:space="preserve"> </w:t>
            </w:r>
            <w:r w:rsidRPr="00B933AF">
              <w:rPr>
                <w:rFonts w:asciiTheme="majorHAnsi" w:hAnsiTheme="majorHAnsi" w:cs="Helvetica"/>
                <w:i/>
                <w:iCs/>
                <w:sz w:val="18"/>
                <w:szCs w:val="18"/>
              </w:rPr>
              <w:t>occidentalis</w:t>
            </w:r>
            <w:r w:rsidRPr="00B933AF">
              <w:rPr>
                <w:rFonts w:asciiTheme="majorHAnsi" w:hAnsiTheme="majorHAnsi" w:cs="Helvetica"/>
                <w:sz w:val="18"/>
                <w:szCs w:val="18"/>
              </w:rPr>
              <w:t xml:space="preserve"> Hook. &amp; Arn. [Calycanthaceae] – Western sweetshrub</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Butneria occidentalis</w:t>
            </w:r>
            <w:r w:rsidRPr="00B933AF">
              <w:rPr>
                <w:rFonts w:asciiTheme="majorHAnsi" w:hAnsiTheme="majorHAnsi"/>
                <w:sz w:val="18"/>
                <w:szCs w:val="18"/>
              </w:rPr>
              <w:t xml:space="preserve"> (Hook. &amp; Arn.) Greene</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ACT, NSW, VIC</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
                <w:iCs/>
                <w:sz w:val="18"/>
                <w:szCs w:val="18"/>
              </w:rPr>
            </w:pPr>
            <w:r w:rsidRPr="00B933AF">
              <w:rPr>
                <w:rFonts w:asciiTheme="majorHAnsi" w:hAnsiTheme="majorHAnsi" w:cs="Helvetica"/>
                <w:i/>
                <w:iCs/>
                <w:sz w:val="18"/>
                <w:szCs w:val="18"/>
              </w:rPr>
              <w:t>Camellia</w:t>
            </w:r>
            <w:r w:rsidRPr="00B933AF">
              <w:rPr>
                <w:rFonts w:asciiTheme="majorHAnsi" w:hAnsiTheme="majorHAnsi" w:cs="Helvetica"/>
                <w:sz w:val="18"/>
                <w:szCs w:val="18"/>
              </w:rPr>
              <w:t xml:space="preserve"> L. species [Theacae] – Camellia (all species, hybrids and cultivars)</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
                <w:iCs/>
                <w:sz w:val="18"/>
                <w:szCs w:val="18"/>
              </w:rPr>
            </w:pPr>
            <w:r w:rsidRPr="00B933AF">
              <w:rPr>
                <w:rFonts w:asciiTheme="majorHAnsi" w:hAnsiTheme="majorHAnsi" w:cs="Lucida Grande"/>
                <w:i/>
                <w:sz w:val="18"/>
                <w:szCs w:val="18"/>
              </w:rPr>
              <w:t>Bembiciopsis</w:t>
            </w:r>
            <w:r w:rsidRPr="00B933AF">
              <w:rPr>
                <w:rFonts w:asciiTheme="majorHAnsi" w:hAnsiTheme="majorHAnsi" w:cs="Lucida Grande"/>
                <w:sz w:val="18"/>
                <w:szCs w:val="18"/>
              </w:rPr>
              <w:t xml:space="preserve"> H. Perrier, </w:t>
            </w:r>
            <w:r w:rsidRPr="00B933AF">
              <w:rPr>
                <w:rFonts w:asciiTheme="majorHAnsi" w:hAnsiTheme="majorHAnsi" w:cs="Lucida Grande"/>
                <w:i/>
                <w:iCs/>
                <w:sz w:val="18"/>
                <w:szCs w:val="18"/>
              </w:rPr>
              <w:t>Thea</w:t>
            </w:r>
            <w:r w:rsidRPr="00B933AF">
              <w:rPr>
                <w:rFonts w:asciiTheme="majorHAnsi" w:hAnsiTheme="majorHAnsi" w:cs="Lucida Grande"/>
                <w:sz w:val="18"/>
                <w:szCs w:val="18"/>
              </w:rPr>
              <w:t xml:space="preserve"> L.</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Pintos Varela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2003; Beales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2004a</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QLD, VIC, ACT, NSW, SA</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
                <w:iCs/>
                <w:sz w:val="18"/>
                <w:szCs w:val="18"/>
              </w:rPr>
            </w:pPr>
            <w:r w:rsidRPr="00B933AF">
              <w:rPr>
                <w:rFonts w:asciiTheme="majorHAnsi" w:hAnsiTheme="majorHAnsi" w:cs="Helvetica"/>
                <w:i/>
                <w:iCs/>
                <w:sz w:val="18"/>
                <w:szCs w:val="18"/>
              </w:rPr>
              <w:t>Camellia japonica</w:t>
            </w:r>
            <w:r w:rsidRPr="00B933AF">
              <w:rPr>
                <w:rFonts w:asciiTheme="majorHAnsi" w:hAnsiTheme="majorHAnsi" w:cs="Helvetica"/>
                <w:iCs/>
                <w:sz w:val="18"/>
                <w:szCs w:val="18"/>
              </w:rPr>
              <w:t xml:space="preserve"> L.</w:t>
            </w:r>
            <w:r w:rsidRPr="00B933AF">
              <w:rPr>
                <w:rFonts w:asciiTheme="majorHAnsi" w:hAnsiTheme="majorHAnsi" w:cs="Helvetica"/>
                <w:i/>
                <w:iCs/>
                <w:sz w:val="18"/>
                <w:szCs w:val="18"/>
              </w:rPr>
              <w:t xml:space="preserve"> </w:t>
            </w:r>
            <w:r w:rsidRPr="00B933AF">
              <w:rPr>
                <w:rFonts w:asciiTheme="majorHAnsi" w:hAnsiTheme="majorHAnsi" w:cs="Helvetica"/>
                <w:sz w:val="18"/>
                <w:szCs w:val="18"/>
              </w:rPr>
              <w:t>[Theacae] – Camellia</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
                <w:iCs/>
                <w:sz w:val="18"/>
                <w:szCs w:val="18"/>
              </w:rPr>
            </w:pPr>
            <w:r w:rsidRPr="00B933AF">
              <w:rPr>
                <w:rFonts w:asciiTheme="majorHAnsi" w:hAnsiTheme="majorHAnsi"/>
                <w:i/>
                <w:sz w:val="18"/>
                <w:szCs w:val="18"/>
              </w:rPr>
              <w:t>Thea japonica</w:t>
            </w:r>
            <w:r w:rsidRPr="00B933AF">
              <w:rPr>
                <w:rFonts w:asciiTheme="majorHAnsi" w:hAnsiTheme="majorHAnsi"/>
                <w:sz w:val="18"/>
                <w:szCs w:val="18"/>
              </w:rPr>
              <w:t xml:space="preserve"> (L.) Baill.</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Pintos Varela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2003</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ACT, VIC, NSW, SA</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
                <w:iCs/>
                <w:sz w:val="18"/>
                <w:szCs w:val="18"/>
              </w:rPr>
            </w:pPr>
            <w:r w:rsidRPr="00B933AF">
              <w:rPr>
                <w:rFonts w:asciiTheme="majorHAnsi" w:hAnsiTheme="majorHAnsi" w:cs="Helvetica"/>
                <w:i/>
                <w:iCs/>
                <w:sz w:val="18"/>
                <w:szCs w:val="18"/>
              </w:rPr>
              <w:t>Camellia reticulata</w:t>
            </w:r>
            <w:r w:rsidRPr="00B933AF">
              <w:rPr>
                <w:rFonts w:asciiTheme="majorHAnsi" w:hAnsiTheme="majorHAnsi" w:cs="Helvetica"/>
                <w:sz w:val="18"/>
                <w:szCs w:val="18"/>
              </w:rPr>
              <w:t xml:space="preserve"> Lindl. [Theacae] – Camellia</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 </w:t>
            </w:r>
            <w:r w:rsidRPr="00B933AF">
              <w:rPr>
                <w:rFonts w:asciiTheme="majorHAnsi" w:hAnsiTheme="majorHAnsi"/>
                <w:i/>
                <w:sz w:val="18"/>
                <w:szCs w:val="18"/>
              </w:rPr>
              <w:t>Camellia albescens</w:t>
            </w:r>
            <w:r w:rsidRPr="00B933AF">
              <w:rPr>
                <w:rFonts w:asciiTheme="majorHAnsi" w:hAnsiTheme="majorHAnsi"/>
                <w:sz w:val="18"/>
                <w:szCs w:val="18"/>
              </w:rPr>
              <w:t xml:space="preserve"> H.T. Chang, </w:t>
            </w:r>
            <w:r w:rsidRPr="00B933AF">
              <w:rPr>
                <w:rFonts w:asciiTheme="majorHAnsi" w:hAnsiTheme="majorHAnsi"/>
                <w:i/>
                <w:sz w:val="18"/>
                <w:szCs w:val="18"/>
              </w:rPr>
              <w:t>Camellia albosericea</w:t>
            </w:r>
            <w:r w:rsidRPr="00B933AF">
              <w:rPr>
                <w:rFonts w:asciiTheme="majorHAnsi" w:hAnsiTheme="majorHAnsi"/>
                <w:sz w:val="18"/>
                <w:szCs w:val="18"/>
              </w:rPr>
              <w:t xml:space="preserve"> H.T. Chang, </w:t>
            </w:r>
            <w:r w:rsidRPr="00B933AF">
              <w:rPr>
                <w:rFonts w:asciiTheme="majorHAnsi" w:hAnsiTheme="majorHAnsi"/>
                <w:i/>
                <w:sz w:val="18"/>
                <w:szCs w:val="18"/>
              </w:rPr>
              <w:t>Camellia albovillosa</w:t>
            </w:r>
            <w:r w:rsidRPr="00B933AF">
              <w:rPr>
                <w:rFonts w:asciiTheme="majorHAnsi" w:hAnsiTheme="majorHAnsi"/>
                <w:sz w:val="18"/>
                <w:szCs w:val="18"/>
              </w:rPr>
              <w:t xml:space="preserve"> H.H. Hu ex H.T. Chang, </w:t>
            </w:r>
            <w:r w:rsidRPr="00B933AF">
              <w:rPr>
                <w:rFonts w:asciiTheme="majorHAnsi" w:hAnsiTheme="majorHAnsi"/>
                <w:i/>
                <w:sz w:val="18"/>
                <w:szCs w:val="18"/>
              </w:rPr>
              <w:t>Camellia bailinshanica</w:t>
            </w:r>
            <w:r w:rsidRPr="00B933AF">
              <w:rPr>
                <w:rFonts w:asciiTheme="majorHAnsi" w:hAnsiTheme="majorHAnsi"/>
                <w:sz w:val="18"/>
                <w:szCs w:val="18"/>
              </w:rPr>
              <w:t xml:space="preserve"> H.T. Chang, H.S. Liu &amp; G.X. Xiang, </w:t>
            </w:r>
            <w:r w:rsidRPr="00B933AF">
              <w:rPr>
                <w:rFonts w:asciiTheme="majorHAnsi" w:hAnsiTheme="majorHAnsi"/>
                <w:i/>
                <w:sz w:val="18"/>
                <w:szCs w:val="18"/>
              </w:rPr>
              <w:t>Camellia bambusifolia</w:t>
            </w:r>
            <w:r w:rsidRPr="00B933AF">
              <w:rPr>
                <w:rFonts w:asciiTheme="majorHAnsi" w:hAnsiTheme="majorHAnsi"/>
                <w:sz w:val="18"/>
                <w:szCs w:val="18"/>
              </w:rPr>
              <w:t xml:space="preserve"> H.T. Chang, H.S. Liu &amp; Y.Z. Zhang, </w:t>
            </w:r>
            <w:r w:rsidRPr="00B933AF">
              <w:rPr>
                <w:rFonts w:asciiTheme="majorHAnsi" w:hAnsiTheme="majorHAnsi"/>
                <w:i/>
                <w:sz w:val="18"/>
                <w:szCs w:val="18"/>
              </w:rPr>
              <w:t>Camellia borealiyunnanica</w:t>
            </w:r>
            <w:r w:rsidRPr="00B933AF">
              <w:rPr>
                <w:rFonts w:asciiTheme="majorHAnsi" w:hAnsiTheme="majorHAnsi"/>
                <w:sz w:val="18"/>
                <w:szCs w:val="18"/>
              </w:rPr>
              <w:t xml:space="preserve"> H.T. Chang, </w:t>
            </w:r>
            <w:r w:rsidRPr="00B933AF">
              <w:rPr>
                <w:rFonts w:asciiTheme="majorHAnsi" w:hAnsiTheme="majorHAnsi"/>
                <w:i/>
                <w:sz w:val="18"/>
                <w:szCs w:val="18"/>
              </w:rPr>
              <w:t>Camellia brevicolumna</w:t>
            </w:r>
            <w:r w:rsidRPr="00B933AF">
              <w:rPr>
                <w:rFonts w:asciiTheme="majorHAnsi" w:hAnsiTheme="majorHAnsi"/>
                <w:sz w:val="18"/>
                <w:szCs w:val="18"/>
              </w:rPr>
              <w:t xml:space="preserve"> H.T. Chang, H.S. Liu &amp; </w:t>
            </w:r>
            <w:r w:rsidRPr="00B933AF">
              <w:rPr>
                <w:rFonts w:asciiTheme="majorHAnsi" w:hAnsiTheme="majorHAnsi"/>
                <w:sz w:val="18"/>
                <w:szCs w:val="18"/>
              </w:rPr>
              <w:lastRenderedPageBreak/>
              <w:t xml:space="preserve">Y.Z. Zhang, </w:t>
            </w:r>
            <w:r w:rsidRPr="00B933AF">
              <w:rPr>
                <w:rFonts w:asciiTheme="majorHAnsi" w:hAnsiTheme="majorHAnsi"/>
                <w:i/>
                <w:sz w:val="18"/>
                <w:szCs w:val="18"/>
              </w:rPr>
              <w:t>Camellia brevigyna</w:t>
            </w:r>
            <w:r w:rsidRPr="00B933AF">
              <w:rPr>
                <w:rFonts w:asciiTheme="majorHAnsi" w:hAnsiTheme="majorHAnsi"/>
                <w:sz w:val="18"/>
                <w:szCs w:val="18"/>
              </w:rPr>
              <w:t xml:space="preserve"> H.T. Chang, </w:t>
            </w:r>
            <w:r w:rsidRPr="00B933AF">
              <w:rPr>
                <w:rFonts w:asciiTheme="majorHAnsi" w:hAnsiTheme="majorHAnsi"/>
                <w:i/>
                <w:sz w:val="18"/>
                <w:szCs w:val="18"/>
              </w:rPr>
              <w:t>Camellia brevipetiolata</w:t>
            </w:r>
            <w:r w:rsidRPr="00B933AF">
              <w:rPr>
                <w:rFonts w:asciiTheme="majorHAnsi" w:hAnsiTheme="majorHAnsi"/>
                <w:sz w:val="18"/>
                <w:szCs w:val="18"/>
              </w:rPr>
              <w:t xml:space="preserve"> H.T. Chang, </w:t>
            </w:r>
            <w:r w:rsidRPr="00B933AF">
              <w:rPr>
                <w:rFonts w:asciiTheme="majorHAnsi" w:hAnsiTheme="majorHAnsi"/>
                <w:i/>
                <w:sz w:val="18"/>
                <w:szCs w:val="18"/>
              </w:rPr>
              <w:t>Camellia chunii</w:t>
            </w:r>
            <w:r w:rsidRPr="00B933AF">
              <w:rPr>
                <w:rFonts w:asciiTheme="majorHAnsi" w:hAnsiTheme="majorHAnsi"/>
                <w:sz w:val="18"/>
                <w:szCs w:val="18"/>
              </w:rPr>
              <w:t xml:space="preserve"> (H.T. Chang) H.T. Chang, </w:t>
            </w:r>
            <w:r w:rsidRPr="00B933AF">
              <w:rPr>
                <w:rFonts w:asciiTheme="majorHAnsi" w:hAnsiTheme="majorHAnsi"/>
                <w:i/>
                <w:sz w:val="18"/>
                <w:szCs w:val="18"/>
              </w:rPr>
              <w:t>Camellia heterophylla</w:t>
            </w:r>
            <w:r w:rsidRPr="00B933AF">
              <w:rPr>
                <w:rFonts w:asciiTheme="majorHAnsi" w:hAnsiTheme="majorHAnsi"/>
                <w:sz w:val="18"/>
                <w:szCs w:val="18"/>
              </w:rPr>
              <w:t xml:space="preserve"> H.H. Hu, </w:t>
            </w:r>
            <w:r w:rsidRPr="00B933AF">
              <w:rPr>
                <w:rFonts w:asciiTheme="majorHAnsi" w:hAnsiTheme="majorHAnsi"/>
                <w:i/>
                <w:sz w:val="18"/>
                <w:szCs w:val="18"/>
              </w:rPr>
              <w:t>Camellia jinshajiangica</w:t>
            </w:r>
            <w:r w:rsidRPr="00B933AF">
              <w:rPr>
                <w:rFonts w:asciiTheme="majorHAnsi" w:hAnsiTheme="majorHAnsi"/>
                <w:sz w:val="18"/>
                <w:szCs w:val="18"/>
              </w:rPr>
              <w:t xml:space="preserve"> H.T. Chang, </w:t>
            </w:r>
            <w:r w:rsidRPr="00B933AF">
              <w:rPr>
                <w:rFonts w:asciiTheme="majorHAnsi" w:hAnsiTheme="majorHAnsi"/>
                <w:i/>
                <w:sz w:val="18"/>
                <w:szCs w:val="18"/>
              </w:rPr>
              <w:t>Camellia kangdianica</w:t>
            </w:r>
            <w:r w:rsidRPr="00B933AF">
              <w:rPr>
                <w:rFonts w:asciiTheme="majorHAnsi" w:hAnsiTheme="majorHAnsi"/>
                <w:sz w:val="18"/>
                <w:szCs w:val="18"/>
              </w:rPr>
              <w:t xml:space="preserve"> H.T. Chang, H.S. Liu &amp; G.X. Xiang, </w:t>
            </w:r>
            <w:r w:rsidRPr="00B933AF">
              <w:rPr>
                <w:rFonts w:asciiTheme="majorHAnsi" w:hAnsiTheme="majorHAnsi"/>
                <w:i/>
                <w:sz w:val="18"/>
                <w:szCs w:val="18"/>
              </w:rPr>
              <w:t>Camellia kweichowensis</w:t>
            </w:r>
            <w:r w:rsidRPr="00B933AF">
              <w:rPr>
                <w:rFonts w:asciiTheme="majorHAnsi" w:hAnsiTheme="majorHAnsi"/>
                <w:sz w:val="18"/>
                <w:szCs w:val="18"/>
              </w:rPr>
              <w:t xml:space="preserve"> H.T. Chang, </w:t>
            </w:r>
            <w:r w:rsidRPr="00B933AF">
              <w:rPr>
                <w:rFonts w:asciiTheme="majorHAnsi" w:hAnsiTheme="majorHAnsi"/>
                <w:i/>
                <w:sz w:val="18"/>
                <w:szCs w:val="18"/>
              </w:rPr>
              <w:t>Camellia oligophlebia</w:t>
            </w:r>
            <w:r w:rsidRPr="00B933AF">
              <w:rPr>
                <w:rFonts w:asciiTheme="majorHAnsi" w:hAnsiTheme="majorHAnsi"/>
                <w:sz w:val="18"/>
                <w:szCs w:val="18"/>
              </w:rPr>
              <w:t xml:space="preserve"> H.T. Chang, </w:t>
            </w:r>
            <w:r w:rsidRPr="00B933AF">
              <w:rPr>
                <w:rFonts w:asciiTheme="majorHAnsi" w:hAnsiTheme="majorHAnsi"/>
                <w:i/>
                <w:sz w:val="18"/>
                <w:szCs w:val="18"/>
              </w:rPr>
              <w:t>Camellia paucipetala</w:t>
            </w:r>
            <w:r w:rsidRPr="00B933AF">
              <w:rPr>
                <w:rFonts w:asciiTheme="majorHAnsi" w:hAnsiTheme="majorHAnsi"/>
                <w:sz w:val="18"/>
                <w:szCs w:val="18"/>
              </w:rPr>
              <w:t xml:space="preserve"> H.T. Chang, </w:t>
            </w:r>
            <w:r w:rsidRPr="00B933AF">
              <w:rPr>
                <w:rFonts w:asciiTheme="majorHAnsi" w:hAnsiTheme="majorHAnsi"/>
                <w:i/>
                <w:sz w:val="18"/>
                <w:szCs w:val="18"/>
              </w:rPr>
              <w:t>Camellia pentapetala</w:t>
            </w:r>
            <w:r w:rsidRPr="00B933AF">
              <w:rPr>
                <w:rFonts w:asciiTheme="majorHAnsi" w:hAnsiTheme="majorHAnsi"/>
                <w:sz w:val="18"/>
                <w:szCs w:val="18"/>
              </w:rPr>
              <w:t xml:space="preserve"> H.T. Chang, </w:t>
            </w:r>
            <w:r w:rsidRPr="00B933AF">
              <w:rPr>
                <w:rFonts w:asciiTheme="majorHAnsi" w:hAnsiTheme="majorHAnsi"/>
                <w:i/>
                <w:sz w:val="18"/>
                <w:szCs w:val="18"/>
              </w:rPr>
              <w:t>Camellia pentaphylacoides</w:t>
            </w:r>
            <w:r w:rsidRPr="00B933AF">
              <w:rPr>
                <w:rFonts w:asciiTheme="majorHAnsi" w:hAnsiTheme="majorHAnsi"/>
                <w:sz w:val="18"/>
                <w:szCs w:val="18"/>
              </w:rPr>
              <w:t xml:space="preserve"> H.T. Chang, </w:t>
            </w:r>
            <w:r w:rsidRPr="00B933AF">
              <w:rPr>
                <w:rFonts w:asciiTheme="majorHAnsi" w:hAnsiTheme="majorHAnsi"/>
                <w:i/>
                <w:sz w:val="18"/>
                <w:szCs w:val="18"/>
              </w:rPr>
              <w:t>Camellia pentaphylax</w:t>
            </w:r>
            <w:r w:rsidRPr="00B933AF">
              <w:rPr>
                <w:rFonts w:asciiTheme="majorHAnsi" w:hAnsiTheme="majorHAnsi"/>
                <w:sz w:val="18"/>
                <w:szCs w:val="18"/>
              </w:rPr>
              <w:t xml:space="preserve"> H.T. Chang, </w:t>
            </w:r>
            <w:r w:rsidRPr="00B933AF">
              <w:rPr>
                <w:rFonts w:asciiTheme="majorHAnsi" w:hAnsiTheme="majorHAnsi"/>
                <w:i/>
                <w:sz w:val="18"/>
                <w:szCs w:val="18"/>
              </w:rPr>
              <w:t>Camellia stichoclada</w:t>
            </w:r>
            <w:r w:rsidRPr="00B933AF">
              <w:rPr>
                <w:rFonts w:asciiTheme="majorHAnsi" w:hAnsiTheme="majorHAnsi"/>
                <w:sz w:val="18"/>
                <w:szCs w:val="18"/>
              </w:rPr>
              <w:t xml:space="preserve"> H.T. Chang, </w:t>
            </w:r>
            <w:r w:rsidRPr="00B933AF">
              <w:rPr>
                <w:rFonts w:asciiTheme="majorHAnsi" w:hAnsiTheme="majorHAnsi"/>
                <w:i/>
                <w:sz w:val="18"/>
                <w:szCs w:val="18"/>
              </w:rPr>
              <w:t>Camellia subliberopetala</w:t>
            </w:r>
            <w:r w:rsidRPr="00B933AF">
              <w:rPr>
                <w:rFonts w:asciiTheme="majorHAnsi" w:hAnsiTheme="majorHAnsi"/>
                <w:sz w:val="18"/>
                <w:szCs w:val="18"/>
              </w:rPr>
              <w:t xml:space="preserve"> H.T. Chang, </w:t>
            </w:r>
            <w:r w:rsidRPr="00B933AF">
              <w:rPr>
                <w:rFonts w:asciiTheme="majorHAnsi" w:hAnsiTheme="majorHAnsi"/>
                <w:i/>
                <w:sz w:val="18"/>
                <w:szCs w:val="18"/>
              </w:rPr>
              <w:t>Camellia xichangensis</w:t>
            </w:r>
            <w:r w:rsidRPr="00B933AF">
              <w:rPr>
                <w:rFonts w:asciiTheme="majorHAnsi" w:hAnsiTheme="majorHAnsi"/>
                <w:sz w:val="18"/>
                <w:szCs w:val="18"/>
              </w:rPr>
              <w:t xml:space="preserve"> H.T. Chang, </w:t>
            </w:r>
            <w:r w:rsidRPr="00B933AF">
              <w:rPr>
                <w:rFonts w:asciiTheme="majorHAnsi" w:hAnsiTheme="majorHAnsi"/>
                <w:i/>
                <w:sz w:val="18"/>
                <w:szCs w:val="18"/>
              </w:rPr>
              <w:t>Camellia xylocarpa</w:t>
            </w:r>
            <w:r w:rsidRPr="00B933AF">
              <w:rPr>
                <w:rFonts w:asciiTheme="majorHAnsi" w:hAnsiTheme="majorHAnsi"/>
                <w:sz w:val="18"/>
                <w:szCs w:val="18"/>
              </w:rPr>
              <w:t xml:space="preserve"> (H.H. Hu) H.T. Chang, </w:t>
            </w:r>
            <w:r w:rsidRPr="00B933AF">
              <w:rPr>
                <w:rFonts w:asciiTheme="majorHAnsi" w:hAnsiTheme="majorHAnsi"/>
                <w:i/>
                <w:sz w:val="18"/>
                <w:szCs w:val="18"/>
              </w:rPr>
              <w:t>Desmitus reticulata</w:t>
            </w:r>
            <w:r w:rsidRPr="00B933AF">
              <w:rPr>
                <w:rFonts w:asciiTheme="majorHAnsi" w:hAnsiTheme="majorHAnsi"/>
                <w:sz w:val="18"/>
                <w:szCs w:val="18"/>
              </w:rPr>
              <w:t xml:space="preserve"> (Lindl.) Raf., </w:t>
            </w:r>
            <w:r w:rsidRPr="00B933AF">
              <w:rPr>
                <w:rFonts w:asciiTheme="majorHAnsi" w:hAnsiTheme="majorHAnsi"/>
                <w:i/>
                <w:sz w:val="18"/>
                <w:szCs w:val="18"/>
              </w:rPr>
              <w:t>Thea reticulata</w:t>
            </w:r>
            <w:r w:rsidRPr="00B933AF">
              <w:rPr>
                <w:rFonts w:asciiTheme="majorHAnsi" w:hAnsiTheme="majorHAnsi"/>
                <w:sz w:val="18"/>
                <w:szCs w:val="18"/>
              </w:rPr>
              <w:t xml:space="preserve"> (Lindl.) Pierre, </w:t>
            </w:r>
            <w:r w:rsidRPr="00B933AF">
              <w:rPr>
                <w:rFonts w:asciiTheme="majorHAnsi" w:hAnsiTheme="majorHAnsi"/>
                <w:i/>
                <w:sz w:val="18"/>
                <w:szCs w:val="18"/>
              </w:rPr>
              <w:t>Yunnanea xylocarpa</w:t>
            </w:r>
            <w:r w:rsidRPr="00B933AF">
              <w:rPr>
                <w:rFonts w:asciiTheme="majorHAnsi" w:hAnsiTheme="majorHAnsi"/>
                <w:sz w:val="18"/>
                <w:szCs w:val="18"/>
              </w:rPr>
              <w:t xml:space="preserve"> H.H. Hu</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lastRenderedPageBreak/>
              <w:t>Parke et al. 2004b</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
                <w:iCs/>
                <w:sz w:val="18"/>
                <w:szCs w:val="18"/>
              </w:rPr>
            </w:pPr>
            <w:r w:rsidRPr="00B933AF">
              <w:rPr>
                <w:rFonts w:asciiTheme="majorHAnsi" w:hAnsiTheme="majorHAnsi" w:cs="Helvetica"/>
                <w:i/>
                <w:iCs/>
                <w:sz w:val="18"/>
                <w:szCs w:val="18"/>
                <w:shd w:val="clear" w:color="auto" w:fill="FFFFFF"/>
              </w:rPr>
              <w:lastRenderedPageBreak/>
              <w:t xml:space="preserve">Camellia sasanqua </w:t>
            </w:r>
            <w:r w:rsidRPr="00B933AF">
              <w:rPr>
                <w:rFonts w:asciiTheme="majorHAnsi" w:hAnsiTheme="majorHAnsi" w:cs="Helvetica"/>
                <w:iCs/>
                <w:sz w:val="18"/>
                <w:szCs w:val="18"/>
                <w:shd w:val="clear" w:color="auto" w:fill="FFFFFF"/>
              </w:rPr>
              <w:t>Thunb.</w:t>
            </w:r>
            <w:r w:rsidRPr="00B933AF">
              <w:rPr>
                <w:rFonts w:asciiTheme="majorHAnsi" w:hAnsiTheme="majorHAnsi" w:cs="Helvetica"/>
                <w:i/>
                <w:iCs/>
                <w:sz w:val="18"/>
                <w:szCs w:val="18"/>
                <w:shd w:val="clear" w:color="auto" w:fill="FFFFFF"/>
              </w:rPr>
              <w:t xml:space="preserve"> </w:t>
            </w:r>
            <w:r w:rsidRPr="00B933AF">
              <w:rPr>
                <w:rFonts w:asciiTheme="majorHAnsi" w:hAnsiTheme="majorHAnsi" w:cs="Helvetica"/>
                <w:sz w:val="18"/>
                <w:szCs w:val="18"/>
              </w:rPr>
              <w:t>[Theacae] – Camellia</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
                <w:iCs/>
                <w:sz w:val="18"/>
                <w:szCs w:val="18"/>
              </w:rPr>
            </w:pPr>
            <w:r w:rsidRPr="00B933AF">
              <w:rPr>
                <w:rFonts w:asciiTheme="majorHAnsi" w:hAnsiTheme="majorHAnsi" w:cs="Helvetica"/>
                <w:i/>
                <w:iCs/>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Parke et al. 2004b</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ACT, NSW</w:t>
            </w:r>
          </w:p>
        </w:tc>
      </w:tr>
      <w:tr w:rsidR="003D549C" w:rsidRPr="00B933AF">
        <w:tc>
          <w:tcPr>
            <w:tcW w:w="1407" w:type="pct"/>
            <w:tcBorders>
              <w:top w:val="single" w:sz="8" w:space="0" w:color="D9D9D9" w:themeColor="background1" w:themeShade="D9"/>
              <w:left w:val="nil"/>
              <w:bottom w:val="single" w:sz="8" w:space="0" w:color="D9D9D9" w:themeColor="background1" w:themeShade="D9"/>
              <w:right w:val="nil"/>
            </w:tcBorders>
          </w:tcPr>
          <w:p w:rsidR="003D549C" w:rsidRPr="003D549C" w:rsidRDefault="003D549C" w:rsidP="003D549C">
            <w:pPr>
              <w:spacing w:before="40" w:after="40"/>
              <w:rPr>
                <w:rFonts w:asciiTheme="majorHAnsi" w:hAnsiTheme="majorHAnsi" w:cs="Helvetica"/>
                <w:iCs/>
                <w:sz w:val="18"/>
                <w:szCs w:val="18"/>
                <w:shd w:val="clear" w:color="auto" w:fill="FFFFFF"/>
              </w:rPr>
            </w:pPr>
            <w:r w:rsidRPr="003F596D">
              <w:rPr>
                <w:rFonts w:asciiTheme="majorHAnsi" w:hAnsiTheme="majorHAnsi" w:cs="Helvetica"/>
                <w:i/>
                <w:iCs/>
                <w:sz w:val="18"/>
                <w:szCs w:val="18"/>
                <w:shd w:val="clear" w:color="auto" w:fill="FFFFFF"/>
              </w:rPr>
              <w:t>Camellia sinensis</w:t>
            </w:r>
            <w:r>
              <w:rPr>
                <w:rFonts w:asciiTheme="majorHAnsi" w:hAnsiTheme="majorHAnsi" w:cs="Helvetica"/>
                <w:i/>
                <w:iCs/>
                <w:sz w:val="18"/>
                <w:szCs w:val="18"/>
                <w:shd w:val="clear" w:color="auto" w:fill="FFFFFF"/>
              </w:rPr>
              <w:t xml:space="preserve"> </w:t>
            </w:r>
            <w:r>
              <w:rPr>
                <w:rFonts w:asciiTheme="majorHAnsi" w:hAnsiTheme="majorHAnsi" w:cs="Helvetica"/>
                <w:iCs/>
                <w:sz w:val="18"/>
                <w:szCs w:val="18"/>
                <w:shd w:val="clear" w:color="auto" w:fill="FFFFFF"/>
              </w:rPr>
              <w:t>(L.) Kuntze [Theacae] – tea</w:t>
            </w:r>
            <w:r>
              <w:rPr>
                <w:rFonts w:asciiTheme="majorHAnsi" w:hAnsiTheme="majorHAnsi" w:cs="Helvetica"/>
                <w:iCs/>
                <w:sz w:val="18"/>
                <w:szCs w:val="18"/>
                <w:shd w:val="clear" w:color="auto" w:fill="FFFFFF"/>
              </w:rPr>
              <w:noBreakHyphen/>
              <w:t>plant</w:t>
            </w:r>
          </w:p>
        </w:tc>
        <w:tc>
          <w:tcPr>
            <w:tcW w:w="1316" w:type="pct"/>
            <w:tcBorders>
              <w:top w:val="single" w:sz="8" w:space="0" w:color="D9D9D9" w:themeColor="background1" w:themeShade="D9"/>
              <w:left w:val="nil"/>
              <w:bottom w:val="single" w:sz="8" w:space="0" w:color="D9D9D9" w:themeColor="background1" w:themeShade="D9"/>
              <w:right w:val="nil"/>
            </w:tcBorders>
          </w:tcPr>
          <w:p w:rsidR="003D549C" w:rsidRPr="00B933AF" w:rsidRDefault="003D549C" w:rsidP="003D549C">
            <w:pPr>
              <w:spacing w:before="40" w:after="40"/>
              <w:rPr>
                <w:rFonts w:asciiTheme="majorHAnsi" w:hAnsiTheme="majorHAnsi" w:cs="Helvetica"/>
                <w:i/>
                <w:iCs/>
                <w:sz w:val="18"/>
                <w:szCs w:val="18"/>
              </w:rPr>
            </w:pPr>
            <w:r w:rsidRPr="003D549C">
              <w:rPr>
                <w:rFonts w:asciiTheme="majorHAnsi" w:hAnsiTheme="majorHAnsi" w:cs="Helvetica"/>
                <w:i/>
                <w:iCs/>
                <w:sz w:val="18"/>
                <w:szCs w:val="18"/>
              </w:rPr>
              <w:t xml:space="preserve">Camellia thea </w:t>
            </w:r>
            <w:r w:rsidRPr="003D549C">
              <w:rPr>
                <w:rFonts w:asciiTheme="majorHAnsi" w:hAnsiTheme="majorHAnsi" w:cs="Helvetica"/>
                <w:iCs/>
                <w:sz w:val="18"/>
                <w:szCs w:val="18"/>
              </w:rPr>
              <w:t>Link</w:t>
            </w:r>
            <w:r>
              <w:rPr>
                <w:rFonts w:asciiTheme="majorHAnsi" w:hAnsiTheme="majorHAnsi" w:cs="Helvetica"/>
                <w:iCs/>
                <w:sz w:val="18"/>
                <w:szCs w:val="18"/>
              </w:rPr>
              <w:t xml:space="preserve">, </w:t>
            </w:r>
            <w:r w:rsidRPr="003D549C">
              <w:rPr>
                <w:rFonts w:asciiTheme="majorHAnsi" w:hAnsiTheme="majorHAnsi" w:cs="Helvetica"/>
                <w:i/>
                <w:iCs/>
                <w:sz w:val="18"/>
                <w:szCs w:val="18"/>
              </w:rPr>
              <w:t>Thea assamica</w:t>
            </w:r>
            <w:r w:rsidRPr="003D549C">
              <w:rPr>
                <w:rFonts w:asciiTheme="majorHAnsi" w:hAnsiTheme="majorHAnsi" w:cs="Helvetica"/>
                <w:iCs/>
                <w:sz w:val="18"/>
                <w:szCs w:val="18"/>
              </w:rPr>
              <w:t xml:space="preserve"> J.W. Mast</w:t>
            </w:r>
            <w:r>
              <w:rPr>
                <w:rFonts w:asciiTheme="majorHAnsi" w:hAnsiTheme="majorHAnsi" w:cs="Helvetica"/>
                <w:iCs/>
                <w:sz w:val="18"/>
                <w:szCs w:val="18"/>
              </w:rPr>
              <w:t xml:space="preserve">., </w:t>
            </w:r>
            <w:r w:rsidRPr="003D549C">
              <w:rPr>
                <w:rFonts w:asciiTheme="majorHAnsi" w:hAnsiTheme="majorHAnsi" w:cs="Helvetica"/>
                <w:i/>
                <w:iCs/>
                <w:sz w:val="18"/>
                <w:szCs w:val="18"/>
              </w:rPr>
              <w:t>Thea sinensis</w:t>
            </w:r>
            <w:r w:rsidRPr="003D549C">
              <w:rPr>
                <w:rFonts w:asciiTheme="majorHAnsi" w:hAnsiTheme="majorHAnsi" w:cs="Helvetica"/>
                <w:iCs/>
                <w:sz w:val="18"/>
                <w:szCs w:val="18"/>
              </w:rPr>
              <w:t xml:space="preserve"> L.</w:t>
            </w:r>
          </w:p>
        </w:tc>
        <w:tc>
          <w:tcPr>
            <w:tcW w:w="1113" w:type="pct"/>
            <w:tcBorders>
              <w:top w:val="single" w:sz="8" w:space="0" w:color="D9D9D9" w:themeColor="background1" w:themeShade="D9"/>
              <w:left w:val="nil"/>
              <w:bottom w:val="single" w:sz="8" w:space="0" w:color="D9D9D9" w:themeColor="background1" w:themeShade="D9"/>
              <w:right w:val="nil"/>
            </w:tcBorders>
          </w:tcPr>
          <w:p w:rsidR="003D549C" w:rsidRPr="00B933AF" w:rsidRDefault="003D549C" w:rsidP="0033344A">
            <w:pPr>
              <w:spacing w:before="40" w:after="40"/>
              <w:rPr>
                <w:rFonts w:asciiTheme="majorHAnsi" w:hAnsiTheme="majorHAnsi" w:cs="Helvetica"/>
                <w:sz w:val="18"/>
                <w:szCs w:val="18"/>
              </w:rPr>
            </w:pPr>
            <w:r>
              <w:rPr>
                <w:rFonts w:asciiTheme="majorHAnsi" w:hAnsiTheme="majorHAnsi" w:cs="Helvetica"/>
                <w:sz w:val="18"/>
                <w:szCs w:val="18"/>
              </w:rPr>
              <w:t>Blomquist et al. 2015</w:t>
            </w:r>
          </w:p>
        </w:tc>
        <w:tc>
          <w:tcPr>
            <w:tcW w:w="1164" w:type="pct"/>
            <w:tcBorders>
              <w:top w:val="single" w:sz="8" w:space="0" w:color="D9D9D9" w:themeColor="background1" w:themeShade="D9"/>
              <w:left w:val="nil"/>
              <w:bottom w:val="single" w:sz="8" w:space="0" w:color="D9D9D9" w:themeColor="background1" w:themeShade="D9"/>
              <w:right w:val="nil"/>
            </w:tcBorders>
          </w:tcPr>
          <w:p w:rsidR="003D549C" w:rsidRPr="00B933AF" w:rsidRDefault="003D549C" w:rsidP="0033344A">
            <w:pPr>
              <w:spacing w:before="40" w:after="40"/>
              <w:rPr>
                <w:rFonts w:asciiTheme="majorHAnsi" w:hAnsiTheme="majorHAnsi" w:cs="Helvetica"/>
                <w:sz w:val="18"/>
                <w:szCs w:val="18"/>
              </w:rPr>
            </w:pPr>
            <w:r>
              <w:rPr>
                <w:rFonts w:asciiTheme="majorHAnsi" w:hAnsiTheme="majorHAnsi" w:cs="Helvetica"/>
                <w:sz w:val="18"/>
                <w:szCs w:val="18"/>
              </w:rPr>
              <w:t>QLD</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Carpinus betulus</w:t>
            </w:r>
            <w:r w:rsidRPr="00B933AF">
              <w:rPr>
                <w:rFonts w:asciiTheme="majorHAnsi" w:hAnsiTheme="majorHAnsi" w:cs="Helvetica"/>
                <w:sz w:val="18"/>
                <w:szCs w:val="18"/>
              </w:rPr>
              <w:t xml:space="preserve"> [</w:t>
            </w:r>
            <w:r w:rsidRPr="00B933AF">
              <w:rPr>
                <w:rFonts w:asciiTheme="majorHAnsi" w:hAnsiTheme="majorHAnsi" w:cs="Helvetica"/>
                <w:iCs/>
                <w:sz w:val="18"/>
                <w:szCs w:val="18"/>
              </w:rPr>
              <w:t>Betulaceae]</w:t>
            </w:r>
            <w:r w:rsidR="00100D81">
              <w:rPr>
                <w:rFonts w:asciiTheme="majorHAnsi" w:hAnsiTheme="majorHAnsi" w:cs="Helvetica"/>
                <w:sz w:val="18"/>
                <w:szCs w:val="18"/>
              </w:rPr>
              <w:t xml:space="preserve"> – Hornbeam (</w:t>
            </w:r>
            <w:r w:rsidRPr="00B933AF">
              <w:rPr>
                <w:rFonts w:asciiTheme="majorHAnsi" w:hAnsiTheme="majorHAnsi"/>
                <w:sz w:val="18"/>
                <w:szCs w:val="18"/>
              </w:rPr>
              <w:t xml:space="preserve">Only reported as a host of </w:t>
            </w:r>
            <w:r w:rsidRPr="00B933AF">
              <w:rPr>
                <w:rFonts w:asciiTheme="majorHAnsi" w:hAnsiTheme="majorHAnsi"/>
                <w:i/>
                <w:sz w:val="18"/>
                <w:szCs w:val="18"/>
              </w:rPr>
              <w:t>Phytophthora pseudosyringae</w:t>
            </w:r>
            <w:r w:rsidRPr="00B933AF">
              <w:rPr>
                <w:rFonts w:asciiTheme="majorHAnsi" w:hAnsiTheme="majorHAnsi" w:cs="Helvetica"/>
                <w:sz w:val="18"/>
                <w:szCs w:val="18"/>
              </w:rPr>
              <w:t xml:space="preserve">) </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Goheen &amp; Frankel 2009; Denman et al. 2007</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SA</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Castanea sativa</w:t>
            </w:r>
            <w:r w:rsidRPr="00B933AF">
              <w:rPr>
                <w:rFonts w:asciiTheme="majorHAnsi" w:hAnsiTheme="majorHAnsi" w:cs="Helvetica"/>
                <w:sz w:val="18"/>
                <w:szCs w:val="18"/>
              </w:rPr>
              <w:t xml:space="preserve"> Mill. [Fagaceae] – European chestnut, Sweet chestnut</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autoSpaceDE w:val="0"/>
              <w:autoSpaceDN w:val="0"/>
              <w:adjustRightInd w:val="0"/>
              <w:spacing w:before="40" w:after="40"/>
              <w:rPr>
                <w:rFonts w:asciiTheme="majorHAnsi" w:hAnsiTheme="majorHAnsi" w:cs="Helvetica"/>
                <w:sz w:val="18"/>
                <w:szCs w:val="18"/>
              </w:rPr>
            </w:pPr>
            <w:r w:rsidRPr="00B933AF">
              <w:rPr>
                <w:rFonts w:asciiTheme="majorHAnsi" w:hAnsiTheme="majorHAnsi" w:cs="Helvetica"/>
                <w:i/>
                <w:iCs/>
                <w:sz w:val="18"/>
                <w:szCs w:val="18"/>
              </w:rPr>
              <w:t>Castanea vesca</w:t>
            </w:r>
            <w:r w:rsidRPr="00B933AF">
              <w:rPr>
                <w:rFonts w:asciiTheme="majorHAnsi" w:hAnsiTheme="majorHAnsi" w:cs="Helvetica"/>
                <w:sz w:val="18"/>
                <w:szCs w:val="18"/>
              </w:rPr>
              <w:t xml:space="preserve"> Gaertn, </w:t>
            </w:r>
            <w:r w:rsidRPr="00B933AF">
              <w:rPr>
                <w:rFonts w:asciiTheme="majorHAnsi" w:hAnsiTheme="majorHAnsi" w:cs="Helvetica"/>
                <w:i/>
                <w:iCs/>
                <w:sz w:val="18"/>
                <w:szCs w:val="18"/>
              </w:rPr>
              <w:t>Castanea vulgaris</w:t>
            </w:r>
            <w:r w:rsidRPr="00B933AF">
              <w:rPr>
                <w:rFonts w:asciiTheme="majorHAnsi" w:hAnsiTheme="majorHAnsi" w:cs="Helvetica"/>
                <w:sz w:val="18"/>
                <w:szCs w:val="18"/>
              </w:rPr>
              <w:t xml:space="preserve"> Lam., </w:t>
            </w:r>
            <w:r w:rsidRPr="00B933AF">
              <w:rPr>
                <w:rFonts w:asciiTheme="majorHAnsi" w:hAnsiTheme="majorHAnsi" w:cs="Helvetica"/>
                <w:i/>
                <w:iCs/>
                <w:sz w:val="18"/>
                <w:szCs w:val="18"/>
              </w:rPr>
              <w:t>Fagus castanea</w:t>
            </w:r>
            <w:r w:rsidRPr="00B933AF">
              <w:rPr>
                <w:rFonts w:asciiTheme="majorHAnsi" w:hAnsiTheme="majorHAnsi" w:cs="Helvetica"/>
                <w:sz w:val="18"/>
                <w:szCs w:val="18"/>
              </w:rPr>
              <w:t xml:space="preserve"> L.</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autoSpaceDE w:val="0"/>
              <w:autoSpaceDN w:val="0"/>
              <w:adjustRightInd w:val="0"/>
              <w:spacing w:before="40" w:after="40"/>
              <w:rPr>
                <w:rFonts w:asciiTheme="majorHAnsi" w:hAnsiTheme="majorHAnsi" w:cs="Helvetica"/>
                <w:sz w:val="18"/>
                <w:szCs w:val="18"/>
              </w:rPr>
            </w:pPr>
            <w:r w:rsidRPr="00B933AF">
              <w:rPr>
                <w:rFonts w:asciiTheme="majorHAnsi" w:hAnsiTheme="majorHAnsi" w:cs="Helvetica"/>
                <w:sz w:val="18"/>
                <w:szCs w:val="18"/>
              </w:rPr>
              <w:t xml:space="preserve">Sansford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2009; 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autoSpaceDE w:val="0"/>
              <w:autoSpaceDN w:val="0"/>
              <w:adjustRightInd w:val="0"/>
              <w:spacing w:before="40" w:after="40"/>
              <w:rPr>
                <w:rFonts w:asciiTheme="majorHAnsi" w:hAnsiTheme="majorHAnsi" w:cs="Helvetica"/>
                <w:sz w:val="18"/>
                <w:szCs w:val="18"/>
              </w:rPr>
            </w:pPr>
            <w:r w:rsidRPr="00B933AF">
              <w:rPr>
                <w:rFonts w:asciiTheme="majorHAnsi" w:hAnsiTheme="majorHAnsi" w:cs="Helvetica"/>
                <w:sz w:val="18"/>
                <w:szCs w:val="18"/>
              </w:rPr>
              <w:t>ACT, NSW, VIC, SA</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Castanopsis orthacantha</w:t>
            </w:r>
            <w:r w:rsidRPr="00B933AF">
              <w:rPr>
                <w:rFonts w:asciiTheme="majorHAnsi" w:hAnsiTheme="majorHAnsi" w:cs="Helvetica"/>
                <w:sz w:val="18"/>
                <w:szCs w:val="18"/>
              </w:rPr>
              <w:t xml:space="preserve"> Franchet [Fagaceae]</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Castanopsis concolor</w:t>
            </w:r>
            <w:r w:rsidRPr="00B933AF">
              <w:rPr>
                <w:rFonts w:asciiTheme="majorHAnsi" w:hAnsiTheme="majorHAnsi"/>
                <w:sz w:val="18"/>
                <w:szCs w:val="18"/>
              </w:rPr>
              <w:t xml:space="preserve"> Rehder &amp; E.H. Wilson, </w:t>
            </w:r>
            <w:r w:rsidRPr="00B933AF">
              <w:rPr>
                <w:rFonts w:asciiTheme="majorHAnsi" w:hAnsiTheme="majorHAnsi"/>
                <w:i/>
                <w:sz w:val="18"/>
                <w:szCs w:val="18"/>
              </w:rPr>
              <w:t>Castanopsis mianningensis</w:t>
            </w:r>
            <w:r w:rsidRPr="00B933AF">
              <w:rPr>
                <w:rFonts w:asciiTheme="majorHAnsi" w:hAnsiTheme="majorHAnsi"/>
                <w:sz w:val="18"/>
                <w:szCs w:val="18"/>
              </w:rPr>
              <w:t xml:space="preserve"> H.H. Hu, </w:t>
            </w:r>
            <w:r w:rsidRPr="00B933AF">
              <w:rPr>
                <w:rFonts w:asciiTheme="majorHAnsi" w:hAnsiTheme="majorHAnsi"/>
                <w:i/>
                <w:sz w:val="18"/>
                <w:szCs w:val="18"/>
              </w:rPr>
              <w:t>Castanopsis tenuinervis</w:t>
            </w:r>
            <w:r w:rsidRPr="00B933AF">
              <w:rPr>
                <w:rFonts w:asciiTheme="majorHAnsi" w:hAnsiTheme="majorHAnsi"/>
                <w:sz w:val="18"/>
                <w:szCs w:val="18"/>
              </w:rPr>
              <w:t xml:space="preserve"> A. Camus, </w:t>
            </w:r>
            <w:r w:rsidRPr="00B933AF">
              <w:rPr>
                <w:rFonts w:asciiTheme="majorHAnsi" w:hAnsiTheme="majorHAnsi"/>
                <w:i/>
                <w:sz w:val="18"/>
                <w:szCs w:val="18"/>
              </w:rPr>
              <w:t>Castanopsis yanshanensis</w:t>
            </w:r>
            <w:r w:rsidRPr="00B933AF">
              <w:rPr>
                <w:rFonts w:asciiTheme="majorHAnsi" w:hAnsiTheme="majorHAnsi"/>
                <w:sz w:val="18"/>
                <w:szCs w:val="18"/>
              </w:rPr>
              <w:t xml:space="preserve"> H.H. Hu</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Sansford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Not listed as occurring in Australia</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Ceanothus thyrsiflorus</w:t>
            </w:r>
            <w:r w:rsidRPr="00B933AF">
              <w:rPr>
                <w:rFonts w:asciiTheme="majorHAnsi" w:hAnsiTheme="majorHAnsi" w:cs="Helvetica"/>
                <w:sz w:val="18"/>
                <w:szCs w:val="18"/>
              </w:rPr>
              <w:t xml:space="preserve"> Eschsch. [Rhamnaceae] – Blue blossom, Californian lilac</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Cave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2008; 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SA, ACT, NSW</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Cercis chinensis</w:t>
            </w:r>
            <w:r w:rsidRPr="00B933AF">
              <w:rPr>
                <w:rFonts w:asciiTheme="majorHAnsi" w:hAnsiTheme="majorHAnsi" w:cs="Helvetica"/>
                <w:sz w:val="18"/>
                <w:szCs w:val="18"/>
              </w:rPr>
              <w:t xml:space="preserve"> Bunge [Fabaceae] – Chinese </w:t>
            </w:r>
            <w:r w:rsidRPr="00B933AF">
              <w:rPr>
                <w:rFonts w:asciiTheme="majorHAnsi" w:hAnsiTheme="majorHAnsi" w:cs="Helvetica"/>
                <w:sz w:val="18"/>
                <w:szCs w:val="18"/>
              </w:rPr>
              <w:lastRenderedPageBreak/>
              <w:t>redbud</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lastRenderedPageBreak/>
              <w:t>Cercis pauciflora</w:t>
            </w:r>
            <w:r w:rsidRPr="00B933AF">
              <w:rPr>
                <w:rFonts w:asciiTheme="majorHAnsi" w:hAnsiTheme="majorHAnsi"/>
                <w:sz w:val="18"/>
                <w:szCs w:val="18"/>
              </w:rPr>
              <w:t xml:space="preserve"> H.L. Li</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Sansford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Recorded in Australia, but location not </w:t>
            </w:r>
            <w:r w:rsidRPr="00B933AF">
              <w:rPr>
                <w:rFonts w:asciiTheme="majorHAnsi" w:hAnsiTheme="majorHAnsi" w:cs="Helvetica"/>
                <w:sz w:val="18"/>
                <w:szCs w:val="18"/>
              </w:rPr>
              <w:lastRenderedPageBreak/>
              <w:t>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lastRenderedPageBreak/>
              <w:t>Chamaecyparis lawsoniana</w:t>
            </w:r>
            <w:r w:rsidRPr="00B933AF">
              <w:rPr>
                <w:rFonts w:asciiTheme="majorHAnsi" w:hAnsiTheme="majorHAnsi" w:cs="Helvetica"/>
                <w:sz w:val="18"/>
                <w:szCs w:val="18"/>
              </w:rPr>
              <w:t xml:space="preserve"> (A. Murray) Parl. [Cupressaceae] – Lawson's cypress</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Cupressus lawsoniana</w:t>
            </w:r>
            <w:r w:rsidRPr="00B933AF">
              <w:rPr>
                <w:rFonts w:asciiTheme="majorHAnsi" w:hAnsiTheme="majorHAnsi" w:cs="Helvetica"/>
                <w:sz w:val="18"/>
                <w:szCs w:val="18"/>
              </w:rPr>
              <w:t xml:space="preserve"> A. Murray</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 Brasier &amp; Webber 2012</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NSW, ACT, SA, TAS</w:t>
            </w:r>
          </w:p>
        </w:tc>
      </w:tr>
      <w:tr w:rsidR="00C74066" w:rsidRPr="00B933AF">
        <w:trPr>
          <w:trHeight w:val="620"/>
        </w:trPr>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Choisya ternata</w:t>
            </w:r>
            <w:r w:rsidRPr="00B933AF">
              <w:rPr>
                <w:rFonts w:asciiTheme="majorHAnsi" w:hAnsiTheme="majorHAnsi" w:cs="Helvetica"/>
                <w:sz w:val="18"/>
                <w:szCs w:val="18"/>
              </w:rPr>
              <w:t xml:space="preserve"> Kunth [Rutaceae] – Mexican</w:t>
            </w:r>
            <w:r w:rsidRPr="00B933AF">
              <w:rPr>
                <w:rFonts w:asciiTheme="majorHAnsi" w:hAnsiTheme="majorHAnsi" w:cs="Helvetica"/>
                <w:sz w:val="18"/>
                <w:szCs w:val="18"/>
              </w:rPr>
              <w:noBreakHyphen/>
              <w:t>orange</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ACT, SA, NSW, VIC</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AA1D4B">
            <w:pPr>
              <w:spacing w:before="40" w:after="40"/>
              <w:rPr>
                <w:rFonts w:asciiTheme="majorHAnsi" w:hAnsiTheme="majorHAnsi" w:cs="Helvetica"/>
                <w:i/>
                <w:iCs/>
                <w:sz w:val="18"/>
                <w:szCs w:val="18"/>
              </w:rPr>
            </w:pPr>
            <w:r w:rsidRPr="00B933AF">
              <w:rPr>
                <w:rFonts w:asciiTheme="majorHAnsi" w:hAnsiTheme="majorHAnsi" w:cs="Helvetica"/>
                <w:i/>
                <w:iCs/>
                <w:sz w:val="18"/>
                <w:szCs w:val="18"/>
              </w:rPr>
              <w:t xml:space="preserve">Chrysolepis chrysophylla </w:t>
            </w:r>
            <w:r w:rsidRPr="00B933AF">
              <w:rPr>
                <w:rFonts w:asciiTheme="majorHAnsi" w:hAnsiTheme="majorHAnsi" w:cs="Helvetica"/>
                <w:sz w:val="18"/>
                <w:szCs w:val="18"/>
              </w:rPr>
              <w:t xml:space="preserve">(Dougl. ex Hook.) Hjelmqvist </w:t>
            </w:r>
            <w:r w:rsidRPr="00B933AF">
              <w:rPr>
                <w:rFonts w:asciiTheme="majorHAnsi" w:hAnsiTheme="majorHAnsi" w:cs="Helvetica"/>
                <w:iCs/>
                <w:sz w:val="18"/>
                <w:szCs w:val="18"/>
              </w:rPr>
              <w:t xml:space="preserve">[Fagaceae] </w:t>
            </w:r>
            <w:r w:rsidRPr="00B933AF">
              <w:rPr>
                <w:rFonts w:asciiTheme="majorHAnsi" w:hAnsiTheme="majorHAnsi" w:cs="Helvetica"/>
                <w:i/>
                <w:iCs/>
                <w:sz w:val="18"/>
                <w:szCs w:val="18"/>
              </w:rPr>
              <w:t xml:space="preserve">– </w:t>
            </w:r>
            <w:r w:rsidRPr="00B933AF">
              <w:rPr>
                <w:rFonts w:asciiTheme="majorHAnsi" w:hAnsiTheme="majorHAnsi" w:cs="Helvetica"/>
                <w:iCs/>
                <w:sz w:val="18"/>
                <w:szCs w:val="18"/>
              </w:rPr>
              <w:t>Chinquapin, Golden chinquapin</w:t>
            </w:r>
            <w:r w:rsidR="00AA1D4B">
              <w:rPr>
                <w:rFonts w:asciiTheme="majorHAnsi" w:hAnsiTheme="majorHAnsi" w:cs="Helvetica"/>
                <w:iCs/>
                <w:sz w:val="18"/>
                <w:szCs w:val="18"/>
              </w:rPr>
              <w:t xml:space="preserve"> (Listed as </w:t>
            </w:r>
            <w:r w:rsidR="00AA1D4B" w:rsidRPr="00AA1D4B">
              <w:rPr>
                <w:rFonts w:asciiTheme="majorHAnsi" w:hAnsiTheme="majorHAnsi" w:cs="Helvetica"/>
                <w:i/>
                <w:iCs/>
                <w:sz w:val="18"/>
                <w:szCs w:val="18"/>
              </w:rPr>
              <w:t>Chrysolepsis chrysophylla</w:t>
            </w:r>
            <w:r w:rsidR="00AA1D4B">
              <w:rPr>
                <w:rFonts w:asciiTheme="majorHAnsi" w:hAnsiTheme="majorHAnsi" w:cs="Helvetica"/>
                <w:iCs/>
                <w:sz w:val="18"/>
                <w:szCs w:val="18"/>
              </w:rPr>
              <w:t>, which is not an accepted name)</w:t>
            </w:r>
          </w:p>
        </w:tc>
        <w:tc>
          <w:tcPr>
            <w:tcW w:w="1316" w:type="pct"/>
            <w:tcBorders>
              <w:top w:val="single" w:sz="8" w:space="0" w:color="D9D9D9" w:themeColor="background1" w:themeShade="D9"/>
              <w:left w:val="nil"/>
              <w:bottom w:val="single" w:sz="8" w:space="0" w:color="D9D9D9" w:themeColor="background1" w:themeShade="D9"/>
              <w:right w:val="nil"/>
            </w:tcBorders>
          </w:tcPr>
          <w:p w:rsidR="008E5D9B" w:rsidRPr="00B933AF" w:rsidRDefault="008E5D9B" w:rsidP="008E5D9B">
            <w:pPr>
              <w:spacing w:before="40" w:after="40"/>
              <w:rPr>
                <w:rFonts w:asciiTheme="majorHAnsi" w:hAnsiTheme="majorHAnsi" w:cs="Helvetica"/>
                <w:sz w:val="18"/>
                <w:szCs w:val="18"/>
              </w:rPr>
            </w:pPr>
            <w:r w:rsidRPr="008E5D9B">
              <w:rPr>
                <w:rFonts w:asciiTheme="majorHAnsi" w:hAnsiTheme="majorHAnsi" w:cs="Helvetica"/>
                <w:i/>
                <w:sz w:val="18"/>
                <w:szCs w:val="18"/>
              </w:rPr>
              <w:t>Castanea chrysophylla</w:t>
            </w:r>
            <w:r w:rsidRPr="008E5D9B">
              <w:rPr>
                <w:rFonts w:asciiTheme="majorHAnsi" w:hAnsiTheme="majorHAnsi" w:cs="Helvetica"/>
                <w:sz w:val="18"/>
                <w:szCs w:val="18"/>
              </w:rPr>
              <w:t xml:space="preserve"> Douglas ex Hook.</w:t>
            </w:r>
            <w:r>
              <w:rPr>
                <w:rFonts w:asciiTheme="majorHAnsi" w:hAnsiTheme="majorHAnsi" w:cs="Helvetica"/>
                <w:sz w:val="18"/>
                <w:szCs w:val="18"/>
              </w:rPr>
              <w:t xml:space="preserve">, </w:t>
            </w:r>
            <w:r w:rsidRPr="008E5D9B">
              <w:rPr>
                <w:rFonts w:asciiTheme="majorHAnsi" w:hAnsiTheme="majorHAnsi" w:cs="Helvetica"/>
                <w:i/>
                <w:sz w:val="18"/>
                <w:szCs w:val="18"/>
              </w:rPr>
              <w:t>Castanopsis chrysophylla</w:t>
            </w:r>
            <w:r w:rsidRPr="008E5D9B">
              <w:rPr>
                <w:rFonts w:asciiTheme="majorHAnsi" w:hAnsiTheme="majorHAnsi" w:cs="Helvetica"/>
                <w:sz w:val="18"/>
                <w:szCs w:val="18"/>
              </w:rPr>
              <w:t xml:space="preserve"> (Douglas ex Hook.) A. DC.</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Not listed as occurring in Australia</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Cinnamomum camphora</w:t>
            </w:r>
            <w:r w:rsidRPr="00B933AF">
              <w:rPr>
                <w:rFonts w:asciiTheme="majorHAnsi" w:hAnsiTheme="majorHAnsi" w:cs="Helvetica"/>
                <w:sz w:val="18"/>
                <w:szCs w:val="18"/>
              </w:rPr>
              <w:t xml:space="preserve"> (L.) J. Presl [Lauraceae] – Camphor laurel</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Camphora officinarum</w:t>
            </w:r>
            <w:r w:rsidRPr="00B933AF">
              <w:rPr>
                <w:rFonts w:asciiTheme="majorHAnsi" w:hAnsiTheme="majorHAnsi"/>
                <w:sz w:val="18"/>
                <w:szCs w:val="18"/>
              </w:rPr>
              <w:t xml:space="preserve"> Nees, </w:t>
            </w:r>
            <w:r w:rsidRPr="00B933AF">
              <w:rPr>
                <w:rFonts w:asciiTheme="majorHAnsi" w:hAnsiTheme="majorHAnsi"/>
                <w:i/>
                <w:sz w:val="18"/>
                <w:szCs w:val="18"/>
              </w:rPr>
              <w:t>Cinnamomum camphoroides</w:t>
            </w:r>
            <w:r w:rsidRPr="00B933AF">
              <w:rPr>
                <w:rFonts w:asciiTheme="majorHAnsi" w:hAnsiTheme="majorHAnsi"/>
                <w:sz w:val="18"/>
                <w:szCs w:val="18"/>
              </w:rPr>
              <w:t xml:space="preserve"> Hayata, </w:t>
            </w:r>
            <w:r w:rsidRPr="00B933AF">
              <w:rPr>
                <w:rFonts w:asciiTheme="majorHAnsi" w:hAnsiTheme="majorHAnsi"/>
                <w:i/>
                <w:sz w:val="18"/>
                <w:szCs w:val="18"/>
              </w:rPr>
              <w:t>Cinnamomum nominale</w:t>
            </w:r>
            <w:r w:rsidRPr="00B933AF">
              <w:rPr>
                <w:rFonts w:asciiTheme="majorHAnsi" w:hAnsiTheme="majorHAnsi"/>
                <w:sz w:val="18"/>
                <w:szCs w:val="18"/>
              </w:rPr>
              <w:t xml:space="preserve"> (Hayata) Hayata, </w:t>
            </w:r>
            <w:r w:rsidRPr="00B933AF">
              <w:rPr>
                <w:rFonts w:asciiTheme="majorHAnsi" w:hAnsiTheme="majorHAnsi"/>
                <w:i/>
                <w:sz w:val="18"/>
                <w:szCs w:val="18"/>
              </w:rPr>
              <w:t>Cinnamomum simondii</w:t>
            </w:r>
            <w:r w:rsidRPr="00B933AF">
              <w:rPr>
                <w:rFonts w:asciiTheme="majorHAnsi" w:hAnsiTheme="majorHAnsi"/>
                <w:sz w:val="18"/>
                <w:szCs w:val="18"/>
              </w:rPr>
              <w:t xml:space="preserve"> Lecomte, </w:t>
            </w:r>
            <w:r w:rsidRPr="00B933AF">
              <w:rPr>
                <w:rFonts w:asciiTheme="majorHAnsi" w:hAnsiTheme="majorHAnsi"/>
                <w:i/>
                <w:sz w:val="18"/>
                <w:szCs w:val="18"/>
              </w:rPr>
              <w:t>Cinnamomum taquetii</w:t>
            </w:r>
            <w:r w:rsidRPr="00B933AF">
              <w:rPr>
                <w:rFonts w:asciiTheme="majorHAnsi" w:hAnsiTheme="majorHAnsi"/>
                <w:sz w:val="18"/>
                <w:szCs w:val="18"/>
              </w:rPr>
              <w:t xml:space="preserve"> H. Lév., </w:t>
            </w:r>
            <w:r w:rsidRPr="00B933AF">
              <w:rPr>
                <w:rFonts w:asciiTheme="majorHAnsi" w:hAnsiTheme="majorHAnsi"/>
                <w:i/>
                <w:sz w:val="18"/>
                <w:szCs w:val="18"/>
              </w:rPr>
              <w:t>Laurus camphora</w:t>
            </w:r>
            <w:r w:rsidRPr="00B933AF">
              <w:rPr>
                <w:rFonts w:asciiTheme="majorHAnsi" w:hAnsiTheme="majorHAnsi"/>
                <w:sz w:val="18"/>
                <w:szCs w:val="18"/>
              </w:rPr>
              <w:t xml:space="preserve"> L., </w:t>
            </w:r>
            <w:r w:rsidRPr="00B933AF">
              <w:rPr>
                <w:rFonts w:asciiTheme="majorHAnsi" w:hAnsiTheme="majorHAnsi"/>
                <w:i/>
                <w:sz w:val="18"/>
                <w:szCs w:val="18"/>
              </w:rPr>
              <w:t>Persea camphora</w:t>
            </w:r>
            <w:r w:rsidRPr="00B933AF">
              <w:rPr>
                <w:rFonts w:asciiTheme="majorHAnsi" w:hAnsiTheme="majorHAnsi"/>
                <w:sz w:val="18"/>
                <w:szCs w:val="18"/>
              </w:rPr>
              <w:t xml:space="preserve"> (L.) Spreng.</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COMTF 2015; Sansford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2009; Rooney-Latham et al. 2013</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theme="minorHAnsi"/>
                <w:sz w:val="18"/>
                <w:szCs w:val="18"/>
              </w:rPr>
            </w:pPr>
            <w:r w:rsidRPr="00B933AF">
              <w:rPr>
                <w:rFonts w:asciiTheme="majorHAnsi" w:hAnsiTheme="majorHAnsi" w:cs="Helvetica"/>
                <w:sz w:val="18"/>
                <w:szCs w:val="18"/>
              </w:rPr>
              <w:t>QLD, NSW, WA, VIC, ACT, SA</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Clintonia andrewsiana</w:t>
            </w:r>
            <w:r w:rsidRPr="00B933AF">
              <w:rPr>
                <w:rFonts w:asciiTheme="majorHAnsi" w:hAnsiTheme="majorHAnsi" w:cs="Helvetica"/>
                <w:sz w:val="18"/>
                <w:szCs w:val="18"/>
              </w:rPr>
              <w:t xml:space="preserve"> Torr. [Liliaceae] – Andrew’s clintonia bead lily</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Cave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2008; 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Not listed as occurring in Australia</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Cornus</w:t>
            </w:r>
            <w:r w:rsidRPr="00B933AF">
              <w:rPr>
                <w:rFonts w:asciiTheme="majorHAnsi" w:hAnsiTheme="majorHAnsi" w:cs="Helvetica"/>
                <w:sz w:val="18"/>
                <w:szCs w:val="18"/>
              </w:rPr>
              <w:t xml:space="preserve"> L. species [Cornaceae] – Cornel, Dogwood</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Arctocrania</w:t>
            </w:r>
            <w:r w:rsidRPr="00B933AF">
              <w:rPr>
                <w:rFonts w:asciiTheme="majorHAnsi" w:hAnsiTheme="majorHAnsi"/>
                <w:sz w:val="18"/>
                <w:szCs w:val="18"/>
              </w:rPr>
              <w:t xml:space="preserve"> (Endl.) Nakai, </w:t>
            </w:r>
            <w:r w:rsidRPr="00B933AF">
              <w:rPr>
                <w:rFonts w:asciiTheme="majorHAnsi" w:hAnsiTheme="majorHAnsi"/>
                <w:i/>
                <w:sz w:val="18"/>
                <w:szCs w:val="18"/>
              </w:rPr>
              <w:t>Benthamia</w:t>
            </w:r>
            <w:r w:rsidRPr="00B933AF">
              <w:rPr>
                <w:rFonts w:asciiTheme="majorHAnsi" w:hAnsiTheme="majorHAnsi"/>
                <w:sz w:val="18"/>
                <w:szCs w:val="18"/>
              </w:rPr>
              <w:t xml:space="preserve"> Lindl., </w:t>
            </w:r>
            <w:r w:rsidRPr="00B933AF">
              <w:rPr>
                <w:rFonts w:asciiTheme="majorHAnsi" w:hAnsiTheme="majorHAnsi"/>
                <w:i/>
                <w:sz w:val="18"/>
                <w:szCs w:val="18"/>
              </w:rPr>
              <w:t>Benthamidia</w:t>
            </w:r>
            <w:r w:rsidRPr="00B933AF">
              <w:rPr>
                <w:rFonts w:asciiTheme="majorHAnsi" w:hAnsiTheme="majorHAnsi"/>
                <w:sz w:val="18"/>
                <w:szCs w:val="18"/>
              </w:rPr>
              <w:t xml:space="preserve"> Spach, </w:t>
            </w:r>
            <w:r w:rsidRPr="00B933AF">
              <w:rPr>
                <w:rFonts w:asciiTheme="majorHAnsi" w:hAnsiTheme="majorHAnsi"/>
                <w:i/>
                <w:sz w:val="18"/>
                <w:szCs w:val="18"/>
              </w:rPr>
              <w:t>Chamaepericlymenum</w:t>
            </w:r>
            <w:r w:rsidRPr="00B933AF">
              <w:rPr>
                <w:rFonts w:asciiTheme="majorHAnsi" w:hAnsiTheme="majorHAnsi"/>
                <w:sz w:val="18"/>
                <w:szCs w:val="18"/>
              </w:rPr>
              <w:t xml:space="preserve"> Hill, </w:t>
            </w:r>
            <w:r w:rsidRPr="00B933AF">
              <w:rPr>
                <w:rFonts w:asciiTheme="majorHAnsi" w:hAnsiTheme="majorHAnsi"/>
                <w:i/>
                <w:sz w:val="18"/>
                <w:szCs w:val="18"/>
              </w:rPr>
              <w:t>Cornella</w:t>
            </w:r>
            <w:r w:rsidRPr="00B933AF">
              <w:rPr>
                <w:rFonts w:asciiTheme="majorHAnsi" w:hAnsiTheme="majorHAnsi"/>
                <w:sz w:val="18"/>
                <w:szCs w:val="18"/>
              </w:rPr>
              <w:t xml:space="preserve"> Rydb., </w:t>
            </w:r>
            <w:r w:rsidRPr="00B933AF">
              <w:rPr>
                <w:rFonts w:asciiTheme="majorHAnsi" w:hAnsiTheme="majorHAnsi"/>
                <w:i/>
                <w:sz w:val="18"/>
                <w:szCs w:val="18"/>
              </w:rPr>
              <w:t>Cynoxylon</w:t>
            </w:r>
            <w:r w:rsidRPr="00B933AF">
              <w:rPr>
                <w:rFonts w:asciiTheme="majorHAnsi" w:hAnsiTheme="majorHAnsi"/>
                <w:sz w:val="18"/>
                <w:szCs w:val="18"/>
              </w:rPr>
              <w:t xml:space="preserve"> (Raf.) Small, </w:t>
            </w:r>
            <w:r w:rsidRPr="00B933AF">
              <w:rPr>
                <w:rFonts w:asciiTheme="majorHAnsi" w:hAnsiTheme="majorHAnsi"/>
                <w:i/>
                <w:sz w:val="18"/>
                <w:szCs w:val="18"/>
              </w:rPr>
              <w:t>Eukrania</w:t>
            </w:r>
            <w:r w:rsidRPr="00B933AF">
              <w:rPr>
                <w:rFonts w:asciiTheme="majorHAnsi" w:hAnsiTheme="majorHAnsi"/>
                <w:sz w:val="18"/>
                <w:szCs w:val="18"/>
              </w:rPr>
              <w:t xml:space="preserve"> Raf., </w:t>
            </w:r>
            <w:r w:rsidRPr="00B933AF">
              <w:rPr>
                <w:rFonts w:asciiTheme="majorHAnsi" w:hAnsiTheme="majorHAnsi"/>
                <w:i/>
                <w:sz w:val="18"/>
                <w:szCs w:val="18"/>
              </w:rPr>
              <w:t>Macrocarpium</w:t>
            </w:r>
            <w:r w:rsidRPr="00B933AF">
              <w:rPr>
                <w:rFonts w:asciiTheme="majorHAnsi" w:hAnsiTheme="majorHAnsi"/>
                <w:sz w:val="18"/>
                <w:szCs w:val="18"/>
              </w:rPr>
              <w:t xml:space="preserve"> (Spach) Nakai, </w:t>
            </w:r>
            <w:r w:rsidRPr="00B933AF">
              <w:rPr>
                <w:rFonts w:asciiTheme="majorHAnsi" w:hAnsiTheme="majorHAnsi"/>
                <w:i/>
                <w:sz w:val="18"/>
                <w:szCs w:val="18"/>
              </w:rPr>
              <w:t>Ossea</w:t>
            </w:r>
            <w:r w:rsidRPr="00B933AF">
              <w:rPr>
                <w:rFonts w:asciiTheme="majorHAnsi" w:hAnsiTheme="majorHAnsi"/>
                <w:sz w:val="18"/>
                <w:szCs w:val="18"/>
              </w:rPr>
              <w:t xml:space="preserve"> Nieuwl. &amp; Lunell, </w:t>
            </w:r>
            <w:r w:rsidRPr="00B933AF">
              <w:rPr>
                <w:rFonts w:asciiTheme="majorHAnsi" w:hAnsiTheme="majorHAnsi"/>
                <w:i/>
                <w:sz w:val="18"/>
                <w:szCs w:val="18"/>
              </w:rPr>
              <w:t>Svida</w:t>
            </w:r>
            <w:r w:rsidRPr="00B933AF">
              <w:rPr>
                <w:rFonts w:asciiTheme="majorHAnsi" w:hAnsiTheme="majorHAnsi"/>
                <w:sz w:val="18"/>
                <w:szCs w:val="18"/>
              </w:rPr>
              <w:t xml:space="preserve"> Opiz, </w:t>
            </w:r>
            <w:r w:rsidRPr="00B933AF">
              <w:rPr>
                <w:rFonts w:asciiTheme="majorHAnsi" w:hAnsiTheme="majorHAnsi"/>
                <w:i/>
                <w:sz w:val="18"/>
                <w:szCs w:val="18"/>
              </w:rPr>
              <w:t xml:space="preserve">Thelycrania </w:t>
            </w:r>
            <w:r w:rsidRPr="00B933AF">
              <w:rPr>
                <w:rFonts w:asciiTheme="majorHAnsi" w:hAnsiTheme="majorHAnsi"/>
                <w:sz w:val="18"/>
                <w:szCs w:val="18"/>
              </w:rPr>
              <w:t>(Dumort.) Fourr.</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RAPRA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VIC, ACT, NSW, TAS</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Cornus capitata</w:t>
            </w:r>
            <w:r w:rsidRPr="00B933AF">
              <w:rPr>
                <w:rFonts w:asciiTheme="majorHAnsi" w:hAnsiTheme="majorHAnsi" w:cs="Helvetica"/>
                <w:sz w:val="18"/>
                <w:szCs w:val="18"/>
              </w:rPr>
              <w:t xml:space="preserve"> Wall. [Cornaceae] – Bentham’s dogwood, Bentham’s cornel</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Benthamia capitata</w:t>
            </w:r>
            <w:r w:rsidRPr="00B933AF">
              <w:rPr>
                <w:rFonts w:asciiTheme="majorHAnsi" w:hAnsiTheme="majorHAnsi"/>
                <w:sz w:val="18"/>
                <w:szCs w:val="18"/>
              </w:rPr>
              <w:t xml:space="preserve"> (Wall.) Nakai, </w:t>
            </w:r>
            <w:r w:rsidRPr="00B933AF">
              <w:rPr>
                <w:rFonts w:asciiTheme="majorHAnsi" w:hAnsiTheme="majorHAnsi"/>
                <w:i/>
                <w:sz w:val="18"/>
                <w:szCs w:val="18"/>
              </w:rPr>
              <w:t>Benthamia fragifera</w:t>
            </w:r>
            <w:r w:rsidRPr="00B933AF">
              <w:rPr>
                <w:rFonts w:asciiTheme="majorHAnsi" w:hAnsiTheme="majorHAnsi"/>
                <w:sz w:val="18"/>
                <w:szCs w:val="18"/>
              </w:rPr>
              <w:t xml:space="preserve"> Lindl., </w:t>
            </w:r>
            <w:r w:rsidRPr="00B933AF">
              <w:rPr>
                <w:rFonts w:asciiTheme="majorHAnsi" w:hAnsiTheme="majorHAnsi"/>
                <w:i/>
                <w:sz w:val="18"/>
                <w:szCs w:val="18"/>
              </w:rPr>
              <w:t>Benthamidia capitata</w:t>
            </w:r>
            <w:r w:rsidRPr="00B933AF">
              <w:rPr>
                <w:rFonts w:asciiTheme="majorHAnsi" w:hAnsiTheme="majorHAnsi"/>
                <w:sz w:val="18"/>
                <w:szCs w:val="18"/>
              </w:rPr>
              <w:t xml:space="preserve"> (Wall.) H. Hara, </w:t>
            </w:r>
            <w:r w:rsidRPr="00B933AF">
              <w:rPr>
                <w:rFonts w:asciiTheme="majorHAnsi" w:hAnsiTheme="majorHAnsi"/>
                <w:i/>
                <w:sz w:val="18"/>
                <w:szCs w:val="18"/>
              </w:rPr>
              <w:t>Cynoxylon capitatum</w:t>
            </w:r>
            <w:r w:rsidRPr="00B933AF">
              <w:rPr>
                <w:rFonts w:asciiTheme="majorHAnsi" w:hAnsiTheme="majorHAnsi"/>
                <w:sz w:val="18"/>
                <w:szCs w:val="18"/>
              </w:rPr>
              <w:t xml:space="preserve"> (Wall.) Nakai, </w:t>
            </w:r>
            <w:r w:rsidRPr="00B933AF">
              <w:rPr>
                <w:rFonts w:asciiTheme="majorHAnsi" w:hAnsiTheme="majorHAnsi"/>
                <w:i/>
                <w:sz w:val="18"/>
                <w:szCs w:val="18"/>
              </w:rPr>
              <w:t>Cynoxylon glabriusculum</w:t>
            </w:r>
            <w:r w:rsidRPr="00B933AF">
              <w:rPr>
                <w:rFonts w:asciiTheme="majorHAnsi" w:hAnsiTheme="majorHAnsi"/>
                <w:sz w:val="18"/>
                <w:szCs w:val="18"/>
              </w:rPr>
              <w:t xml:space="preserve"> Pojark., </w:t>
            </w:r>
            <w:r w:rsidRPr="00B933AF">
              <w:rPr>
                <w:rFonts w:asciiTheme="majorHAnsi" w:hAnsiTheme="majorHAnsi"/>
                <w:i/>
                <w:sz w:val="18"/>
                <w:szCs w:val="18"/>
              </w:rPr>
              <w:t>Cynoxylon yunnanense</w:t>
            </w:r>
            <w:r w:rsidRPr="00B933AF">
              <w:rPr>
                <w:rFonts w:asciiTheme="majorHAnsi" w:hAnsiTheme="majorHAnsi"/>
                <w:sz w:val="18"/>
                <w:szCs w:val="18"/>
              </w:rPr>
              <w:t xml:space="preserve"> Pojark., </w:t>
            </w:r>
            <w:r w:rsidRPr="00B933AF">
              <w:rPr>
                <w:rFonts w:asciiTheme="majorHAnsi" w:hAnsiTheme="majorHAnsi"/>
                <w:i/>
                <w:sz w:val="18"/>
                <w:szCs w:val="18"/>
              </w:rPr>
              <w:t>Dendrobenthamia capitata</w:t>
            </w:r>
            <w:r w:rsidRPr="00B933AF">
              <w:rPr>
                <w:rFonts w:asciiTheme="majorHAnsi" w:hAnsiTheme="majorHAnsi"/>
                <w:sz w:val="18"/>
                <w:szCs w:val="18"/>
              </w:rPr>
              <w:t xml:space="preserve"> (Wall.) Hutch., </w:t>
            </w:r>
            <w:r w:rsidRPr="00B933AF">
              <w:rPr>
                <w:rFonts w:asciiTheme="majorHAnsi" w:hAnsiTheme="majorHAnsi"/>
                <w:i/>
                <w:sz w:val="18"/>
                <w:szCs w:val="18"/>
              </w:rPr>
              <w:t>Dendrobenthamia emeiensis</w:t>
            </w:r>
            <w:r w:rsidRPr="00B933AF">
              <w:rPr>
                <w:rFonts w:asciiTheme="majorHAnsi" w:hAnsiTheme="majorHAnsi"/>
                <w:sz w:val="18"/>
                <w:szCs w:val="18"/>
              </w:rPr>
              <w:t xml:space="preserve"> W.P. Fang &amp; Y.T. Hsieh </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Sansford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2009; RAPRA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VIC, NSW, ACT, TAS</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Cornus kousa</w:t>
            </w:r>
            <w:r w:rsidRPr="00B933AF">
              <w:rPr>
                <w:rFonts w:asciiTheme="majorHAnsi" w:hAnsiTheme="majorHAnsi" w:cs="Helvetica"/>
                <w:sz w:val="18"/>
                <w:szCs w:val="18"/>
              </w:rPr>
              <w:t xml:space="preserve"> Hance [Cornaceae] – Chinese dogwood, Japanese dogwood</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lastRenderedPageBreak/>
              <w:t>Cornus nuttallii</w:t>
            </w:r>
            <w:r w:rsidRPr="00B933AF">
              <w:rPr>
                <w:rFonts w:asciiTheme="majorHAnsi" w:hAnsiTheme="majorHAnsi" w:cs="Helvetica"/>
                <w:sz w:val="18"/>
                <w:szCs w:val="18"/>
              </w:rPr>
              <w:t xml:space="preserve"> Audubon [Cornaceae] - Mountain dogwood, Pacific dogwood, Western dogwood </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Corylopsis spicata</w:t>
            </w:r>
            <w:r w:rsidRPr="00B933AF">
              <w:rPr>
                <w:rFonts w:asciiTheme="majorHAnsi" w:hAnsiTheme="majorHAnsi" w:cs="Helvetica"/>
                <w:sz w:val="18"/>
                <w:szCs w:val="18"/>
              </w:rPr>
              <w:t xml:space="preserve"> Siebold &amp; Zucc. [Hamamelidaceae] – Spike winter hazel</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ACT, VIC</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Corylus cornuta</w:t>
            </w:r>
            <w:r w:rsidRPr="00B933AF">
              <w:rPr>
                <w:rFonts w:asciiTheme="majorHAnsi" w:hAnsiTheme="majorHAnsi" w:cs="Helvetica"/>
                <w:sz w:val="18"/>
                <w:szCs w:val="18"/>
              </w:rPr>
              <w:t xml:space="preserve"> Marshall [Betulaceae] – California hazelnut </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Corylus rostrata</w:t>
            </w:r>
            <w:r w:rsidRPr="00B933AF">
              <w:rPr>
                <w:rFonts w:asciiTheme="majorHAnsi" w:hAnsiTheme="majorHAnsi" w:cs="Helvetica"/>
                <w:sz w:val="18"/>
                <w:szCs w:val="18"/>
              </w:rPr>
              <w:t xml:space="preserve"> Aiton</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Cave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2008; Sansford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100D81">
            <w:pPr>
              <w:spacing w:before="40" w:after="40"/>
              <w:rPr>
                <w:rFonts w:asciiTheme="majorHAnsi" w:hAnsiTheme="majorHAnsi" w:cs="Helvetica"/>
                <w:sz w:val="18"/>
                <w:szCs w:val="18"/>
              </w:rPr>
            </w:pPr>
            <w:r w:rsidRPr="00B933AF">
              <w:rPr>
                <w:rFonts w:asciiTheme="majorHAnsi" w:hAnsiTheme="majorHAnsi" w:cs="Helvetica"/>
                <w:i/>
                <w:iCs/>
                <w:sz w:val="18"/>
                <w:szCs w:val="18"/>
              </w:rPr>
              <w:t>Cotoneaster</w:t>
            </w:r>
            <w:r w:rsidRPr="00B933AF">
              <w:rPr>
                <w:rFonts w:asciiTheme="majorHAnsi" w:hAnsiTheme="majorHAnsi" w:cs="Helvetica"/>
                <w:sz w:val="18"/>
                <w:szCs w:val="18"/>
              </w:rPr>
              <w:t xml:space="preserve"> Medik. species [Rosaceae] (</w:t>
            </w:r>
            <w:r w:rsidRPr="00B933AF">
              <w:rPr>
                <w:rFonts w:asciiTheme="majorHAnsi" w:hAnsiTheme="majorHAnsi" w:cs="Helvetica"/>
                <w:i/>
                <w:iCs/>
                <w:sz w:val="18"/>
                <w:szCs w:val="18"/>
              </w:rPr>
              <w:t>Cotoneaster horizontalis</w:t>
            </w:r>
            <w:r w:rsidRPr="00B933AF">
              <w:rPr>
                <w:rFonts w:asciiTheme="majorHAnsi" w:hAnsiTheme="majorHAnsi" w:cs="Helvetica"/>
                <w:sz w:val="18"/>
                <w:szCs w:val="18"/>
              </w:rPr>
              <w:t xml:space="preserve"> and </w:t>
            </w:r>
            <w:r w:rsidRPr="00B933AF">
              <w:rPr>
                <w:rFonts w:asciiTheme="majorHAnsi" w:hAnsiTheme="majorHAnsi" w:cs="Helvetica"/>
                <w:i/>
                <w:iCs/>
                <w:sz w:val="18"/>
                <w:szCs w:val="18"/>
              </w:rPr>
              <w:t>C</w:t>
            </w:r>
            <w:r w:rsidRPr="00B933AF">
              <w:rPr>
                <w:rFonts w:asciiTheme="majorHAnsi" w:hAnsiTheme="majorHAnsi" w:cs="Helvetica"/>
                <w:sz w:val="18"/>
                <w:szCs w:val="18"/>
              </w:rPr>
              <w:t xml:space="preserve">. </w:t>
            </w:r>
            <w:r w:rsidRPr="00B933AF">
              <w:rPr>
                <w:rFonts w:asciiTheme="majorHAnsi" w:hAnsiTheme="majorHAnsi" w:cs="Helvetica"/>
                <w:i/>
                <w:iCs/>
                <w:sz w:val="18"/>
                <w:szCs w:val="18"/>
              </w:rPr>
              <w:t xml:space="preserve">dammeri </w:t>
            </w:r>
            <w:r w:rsidRPr="00B933AF">
              <w:rPr>
                <w:rFonts w:asciiTheme="majorHAnsi" w:hAnsiTheme="majorHAnsi" w:cs="Helvetica"/>
                <w:iCs/>
                <w:sz w:val="18"/>
                <w:szCs w:val="18"/>
              </w:rPr>
              <w:t>are reported as experimental hosts only (</w:t>
            </w:r>
            <w:r w:rsidRPr="00B933AF">
              <w:rPr>
                <w:rStyle w:val="authorname3"/>
                <w:rFonts w:asciiTheme="majorHAnsi" w:hAnsiTheme="majorHAnsi" w:cs="Helvetica"/>
                <w:b w:val="0"/>
                <w:sz w:val="18"/>
                <w:szCs w:val="18"/>
              </w:rPr>
              <w:t>Bulajić et al. 2010)</w:t>
            </w:r>
            <w:r w:rsidRPr="00B933AF">
              <w:rPr>
                <w:rFonts w:asciiTheme="majorHAnsi" w:hAnsiTheme="majorHAnsi" w:cs="Helvetica"/>
                <w:sz w:val="18"/>
                <w:szCs w:val="18"/>
              </w:rPr>
              <w:t>)</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FERA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NSW, SA, ACT, VIC, TAS, QLD, WA</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Cs/>
                <w:sz w:val="18"/>
                <w:szCs w:val="18"/>
              </w:rPr>
            </w:pPr>
            <w:r w:rsidRPr="00B933AF">
              <w:rPr>
                <w:rFonts w:asciiTheme="majorHAnsi" w:hAnsiTheme="majorHAnsi" w:cs="Helvetica"/>
                <w:i/>
                <w:iCs/>
                <w:sz w:val="18"/>
                <w:szCs w:val="18"/>
              </w:rPr>
              <w:t>Cryptantha torreyana</w:t>
            </w:r>
            <w:r w:rsidRPr="00B933AF">
              <w:rPr>
                <w:rFonts w:asciiTheme="majorHAnsi" w:hAnsiTheme="majorHAnsi" w:cs="Helvetica"/>
                <w:iCs/>
                <w:sz w:val="18"/>
                <w:szCs w:val="18"/>
              </w:rPr>
              <w:t xml:space="preserve"> (A. Gray) Greene [Boraginaceae] – Torrey’s cryptantha</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
                <w:iCs/>
                <w:sz w:val="18"/>
                <w:szCs w:val="18"/>
              </w:rPr>
            </w:pPr>
            <w:r w:rsidRPr="00B933AF">
              <w:rPr>
                <w:rFonts w:asciiTheme="majorHAnsi" w:hAnsiTheme="majorHAnsi" w:cs="Helvetica"/>
                <w:i/>
                <w:iCs/>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Vettraino et al. 2010</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Not listed as occurring in Australia</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Cydonia oblonga</w:t>
            </w:r>
            <w:r w:rsidRPr="00B933AF">
              <w:rPr>
                <w:rFonts w:asciiTheme="majorHAnsi" w:hAnsiTheme="majorHAnsi" w:cs="Helvetica"/>
                <w:sz w:val="18"/>
                <w:szCs w:val="18"/>
              </w:rPr>
              <w:t xml:space="preserve"> Mill.</w:t>
            </w:r>
            <w:r w:rsidRPr="00B933AF">
              <w:rPr>
                <w:rFonts w:asciiTheme="majorHAnsi" w:hAnsiTheme="majorHAnsi" w:cs="Helvetica"/>
                <w:i/>
                <w:iCs/>
                <w:sz w:val="18"/>
                <w:szCs w:val="18"/>
              </w:rPr>
              <w:t xml:space="preserve"> </w:t>
            </w:r>
            <w:r w:rsidRPr="00B933AF">
              <w:rPr>
                <w:rFonts w:asciiTheme="majorHAnsi" w:hAnsiTheme="majorHAnsi" w:cs="Helvetica"/>
                <w:sz w:val="18"/>
                <w:szCs w:val="18"/>
              </w:rPr>
              <w:t>[Rosaceae] – Quince</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Cydonia vulgaris</w:t>
            </w:r>
            <w:r w:rsidRPr="00B933AF">
              <w:rPr>
                <w:rFonts w:asciiTheme="majorHAnsi" w:hAnsiTheme="majorHAnsi" w:cs="Helvetica"/>
                <w:sz w:val="18"/>
                <w:szCs w:val="18"/>
              </w:rPr>
              <w:t xml:space="preserve"> Pers., </w:t>
            </w:r>
            <w:r w:rsidRPr="00B933AF">
              <w:rPr>
                <w:rFonts w:asciiTheme="majorHAnsi" w:hAnsiTheme="majorHAnsi" w:cs="Helvetica"/>
                <w:i/>
                <w:iCs/>
                <w:sz w:val="18"/>
                <w:szCs w:val="18"/>
              </w:rPr>
              <w:t>Pyrus cydonia</w:t>
            </w:r>
            <w:r w:rsidRPr="00B933AF">
              <w:rPr>
                <w:rFonts w:asciiTheme="majorHAnsi" w:hAnsiTheme="majorHAnsi" w:cs="Helvetica"/>
                <w:sz w:val="18"/>
                <w:szCs w:val="18"/>
              </w:rPr>
              <w:t xml:space="preserve"> L.</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RAPRA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C74066" w:rsidP="0033344A">
            <w:pPr>
              <w:spacing w:before="40" w:after="40"/>
              <w:rPr>
                <w:rFonts w:asciiTheme="majorHAnsi" w:hAnsiTheme="majorHAnsi" w:cs="Helvetica"/>
                <w:sz w:val="18"/>
                <w:szCs w:val="18"/>
              </w:rPr>
            </w:pP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Cs/>
                <w:sz w:val="18"/>
                <w:szCs w:val="18"/>
              </w:rPr>
            </w:pPr>
            <w:r w:rsidRPr="00B933AF">
              <w:rPr>
                <w:rFonts w:asciiTheme="majorHAnsi" w:hAnsiTheme="majorHAnsi" w:cs="Helvetica"/>
                <w:i/>
                <w:iCs/>
                <w:sz w:val="18"/>
                <w:szCs w:val="18"/>
              </w:rPr>
              <w:t xml:space="preserve">Cytisus scoparius </w:t>
            </w:r>
            <w:r w:rsidRPr="00B933AF">
              <w:rPr>
                <w:rFonts w:asciiTheme="majorHAnsi" w:hAnsiTheme="majorHAnsi" w:cs="Helvetica"/>
                <w:iCs/>
                <w:sz w:val="18"/>
                <w:szCs w:val="18"/>
              </w:rPr>
              <w:t>(L.) Link [Fabaceae] – Common broome, Scotch broome</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
                <w:iCs/>
                <w:sz w:val="18"/>
                <w:szCs w:val="18"/>
              </w:rPr>
            </w:pPr>
            <w:r w:rsidRPr="00B933AF">
              <w:rPr>
                <w:rFonts w:asciiTheme="majorHAnsi" w:hAnsiTheme="majorHAnsi" w:cs="Helvetica"/>
                <w:i/>
                <w:iCs/>
                <w:sz w:val="18"/>
                <w:szCs w:val="18"/>
              </w:rPr>
              <w:t>Sarothamnus scoparius</w:t>
            </w:r>
            <w:r w:rsidRPr="00B933AF">
              <w:rPr>
                <w:rFonts w:asciiTheme="majorHAnsi" w:hAnsiTheme="majorHAnsi" w:cs="Helvetica"/>
                <w:iCs/>
                <w:sz w:val="18"/>
                <w:szCs w:val="18"/>
              </w:rPr>
              <w:t xml:space="preserve"> (L.) W. D. J. Koch,</w:t>
            </w:r>
            <w:r w:rsidRPr="00B933AF">
              <w:rPr>
                <w:rFonts w:asciiTheme="majorHAnsi" w:hAnsiTheme="majorHAnsi" w:cs="Helvetica"/>
                <w:i/>
                <w:iCs/>
                <w:sz w:val="18"/>
                <w:szCs w:val="18"/>
              </w:rPr>
              <w:t xml:space="preserve"> Spartium scoparium </w:t>
            </w:r>
            <w:r w:rsidRPr="00B933AF">
              <w:rPr>
                <w:rFonts w:asciiTheme="majorHAnsi" w:hAnsiTheme="majorHAnsi" w:cs="Helvetica"/>
                <w:iCs/>
                <w:sz w:val="18"/>
                <w:szCs w:val="18"/>
              </w:rPr>
              <w:t>L.</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Vettraino et al. 2010</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NSW, ACT, VIC, SA, TAS</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Daphniphyllum glaucescens</w:t>
            </w:r>
            <w:r w:rsidRPr="00B933AF">
              <w:rPr>
                <w:rFonts w:asciiTheme="majorHAnsi" w:hAnsiTheme="majorHAnsi" w:cs="Helvetica"/>
                <w:sz w:val="18"/>
                <w:szCs w:val="18"/>
              </w:rPr>
              <w:t xml:space="preserve"> Blume [Daphniphyllaceae]</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Distylium myricoides</w:t>
            </w:r>
            <w:r w:rsidRPr="00B933AF">
              <w:rPr>
                <w:rFonts w:asciiTheme="majorHAnsi" w:hAnsiTheme="majorHAnsi" w:cs="Helvetica"/>
                <w:sz w:val="18"/>
                <w:szCs w:val="18"/>
              </w:rPr>
              <w:t xml:space="preserve"> Hemsl. [Hamamelidaceae] – Myrtle-leafed distylium</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Cave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2008 </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bCs/>
                <w:i/>
                <w:sz w:val="18"/>
                <w:szCs w:val="18"/>
              </w:rPr>
            </w:pPr>
            <w:r w:rsidRPr="00B933AF">
              <w:rPr>
                <w:rFonts w:asciiTheme="majorHAnsi" w:hAnsiTheme="majorHAnsi" w:cs="Helvetica"/>
                <w:i/>
                <w:iCs/>
                <w:sz w:val="18"/>
                <w:szCs w:val="18"/>
              </w:rPr>
              <w:t>Drimys winteri</w:t>
            </w:r>
            <w:r w:rsidRPr="00B933AF">
              <w:rPr>
                <w:rFonts w:asciiTheme="majorHAnsi" w:hAnsiTheme="majorHAnsi" w:cs="Helvetica"/>
                <w:sz w:val="18"/>
                <w:szCs w:val="18"/>
              </w:rPr>
              <w:t xml:space="preserve"> J. R. Forst. &amp; G. Forst. [Winteraceae] – Winter’s bark</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Drimys chilensis</w:t>
            </w:r>
            <w:r w:rsidRPr="00B933AF">
              <w:rPr>
                <w:rFonts w:asciiTheme="majorHAnsi" w:hAnsiTheme="majorHAnsi"/>
                <w:sz w:val="18"/>
                <w:szCs w:val="18"/>
              </w:rPr>
              <w:t xml:space="preserve"> DC., </w:t>
            </w:r>
            <w:r w:rsidRPr="00B933AF">
              <w:rPr>
                <w:rFonts w:asciiTheme="majorHAnsi" w:hAnsiTheme="majorHAnsi"/>
                <w:i/>
                <w:sz w:val="18"/>
                <w:szCs w:val="18"/>
              </w:rPr>
              <w:t>Drimys granatensis</w:t>
            </w:r>
            <w:r w:rsidRPr="00B933AF">
              <w:rPr>
                <w:rFonts w:asciiTheme="majorHAnsi" w:hAnsiTheme="majorHAnsi"/>
                <w:sz w:val="18"/>
                <w:szCs w:val="18"/>
              </w:rPr>
              <w:t xml:space="preserve"> Mutis ex L. f., </w:t>
            </w:r>
            <w:r w:rsidRPr="00B933AF">
              <w:rPr>
                <w:rFonts w:asciiTheme="majorHAnsi" w:hAnsiTheme="majorHAnsi"/>
                <w:i/>
                <w:sz w:val="18"/>
                <w:szCs w:val="18"/>
              </w:rPr>
              <w:t>Drimys punctata</w:t>
            </w:r>
            <w:r w:rsidRPr="00B933AF">
              <w:rPr>
                <w:rFonts w:asciiTheme="majorHAnsi" w:hAnsiTheme="majorHAnsi"/>
                <w:sz w:val="18"/>
                <w:szCs w:val="18"/>
              </w:rPr>
              <w:t xml:space="preserve"> Lam. </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VIC</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Dryopteris arguta</w:t>
            </w:r>
            <w:r w:rsidRPr="00B933AF">
              <w:rPr>
                <w:rFonts w:asciiTheme="majorHAnsi" w:hAnsiTheme="majorHAnsi" w:cs="Helvetica"/>
                <w:sz w:val="18"/>
                <w:szCs w:val="18"/>
              </w:rPr>
              <w:t xml:space="preserve"> (Kaulf.) Maxon [Dryopteridiaceae] – Californian wood fern, Coastal woodfern</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Aspidium argutum</w:t>
            </w:r>
            <w:r w:rsidRPr="00B933AF">
              <w:rPr>
                <w:rFonts w:asciiTheme="majorHAnsi" w:hAnsiTheme="majorHAnsi"/>
                <w:sz w:val="18"/>
                <w:szCs w:val="18"/>
              </w:rPr>
              <w:t xml:space="preserve"> Kaulf.</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Not listed as occurring in Australia</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Eucalyptus haemastoma</w:t>
            </w:r>
            <w:r w:rsidRPr="00B933AF">
              <w:rPr>
                <w:rFonts w:asciiTheme="majorHAnsi" w:hAnsiTheme="majorHAnsi" w:cs="Helvetica"/>
                <w:sz w:val="18"/>
                <w:szCs w:val="18"/>
              </w:rPr>
              <w:t xml:space="preserve"> Sm. [Myrtaceae] – Scribbly gum </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Sansford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theme="minorHAnsi"/>
                <w:sz w:val="18"/>
                <w:szCs w:val="18"/>
              </w:rPr>
            </w:pPr>
            <w:r w:rsidRPr="00B933AF">
              <w:rPr>
                <w:rFonts w:asciiTheme="majorHAnsi" w:hAnsiTheme="majorHAnsi" w:cs="Helvetica"/>
                <w:sz w:val="18"/>
                <w:szCs w:val="18"/>
              </w:rPr>
              <w:t>NSW, ACT, VIC</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Euonymus kiautschovicus</w:t>
            </w:r>
            <w:r w:rsidRPr="00B933AF">
              <w:rPr>
                <w:rFonts w:asciiTheme="majorHAnsi" w:hAnsiTheme="majorHAnsi" w:cs="Helvetica"/>
                <w:sz w:val="18"/>
                <w:szCs w:val="18"/>
              </w:rPr>
              <w:t xml:space="preserve"> Loes [Celastraceae] – Spreading euonymus, Creeping strawberry bush</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Euonymus fortunei</w:t>
            </w:r>
            <w:r w:rsidRPr="00B933AF">
              <w:rPr>
                <w:rFonts w:asciiTheme="majorHAnsi" w:hAnsiTheme="majorHAnsi"/>
                <w:sz w:val="18"/>
                <w:szCs w:val="18"/>
              </w:rPr>
              <w:t xml:space="preserve"> (Turcz.) Hand.-Mazz.*, </w:t>
            </w:r>
            <w:r w:rsidRPr="00B933AF">
              <w:rPr>
                <w:rFonts w:asciiTheme="majorHAnsi" w:hAnsiTheme="majorHAnsi"/>
                <w:i/>
                <w:sz w:val="18"/>
                <w:szCs w:val="18"/>
              </w:rPr>
              <w:t>Euonymus hederaceus</w:t>
            </w:r>
            <w:r w:rsidRPr="00B933AF">
              <w:rPr>
                <w:rFonts w:asciiTheme="majorHAnsi" w:hAnsiTheme="majorHAnsi"/>
                <w:sz w:val="18"/>
                <w:szCs w:val="18"/>
              </w:rPr>
              <w:t xml:space="preserve"> Champ. ex Benth.*</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Cave </w:t>
            </w:r>
            <w:r w:rsidRPr="00B933AF">
              <w:rPr>
                <w:rFonts w:asciiTheme="majorHAnsi" w:hAnsiTheme="majorHAnsi" w:cs="Helvetica"/>
                <w:iCs/>
                <w:sz w:val="18"/>
                <w:szCs w:val="18"/>
              </w:rPr>
              <w:t>et al</w:t>
            </w:r>
            <w:r w:rsidRPr="00B933AF">
              <w:rPr>
                <w:rFonts w:asciiTheme="majorHAnsi" w:hAnsiTheme="majorHAnsi" w:cs="Helvetica"/>
                <w:sz w:val="18"/>
                <w:szCs w:val="18"/>
              </w:rPr>
              <w:t>. 2008</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Not listed as occurring in Australia</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Fagus sylvatica</w:t>
            </w:r>
            <w:r w:rsidRPr="00B933AF">
              <w:rPr>
                <w:rFonts w:asciiTheme="majorHAnsi" w:hAnsiTheme="majorHAnsi" w:cs="Helvetica"/>
                <w:sz w:val="18"/>
                <w:szCs w:val="18"/>
              </w:rPr>
              <w:t xml:space="preserve"> L. [Fagaceae] – Beech</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Sansford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2009; FERA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NSW, SA, ACT, TAS, VIC</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lastRenderedPageBreak/>
              <w:t>Frangula californica</w:t>
            </w:r>
            <w:r w:rsidRPr="00B933AF">
              <w:rPr>
                <w:rFonts w:asciiTheme="majorHAnsi" w:hAnsiTheme="majorHAnsi" w:cs="Helvetica"/>
                <w:sz w:val="18"/>
                <w:szCs w:val="18"/>
              </w:rPr>
              <w:t xml:space="preserve"> (Eschsch.) A. Gray [Rhamnaceae] – Californian coffeeberry, California buckthorn</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Helvetica"/>
                <w:iCs/>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Helvetica"/>
                <w:sz w:val="18"/>
                <w:szCs w:val="18"/>
              </w:rPr>
              <w:t xml:space="preserve">Goheen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2006a; Garbelotto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2003; Sansford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Frangula purshiana</w:t>
            </w:r>
            <w:r w:rsidRPr="00B933AF">
              <w:rPr>
                <w:rFonts w:asciiTheme="majorHAnsi" w:hAnsiTheme="majorHAnsi" w:cs="Helvetica"/>
                <w:sz w:val="18"/>
                <w:szCs w:val="18"/>
              </w:rPr>
              <w:t xml:space="preserve"> (DC.) J. G. Cooper [Rhamnaceae] – Cascara </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Helvetica"/>
                <w:color w:val="000000"/>
                <w:sz w:val="18"/>
                <w:szCs w:val="18"/>
              </w:rPr>
              <w:t xml:space="preserve">Kliejunas 2003; </w:t>
            </w:r>
            <w:r w:rsidRPr="00B933AF">
              <w:rPr>
                <w:rFonts w:asciiTheme="majorHAnsi" w:hAnsiTheme="majorHAnsi" w:cs="Helvetica"/>
                <w:sz w:val="18"/>
                <w:szCs w:val="18"/>
              </w:rPr>
              <w:t xml:space="preserve">Vettraino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2006b; Vettraino et al. 2010</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Fraxinus excelsior</w:t>
            </w:r>
            <w:r w:rsidRPr="00B933AF">
              <w:rPr>
                <w:rFonts w:asciiTheme="majorHAnsi" w:hAnsiTheme="majorHAnsi" w:cs="Helvetica"/>
                <w:sz w:val="18"/>
                <w:szCs w:val="18"/>
              </w:rPr>
              <w:t xml:space="preserve"> L. [Oleaceae] – Ash</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Fraxinus apetala</w:t>
            </w:r>
            <w:r w:rsidRPr="00B933AF">
              <w:rPr>
                <w:rFonts w:asciiTheme="majorHAnsi" w:hAnsiTheme="majorHAnsi"/>
                <w:sz w:val="18"/>
                <w:szCs w:val="18"/>
              </w:rPr>
              <w:t xml:space="preserve"> Lam., </w:t>
            </w:r>
            <w:r w:rsidRPr="00B933AF">
              <w:rPr>
                <w:rFonts w:asciiTheme="majorHAnsi" w:hAnsiTheme="majorHAnsi"/>
                <w:i/>
                <w:sz w:val="18"/>
                <w:szCs w:val="18"/>
              </w:rPr>
              <w:t>Fraxinus angustifolia</w:t>
            </w:r>
            <w:r w:rsidRPr="00B933AF">
              <w:rPr>
                <w:rFonts w:asciiTheme="majorHAnsi" w:hAnsiTheme="majorHAnsi"/>
                <w:sz w:val="18"/>
                <w:szCs w:val="18"/>
              </w:rPr>
              <w:t xml:space="preserve"> Vahl*, </w:t>
            </w:r>
            <w:r w:rsidRPr="00B933AF">
              <w:rPr>
                <w:rFonts w:asciiTheme="majorHAnsi" w:hAnsiTheme="majorHAnsi"/>
                <w:i/>
                <w:sz w:val="18"/>
                <w:szCs w:val="18"/>
              </w:rPr>
              <w:t>Fraxinus hookeri</w:t>
            </w:r>
            <w:r w:rsidRPr="00B933AF">
              <w:rPr>
                <w:rFonts w:asciiTheme="majorHAnsi" w:hAnsiTheme="majorHAnsi"/>
                <w:sz w:val="18"/>
                <w:szCs w:val="18"/>
              </w:rPr>
              <w:t xml:space="preserve"> Wenz.*</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Cave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2008; Sansford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2009; 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ACT, VIC, TAS, NSW, QLD</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Fraxinus latifolia</w:t>
            </w:r>
            <w:r w:rsidRPr="00B933AF">
              <w:rPr>
                <w:rFonts w:asciiTheme="majorHAnsi" w:hAnsiTheme="majorHAnsi" w:cs="Helvetica"/>
                <w:sz w:val="18"/>
                <w:szCs w:val="18"/>
              </w:rPr>
              <w:t xml:space="preserve"> Benth. [Oleaceae] – Oregon ash</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Helvetica"/>
                <w:i/>
                <w:iCs/>
                <w:sz w:val="18"/>
                <w:szCs w:val="18"/>
              </w:rPr>
              <w:t>Fraxinus oregona</w:t>
            </w:r>
            <w:r w:rsidRPr="00B933AF">
              <w:rPr>
                <w:rFonts w:asciiTheme="majorHAnsi" w:hAnsiTheme="majorHAnsi" w:cs="Helvetica"/>
                <w:sz w:val="18"/>
                <w:szCs w:val="18"/>
              </w:rPr>
              <w:t xml:space="preserve"> Nutt.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Helvetica"/>
                <w:sz w:val="18"/>
                <w:szCs w:val="18"/>
              </w:rPr>
              <w:t>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Garrya elliptica</w:t>
            </w:r>
            <w:r w:rsidRPr="00B933AF">
              <w:rPr>
                <w:rFonts w:asciiTheme="majorHAnsi" w:hAnsiTheme="majorHAnsi" w:cs="Helvetica"/>
                <w:sz w:val="18"/>
                <w:szCs w:val="18"/>
              </w:rPr>
              <w:t xml:space="preserve"> Douglas ex Lindl. [Garryaceae] – Silk tassel bush </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Sansford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theme="minorHAnsi"/>
                <w:sz w:val="18"/>
                <w:szCs w:val="18"/>
              </w:rPr>
            </w:pPr>
            <w:r w:rsidRPr="00B933AF">
              <w:rPr>
                <w:rFonts w:asciiTheme="majorHAnsi" w:hAnsiTheme="majorHAnsi" w:cs="Helvetica"/>
                <w:sz w:val="18"/>
                <w:szCs w:val="18"/>
              </w:rPr>
              <w:t>ACT, SA, NSW, TAS</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Gaultheria procumbens</w:t>
            </w:r>
            <w:r w:rsidRPr="00B933AF">
              <w:rPr>
                <w:rFonts w:asciiTheme="majorHAnsi" w:hAnsiTheme="majorHAnsi" w:cs="Helvetica"/>
                <w:sz w:val="18"/>
                <w:szCs w:val="18"/>
              </w:rPr>
              <w:t xml:space="preserve"> L. [Ericaceae] – Wintergreen, Checkerberry</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 FERA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Gaultheria shallon</w:t>
            </w:r>
            <w:r w:rsidRPr="00B933AF">
              <w:rPr>
                <w:rFonts w:asciiTheme="majorHAnsi" w:hAnsiTheme="majorHAnsi" w:cs="Helvetica"/>
                <w:sz w:val="18"/>
                <w:szCs w:val="18"/>
              </w:rPr>
              <w:t xml:space="preserve"> Pursh [Ericaceae] – Salal, Oregon wintergreen</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Sansford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8C4EB6">
            <w:pPr>
              <w:spacing w:before="40" w:after="40"/>
              <w:rPr>
                <w:rFonts w:asciiTheme="majorHAnsi" w:hAnsiTheme="majorHAnsi" w:cs="Helvetica"/>
                <w:i/>
                <w:iCs/>
                <w:sz w:val="18"/>
                <w:szCs w:val="18"/>
              </w:rPr>
            </w:pPr>
            <w:r w:rsidRPr="00B933AF">
              <w:rPr>
                <w:rFonts w:asciiTheme="majorHAnsi" w:hAnsiTheme="majorHAnsi" w:cs="Helvetica"/>
                <w:i/>
                <w:iCs/>
                <w:sz w:val="18"/>
                <w:szCs w:val="18"/>
              </w:rPr>
              <w:t xml:space="preserve">Gevuina avellana </w:t>
            </w:r>
            <w:r w:rsidRPr="00B933AF">
              <w:rPr>
                <w:rFonts w:asciiTheme="majorHAnsi" w:hAnsiTheme="majorHAnsi" w:cs="Helvetica"/>
                <w:iCs/>
                <w:sz w:val="18"/>
                <w:szCs w:val="18"/>
              </w:rPr>
              <w:t>Molina</w:t>
            </w:r>
            <w:r w:rsidRPr="00B933AF">
              <w:rPr>
                <w:rFonts w:asciiTheme="majorHAnsi" w:hAnsiTheme="majorHAnsi" w:cs="Helvetica"/>
                <w:i/>
                <w:iCs/>
                <w:sz w:val="18"/>
                <w:szCs w:val="18"/>
              </w:rPr>
              <w:t xml:space="preserve"> </w:t>
            </w:r>
            <w:r w:rsidRPr="00B933AF">
              <w:rPr>
                <w:rFonts w:asciiTheme="majorHAnsi" w:hAnsiTheme="majorHAnsi" w:cs="Helvetica"/>
                <w:iCs/>
                <w:sz w:val="18"/>
                <w:szCs w:val="18"/>
              </w:rPr>
              <w:t xml:space="preserve">[Proteaceae] – Chilean wildnut, Avellana (Only reported as a host of </w:t>
            </w:r>
            <w:r w:rsidRPr="00B933AF">
              <w:rPr>
                <w:rFonts w:asciiTheme="majorHAnsi" w:hAnsiTheme="majorHAnsi" w:cs="Helvetica"/>
                <w:i/>
                <w:iCs/>
                <w:sz w:val="18"/>
                <w:szCs w:val="18"/>
              </w:rPr>
              <w:t>Phytophthora kernoviae</w:t>
            </w:r>
            <w:r w:rsidRPr="00B933AF">
              <w:rPr>
                <w:rFonts w:asciiTheme="majorHAnsi" w:hAnsiTheme="majorHAnsi" w:cs="Helvetica"/>
                <w:iCs/>
                <w:sz w:val="18"/>
                <w:szCs w:val="18"/>
              </w:rPr>
              <w:t xml:space="preserve">) </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Quadria avellana</w:t>
            </w:r>
            <w:r w:rsidRPr="00B933AF">
              <w:rPr>
                <w:rFonts w:asciiTheme="majorHAnsi" w:hAnsiTheme="majorHAnsi"/>
                <w:sz w:val="18"/>
                <w:szCs w:val="18"/>
              </w:rPr>
              <w:t xml:space="preserve"> (Molina) C.F. Gaertn., </w:t>
            </w:r>
            <w:r w:rsidRPr="00B933AF">
              <w:rPr>
                <w:rFonts w:asciiTheme="majorHAnsi" w:hAnsiTheme="majorHAnsi"/>
                <w:i/>
                <w:sz w:val="18"/>
                <w:szCs w:val="18"/>
              </w:rPr>
              <w:t>Quadria heterophylla</w:t>
            </w:r>
            <w:r w:rsidRPr="00B933AF">
              <w:rPr>
                <w:rFonts w:asciiTheme="majorHAnsi" w:hAnsiTheme="majorHAnsi"/>
                <w:sz w:val="18"/>
                <w:szCs w:val="18"/>
              </w:rPr>
              <w:t xml:space="preserve"> Ruiz &amp; Pav.</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Cs/>
                <w:sz w:val="18"/>
                <w:szCs w:val="18"/>
              </w:rPr>
            </w:pPr>
            <w:r w:rsidRPr="00B933AF">
              <w:rPr>
                <w:rFonts w:asciiTheme="majorHAnsi" w:hAnsiTheme="majorHAnsi" w:cs="Helvetica"/>
                <w:sz w:val="18"/>
                <w:szCs w:val="18"/>
              </w:rPr>
              <w:t>Hughes et al. 2005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Cs/>
                <w:sz w:val="18"/>
                <w:szCs w:val="18"/>
              </w:rPr>
              <w:t>NSW</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Griselinia littoralis</w:t>
            </w:r>
            <w:r w:rsidRPr="00B933AF">
              <w:rPr>
                <w:rFonts w:asciiTheme="majorHAnsi" w:hAnsiTheme="majorHAnsi" w:cs="Helvetica"/>
                <w:sz w:val="18"/>
                <w:szCs w:val="18"/>
              </w:rPr>
              <w:t xml:space="preserve"> (Raoul) Raoul [Cornaceae]– New Zealand privet</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Cs/>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Giltrap et al. 2007; 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TAS, NSW, VIC</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Hamamelis mollis</w:t>
            </w:r>
            <w:r w:rsidRPr="00B933AF">
              <w:rPr>
                <w:rFonts w:asciiTheme="majorHAnsi" w:hAnsiTheme="majorHAnsi" w:cs="Helvetica"/>
                <w:sz w:val="18"/>
                <w:szCs w:val="18"/>
              </w:rPr>
              <w:t xml:space="preserve"> Oliv.[Hamamelidaceae] – Chinese witch hazel </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ACT</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Hamamelis virginiana</w:t>
            </w:r>
            <w:r w:rsidRPr="00B933AF">
              <w:rPr>
                <w:rFonts w:asciiTheme="majorHAnsi" w:hAnsiTheme="majorHAnsi" w:cs="Helvetica"/>
                <w:sz w:val="18"/>
                <w:szCs w:val="18"/>
              </w:rPr>
              <w:t xml:space="preserve"> L. [Hamamelidaceae]– Virginian witch hazel</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Hamamelis androgyna</w:t>
            </w:r>
            <w:r w:rsidRPr="00B933AF">
              <w:rPr>
                <w:rFonts w:asciiTheme="majorHAnsi" w:hAnsiTheme="majorHAnsi"/>
                <w:sz w:val="18"/>
                <w:szCs w:val="18"/>
              </w:rPr>
              <w:t xml:space="preserve"> Walter, </w:t>
            </w:r>
            <w:r w:rsidRPr="00B933AF">
              <w:rPr>
                <w:rFonts w:asciiTheme="majorHAnsi" w:hAnsiTheme="majorHAnsi"/>
                <w:i/>
                <w:sz w:val="18"/>
                <w:szCs w:val="18"/>
              </w:rPr>
              <w:t>Hamamelis corylifolia</w:t>
            </w:r>
            <w:r w:rsidRPr="00B933AF">
              <w:rPr>
                <w:rFonts w:asciiTheme="majorHAnsi" w:hAnsiTheme="majorHAnsi"/>
                <w:sz w:val="18"/>
                <w:szCs w:val="18"/>
              </w:rPr>
              <w:t xml:space="preserve"> Moench, </w:t>
            </w:r>
            <w:r w:rsidRPr="00B933AF">
              <w:rPr>
                <w:rFonts w:asciiTheme="majorHAnsi" w:hAnsiTheme="majorHAnsi"/>
                <w:i/>
                <w:sz w:val="18"/>
                <w:szCs w:val="18"/>
              </w:rPr>
              <w:t>Hamamelis dioica</w:t>
            </w:r>
            <w:r w:rsidRPr="00B933AF">
              <w:rPr>
                <w:rFonts w:asciiTheme="majorHAnsi" w:hAnsiTheme="majorHAnsi"/>
                <w:sz w:val="18"/>
                <w:szCs w:val="18"/>
              </w:rPr>
              <w:t xml:space="preserve"> Walter, </w:t>
            </w:r>
            <w:r w:rsidRPr="00B933AF">
              <w:rPr>
                <w:rFonts w:asciiTheme="majorHAnsi" w:hAnsiTheme="majorHAnsi"/>
                <w:i/>
                <w:sz w:val="18"/>
                <w:szCs w:val="18"/>
              </w:rPr>
              <w:t>Hamamelis macrophylla</w:t>
            </w:r>
            <w:r w:rsidRPr="00B933AF">
              <w:rPr>
                <w:rFonts w:asciiTheme="majorHAnsi" w:hAnsiTheme="majorHAnsi"/>
                <w:sz w:val="18"/>
                <w:szCs w:val="18"/>
              </w:rPr>
              <w:t xml:space="preserve"> Pursh, </w:t>
            </w:r>
            <w:r w:rsidRPr="00B933AF">
              <w:rPr>
                <w:rFonts w:asciiTheme="majorHAnsi" w:hAnsiTheme="majorHAnsi"/>
                <w:i/>
                <w:sz w:val="18"/>
                <w:szCs w:val="18"/>
              </w:rPr>
              <w:t>Trilopus dentata</w:t>
            </w:r>
            <w:r w:rsidRPr="00B933AF">
              <w:rPr>
                <w:rFonts w:asciiTheme="majorHAnsi" w:hAnsiTheme="majorHAnsi"/>
                <w:sz w:val="18"/>
                <w:szCs w:val="18"/>
              </w:rPr>
              <w:t xml:space="preserve"> Raf., </w:t>
            </w:r>
            <w:r w:rsidRPr="00B933AF">
              <w:rPr>
                <w:rFonts w:asciiTheme="majorHAnsi" w:hAnsiTheme="majorHAnsi"/>
                <w:i/>
                <w:sz w:val="18"/>
                <w:szCs w:val="18"/>
              </w:rPr>
              <w:t>Trilopus estivalis</w:t>
            </w:r>
            <w:r w:rsidRPr="00B933AF">
              <w:rPr>
                <w:rFonts w:asciiTheme="majorHAnsi" w:hAnsiTheme="majorHAnsi"/>
                <w:sz w:val="18"/>
                <w:szCs w:val="18"/>
              </w:rPr>
              <w:t xml:space="preserve"> Raf., </w:t>
            </w:r>
            <w:r w:rsidRPr="00B933AF">
              <w:rPr>
                <w:rFonts w:asciiTheme="majorHAnsi" w:hAnsiTheme="majorHAnsi"/>
                <w:i/>
                <w:sz w:val="18"/>
                <w:szCs w:val="18"/>
              </w:rPr>
              <w:t>Trilopus nigra</w:t>
            </w:r>
            <w:r w:rsidRPr="00B933AF">
              <w:rPr>
                <w:rFonts w:asciiTheme="majorHAnsi" w:hAnsiTheme="majorHAnsi"/>
                <w:sz w:val="18"/>
                <w:szCs w:val="18"/>
              </w:rPr>
              <w:t xml:space="preserve"> Raf., </w:t>
            </w:r>
            <w:r w:rsidRPr="00B933AF">
              <w:rPr>
                <w:rFonts w:asciiTheme="majorHAnsi" w:hAnsiTheme="majorHAnsi"/>
                <w:i/>
                <w:sz w:val="18"/>
                <w:szCs w:val="18"/>
              </w:rPr>
              <w:t>Trilopus parvifolia</w:t>
            </w:r>
            <w:r w:rsidRPr="00B933AF">
              <w:rPr>
                <w:rFonts w:asciiTheme="majorHAnsi" w:hAnsiTheme="majorHAnsi"/>
                <w:sz w:val="18"/>
                <w:szCs w:val="18"/>
              </w:rPr>
              <w:t xml:space="preserve"> (Nutt.) Raf., </w:t>
            </w:r>
            <w:r w:rsidRPr="00B933AF">
              <w:rPr>
                <w:rFonts w:asciiTheme="majorHAnsi" w:hAnsiTheme="majorHAnsi"/>
                <w:i/>
                <w:sz w:val="18"/>
                <w:szCs w:val="18"/>
              </w:rPr>
              <w:t>Trilopus rotundifolia</w:t>
            </w:r>
            <w:r w:rsidRPr="00B933AF">
              <w:rPr>
                <w:rFonts w:asciiTheme="majorHAnsi" w:hAnsiTheme="majorHAnsi"/>
                <w:sz w:val="18"/>
                <w:szCs w:val="18"/>
              </w:rPr>
              <w:t xml:space="preserve"> Raf., </w:t>
            </w:r>
            <w:r w:rsidRPr="00B933AF">
              <w:rPr>
                <w:rFonts w:asciiTheme="majorHAnsi" w:hAnsiTheme="majorHAnsi"/>
                <w:i/>
                <w:sz w:val="18"/>
                <w:szCs w:val="18"/>
              </w:rPr>
              <w:t>Trilopus virginica</w:t>
            </w:r>
            <w:r w:rsidRPr="00B933AF">
              <w:rPr>
                <w:rFonts w:asciiTheme="majorHAnsi" w:hAnsiTheme="majorHAnsi"/>
                <w:sz w:val="18"/>
                <w:szCs w:val="18"/>
              </w:rPr>
              <w:t xml:space="preserve"> (L.) Raf.</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Giltrap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2004</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VIC</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Heteromeles arbutifolia</w:t>
            </w:r>
            <w:r w:rsidRPr="00B933AF">
              <w:rPr>
                <w:rFonts w:asciiTheme="majorHAnsi" w:hAnsiTheme="majorHAnsi" w:cs="Helvetica"/>
                <w:sz w:val="18"/>
                <w:szCs w:val="18"/>
              </w:rPr>
              <w:t xml:space="preserve"> (Lindl.) M. Roem. [Rosaceae]– California holly, Toyon, </w:t>
            </w:r>
            <w:r w:rsidRPr="00B933AF">
              <w:rPr>
                <w:rFonts w:asciiTheme="majorHAnsi" w:hAnsiTheme="majorHAnsi" w:cs="Helvetica"/>
                <w:sz w:val="18"/>
                <w:szCs w:val="18"/>
              </w:rPr>
              <w:lastRenderedPageBreak/>
              <w:t>Christmasberry</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Helvetica"/>
                <w:i/>
                <w:iCs/>
                <w:sz w:val="18"/>
                <w:szCs w:val="18"/>
              </w:rPr>
              <w:lastRenderedPageBreak/>
              <w:t>Heteromeles salicifolia</w:t>
            </w:r>
            <w:r w:rsidRPr="00B933AF">
              <w:rPr>
                <w:rFonts w:asciiTheme="majorHAnsi" w:hAnsiTheme="majorHAnsi" w:cs="Helvetica"/>
                <w:sz w:val="18"/>
                <w:szCs w:val="18"/>
              </w:rPr>
              <w:t xml:space="preserve"> (C. Presl) Abrams*</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Helvetica"/>
                <w:sz w:val="18"/>
                <w:szCs w:val="18"/>
              </w:rPr>
              <w:t xml:space="preserve">Garbelotto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2003; </w:t>
            </w:r>
            <w:r w:rsidRPr="00B933AF">
              <w:rPr>
                <w:rFonts w:asciiTheme="majorHAnsi" w:hAnsiTheme="majorHAnsi" w:cs="Helvetica"/>
                <w:color w:val="000000"/>
                <w:sz w:val="18"/>
                <w:szCs w:val="18"/>
              </w:rPr>
              <w:t>Kliejunas 2003</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SA</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lastRenderedPageBreak/>
              <w:t>Hydrangea seemannii</w:t>
            </w:r>
            <w:r w:rsidRPr="00B933AF">
              <w:rPr>
                <w:rFonts w:asciiTheme="majorHAnsi" w:hAnsiTheme="majorHAnsi" w:cs="Helvetica"/>
                <w:sz w:val="18"/>
                <w:szCs w:val="18"/>
              </w:rPr>
              <w:t xml:space="preserve"> L. Riley [Hydrangeaceae] – Hydrangea</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Hydrangea oerstedii</w:t>
            </w:r>
            <w:r w:rsidRPr="00B933AF">
              <w:rPr>
                <w:rFonts w:asciiTheme="majorHAnsi" w:hAnsiTheme="majorHAnsi"/>
                <w:sz w:val="18"/>
                <w:szCs w:val="18"/>
              </w:rPr>
              <w:t xml:space="preserve"> Briq.*</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FERA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theme="minorHAnsi"/>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Ilex aquifolium</w:t>
            </w:r>
            <w:r w:rsidRPr="00B933AF">
              <w:rPr>
                <w:rFonts w:asciiTheme="majorHAnsi" w:hAnsiTheme="majorHAnsi" w:cs="Helvetica"/>
                <w:sz w:val="18"/>
                <w:szCs w:val="18"/>
              </w:rPr>
              <w:t xml:space="preserve"> L [Aquifoliaceae] – European holly</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theme="minorHAnsi"/>
                <w:sz w:val="18"/>
                <w:szCs w:val="18"/>
              </w:rPr>
            </w:pPr>
            <w:r w:rsidRPr="00B933AF">
              <w:rPr>
                <w:rFonts w:asciiTheme="majorHAnsi" w:hAnsiTheme="majorHAnsi" w:cs="Helvetica"/>
                <w:sz w:val="18"/>
                <w:szCs w:val="18"/>
              </w:rPr>
              <w:t>SA, NSW, TAS, VIC, ACT</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
                <w:iCs/>
                <w:sz w:val="18"/>
                <w:szCs w:val="18"/>
              </w:rPr>
            </w:pPr>
            <w:r w:rsidRPr="00B933AF">
              <w:rPr>
                <w:rFonts w:asciiTheme="majorHAnsi" w:hAnsiTheme="majorHAnsi" w:cs="Helvetica"/>
                <w:i/>
                <w:iCs/>
                <w:sz w:val="18"/>
                <w:szCs w:val="18"/>
              </w:rPr>
              <w:t>Ilex cornuta</w:t>
            </w:r>
            <w:r w:rsidRPr="00B933AF">
              <w:rPr>
                <w:rFonts w:asciiTheme="majorHAnsi" w:hAnsiTheme="majorHAnsi" w:cs="Helvetica"/>
                <w:sz w:val="18"/>
                <w:szCs w:val="18"/>
              </w:rPr>
              <w:t xml:space="preserve"> Lindl. &amp; Paxton [Aquifoliaceae] –Buford holly, Horned holly</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 xml:space="preserve">Ilex burfordii </w:t>
            </w:r>
            <w:r w:rsidRPr="00B933AF">
              <w:rPr>
                <w:rFonts w:asciiTheme="majorHAnsi" w:hAnsiTheme="majorHAnsi" w:cs="Helvetica"/>
                <w:iCs/>
                <w:sz w:val="18"/>
                <w:szCs w:val="18"/>
              </w:rPr>
              <w:t xml:space="preserve">S. R. Howell, </w:t>
            </w:r>
            <w:r w:rsidRPr="00B933AF">
              <w:rPr>
                <w:rFonts w:asciiTheme="majorHAnsi" w:hAnsiTheme="majorHAnsi" w:cs="Helvetica"/>
                <w:i/>
                <w:iCs/>
                <w:sz w:val="18"/>
                <w:szCs w:val="18"/>
              </w:rPr>
              <w:t>Ilex fortunei</w:t>
            </w:r>
            <w:r w:rsidRPr="00B933AF">
              <w:rPr>
                <w:rFonts w:asciiTheme="majorHAnsi" w:hAnsiTheme="majorHAnsi" w:cs="Helvetica"/>
                <w:iCs/>
                <w:sz w:val="18"/>
                <w:szCs w:val="18"/>
              </w:rPr>
              <w:t xml:space="preserve"> Lindl., </w:t>
            </w:r>
            <w:r w:rsidRPr="00B933AF">
              <w:rPr>
                <w:rFonts w:asciiTheme="majorHAnsi" w:hAnsiTheme="majorHAnsi" w:cs="Helvetica"/>
                <w:i/>
                <w:iCs/>
                <w:sz w:val="18"/>
                <w:szCs w:val="18"/>
              </w:rPr>
              <w:t>Ilex furcata</w:t>
            </w:r>
            <w:r w:rsidRPr="00B933AF">
              <w:rPr>
                <w:rFonts w:asciiTheme="majorHAnsi" w:hAnsiTheme="majorHAnsi" w:cs="Helvetica"/>
                <w:iCs/>
                <w:sz w:val="18"/>
                <w:szCs w:val="18"/>
              </w:rPr>
              <w:t xml:space="preserve"> Lindl. ex Göpp.</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Ilex latifolia</w:t>
            </w:r>
            <w:r w:rsidRPr="00B933AF">
              <w:rPr>
                <w:rFonts w:asciiTheme="majorHAnsi" w:hAnsiTheme="majorHAnsi" w:cs="Helvetica"/>
                <w:sz w:val="18"/>
                <w:szCs w:val="18"/>
              </w:rPr>
              <w:t xml:space="preserve"> Thunb. [Aquifoliaceae]– Tarajo holly</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Ilex tarajo</w:t>
            </w:r>
            <w:r w:rsidRPr="00B933AF">
              <w:rPr>
                <w:rFonts w:asciiTheme="majorHAnsi" w:hAnsiTheme="majorHAnsi"/>
                <w:sz w:val="18"/>
                <w:szCs w:val="18"/>
              </w:rPr>
              <w:t xml:space="preserve"> Göpp.</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theme="minorHAnsi"/>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Ilex purpurea</w:t>
            </w:r>
            <w:r w:rsidRPr="00B933AF">
              <w:rPr>
                <w:rFonts w:asciiTheme="majorHAnsi" w:hAnsiTheme="majorHAnsi" w:cs="Helvetica"/>
                <w:sz w:val="18"/>
                <w:szCs w:val="18"/>
              </w:rPr>
              <w:t xml:space="preserve"> Hassk [Aquifoliaceae] – Oriental holly</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Ilex chinensis</w:t>
            </w:r>
            <w:r w:rsidRPr="00B933AF">
              <w:rPr>
                <w:rFonts w:asciiTheme="majorHAnsi" w:hAnsiTheme="majorHAnsi"/>
                <w:sz w:val="18"/>
                <w:szCs w:val="18"/>
              </w:rPr>
              <w:t xml:space="preserve"> Sims*</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FERA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theme="minorHAnsi"/>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Illicium parviflorum</w:t>
            </w:r>
            <w:r w:rsidRPr="00B933AF">
              <w:rPr>
                <w:rFonts w:asciiTheme="majorHAnsi" w:hAnsiTheme="majorHAnsi" w:cs="Helvetica"/>
                <w:sz w:val="18"/>
                <w:szCs w:val="18"/>
              </w:rPr>
              <w:t xml:space="preserve"> Michx. ex Vent</w:t>
            </w:r>
            <w:r w:rsidRPr="00B933AF">
              <w:rPr>
                <w:rFonts w:asciiTheme="majorHAnsi" w:hAnsiTheme="majorHAnsi" w:cs="Helvetica"/>
                <w:i/>
                <w:iCs/>
                <w:sz w:val="18"/>
                <w:szCs w:val="18"/>
              </w:rPr>
              <w:t xml:space="preserve">. </w:t>
            </w:r>
            <w:r w:rsidRPr="00B933AF">
              <w:rPr>
                <w:rFonts w:asciiTheme="majorHAnsi" w:hAnsiTheme="majorHAnsi" w:cs="Helvetica"/>
                <w:sz w:val="18"/>
                <w:szCs w:val="18"/>
              </w:rPr>
              <w:t>[Schisandraceae] – Swamp star anise, Yellow anise</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highlight w:val="lightGray"/>
              </w:rPr>
            </w:pPr>
            <w:r w:rsidRPr="00B933AF">
              <w:rPr>
                <w:rFonts w:asciiTheme="majorHAnsi" w:hAnsiTheme="majorHAnsi" w:cs="Helvetica"/>
                <w:i/>
                <w:iCs/>
                <w:sz w:val="18"/>
                <w:szCs w:val="18"/>
              </w:rPr>
              <w:t>Badianifera parviflora</w:t>
            </w:r>
            <w:r w:rsidRPr="00B933AF">
              <w:rPr>
                <w:rFonts w:asciiTheme="majorHAnsi" w:hAnsiTheme="majorHAnsi" w:cs="Helvetica"/>
                <w:sz w:val="18"/>
                <w:szCs w:val="18"/>
              </w:rPr>
              <w:t xml:space="preserve"> (Michx. ex Vent.) Kuntze</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NSW</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
                <w:iCs/>
                <w:sz w:val="18"/>
                <w:szCs w:val="18"/>
              </w:rPr>
            </w:pPr>
            <w:r w:rsidRPr="00B933AF">
              <w:rPr>
                <w:rFonts w:asciiTheme="majorHAnsi" w:hAnsiTheme="majorHAnsi" w:cs="Helvetica"/>
                <w:i/>
                <w:iCs/>
                <w:sz w:val="18"/>
                <w:szCs w:val="18"/>
              </w:rPr>
              <w:t xml:space="preserve">Kalmia </w:t>
            </w:r>
            <w:r w:rsidRPr="00B933AF">
              <w:rPr>
                <w:rFonts w:asciiTheme="majorHAnsi" w:hAnsiTheme="majorHAnsi" w:cs="Helvetica"/>
                <w:iCs/>
                <w:sz w:val="18"/>
                <w:szCs w:val="18"/>
              </w:rPr>
              <w:t xml:space="preserve">L. </w:t>
            </w:r>
            <w:r w:rsidRPr="00B933AF">
              <w:rPr>
                <w:rFonts w:asciiTheme="majorHAnsi" w:hAnsiTheme="majorHAnsi" w:cs="Helvetica"/>
                <w:sz w:val="18"/>
                <w:szCs w:val="18"/>
              </w:rPr>
              <w:t>species [Ericaceae] – Laurel</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highlight w:val="lightGray"/>
              </w:rPr>
            </w:pPr>
            <w:r w:rsidRPr="00B933AF">
              <w:rPr>
                <w:rFonts w:asciiTheme="majorHAnsi" w:hAnsiTheme="majorHAnsi"/>
                <w:i/>
                <w:sz w:val="18"/>
                <w:szCs w:val="18"/>
              </w:rPr>
              <w:t>Chamaedaphne</w:t>
            </w:r>
            <w:r w:rsidRPr="00B933AF">
              <w:rPr>
                <w:rFonts w:asciiTheme="majorHAnsi" w:hAnsiTheme="majorHAnsi"/>
                <w:sz w:val="18"/>
                <w:szCs w:val="18"/>
              </w:rPr>
              <w:t xml:space="preserve"> Catesby ex Kuntze, </w:t>
            </w:r>
            <w:r w:rsidRPr="00B933AF">
              <w:rPr>
                <w:rFonts w:asciiTheme="majorHAnsi" w:hAnsiTheme="majorHAnsi"/>
                <w:i/>
                <w:sz w:val="18"/>
                <w:szCs w:val="18"/>
              </w:rPr>
              <w:t>Kalmiella</w:t>
            </w:r>
            <w:r w:rsidRPr="00B933AF">
              <w:rPr>
                <w:rFonts w:asciiTheme="majorHAnsi" w:hAnsiTheme="majorHAnsi"/>
                <w:sz w:val="18"/>
                <w:szCs w:val="18"/>
              </w:rPr>
              <w:t xml:space="preserve"> Small</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FERA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ACT, SA</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Kalmia angustifolia</w:t>
            </w:r>
            <w:r w:rsidRPr="00B933AF">
              <w:rPr>
                <w:rFonts w:asciiTheme="majorHAnsi" w:hAnsiTheme="majorHAnsi" w:cs="Helvetica"/>
                <w:sz w:val="18"/>
                <w:szCs w:val="18"/>
              </w:rPr>
              <w:t xml:space="preserve"> L. [Ericaceae] – Sheep laurel</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Sansford </w:t>
            </w:r>
            <w:r w:rsidRPr="00B933AF">
              <w:rPr>
                <w:rFonts w:asciiTheme="majorHAnsi" w:hAnsiTheme="majorHAnsi" w:cs="Helvetica"/>
                <w:iCs/>
                <w:sz w:val="18"/>
                <w:szCs w:val="18"/>
              </w:rPr>
              <w:t>et al</w:t>
            </w:r>
            <w:r w:rsidRPr="00B933AF">
              <w:rPr>
                <w:rFonts w:asciiTheme="majorHAnsi" w:hAnsiTheme="majorHAnsi" w:cs="Helvetica"/>
                <w:sz w:val="18"/>
                <w:szCs w:val="18"/>
              </w:rPr>
              <w:t>. 2009</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ACT</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Kalmia latifolia</w:t>
            </w:r>
            <w:r w:rsidRPr="00B933AF">
              <w:rPr>
                <w:rFonts w:asciiTheme="majorHAnsi" w:hAnsiTheme="majorHAnsi" w:cs="Helvetica"/>
                <w:sz w:val="18"/>
                <w:szCs w:val="18"/>
              </w:rPr>
              <w:t xml:space="preserve"> L. [Ericaceae]– Mountain laurel</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Sansford </w:t>
            </w:r>
            <w:r w:rsidRPr="00B933AF">
              <w:rPr>
                <w:rFonts w:asciiTheme="majorHAnsi" w:hAnsiTheme="majorHAnsi" w:cs="Helvetica"/>
                <w:iCs/>
                <w:sz w:val="18"/>
                <w:szCs w:val="18"/>
              </w:rPr>
              <w:t>et al</w:t>
            </w:r>
            <w:r w:rsidRPr="00B933AF">
              <w:rPr>
                <w:rFonts w:asciiTheme="majorHAnsi" w:hAnsiTheme="majorHAnsi" w:cs="Helvetica"/>
                <w:sz w:val="18"/>
                <w:szCs w:val="18"/>
              </w:rPr>
              <w:t>. 2009</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SA</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
                <w:iCs/>
                <w:sz w:val="18"/>
                <w:szCs w:val="18"/>
              </w:rPr>
            </w:pPr>
            <w:r w:rsidRPr="00B933AF">
              <w:rPr>
                <w:rFonts w:asciiTheme="majorHAnsi" w:hAnsiTheme="majorHAnsi" w:cs="Helvetica"/>
                <w:i/>
                <w:iCs/>
                <w:sz w:val="18"/>
                <w:szCs w:val="18"/>
              </w:rPr>
              <w:t>Larix decidua</w:t>
            </w:r>
            <w:r w:rsidRPr="00B933AF">
              <w:rPr>
                <w:rFonts w:asciiTheme="majorHAnsi" w:hAnsiTheme="majorHAnsi" w:cs="Helvetica"/>
                <w:sz w:val="18"/>
                <w:szCs w:val="18"/>
              </w:rPr>
              <w:t xml:space="preserve"> Mill. [Pinaceae]– European larch</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Larix europaea</w:t>
            </w:r>
            <w:r w:rsidRPr="00B933AF">
              <w:rPr>
                <w:rFonts w:asciiTheme="majorHAnsi" w:hAnsiTheme="majorHAnsi" w:cs="Helvetica"/>
                <w:sz w:val="18"/>
                <w:szCs w:val="18"/>
              </w:rPr>
              <w:t xml:space="preserve"> Lam. &amp; A. DC.</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 EPPO 2011; FERA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TAS</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Larix kaempferi</w:t>
            </w:r>
            <w:r w:rsidRPr="00B933AF">
              <w:rPr>
                <w:rFonts w:asciiTheme="majorHAnsi" w:hAnsiTheme="majorHAnsi" w:cs="Helvetica"/>
                <w:sz w:val="18"/>
                <w:szCs w:val="18"/>
              </w:rPr>
              <w:t xml:space="preserve"> (Lamb.) Carrière [Pinaceae] – Japanese larch, Larch</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Lucida Grande"/>
                <w:i/>
                <w:iCs/>
                <w:sz w:val="18"/>
                <w:szCs w:val="18"/>
              </w:rPr>
              <w:t>Larix leptolepis</w:t>
            </w:r>
            <w:r w:rsidRPr="00B933AF">
              <w:rPr>
                <w:rStyle w:val="apple-converted-space"/>
                <w:rFonts w:asciiTheme="majorHAnsi" w:hAnsiTheme="majorHAnsi" w:cs="Lucida Grande"/>
                <w:color w:val="D2691E"/>
                <w:sz w:val="18"/>
                <w:szCs w:val="18"/>
              </w:rPr>
              <w:t> </w:t>
            </w:r>
            <w:r w:rsidRPr="00B933AF">
              <w:rPr>
                <w:rFonts w:asciiTheme="majorHAnsi" w:hAnsiTheme="majorHAnsi" w:cs="Lucida Grande"/>
                <w:sz w:val="18"/>
                <w:szCs w:val="18"/>
              </w:rPr>
              <w:t xml:space="preserve">(Siebold &amp; Zucc.) Gordon, </w:t>
            </w:r>
            <w:r w:rsidRPr="00B933AF">
              <w:rPr>
                <w:rFonts w:asciiTheme="majorHAnsi" w:hAnsiTheme="majorHAnsi" w:cs="Lucida Grande"/>
                <w:i/>
                <w:iCs/>
                <w:sz w:val="18"/>
                <w:szCs w:val="18"/>
              </w:rPr>
              <w:t>Pinus kaempferi</w:t>
            </w:r>
            <w:r w:rsidRPr="00B933AF">
              <w:rPr>
                <w:rStyle w:val="apple-converted-space"/>
                <w:rFonts w:asciiTheme="majorHAnsi" w:hAnsiTheme="majorHAnsi" w:cs="Lucida Grande"/>
                <w:color w:val="FFB03B"/>
                <w:sz w:val="18"/>
                <w:szCs w:val="18"/>
              </w:rPr>
              <w:t> </w:t>
            </w:r>
            <w:r w:rsidRPr="00B933AF">
              <w:rPr>
                <w:rFonts w:asciiTheme="majorHAnsi" w:hAnsiTheme="majorHAnsi" w:cs="Lucida Grande"/>
                <w:sz w:val="18"/>
                <w:szCs w:val="18"/>
              </w:rPr>
              <w:t>Lamb.</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Webber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2010a, b; FERA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ACT, NSW</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Laurus nobilis</w:t>
            </w:r>
            <w:r w:rsidRPr="00B933AF">
              <w:rPr>
                <w:rFonts w:asciiTheme="majorHAnsi" w:hAnsiTheme="majorHAnsi" w:cs="Helvetica"/>
                <w:sz w:val="18"/>
                <w:szCs w:val="18"/>
              </w:rPr>
              <w:t xml:space="preserve"> L. [Lauraceae] – Bay laurel </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VIC, SA, ACT, TAS, NSW</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Leucothoe axillaris</w:t>
            </w:r>
            <w:r w:rsidRPr="00B933AF">
              <w:rPr>
                <w:rFonts w:asciiTheme="majorHAnsi" w:hAnsiTheme="majorHAnsi" w:cs="Helvetica"/>
                <w:sz w:val="18"/>
                <w:szCs w:val="18"/>
              </w:rPr>
              <w:t xml:space="preserve"> (Lam.) D. Don [Ericaceae] – Fetter-bush, Dog hobble</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Sansford </w:t>
            </w:r>
            <w:r w:rsidRPr="00B933AF">
              <w:rPr>
                <w:rFonts w:asciiTheme="majorHAnsi" w:hAnsiTheme="majorHAnsi" w:cs="Helvetica"/>
                <w:iCs/>
                <w:sz w:val="18"/>
                <w:szCs w:val="18"/>
              </w:rPr>
              <w:t>et al</w:t>
            </w:r>
            <w:r w:rsidRPr="00B933AF">
              <w:rPr>
                <w:rFonts w:asciiTheme="majorHAnsi" w:hAnsiTheme="majorHAnsi" w:cs="Helvetica"/>
                <w:sz w:val="18"/>
                <w:szCs w:val="18"/>
              </w:rPr>
              <w:t>. 2009</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Leucothoe fontanesiana</w:t>
            </w:r>
            <w:r w:rsidRPr="00B933AF">
              <w:rPr>
                <w:rFonts w:asciiTheme="majorHAnsi" w:hAnsiTheme="majorHAnsi" w:cs="Helvetica"/>
                <w:sz w:val="18"/>
                <w:szCs w:val="18"/>
              </w:rPr>
              <w:t xml:space="preserve"> (Steud.) Sleumer [Ericaceae] – Drooping leucothoe</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Sansford </w:t>
            </w:r>
            <w:r w:rsidRPr="00B933AF">
              <w:rPr>
                <w:rFonts w:asciiTheme="majorHAnsi" w:hAnsiTheme="majorHAnsi" w:cs="Helvetica"/>
                <w:iCs/>
                <w:sz w:val="18"/>
                <w:szCs w:val="18"/>
              </w:rPr>
              <w:t>et al</w:t>
            </w:r>
            <w:r w:rsidRPr="00B933AF">
              <w:rPr>
                <w:rFonts w:asciiTheme="majorHAnsi" w:hAnsiTheme="majorHAnsi" w:cs="Helvetica"/>
                <w:sz w:val="18"/>
                <w:szCs w:val="18"/>
              </w:rPr>
              <w:t>. 2009</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NSW, VIC</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
                <w:iCs/>
                <w:sz w:val="18"/>
                <w:szCs w:val="18"/>
              </w:rPr>
            </w:pPr>
            <w:r w:rsidRPr="00B933AF">
              <w:rPr>
                <w:rFonts w:asciiTheme="majorHAnsi" w:hAnsiTheme="majorHAnsi" w:cs="Helvetica"/>
                <w:i/>
                <w:iCs/>
                <w:sz w:val="18"/>
                <w:szCs w:val="18"/>
              </w:rPr>
              <w:t xml:space="preserve">Liriodendron tulipifera </w:t>
            </w:r>
            <w:r w:rsidRPr="00B933AF">
              <w:rPr>
                <w:rFonts w:asciiTheme="majorHAnsi" w:hAnsiTheme="majorHAnsi" w:cs="Helvetica"/>
                <w:iCs/>
                <w:sz w:val="18"/>
                <w:szCs w:val="18"/>
              </w:rPr>
              <w:t>L. [Magnoliaceae] –Tulip tree</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Liriodendron procera</w:t>
            </w:r>
            <w:r w:rsidRPr="00B933AF">
              <w:rPr>
                <w:rFonts w:asciiTheme="majorHAnsi" w:hAnsiTheme="majorHAnsi"/>
                <w:sz w:val="18"/>
                <w:szCs w:val="18"/>
              </w:rPr>
              <w:t xml:space="preserve"> Salisb., </w:t>
            </w:r>
            <w:r w:rsidRPr="00B933AF">
              <w:rPr>
                <w:rFonts w:asciiTheme="majorHAnsi" w:hAnsiTheme="majorHAnsi"/>
                <w:i/>
                <w:sz w:val="18"/>
                <w:szCs w:val="18"/>
              </w:rPr>
              <w:t>Liriodendron truncatifolium</w:t>
            </w:r>
            <w:r w:rsidRPr="00B933AF">
              <w:rPr>
                <w:rFonts w:asciiTheme="majorHAnsi" w:hAnsiTheme="majorHAnsi"/>
                <w:sz w:val="18"/>
                <w:szCs w:val="18"/>
              </w:rPr>
              <w:t xml:space="preserve"> Stokes, </w:t>
            </w:r>
            <w:r w:rsidRPr="00B933AF">
              <w:rPr>
                <w:rFonts w:asciiTheme="majorHAnsi" w:hAnsiTheme="majorHAnsi"/>
                <w:i/>
                <w:sz w:val="18"/>
                <w:szCs w:val="18"/>
              </w:rPr>
              <w:t>Tulipifera liriodendron</w:t>
            </w:r>
            <w:r w:rsidRPr="00B933AF">
              <w:rPr>
                <w:rFonts w:asciiTheme="majorHAnsi" w:hAnsiTheme="majorHAnsi"/>
                <w:sz w:val="18"/>
                <w:szCs w:val="18"/>
              </w:rPr>
              <w:t xml:space="preserve"> </w:t>
            </w:r>
            <w:r w:rsidRPr="00B933AF">
              <w:rPr>
                <w:rFonts w:asciiTheme="majorHAnsi" w:hAnsiTheme="majorHAnsi"/>
                <w:sz w:val="18"/>
                <w:szCs w:val="18"/>
              </w:rPr>
              <w:lastRenderedPageBreak/>
              <w:t>Mill.</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lastRenderedPageBreak/>
              <w:t>Hughes et al. 2005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Cs/>
                <w:sz w:val="18"/>
                <w:szCs w:val="18"/>
              </w:rPr>
            </w:pPr>
            <w:r w:rsidRPr="00B933AF">
              <w:rPr>
                <w:rFonts w:asciiTheme="majorHAnsi" w:hAnsiTheme="majorHAnsi" w:cs="Helvetica"/>
                <w:iCs/>
                <w:sz w:val="18"/>
                <w:szCs w:val="18"/>
              </w:rPr>
              <w:t>ACT, SA, NSW, TAS</w:t>
            </w:r>
          </w:p>
        </w:tc>
      </w:tr>
      <w:tr w:rsidR="004D7E3C" w:rsidRPr="00B933AF">
        <w:tc>
          <w:tcPr>
            <w:tcW w:w="1407" w:type="pct"/>
            <w:tcBorders>
              <w:top w:val="single" w:sz="8" w:space="0" w:color="D9D9D9" w:themeColor="background1" w:themeShade="D9"/>
              <w:left w:val="nil"/>
              <w:bottom w:val="single" w:sz="8" w:space="0" w:color="D9D9D9" w:themeColor="background1" w:themeShade="D9"/>
              <w:right w:val="nil"/>
            </w:tcBorders>
          </w:tcPr>
          <w:p w:rsidR="004D7E3C" w:rsidRPr="004D7E3C" w:rsidRDefault="004D7E3C" w:rsidP="003F596D">
            <w:pPr>
              <w:spacing w:before="40" w:after="40"/>
              <w:rPr>
                <w:rFonts w:asciiTheme="majorHAnsi" w:hAnsiTheme="majorHAnsi" w:cs="Helvetica"/>
                <w:iCs/>
                <w:sz w:val="18"/>
                <w:szCs w:val="18"/>
              </w:rPr>
            </w:pPr>
            <w:r w:rsidRPr="003F596D">
              <w:rPr>
                <w:rFonts w:asciiTheme="majorHAnsi" w:hAnsiTheme="majorHAnsi" w:cs="Helvetica"/>
                <w:i/>
                <w:iCs/>
                <w:sz w:val="18"/>
                <w:szCs w:val="18"/>
              </w:rPr>
              <w:lastRenderedPageBreak/>
              <w:t>Lithocarpus densiflorus</w:t>
            </w:r>
            <w:r>
              <w:rPr>
                <w:rFonts w:asciiTheme="majorHAnsi" w:hAnsiTheme="majorHAnsi" w:cs="Helvetica"/>
                <w:i/>
                <w:iCs/>
                <w:sz w:val="18"/>
                <w:szCs w:val="18"/>
              </w:rPr>
              <w:t xml:space="preserve"> </w:t>
            </w:r>
            <w:r w:rsidRPr="004D7E3C">
              <w:rPr>
                <w:rFonts w:asciiTheme="majorHAnsi" w:hAnsiTheme="majorHAnsi" w:cs="Helvetica"/>
                <w:sz w:val="18"/>
                <w:szCs w:val="18"/>
              </w:rPr>
              <w:t>(Hook. &amp; Arn.) Rehder</w:t>
            </w:r>
            <w:r>
              <w:rPr>
                <w:rFonts w:asciiTheme="majorHAnsi" w:hAnsiTheme="majorHAnsi" w:cs="Helvetica"/>
                <w:sz w:val="18"/>
                <w:szCs w:val="18"/>
              </w:rPr>
              <w:t xml:space="preserve"> </w:t>
            </w:r>
            <w:r w:rsidRPr="00B933AF">
              <w:rPr>
                <w:rFonts w:asciiTheme="majorHAnsi" w:hAnsiTheme="majorHAnsi" w:cs="Helvetica"/>
                <w:sz w:val="18"/>
                <w:szCs w:val="18"/>
              </w:rPr>
              <w:t>[Fagaceae] –</w:t>
            </w:r>
            <w:r>
              <w:rPr>
                <w:rFonts w:asciiTheme="majorHAnsi" w:hAnsiTheme="majorHAnsi" w:cs="Helvetica"/>
                <w:sz w:val="18"/>
                <w:szCs w:val="18"/>
              </w:rPr>
              <w:t xml:space="preserve"> </w:t>
            </w:r>
            <w:r w:rsidR="003F596D">
              <w:rPr>
                <w:rFonts w:asciiTheme="majorHAnsi" w:hAnsiTheme="majorHAnsi" w:cs="Helvetica"/>
                <w:sz w:val="18"/>
                <w:szCs w:val="18"/>
              </w:rPr>
              <w:t>Tanbark oak</w:t>
            </w:r>
          </w:p>
        </w:tc>
        <w:tc>
          <w:tcPr>
            <w:tcW w:w="1316" w:type="pct"/>
            <w:tcBorders>
              <w:top w:val="single" w:sz="8" w:space="0" w:color="D9D9D9" w:themeColor="background1" w:themeShade="D9"/>
              <w:left w:val="nil"/>
              <w:bottom w:val="single" w:sz="8" w:space="0" w:color="D9D9D9" w:themeColor="background1" w:themeShade="D9"/>
              <w:right w:val="nil"/>
            </w:tcBorders>
          </w:tcPr>
          <w:p w:rsidR="004D7E3C" w:rsidRPr="00B933AF" w:rsidRDefault="004D7E3C" w:rsidP="0033344A">
            <w:pPr>
              <w:spacing w:before="40" w:after="40"/>
              <w:rPr>
                <w:rFonts w:asciiTheme="majorHAnsi" w:hAnsiTheme="majorHAnsi"/>
                <w:i/>
                <w:sz w:val="18"/>
                <w:szCs w:val="18"/>
              </w:rPr>
            </w:pPr>
            <w:r>
              <w:rPr>
                <w:rFonts w:asciiTheme="majorHAnsi" w:hAnsiTheme="majorHAnsi"/>
                <w:i/>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4D7E3C" w:rsidRPr="00B933AF" w:rsidRDefault="004D7E3C"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Blomquist </w:t>
            </w:r>
            <w:r w:rsidRPr="00B933AF">
              <w:rPr>
                <w:rFonts w:asciiTheme="majorHAnsi" w:hAnsiTheme="majorHAnsi" w:cs="Helvetica"/>
                <w:iCs/>
                <w:sz w:val="18"/>
                <w:szCs w:val="18"/>
              </w:rPr>
              <w:t>et al</w:t>
            </w:r>
            <w:r w:rsidRPr="00B933AF">
              <w:rPr>
                <w:rFonts w:asciiTheme="majorHAnsi" w:hAnsiTheme="majorHAnsi" w:cs="Helvetica"/>
                <w:sz w:val="18"/>
                <w:szCs w:val="18"/>
              </w:rPr>
              <w:t>. 201</w:t>
            </w:r>
            <w:r>
              <w:rPr>
                <w:rFonts w:asciiTheme="majorHAnsi" w:hAnsiTheme="majorHAnsi" w:cs="Helvetica"/>
                <w:sz w:val="18"/>
                <w:szCs w:val="18"/>
              </w:rPr>
              <w:t>5</w:t>
            </w:r>
          </w:p>
        </w:tc>
        <w:tc>
          <w:tcPr>
            <w:tcW w:w="1164" w:type="pct"/>
            <w:tcBorders>
              <w:top w:val="single" w:sz="8" w:space="0" w:color="D9D9D9" w:themeColor="background1" w:themeShade="D9"/>
              <w:left w:val="nil"/>
              <w:bottom w:val="single" w:sz="8" w:space="0" w:color="D9D9D9" w:themeColor="background1" w:themeShade="D9"/>
              <w:right w:val="nil"/>
            </w:tcBorders>
          </w:tcPr>
          <w:p w:rsidR="004D7E3C" w:rsidRPr="00B933AF" w:rsidRDefault="004D7E3C"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Lithocarpus glaber</w:t>
            </w:r>
            <w:r w:rsidRPr="00B933AF">
              <w:rPr>
                <w:rFonts w:asciiTheme="majorHAnsi" w:hAnsiTheme="majorHAnsi" w:cs="Helvetica"/>
                <w:sz w:val="18"/>
                <w:szCs w:val="18"/>
              </w:rPr>
              <w:t xml:space="preserve"> (Thunb.) Nakai [Fagaceae] – Japanese oak</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Kuromatea glabra</w:t>
            </w:r>
            <w:r w:rsidRPr="00B933AF">
              <w:rPr>
                <w:rFonts w:asciiTheme="majorHAnsi" w:hAnsiTheme="majorHAnsi"/>
                <w:sz w:val="18"/>
                <w:szCs w:val="18"/>
              </w:rPr>
              <w:t xml:space="preserve"> (Thunb.) Kudô, </w:t>
            </w:r>
            <w:r w:rsidRPr="00B933AF">
              <w:rPr>
                <w:rFonts w:asciiTheme="majorHAnsi" w:hAnsiTheme="majorHAnsi"/>
                <w:i/>
                <w:sz w:val="18"/>
                <w:szCs w:val="18"/>
              </w:rPr>
              <w:t>Lithocarpus thalassicus</w:t>
            </w:r>
            <w:r w:rsidRPr="00B933AF">
              <w:rPr>
                <w:rFonts w:asciiTheme="majorHAnsi" w:hAnsiTheme="majorHAnsi"/>
                <w:sz w:val="18"/>
                <w:szCs w:val="18"/>
              </w:rPr>
              <w:t xml:space="preserve"> (Hance) Rehder, </w:t>
            </w:r>
            <w:r w:rsidRPr="00B933AF">
              <w:rPr>
                <w:rFonts w:asciiTheme="majorHAnsi" w:hAnsiTheme="majorHAnsi"/>
                <w:i/>
                <w:sz w:val="18"/>
                <w:szCs w:val="18"/>
              </w:rPr>
              <w:t>Pasania glabra</w:t>
            </w:r>
            <w:r w:rsidRPr="00B933AF">
              <w:rPr>
                <w:rFonts w:asciiTheme="majorHAnsi" w:hAnsiTheme="majorHAnsi"/>
                <w:sz w:val="18"/>
                <w:szCs w:val="18"/>
              </w:rPr>
              <w:t xml:space="preserve"> (Thunb.) Oerst., </w:t>
            </w:r>
            <w:r w:rsidRPr="00B933AF">
              <w:rPr>
                <w:rFonts w:asciiTheme="majorHAnsi" w:hAnsiTheme="majorHAnsi"/>
                <w:i/>
                <w:sz w:val="18"/>
                <w:szCs w:val="18"/>
              </w:rPr>
              <w:t>Pasania sieboldiana</w:t>
            </w:r>
            <w:r w:rsidRPr="00B933AF">
              <w:rPr>
                <w:rFonts w:asciiTheme="majorHAnsi" w:hAnsiTheme="majorHAnsi"/>
                <w:sz w:val="18"/>
                <w:szCs w:val="18"/>
              </w:rPr>
              <w:t xml:space="preserve"> (Blume) Nakai, </w:t>
            </w:r>
            <w:r w:rsidRPr="00B933AF">
              <w:rPr>
                <w:rFonts w:asciiTheme="majorHAnsi" w:hAnsiTheme="majorHAnsi"/>
                <w:i/>
                <w:sz w:val="18"/>
                <w:szCs w:val="18"/>
              </w:rPr>
              <w:t>Pasania thalassica</w:t>
            </w:r>
            <w:r w:rsidRPr="00B933AF">
              <w:rPr>
                <w:rFonts w:asciiTheme="majorHAnsi" w:hAnsiTheme="majorHAnsi"/>
                <w:sz w:val="18"/>
                <w:szCs w:val="18"/>
              </w:rPr>
              <w:t xml:space="preserve"> (Hance) Oerst., </w:t>
            </w:r>
            <w:r w:rsidRPr="00B933AF">
              <w:rPr>
                <w:rFonts w:asciiTheme="majorHAnsi" w:hAnsiTheme="majorHAnsi"/>
                <w:i/>
                <w:sz w:val="18"/>
                <w:szCs w:val="18"/>
              </w:rPr>
              <w:t>Quercus glabra</w:t>
            </w:r>
            <w:r w:rsidRPr="00B933AF">
              <w:rPr>
                <w:rFonts w:asciiTheme="majorHAnsi" w:hAnsiTheme="majorHAnsi"/>
                <w:sz w:val="18"/>
                <w:szCs w:val="18"/>
              </w:rPr>
              <w:t xml:space="preserve"> Thunb., </w:t>
            </w:r>
            <w:r w:rsidRPr="00B933AF">
              <w:rPr>
                <w:rFonts w:asciiTheme="majorHAnsi" w:hAnsiTheme="majorHAnsi"/>
                <w:i/>
                <w:sz w:val="18"/>
                <w:szCs w:val="18"/>
              </w:rPr>
              <w:t>Quercus sieboldiana</w:t>
            </w:r>
            <w:r w:rsidRPr="00B933AF">
              <w:rPr>
                <w:rFonts w:asciiTheme="majorHAnsi" w:hAnsiTheme="majorHAnsi"/>
                <w:sz w:val="18"/>
                <w:szCs w:val="18"/>
              </w:rPr>
              <w:t xml:space="preserve"> Blume, </w:t>
            </w:r>
            <w:r w:rsidRPr="00B933AF">
              <w:rPr>
                <w:rFonts w:asciiTheme="majorHAnsi" w:hAnsiTheme="majorHAnsi"/>
                <w:i/>
                <w:sz w:val="18"/>
                <w:szCs w:val="18"/>
              </w:rPr>
              <w:t>Quercus thalassica</w:t>
            </w:r>
            <w:r w:rsidRPr="00B933AF">
              <w:rPr>
                <w:rFonts w:asciiTheme="majorHAnsi" w:hAnsiTheme="majorHAnsi"/>
                <w:sz w:val="18"/>
                <w:szCs w:val="18"/>
              </w:rPr>
              <w:t xml:space="preserve"> Hance, </w:t>
            </w:r>
            <w:r w:rsidRPr="00B933AF">
              <w:rPr>
                <w:rFonts w:asciiTheme="majorHAnsi" w:hAnsiTheme="majorHAnsi"/>
                <w:i/>
                <w:sz w:val="18"/>
                <w:szCs w:val="18"/>
              </w:rPr>
              <w:t>Synaedrys glabra</w:t>
            </w:r>
            <w:r w:rsidRPr="00B933AF">
              <w:rPr>
                <w:rFonts w:asciiTheme="majorHAnsi" w:hAnsiTheme="majorHAnsi"/>
                <w:sz w:val="18"/>
                <w:szCs w:val="18"/>
              </w:rPr>
              <w:t xml:space="preserve"> (Thunb.) Koidz., </w:t>
            </w:r>
            <w:r w:rsidRPr="00B933AF">
              <w:rPr>
                <w:rFonts w:asciiTheme="majorHAnsi" w:hAnsiTheme="majorHAnsi"/>
                <w:i/>
                <w:sz w:val="18"/>
                <w:szCs w:val="18"/>
              </w:rPr>
              <w:t xml:space="preserve">Synaedrys thalassica </w:t>
            </w:r>
            <w:r w:rsidRPr="00B933AF">
              <w:rPr>
                <w:rFonts w:asciiTheme="majorHAnsi" w:hAnsiTheme="majorHAnsi"/>
                <w:sz w:val="18"/>
                <w:szCs w:val="18"/>
              </w:rPr>
              <w:t>(Hance) Koidz.</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VIC</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Lonicera hispidula</w:t>
            </w:r>
            <w:r w:rsidRPr="00B933AF">
              <w:rPr>
                <w:rFonts w:asciiTheme="majorHAnsi" w:hAnsiTheme="majorHAnsi" w:cs="Helvetica"/>
                <w:sz w:val="18"/>
                <w:szCs w:val="18"/>
              </w:rPr>
              <w:t xml:space="preserve"> (Lindl.) Douglas ex Torr. &amp; A. Gray [Caprifoliaceae] – Californian honeysuckle</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Cs/>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Garbelotto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2003; Goheen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2006a; Sansford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
                <w:iCs/>
                <w:sz w:val="18"/>
                <w:szCs w:val="18"/>
              </w:rPr>
            </w:pPr>
            <w:r w:rsidRPr="00B933AF">
              <w:rPr>
                <w:rFonts w:asciiTheme="majorHAnsi" w:hAnsiTheme="majorHAnsi" w:cs="Helvetica"/>
                <w:i/>
                <w:iCs/>
                <w:sz w:val="18"/>
                <w:szCs w:val="18"/>
              </w:rPr>
              <w:t xml:space="preserve">Lonicera periclymenum </w:t>
            </w:r>
            <w:r w:rsidRPr="00B933AF">
              <w:rPr>
                <w:rFonts w:asciiTheme="majorHAnsi" w:hAnsiTheme="majorHAnsi" w:cs="Helvetica"/>
                <w:sz w:val="18"/>
                <w:szCs w:val="18"/>
              </w:rPr>
              <w:t>L.</w:t>
            </w:r>
            <w:r w:rsidRPr="00B933AF">
              <w:rPr>
                <w:rFonts w:asciiTheme="majorHAnsi" w:hAnsiTheme="majorHAnsi" w:cs="Helvetica"/>
                <w:i/>
                <w:iCs/>
                <w:sz w:val="18"/>
                <w:szCs w:val="18"/>
              </w:rPr>
              <w:t xml:space="preserve"> </w:t>
            </w:r>
            <w:r w:rsidRPr="00B933AF">
              <w:rPr>
                <w:rFonts w:asciiTheme="majorHAnsi" w:hAnsiTheme="majorHAnsi" w:cs="Helvetica"/>
                <w:sz w:val="18"/>
                <w:szCs w:val="18"/>
              </w:rPr>
              <w:t>[Caprifoliaceae] – Honeysuckle, Woodbine</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Sansford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QLD, NSW, TAS</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Loropetalum chinense</w:t>
            </w:r>
            <w:r w:rsidRPr="00B933AF">
              <w:rPr>
                <w:rFonts w:asciiTheme="majorHAnsi" w:hAnsiTheme="majorHAnsi" w:cs="Helvetica"/>
                <w:sz w:val="18"/>
                <w:szCs w:val="18"/>
              </w:rPr>
              <w:t xml:space="preserve"> (R. Br.) Oliv. [Hamamelidaceae] – Loropetalum</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Cs/>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Blomquist </w:t>
            </w:r>
            <w:r w:rsidRPr="00B933AF">
              <w:rPr>
                <w:rFonts w:asciiTheme="majorHAnsi" w:hAnsiTheme="majorHAnsi" w:cs="Helvetica"/>
                <w:iCs/>
                <w:sz w:val="18"/>
                <w:szCs w:val="18"/>
              </w:rPr>
              <w:t>et al</w:t>
            </w:r>
            <w:r w:rsidRPr="00B933AF">
              <w:rPr>
                <w:rFonts w:asciiTheme="majorHAnsi" w:hAnsiTheme="majorHAnsi" w:cs="Helvetica"/>
                <w:sz w:val="18"/>
                <w:szCs w:val="18"/>
              </w:rPr>
              <w:t>. 2012</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ACT, NSW, VIC</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Magnolia acuminata</w:t>
            </w:r>
            <w:r w:rsidRPr="00B933AF">
              <w:rPr>
                <w:rFonts w:asciiTheme="majorHAnsi" w:hAnsiTheme="majorHAnsi" w:cs="Helvetica"/>
                <w:sz w:val="18"/>
                <w:szCs w:val="18"/>
              </w:rPr>
              <w:t xml:space="preserve"> (L.) L. [Magnoliaceae] – Blue magnolia, Cucumber-tree, Yellow cucumber-tree </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Kobus acuminata</w:t>
            </w:r>
            <w:r w:rsidRPr="00B933AF">
              <w:rPr>
                <w:rFonts w:asciiTheme="majorHAnsi" w:hAnsiTheme="majorHAnsi"/>
                <w:sz w:val="18"/>
                <w:szCs w:val="18"/>
              </w:rPr>
              <w:t xml:space="preserve"> (L.) Nieuwl., </w:t>
            </w:r>
            <w:r w:rsidRPr="00B933AF">
              <w:rPr>
                <w:rFonts w:asciiTheme="majorHAnsi" w:hAnsiTheme="majorHAnsi"/>
                <w:i/>
                <w:sz w:val="18"/>
                <w:szCs w:val="18"/>
              </w:rPr>
              <w:t>Magnolia acuminata</w:t>
            </w:r>
            <w:r w:rsidRPr="00B933AF">
              <w:rPr>
                <w:rFonts w:asciiTheme="majorHAnsi" w:hAnsiTheme="majorHAnsi"/>
                <w:sz w:val="18"/>
                <w:szCs w:val="18"/>
              </w:rPr>
              <w:t xml:space="preserve"> Hardin, </w:t>
            </w:r>
            <w:r w:rsidRPr="00B933AF">
              <w:rPr>
                <w:rFonts w:asciiTheme="majorHAnsi" w:hAnsiTheme="majorHAnsi"/>
                <w:i/>
                <w:sz w:val="18"/>
                <w:szCs w:val="18"/>
              </w:rPr>
              <w:t>Magnolia cordata</w:t>
            </w:r>
            <w:r w:rsidRPr="00B933AF">
              <w:rPr>
                <w:rFonts w:asciiTheme="majorHAnsi" w:hAnsiTheme="majorHAnsi"/>
                <w:sz w:val="18"/>
                <w:szCs w:val="18"/>
              </w:rPr>
              <w:t xml:space="preserve"> Michx., </w:t>
            </w:r>
            <w:r w:rsidRPr="00B933AF">
              <w:rPr>
                <w:rFonts w:asciiTheme="majorHAnsi" w:hAnsiTheme="majorHAnsi"/>
                <w:i/>
                <w:sz w:val="18"/>
                <w:szCs w:val="18"/>
              </w:rPr>
              <w:t>Tulipastrum acuminatum</w:t>
            </w:r>
            <w:r w:rsidRPr="00B933AF">
              <w:rPr>
                <w:rFonts w:asciiTheme="majorHAnsi" w:hAnsiTheme="majorHAnsi"/>
                <w:sz w:val="18"/>
                <w:szCs w:val="18"/>
              </w:rPr>
              <w:t xml:space="preserve"> (L.) Small, </w:t>
            </w:r>
            <w:r w:rsidRPr="00B933AF">
              <w:rPr>
                <w:rFonts w:asciiTheme="majorHAnsi" w:hAnsiTheme="majorHAnsi"/>
                <w:i/>
                <w:sz w:val="18"/>
                <w:szCs w:val="18"/>
              </w:rPr>
              <w:t>Tulipastrum americanum</w:t>
            </w:r>
            <w:r w:rsidRPr="00B933AF">
              <w:rPr>
                <w:rFonts w:asciiTheme="majorHAnsi" w:hAnsiTheme="majorHAnsi"/>
                <w:sz w:val="18"/>
                <w:szCs w:val="18"/>
              </w:rPr>
              <w:t xml:space="preserve"> Spach, </w:t>
            </w:r>
            <w:r w:rsidRPr="00B933AF">
              <w:rPr>
                <w:rFonts w:asciiTheme="majorHAnsi" w:hAnsiTheme="majorHAnsi"/>
                <w:i/>
                <w:sz w:val="18"/>
                <w:szCs w:val="18"/>
              </w:rPr>
              <w:t>Tulipastrum cordatum</w:t>
            </w:r>
            <w:r w:rsidRPr="00B933AF">
              <w:rPr>
                <w:rFonts w:asciiTheme="majorHAnsi" w:hAnsiTheme="majorHAnsi"/>
                <w:sz w:val="18"/>
                <w:szCs w:val="18"/>
              </w:rPr>
              <w:t xml:space="preserve"> (Michx.) Small</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FERA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5F34A8">
            <w:pPr>
              <w:spacing w:before="40" w:after="40"/>
              <w:rPr>
                <w:rFonts w:asciiTheme="majorHAnsi" w:hAnsiTheme="majorHAnsi" w:cs="Helvetica"/>
                <w:iCs/>
                <w:sz w:val="18"/>
                <w:szCs w:val="18"/>
              </w:rPr>
            </w:pPr>
            <w:r w:rsidRPr="00B933AF">
              <w:rPr>
                <w:rFonts w:asciiTheme="majorHAnsi" w:hAnsiTheme="majorHAnsi" w:cs="Helvetica"/>
                <w:i/>
                <w:iCs/>
                <w:sz w:val="18"/>
                <w:szCs w:val="18"/>
              </w:rPr>
              <w:t>Magnolia cavaleriei</w:t>
            </w:r>
            <w:r w:rsidRPr="00B933AF">
              <w:rPr>
                <w:rFonts w:asciiTheme="majorHAnsi" w:hAnsiTheme="majorHAnsi" w:cs="Helvetica"/>
                <w:sz w:val="18"/>
                <w:szCs w:val="18"/>
              </w:rPr>
              <w:t xml:space="preserve"> (Finet &amp; Gagnep.) Figlar [Magnoliaceae]</w:t>
            </w:r>
            <w:r w:rsidRPr="00B933AF">
              <w:rPr>
                <w:rFonts w:asciiTheme="majorHAnsi" w:hAnsiTheme="majorHAnsi" w:cs="Helvetica"/>
                <w:iCs/>
                <w:sz w:val="18"/>
                <w:szCs w:val="18"/>
              </w:rPr>
              <w:t xml:space="preserve"> </w:t>
            </w:r>
            <w:r w:rsidRPr="00B933AF">
              <w:rPr>
                <w:rFonts w:asciiTheme="majorHAnsi" w:hAnsiTheme="majorHAnsi" w:cs="Helvetica"/>
                <w:iCs/>
                <w:sz w:val="18"/>
                <w:szCs w:val="18"/>
              </w:rPr>
              <w:softHyphen/>
              <w:t>(</w:t>
            </w:r>
            <w:r w:rsidR="005F34A8">
              <w:rPr>
                <w:rFonts w:asciiTheme="majorHAnsi" w:hAnsiTheme="majorHAnsi" w:cs="Helvetica"/>
                <w:iCs/>
                <w:sz w:val="18"/>
                <w:szCs w:val="18"/>
              </w:rPr>
              <w:t>L</w:t>
            </w:r>
            <w:r w:rsidRPr="00B933AF">
              <w:rPr>
                <w:rFonts w:asciiTheme="majorHAnsi" w:hAnsiTheme="majorHAnsi" w:cs="Helvetica"/>
                <w:iCs/>
                <w:sz w:val="18"/>
                <w:szCs w:val="18"/>
              </w:rPr>
              <w:t xml:space="preserve">isted as </w:t>
            </w:r>
            <w:r w:rsidRPr="00B933AF">
              <w:rPr>
                <w:rFonts w:asciiTheme="majorHAnsi" w:hAnsiTheme="majorHAnsi" w:cs="Helvetica"/>
                <w:i/>
                <w:iCs/>
                <w:sz w:val="18"/>
                <w:szCs w:val="18"/>
              </w:rPr>
              <w:t>Magnolia cavalieri</w:t>
            </w:r>
            <w:r w:rsidR="00CD5428">
              <w:rPr>
                <w:rFonts w:asciiTheme="majorHAnsi" w:hAnsiTheme="majorHAnsi" w:cs="Helvetica"/>
                <w:i/>
                <w:iCs/>
                <w:sz w:val="18"/>
                <w:szCs w:val="18"/>
              </w:rPr>
              <w:t xml:space="preserve">, </w:t>
            </w:r>
            <w:r w:rsidRPr="00B933AF">
              <w:rPr>
                <w:rFonts w:asciiTheme="majorHAnsi" w:hAnsiTheme="majorHAnsi" w:cs="Helvetica"/>
                <w:iCs/>
                <w:sz w:val="18"/>
                <w:szCs w:val="18"/>
              </w:rPr>
              <w:t xml:space="preserve">which is not an accepted name) </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 xml:space="preserve">Michelia cavaleriei </w:t>
            </w:r>
            <w:r w:rsidRPr="00B933AF">
              <w:rPr>
                <w:rFonts w:asciiTheme="majorHAnsi" w:hAnsiTheme="majorHAnsi" w:cs="Helvetica"/>
                <w:iCs/>
                <w:sz w:val="18"/>
                <w:szCs w:val="18"/>
              </w:rPr>
              <w:t>var.</w:t>
            </w:r>
            <w:r w:rsidRPr="00B933AF">
              <w:rPr>
                <w:rFonts w:asciiTheme="majorHAnsi" w:hAnsiTheme="majorHAnsi" w:cs="Helvetica"/>
                <w:i/>
                <w:iCs/>
                <w:sz w:val="18"/>
                <w:szCs w:val="18"/>
              </w:rPr>
              <w:t xml:space="preserve"> cavaleriei</w:t>
            </w:r>
            <w:r w:rsidRPr="00B933AF">
              <w:rPr>
                <w:rFonts w:asciiTheme="majorHAnsi" w:hAnsiTheme="majorHAnsi" w:cs="Helvetica"/>
                <w:iCs/>
                <w:sz w:val="18"/>
                <w:szCs w:val="18"/>
              </w:rPr>
              <w:t>*</w:t>
            </w:r>
            <w:r w:rsidRPr="00B933AF">
              <w:rPr>
                <w:rFonts w:asciiTheme="majorHAnsi" w:hAnsiTheme="majorHAnsi"/>
                <w:sz w:val="18"/>
                <w:szCs w:val="18"/>
              </w:rPr>
              <w:t xml:space="preserve"> </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Magnolia delavayi</w:t>
            </w:r>
            <w:r w:rsidRPr="00B933AF">
              <w:rPr>
                <w:rFonts w:asciiTheme="majorHAnsi" w:hAnsiTheme="majorHAnsi" w:cs="Helvetica"/>
                <w:sz w:val="18"/>
                <w:szCs w:val="18"/>
              </w:rPr>
              <w:t xml:space="preserve"> Franch [Magnoliaceae] – Chinese Magnolia </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Lirianthe delavayi</w:t>
            </w:r>
            <w:r w:rsidRPr="00B933AF">
              <w:rPr>
                <w:rFonts w:asciiTheme="majorHAnsi" w:hAnsiTheme="majorHAnsi"/>
                <w:sz w:val="18"/>
                <w:szCs w:val="18"/>
              </w:rPr>
              <w:t xml:space="preserve"> (Franch.) N.H. Xia &amp; C.Y. Wu*</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FERA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VIC</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Magnolia denudata</w:t>
            </w:r>
            <w:r w:rsidRPr="00B933AF">
              <w:rPr>
                <w:rFonts w:asciiTheme="majorHAnsi" w:hAnsiTheme="majorHAnsi" w:cs="Helvetica"/>
                <w:sz w:val="18"/>
                <w:szCs w:val="18"/>
              </w:rPr>
              <w:t xml:space="preserve"> Desr. [ Magnoliaceae] – Lily Tree</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Magnolia conspicua</w:t>
            </w:r>
            <w:r w:rsidRPr="00B933AF">
              <w:rPr>
                <w:rFonts w:asciiTheme="majorHAnsi" w:hAnsiTheme="majorHAnsi" w:cs="Helvetica"/>
                <w:sz w:val="18"/>
                <w:szCs w:val="18"/>
              </w:rPr>
              <w:t xml:space="preserve"> Salisb., </w:t>
            </w:r>
            <w:r w:rsidRPr="00B933AF">
              <w:rPr>
                <w:rFonts w:asciiTheme="majorHAnsi" w:hAnsiTheme="majorHAnsi" w:cs="Helvetica"/>
                <w:i/>
                <w:iCs/>
                <w:sz w:val="18"/>
                <w:szCs w:val="18"/>
              </w:rPr>
              <w:t xml:space="preserve">Magnolia yulan </w:t>
            </w:r>
            <w:r w:rsidRPr="00B933AF">
              <w:rPr>
                <w:rFonts w:asciiTheme="majorHAnsi" w:hAnsiTheme="majorHAnsi" w:cs="Helvetica"/>
                <w:sz w:val="18"/>
                <w:szCs w:val="18"/>
              </w:rPr>
              <w:t xml:space="preserve">Desf., </w:t>
            </w:r>
            <w:r w:rsidRPr="00B933AF">
              <w:rPr>
                <w:rFonts w:asciiTheme="majorHAnsi" w:hAnsiTheme="majorHAnsi"/>
                <w:i/>
                <w:sz w:val="18"/>
                <w:szCs w:val="18"/>
              </w:rPr>
              <w:t>Yulania denudata</w:t>
            </w:r>
            <w:r w:rsidRPr="00B933AF">
              <w:rPr>
                <w:rFonts w:asciiTheme="majorHAnsi" w:hAnsiTheme="majorHAnsi"/>
                <w:sz w:val="18"/>
                <w:szCs w:val="18"/>
              </w:rPr>
              <w:t xml:space="preserve"> (Desr.) D.L. Fu*</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Sansford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VIC</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 xml:space="preserve">Magnolia doltsopa </w:t>
            </w:r>
            <w:r w:rsidRPr="00B933AF">
              <w:rPr>
                <w:rFonts w:asciiTheme="majorHAnsi" w:hAnsiTheme="majorHAnsi" w:cs="Helvetica"/>
                <w:sz w:val="18"/>
                <w:szCs w:val="18"/>
              </w:rPr>
              <w:t>(Buch.-Ham. ex DC.) Figlar [Magnoliaceae]– Michelia</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Cs/>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Sansford </w:t>
            </w:r>
            <w:r w:rsidRPr="00B933AF">
              <w:rPr>
                <w:rFonts w:asciiTheme="majorHAnsi" w:hAnsiTheme="majorHAnsi" w:cs="Helvetica"/>
                <w:iCs/>
                <w:sz w:val="18"/>
                <w:szCs w:val="18"/>
              </w:rPr>
              <w:t>et al</w:t>
            </w:r>
            <w:r w:rsidRPr="00B933AF">
              <w:rPr>
                <w:rFonts w:asciiTheme="majorHAnsi" w:hAnsiTheme="majorHAnsi" w:cs="Helvetica"/>
                <w:sz w:val="18"/>
                <w:szCs w:val="18"/>
              </w:rPr>
              <w:t>. 2009; 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Not listed as occurring in Australia</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lastRenderedPageBreak/>
              <w:t xml:space="preserve">Magnolia ernestii </w:t>
            </w:r>
            <w:r w:rsidRPr="00B933AF">
              <w:rPr>
                <w:rFonts w:asciiTheme="majorHAnsi" w:hAnsiTheme="majorHAnsi" w:cs="Helvetica"/>
                <w:sz w:val="18"/>
                <w:szCs w:val="18"/>
              </w:rPr>
              <w:t>Figlar [Magnoliaceae] – Michelia</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 xml:space="preserve">Michelia wilsonii </w:t>
            </w:r>
            <w:r w:rsidRPr="00B933AF">
              <w:rPr>
                <w:rFonts w:asciiTheme="majorHAnsi" w:hAnsiTheme="majorHAnsi"/>
                <w:sz w:val="18"/>
                <w:szCs w:val="18"/>
              </w:rPr>
              <w:t>subsp.</w:t>
            </w:r>
            <w:r w:rsidRPr="00B933AF">
              <w:rPr>
                <w:rFonts w:asciiTheme="majorHAnsi" w:hAnsiTheme="majorHAnsi"/>
                <w:i/>
                <w:sz w:val="18"/>
                <w:szCs w:val="18"/>
              </w:rPr>
              <w:t xml:space="preserve"> wilsonii</w:t>
            </w:r>
            <w:r w:rsidRPr="00B933AF">
              <w:rPr>
                <w:rFonts w:asciiTheme="majorHAnsi" w:hAnsiTheme="majorHAnsi"/>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Sansford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theme="minorHAnsi"/>
                <w:sz w:val="18"/>
                <w:szCs w:val="18"/>
              </w:rPr>
            </w:pPr>
            <w:r w:rsidRPr="00B933AF">
              <w:rPr>
                <w:rFonts w:asciiTheme="majorHAnsi" w:hAnsiTheme="majorHAnsi" w:cs="Helvetica"/>
                <w:sz w:val="18"/>
                <w:szCs w:val="18"/>
              </w:rPr>
              <w:t>Not listed as occurring in Australia</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Magnolia figo</w:t>
            </w:r>
            <w:r w:rsidRPr="00B933AF">
              <w:rPr>
                <w:rFonts w:asciiTheme="majorHAnsi" w:hAnsiTheme="majorHAnsi" w:cs="Helvetica"/>
                <w:sz w:val="18"/>
                <w:szCs w:val="18"/>
              </w:rPr>
              <w:t xml:space="preserve"> (Lour.) DC. [Magnoliaceae] – Banana magnolia, Banana shrub</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Michelia figo</w:t>
            </w:r>
            <w:r w:rsidRPr="00B933AF">
              <w:rPr>
                <w:rFonts w:asciiTheme="majorHAnsi" w:hAnsiTheme="majorHAnsi" w:cs="Helvetica"/>
                <w:sz w:val="18"/>
                <w:szCs w:val="18"/>
              </w:rPr>
              <w:t xml:space="preserve"> (Lour.) Spreng*</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APHIS 2008a</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theme="minorHAnsi"/>
                <w:sz w:val="18"/>
                <w:szCs w:val="18"/>
              </w:rPr>
            </w:pPr>
            <w:r w:rsidRPr="00B933AF">
              <w:rPr>
                <w:rFonts w:asciiTheme="majorHAnsi" w:hAnsiTheme="majorHAnsi" w:cs="Helvetica"/>
                <w:sz w:val="18"/>
                <w:szCs w:val="18"/>
              </w:rPr>
              <w:t>Not listed as occurring in Australia</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
                <w:iCs/>
                <w:sz w:val="18"/>
                <w:szCs w:val="18"/>
              </w:rPr>
            </w:pPr>
            <w:r w:rsidRPr="00B933AF">
              <w:rPr>
                <w:rFonts w:asciiTheme="majorHAnsi" w:hAnsiTheme="majorHAnsi" w:cs="Helvetica"/>
                <w:i/>
                <w:iCs/>
                <w:sz w:val="18"/>
                <w:szCs w:val="18"/>
              </w:rPr>
              <w:t xml:space="preserve">Magnolia foveolata </w:t>
            </w:r>
            <w:r w:rsidRPr="00B933AF">
              <w:rPr>
                <w:rFonts w:asciiTheme="majorHAnsi" w:hAnsiTheme="majorHAnsi" w:cs="Helvetica"/>
                <w:sz w:val="18"/>
                <w:szCs w:val="18"/>
              </w:rPr>
              <w:t xml:space="preserve">(Merr. ex Dandy) Figlar [Magnoliaceae] </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Sansford et al. 2009; 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Magnolia grandiflora</w:t>
            </w:r>
            <w:r w:rsidRPr="00B933AF">
              <w:rPr>
                <w:rFonts w:asciiTheme="majorHAnsi" w:hAnsiTheme="majorHAnsi" w:cs="Helvetica"/>
                <w:sz w:val="18"/>
                <w:szCs w:val="18"/>
              </w:rPr>
              <w:t xml:space="preserve"> L. [Magnoliaceae] – Magnolia</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 xml:space="preserve">Magnolia ferruginea </w:t>
            </w:r>
            <w:r w:rsidRPr="00B933AF">
              <w:rPr>
                <w:rFonts w:asciiTheme="majorHAnsi" w:hAnsiTheme="majorHAnsi"/>
                <w:sz w:val="18"/>
                <w:szCs w:val="18"/>
              </w:rPr>
              <w:t xml:space="preserve">Z. Collins ex Raf., </w:t>
            </w:r>
            <w:r w:rsidRPr="00B933AF">
              <w:rPr>
                <w:rFonts w:asciiTheme="majorHAnsi" w:hAnsiTheme="majorHAnsi"/>
                <w:i/>
                <w:sz w:val="18"/>
                <w:szCs w:val="18"/>
              </w:rPr>
              <w:t>Magnolia foetida</w:t>
            </w:r>
            <w:r w:rsidRPr="00B933AF">
              <w:rPr>
                <w:rFonts w:asciiTheme="majorHAnsi" w:hAnsiTheme="majorHAnsi"/>
                <w:sz w:val="18"/>
                <w:szCs w:val="18"/>
              </w:rPr>
              <w:t xml:space="preserve"> (L.) Sarg., </w:t>
            </w:r>
            <w:r w:rsidRPr="00B933AF">
              <w:rPr>
                <w:rFonts w:asciiTheme="majorHAnsi" w:hAnsiTheme="majorHAnsi"/>
                <w:i/>
                <w:sz w:val="18"/>
                <w:szCs w:val="18"/>
              </w:rPr>
              <w:t>Magnolia lacunosa</w:t>
            </w:r>
            <w:r w:rsidRPr="00B933AF">
              <w:rPr>
                <w:rFonts w:asciiTheme="majorHAnsi" w:hAnsiTheme="majorHAnsi"/>
                <w:sz w:val="18"/>
                <w:szCs w:val="18"/>
              </w:rPr>
              <w:t xml:space="preserve"> Raf.</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Sansford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NSW, QLD, SA, VIC</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Magnolia kobus</w:t>
            </w:r>
            <w:r w:rsidRPr="00B933AF">
              <w:rPr>
                <w:rFonts w:asciiTheme="majorHAnsi" w:hAnsiTheme="majorHAnsi" w:cs="Helvetica"/>
                <w:sz w:val="18"/>
                <w:szCs w:val="18"/>
              </w:rPr>
              <w:t xml:space="preserve"> DC. [Magnoliaceae] – Kobus magnolia</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Buergeria obovata</w:t>
            </w:r>
            <w:r w:rsidRPr="00B933AF">
              <w:rPr>
                <w:rFonts w:asciiTheme="majorHAnsi" w:hAnsiTheme="majorHAnsi"/>
                <w:sz w:val="18"/>
                <w:szCs w:val="18"/>
              </w:rPr>
              <w:t xml:space="preserve"> Siebold &amp; Zucc., </w:t>
            </w:r>
            <w:r w:rsidRPr="00B933AF">
              <w:rPr>
                <w:rFonts w:asciiTheme="majorHAnsi" w:hAnsiTheme="majorHAnsi"/>
                <w:i/>
                <w:sz w:val="18"/>
                <w:szCs w:val="18"/>
              </w:rPr>
              <w:t>Magnolia praecocissima</w:t>
            </w:r>
            <w:r w:rsidRPr="00B933AF">
              <w:rPr>
                <w:rFonts w:asciiTheme="majorHAnsi" w:hAnsiTheme="majorHAnsi"/>
                <w:sz w:val="18"/>
                <w:szCs w:val="18"/>
              </w:rPr>
              <w:t xml:space="preserve"> Koidz., </w:t>
            </w:r>
            <w:r w:rsidRPr="00B933AF">
              <w:rPr>
                <w:rFonts w:asciiTheme="majorHAnsi" w:hAnsiTheme="majorHAnsi"/>
                <w:i/>
                <w:sz w:val="18"/>
                <w:szCs w:val="18"/>
              </w:rPr>
              <w:t>Yulania kobus</w:t>
            </w:r>
            <w:r w:rsidRPr="00B933AF">
              <w:rPr>
                <w:rFonts w:asciiTheme="majorHAnsi" w:hAnsiTheme="majorHAnsi"/>
                <w:sz w:val="18"/>
                <w:szCs w:val="18"/>
              </w:rPr>
              <w:t xml:space="preserve"> (DC.) Spach</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Sansford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NSW</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
                <w:iCs/>
                <w:sz w:val="18"/>
                <w:szCs w:val="18"/>
              </w:rPr>
            </w:pPr>
            <w:r w:rsidRPr="00B933AF">
              <w:rPr>
                <w:rFonts w:asciiTheme="majorHAnsi" w:hAnsiTheme="majorHAnsi" w:cs="Helvetica"/>
                <w:i/>
                <w:iCs/>
                <w:sz w:val="18"/>
                <w:szCs w:val="18"/>
              </w:rPr>
              <w:t xml:space="preserve">Magnolia liliiflora </w:t>
            </w:r>
            <w:r w:rsidRPr="00B933AF">
              <w:rPr>
                <w:rFonts w:asciiTheme="majorHAnsi" w:hAnsiTheme="majorHAnsi" w:cs="Helvetica"/>
                <w:sz w:val="18"/>
                <w:szCs w:val="18"/>
              </w:rPr>
              <w:t>Desr. [Magnoliaceae] – Purple magnolia</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APHIS 2008b; 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VIC</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Magnolia salicifolia</w:t>
            </w:r>
            <w:r w:rsidRPr="00B933AF">
              <w:rPr>
                <w:rFonts w:asciiTheme="majorHAnsi" w:hAnsiTheme="majorHAnsi" w:cs="Helvetica"/>
                <w:sz w:val="18"/>
                <w:szCs w:val="18"/>
              </w:rPr>
              <w:t xml:space="preserve"> (Siebold &amp; Zucc.) Maxim. [Magnoliaceae] – Anise magnolia</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Cs/>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Sansford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VIC</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Magnolia stellata</w:t>
            </w:r>
            <w:r w:rsidRPr="00B933AF">
              <w:rPr>
                <w:rFonts w:asciiTheme="majorHAnsi" w:hAnsiTheme="majorHAnsi" w:cs="Helvetica"/>
                <w:sz w:val="18"/>
                <w:szCs w:val="18"/>
              </w:rPr>
              <w:t xml:space="preserve"> (Siebold &amp; Zucc.) Maxim. [Magnoliaceae] – Star magnolia</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Giltrap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2007; Sansford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NSW</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Maianthemum racemosum</w:t>
            </w:r>
            <w:r w:rsidRPr="00B933AF">
              <w:rPr>
                <w:rFonts w:asciiTheme="majorHAnsi" w:hAnsiTheme="majorHAnsi" w:cs="Helvetica"/>
                <w:sz w:val="18"/>
                <w:szCs w:val="18"/>
              </w:rPr>
              <w:t xml:space="preserve"> (L) Link [Liliaceae] – False Solomon’s seal</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 xml:space="preserve">Convallaria racemosa </w:t>
            </w:r>
            <w:r w:rsidRPr="00B933AF">
              <w:rPr>
                <w:rFonts w:asciiTheme="majorHAnsi" w:hAnsiTheme="majorHAnsi" w:cs="Helvetica"/>
                <w:sz w:val="18"/>
                <w:szCs w:val="18"/>
              </w:rPr>
              <w:t xml:space="preserve">L., </w:t>
            </w:r>
            <w:r w:rsidRPr="00B933AF">
              <w:rPr>
                <w:rFonts w:asciiTheme="majorHAnsi" w:hAnsiTheme="majorHAnsi" w:cs="Helvetica"/>
                <w:i/>
                <w:iCs/>
                <w:sz w:val="18"/>
                <w:szCs w:val="18"/>
              </w:rPr>
              <w:t>Smilacina racemosa</w:t>
            </w:r>
            <w:r w:rsidRPr="00B933AF">
              <w:rPr>
                <w:rFonts w:asciiTheme="majorHAnsi" w:hAnsiTheme="majorHAnsi" w:cs="Helvetica"/>
                <w:sz w:val="18"/>
                <w:szCs w:val="18"/>
              </w:rPr>
              <w:t xml:space="preserve"> (L.) Desf, </w:t>
            </w:r>
            <w:r w:rsidRPr="00B933AF">
              <w:rPr>
                <w:rFonts w:asciiTheme="majorHAnsi" w:hAnsiTheme="majorHAnsi"/>
                <w:i/>
                <w:sz w:val="18"/>
                <w:szCs w:val="18"/>
              </w:rPr>
              <w:t>Unifolium racemosum</w:t>
            </w:r>
            <w:r w:rsidRPr="00B933AF">
              <w:rPr>
                <w:rFonts w:asciiTheme="majorHAnsi" w:hAnsiTheme="majorHAnsi"/>
                <w:sz w:val="18"/>
                <w:szCs w:val="18"/>
              </w:rPr>
              <w:t xml:space="preserve"> (L.) Britton</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Hüberli </w:t>
            </w:r>
            <w:r w:rsidRPr="00B933AF">
              <w:rPr>
                <w:rFonts w:asciiTheme="majorHAnsi" w:hAnsiTheme="majorHAnsi" w:cs="Helvetica"/>
                <w:iCs/>
                <w:sz w:val="18"/>
                <w:szCs w:val="18"/>
              </w:rPr>
              <w:t>et al</w:t>
            </w:r>
            <w:r w:rsidRPr="00B933AF">
              <w:rPr>
                <w:rFonts w:asciiTheme="majorHAnsi" w:hAnsiTheme="majorHAnsi" w:cs="Helvetica"/>
                <w:sz w:val="18"/>
                <w:szCs w:val="18"/>
              </w:rPr>
              <w:t>. 2005;  Vettraino et al. 2010</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
                <w:iCs/>
                <w:sz w:val="18"/>
                <w:szCs w:val="18"/>
              </w:rPr>
            </w:pPr>
            <w:r w:rsidRPr="00B933AF">
              <w:rPr>
                <w:rFonts w:asciiTheme="majorHAnsi" w:hAnsiTheme="majorHAnsi" w:cs="Arial"/>
                <w:i/>
                <w:iCs/>
                <w:sz w:val="18"/>
                <w:szCs w:val="18"/>
              </w:rPr>
              <w:t>Malus pumila</w:t>
            </w:r>
            <w:r w:rsidRPr="00B933AF">
              <w:rPr>
                <w:rFonts w:asciiTheme="majorHAnsi" w:hAnsiTheme="majorHAnsi" w:cs="Arial"/>
                <w:sz w:val="18"/>
                <w:szCs w:val="18"/>
              </w:rPr>
              <w:t xml:space="preserve"> </w:t>
            </w:r>
            <w:r w:rsidRPr="00B933AF">
              <w:rPr>
                <w:rFonts w:asciiTheme="majorHAnsi" w:hAnsiTheme="majorHAnsi" w:cs="Arial"/>
                <w:iCs/>
                <w:sz w:val="18"/>
                <w:szCs w:val="18"/>
              </w:rPr>
              <w:t>Mill [Rosaceae]</w:t>
            </w:r>
            <w:r w:rsidR="008C4EB6">
              <w:rPr>
                <w:rFonts w:asciiTheme="majorHAnsi" w:hAnsiTheme="majorHAnsi" w:cs="Helvetica"/>
                <w:sz w:val="18"/>
                <w:szCs w:val="18"/>
              </w:rPr>
              <w:t>– Paradise apple (</w:t>
            </w:r>
            <w:r w:rsidRPr="00B933AF">
              <w:rPr>
                <w:rFonts w:asciiTheme="majorHAnsi" w:hAnsiTheme="majorHAnsi" w:cs="Helvetica"/>
                <w:sz w:val="18"/>
                <w:szCs w:val="18"/>
              </w:rPr>
              <w:t xml:space="preserve">Only reported as a host of </w:t>
            </w:r>
            <w:r w:rsidRPr="00B933AF">
              <w:rPr>
                <w:rFonts w:asciiTheme="majorHAnsi" w:hAnsiTheme="majorHAnsi" w:cs="Helvetica"/>
                <w:i/>
                <w:sz w:val="18"/>
                <w:szCs w:val="18"/>
              </w:rPr>
              <w:t>Phytophthora pseudosyringae</w:t>
            </w:r>
            <w:r w:rsidRPr="00B933AF">
              <w:rPr>
                <w:rFonts w:asciiTheme="majorHAnsi" w:hAnsiTheme="majorHAnsi" w:cs="Helvetica"/>
                <w:sz w:val="18"/>
                <w:szCs w:val="18"/>
              </w:rPr>
              <w:t>)</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Malus domestica</w:t>
            </w:r>
            <w:r w:rsidRPr="00B933AF">
              <w:rPr>
                <w:rFonts w:asciiTheme="majorHAnsi" w:hAnsiTheme="majorHAnsi"/>
                <w:sz w:val="18"/>
                <w:szCs w:val="18"/>
              </w:rPr>
              <w:t xml:space="preserve"> Borkh.*, </w:t>
            </w:r>
            <w:r w:rsidRPr="00B933AF">
              <w:rPr>
                <w:rFonts w:asciiTheme="majorHAnsi" w:hAnsiTheme="majorHAnsi"/>
                <w:i/>
                <w:sz w:val="18"/>
                <w:szCs w:val="18"/>
              </w:rPr>
              <w:t>Malus communis</w:t>
            </w:r>
            <w:r w:rsidRPr="00B933AF">
              <w:rPr>
                <w:rFonts w:asciiTheme="majorHAnsi" w:hAnsiTheme="majorHAnsi"/>
                <w:sz w:val="18"/>
                <w:szCs w:val="18"/>
              </w:rPr>
              <w:t xml:space="preserve"> Poir., </w:t>
            </w:r>
            <w:r w:rsidRPr="00B933AF">
              <w:rPr>
                <w:rFonts w:asciiTheme="majorHAnsi" w:hAnsiTheme="majorHAnsi"/>
                <w:i/>
                <w:sz w:val="18"/>
                <w:szCs w:val="18"/>
              </w:rPr>
              <w:t>Malus dasyphylla</w:t>
            </w:r>
            <w:r w:rsidRPr="00B933AF">
              <w:rPr>
                <w:rFonts w:asciiTheme="majorHAnsi" w:hAnsiTheme="majorHAnsi"/>
                <w:sz w:val="18"/>
                <w:szCs w:val="18"/>
              </w:rPr>
              <w:t xml:space="preserve"> Borkh., </w:t>
            </w:r>
            <w:r w:rsidRPr="00B933AF">
              <w:rPr>
                <w:rFonts w:asciiTheme="majorHAnsi" w:hAnsiTheme="majorHAnsi"/>
                <w:i/>
                <w:sz w:val="18"/>
                <w:szCs w:val="18"/>
              </w:rPr>
              <w:t>Malus niedzwetzkyana</w:t>
            </w:r>
            <w:r w:rsidRPr="00B933AF">
              <w:rPr>
                <w:rFonts w:asciiTheme="majorHAnsi" w:hAnsiTheme="majorHAnsi"/>
                <w:sz w:val="18"/>
                <w:szCs w:val="18"/>
              </w:rPr>
              <w:t xml:space="preserve"> Dieck ex Koehne, </w:t>
            </w:r>
            <w:r w:rsidRPr="00B933AF">
              <w:rPr>
                <w:rFonts w:asciiTheme="majorHAnsi" w:hAnsiTheme="majorHAnsi"/>
                <w:i/>
                <w:sz w:val="18"/>
                <w:szCs w:val="18"/>
              </w:rPr>
              <w:t>Pyrus malus</w:t>
            </w:r>
            <w:r w:rsidRPr="00B933AF">
              <w:rPr>
                <w:rFonts w:asciiTheme="majorHAnsi" w:hAnsiTheme="majorHAnsi"/>
                <w:sz w:val="18"/>
                <w:szCs w:val="18"/>
              </w:rPr>
              <w:t xml:space="preserve"> L.</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Sansford 2012</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SA, VIC, NSW, QLD, ACT, TAS, WA</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Manglietia insignis</w:t>
            </w:r>
            <w:r w:rsidRPr="00B933AF">
              <w:rPr>
                <w:rFonts w:asciiTheme="majorHAnsi" w:hAnsiTheme="majorHAnsi" w:cs="Helvetica"/>
                <w:sz w:val="18"/>
                <w:szCs w:val="18"/>
              </w:rPr>
              <w:t xml:space="preserve"> (Wall.) Blume [Magnoliaceae] – Red lotus tree </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Magnolia insignis</w:t>
            </w:r>
            <w:r w:rsidRPr="00B933AF">
              <w:rPr>
                <w:rFonts w:asciiTheme="majorHAnsi" w:hAnsiTheme="majorHAnsi"/>
                <w:sz w:val="18"/>
                <w:szCs w:val="18"/>
              </w:rPr>
              <w:t xml:space="preserve"> Wall., </w:t>
            </w:r>
            <w:r w:rsidRPr="00B933AF">
              <w:rPr>
                <w:rFonts w:asciiTheme="majorHAnsi" w:hAnsiTheme="majorHAnsi"/>
                <w:i/>
                <w:sz w:val="18"/>
                <w:szCs w:val="18"/>
              </w:rPr>
              <w:t>Magnolia shangpaensis</w:t>
            </w:r>
            <w:r w:rsidRPr="00B933AF">
              <w:rPr>
                <w:rFonts w:asciiTheme="majorHAnsi" w:hAnsiTheme="majorHAnsi"/>
                <w:sz w:val="18"/>
                <w:szCs w:val="18"/>
              </w:rPr>
              <w:t xml:space="preserve"> H.H. Hu, </w:t>
            </w:r>
            <w:r w:rsidRPr="00B933AF">
              <w:rPr>
                <w:rFonts w:asciiTheme="majorHAnsi" w:hAnsiTheme="majorHAnsi"/>
                <w:i/>
                <w:sz w:val="18"/>
                <w:szCs w:val="18"/>
              </w:rPr>
              <w:t>Manglietia maguanica</w:t>
            </w:r>
            <w:r w:rsidRPr="00B933AF">
              <w:rPr>
                <w:rFonts w:asciiTheme="majorHAnsi" w:hAnsiTheme="majorHAnsi"/>
                <w:sz w:val="18"/>
                <w:szCs w:val="18"/>
              </w:rPr>
              <w:t xml:space="preserve"> H.T. Chang &amp; B.L. Chen, </w:t>
            </w:r>
            <w:r w:rsidRPr="00B933AF">
              <w:rPr>
                <w:rFonts w:asciiTheme="majorHAnsi" w:hAnsiTheme="majorHAnsi"/>
                <w:i/>
                <w:sz w:val="18"/>
                <w:szCs w:val="18"/>
              </w:rPr>
              <w:t>Manglietia rufisyncarpa</w:t>
            </w:r>
            <w:r w:rsidRPr="00B933AF">
              <w:rPr>
                <w:rFonts w:asciiTheme="majorHAnsi" w:hAnsiTheme="majorHAnsi"/>
                <w:sz w:val="18"/>
                <w:szCs w:val="18"/>
              </w:rPr>
              <w:t xml:space="preserve"> Y.W. Law, R.Z. Zhou &amp; F.G. Wang, </w:t>
            </w:r>
            <w:r w:rsidRPr="00B933AF">
              <w:rPr>
                <w:rFonts w:asciiTheme="majorHAnsi" w:hAnsiTheme="majorHAnsi"/>
                <w:i/>
                <w:sz w:val="18"/>
                <w:szCs w:val="18"/>
              </w:rPr>
              <w:t>Manglietia yunnanensis</w:t>
            </w:r>
            <w:r w:rsidRPr="00B933AF">
              <w:rPr>
                <w:rFonts w:asciiTheme="majorHAnsi" w:hAnsiTheme="majorHAnsi"/>
                <w:sz w:val="18"/>
                <w:szCs w:val="18"/>
              </w:rPr>
              <w:t xml:space="preserve"> H.H. Hu</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Cave et al. 2008; Sansford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Cs/>
                <w:sz w:val="18"/>
                <w:szCs w:val="18"/>
              </w:rPr>
            </w:pPr>
            <w:r w:rsidRPr="00B933AF">
              <w:rPr>
                <w:rFonts w:asciiTheme="majorHAnsi" w:hAnsiTheme="majorHAnsi" w:cs="Helvetica"/>
                <w:i/>
                <w:iCs/>
                <w:sz w:val="18"/>
                <w:szCs w:val="18"/>
              </w:rPr>
              <w:t xml:space="preserve">Marah fabaceus </w:t>
            </w:r>
            <w:r w:rsidRPr="00B933AF">
              <w:rPr>
                <w:rFonts w:asciiTheme="majorHAnsi" w:hAnsiTheme="majorHAnsi"/>
                <w:color w:val="000000"/>
                <w:sz w:val="18"/>
                <w:szCs w:val="18"/>
              </w:rPr>
              <w:t xml:space="preserve">(Naud.) Naud. ex Greene </w:t>
            </w:r>
            <w:r w:rsidRPr="00B933AF">
              <w:rPr>
                <w:rFonts w:asciiTheme="majorHAnsi" w:hAnsiTheme="majorHAnsi" w:cs="Helvetica"/>
                <w:iCs/>
                <w:sz w:val="18"/>
                <w:szCs w:val="18"/>
              </w:rPr>
              <w:t>[</w:t>
            </w:r>
            <w:r w:rsidRPr="00B933AF">
              <w:rPr>
                <w:rFonts w:asciiTheme="majorHAnsi" w:hAnsiTheme="majorHAnsi" w:cs="Helvetica"/>
                <w:sz w:val="18"/>
                <w:szCs w:val="18"/>
              </w:rPr>
              <w:t xml:space="preserve">Cucurbitaceae] </w:t>
            </w:r>
            <w:r w:rsidRPr="00B933AF">
              <w:rPr>
                <w:rFonts w:asciiTheme="majorHAnsi" w:hAnsiTheme="majorHAnsi" w:cs="Helvetica"/>
                <w:sz w:val="18"/>
                <w:szCs w:val="18"/>
              </w:rPr>
              <w:softHyphen/>
              <w:t>–</w:t>
            </w:r>
            <w:r w:rsidRPr="00B933AF">
              <w:rPr>
                <w:rFonts w:asciiTheme="majorHAnsi" w:hAnsiTheme="majorHAnsi"/>
                <w:color w:val="000000"/>
                <w:sz w:val="18"/>
                <w:szCs w:val="18"/>
              </w:rPr>
              <w:t xml:space="preserve"> California manroot, Wild </w:t>
            </w:r>
            <w:r w:rsidRPr="00B933AF">
              <w:rPr>
                <w:rFonts w:asciiTheme="majorHAnsi" w:hAnsiTheme="majorHAnsi"/>
                <w:color w:val="000000"/>
                <w:sz w:val="18"/>
                <w:szCs w:val="18"/>
              </w:rPr>
              <w:lastRenderedPageBreak/>
              <w:t>cucumber</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lastRenderedPageBreak/>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Vettraino et al. 2010</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Not listed as occurring in Australia</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lastRenderedPageBreak/>
              <w:t>Michelia maudiae</w:t>
            </w:r>
            <w:r w:rsidRPr="00B933AF">
              <w:rPr>
                <w:rFonts w:asciiTheme="majorHAnsi" w:hAnsiTheme="majorHAnsi" w:cs="Helvetica"/>
                <w:sz w:val="18"/>
                <w:szCs w:val="18"/>
              </w:rPr>
              <w:t xml:space="preserve"> Dunn [Magnoliaceae] – Michelia</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Michelia chingii</w:t>
            </w:r>
            <w:r w:rsidRPr="00B933AF">
              <w:rPr>
                <w:rFonts w:asciiTheme="majorHAnsi" w:hAnsiTheme="majorHAnsi" w:cs="Helvetica"/>
                <w:sz w:val="18"/>
                <w:szCs w:val="18"/>
              </w:rPr>
              <w:t xml:space="preserve"> W.C. Cheng</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Sansford </w:t>
            </w:r>
            <w:r w:rsidRPr="00B933AF">
              <w:rPr>
                <w:rFonts w:asciiTheme="majorHAnsi" w:hAnsiTheme="majorHAnsi" w:cs="Helvetica"/>
                <w:iCs/>
                <w:sz w:val="18"/>
                <w:szCs w:val="18"/>
              </w:rPr>
              <w:t>et al</w:t>
            </w:r>
            <w:r w:rsidRPr="00B933AF">
              <w:rPr>
                <w:rFonts w:asciiTheme="majorHAnsi" w:hAnsiTheme="majorHAnsi" w:cs="Helvetica"/>
                <w:sz w:val="18"/>
                <w:szCs w:val="18"/>
              </w:rPr>
              <w:t>. 2009</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theme="minorHAnsi"/>
                <w:sz w:val="18"/>
                <w:szCs w:val="18"/>
              </w:rPr>
            </w:pPr>
            <w:r w:rsidRPr="00B933AF">
              <w:rPr>
                <w:rFonts w:asciiTheme="majorHAnsi" w:hAnsiTheme="majorHAnsi" w:cs="Helvetica"/>
                <w:sz w:val="18"/>
                <w:szCs w:val="18"/>
              </w:rPr>
              <w:t>VIC</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 xml:space="preserve">Molinadendron sinaloense </w:t>
            </w:r>
            <w:r w:rsidRPr="00B933AF">
              <w:rPr>
                <w:rFonts w:asciiTheme="majorHAnsi" w:hAnsiTheme="majorHAnsi" w:cs="Helvetica"/>
                <w:sz w:val="18"/>
                <w:szCs w:val="18"/>
              </w:rPr>
              <w:t>(Standl. &amp; Gentry) P.K. Endress</w:t>
            </w:r>
            <w:r w:rsidRPr="00B933AF">
              <w:rPr>
                <w:rFonts w:asciiTheme="majorHAnsi" w:hAnsiTheme="majorHAnsi" w:cs="Helvetica"/>
                <w:i/>
                <w:iCs/>
                <w:sz w:val="18"/>
                <w:szCs w:val="18"/>
              </w:rPr>
              <w:t xml:space="preserve"> </w:t>
            </w:r>
            <w:r w:rsidRPr="00B933AF">
              <w:rPr>
                <w:rFonts w:asciiTheme="majorHAnsi" w:hAnsiTheme="majorHAnsi" w:cs="Helvetica"/>
                <w:sz w:val="18"/>
                <w:szCs w:val="18"/>
              </w:rPr>
              <w:t xml:space="preserve">[Hamamelidaceae] </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Distylium sinaloense</w:t>
            </w:r>
            <w:r w:rsidRPr="00B933AF">
              <w:rPr>
                <w:rFonts w:asciiTheme="majorHAnsi" w:hAnsiTheme="majorHAnsi" w:cs="Helvetica"/>
                <w:sz w:val="18"/>
                <w:szCs w:val="18"/>
              </w:rPr>
              <w:t xml:space="preserve"> Standl. &amp; Gentry</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Not listed as occurring in Australia</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 xml:space="preserve">Myristica fragrans </w:t>
            </w:r>
            <w:r w:rsidRPr="00B933AF">
              <w:rPr>
                <w:rFonts w:asciiTheme="majorHAnsi" w:hAnsiTheme="majorHAnsi" w:cs="Helvetica"/>
                <w:sz w:val="18"/>
                <w:szCs w:val="18"/>
              </w:rPr>
              <w:t>Houtt. [Myristicaceae] – Nutmeg</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Myristica aromatica</w:t>
            </w:r>
            <w:r w:rsidRPr="00B933AF">
              <w:rPr>
                <w:rFonts w:asciiTheme="majorHAnsi" w:hAnsiTheme="majorHAnsi"/>
                <w:sz w:val="18"/>
                <w:szCs w:val="18"/>
              </w:rPr>
              <w:t xml:space="preserve"> Lam., </w:t>
            </w:r>
            <w:r w:rsidRPr="00B933AF">
              <w:rPr>
                <w:rFonts w:asciiTheme="majorHAnsi" w:hAnsiTheme="majorHAnsi"/>
                <w:i/>
                <w:sz w:val="18"/>
                <w:szCs w:val="18"/>
              </w:rPr>
              <w:t>Myristica moschata</w:t>
            </w:r>
            <w:r w:rsidRPr="00B933AF">
              <w:rPr>
                <w:rFonts w:asciiTheme="majorHAnsi" w:hAnsiTheme="majorHAnsi"/>
                <w:sz w:val="18"/>
                <w:szCs w:val="18"/>
              </w:rPr>
              <w:t xml:space="preserve"> Thunb., </w:t>
            </w:r>
            <w:r w:rsidRPr="00B933AF">
              <w:rPr>
                <w:rFonts w:asciiTheme="majorHAnsi" w:hAnsiTheme="majorHAnsi"/>
                <w:i/>
                <w:sz w:val="18"/>
                <w:szCs w:val="18"/>
              </w:rPr>
              <w:t>Myristica officinalis</w:t>
            </w:r>
            <w:r w:rsidRPr="00B933AF">
              <w:rPr>
                <w:rFonts w:asciiTheme="majorHAnsi" w:hAnsiTheme="majorHAnsi"/>
                <w:sz w:val="18"/>
                <w:szCs w:val="18"/>
              </w:rPr>
              <w:t xml:space="preserve"> L., </w:t>
            </w:r>
            <w:r w:rsidRPr="00B933AF">
              <w:rPr>
                <w:rFonts w:asciiTheme="majorHAnsi" w:hAnsiTheme="majorHAnsi"/>
                <w:i/>
                <w:sz w:val="18"/>
                <w:szCs w:val="18"/>
              </w:rPr>
              <w:t>Myristica officinalis</w:t>
            </w:r>
            <w:r w:rsidRPr="00B933AF">
              <w:rPr>
                <w:rFonts w:asciiTheme="majorHAnsi" w:hAnsiTheme="majorHAnsi"/>
                <w:sz w:val="18"/>
                <w:szCs w:val="18"/>
              </w:rPr>
              <w:t xml:space="preserve"> Mart.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color w:val="FF0000"/>
                <w:sz w:val="18"/>
                <w:szCs w:val="18"/>
              </w:rPr>
            </w:pPr>
            <w:r w:rsidRPr="00B933AF">
              <w:rPr>
                <w:rFonts w:asciiTheme="majorHAnsi" w:hAnsiTheme="majorHAnsi" w:cs="Helvetica"/>
                <w:sz w:val="18"/>
                <w:szCs w:val="18"/>
              </w:rPr>
              <w:t>Mathew &amp; Beena 2012</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theme="minorHAnsi"/>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Nerium oleander</w:t>
            </w:r>
            <w:r w:rsidRPr="00B933AF">
              <w:rPr>
                <w:rFonts w:asciiTheme="majorHAnsi" w:hAnsiTheme="majorHAnsi" w:cs="Helvetica"/>
                <w:sz w:val="18"/>
                <w:szCs w:val="18"/>
              </w:rPr>
              <w:t xml:space="preserve"> L. [Apocynaceae] – Oleander</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Nerium indicum</w:t>
            </w:r>
            <w:r w:rsidRPr="00B933AF">
              <w:rPr>
                <w:rFonts w:asciiTheme="majorHAnsi" w:hAnsiTheme="majorHAnsi"/>
                <w:sz w:val="18"/>
                <w:szCs w:val="18"/>
              </w:rPr>
              <w:t xml:space="preserve"> Mill., </w:t>
            </w:r>
            <w:r w:rsidRPr="00B933AF">
              <w:rPr>
                <w:rFonts w:asciiTheme="majorHAnsi" w:hAnsiTheme="majorHAnsi"/>
                <w:i/>
                <w:sz w:val="18"/>
                <w:szCs w:val="18"/>
              </w:rPr>
              <w:t>Nerium odoratum</w:t>
            </w:r>
            <w:r w:rsidRPr="00B933AF">
              <w:rPr>
                <w:rFonts w:asciiTheme="majorHAnsi" w:hAnsiTheme="majorHAnsi"/>
                <w:sz w:val="18"/>
                <w:szCs w:val="18"/>
              </w:rPr>
              <w:t xml:space="preserve"> Lam., </w:t>
            </w:r>
            <w:r w:rsidRPr="00B933AF">
              <w:rPr>
                <w:rFonts w:asciiTheme="majorHAnsi" w:hAnsiTheme="majorHAnsi"/>
                <w:i/>
                <w:sz w:val="18"/>
                <w:szCs w:val="18"/>
              </w:rPr>
              <w:t>Nerium odorum</w:t>
            </w:r>
            <w:r w:rsidRPr="00B933AF">
              <w:rPr>
                <w:rFonts w:asciiTheme="majorHAnsi" w:hAnsiTheme="majorHAnsi"/>
                <w:sz w:val="18"/>
                <w:szCs w:val="18"/>
              </w:rPr>
              <w:t xml:space="preserve"> Sol., </w:t>
            </w:r>
            <w:r w:rsidRPr="00B933AF">
              <w:rPr>
                <w:rFonts w:asciiTheme="majorHAnsi" w:hAnsiTheme="majorHAnsi"/>
                <w:i/>
                <w:sz w:val="18"/>
                <w:szCs w:val="18"/>
              </w:rPr>
              <w:t>Nerium verecundum</w:t>
            </w:r>
            <w:r w:rsidRPr="00B933AF">
              <w:rPr>
                <w:rFonts w:asciiTheme="majorHAnsi" w:hAnsiTheme="majorHAnsi"/>
                <w:sz w:val="18"/>
                <w:szCs w:val="18"/>
              </w:rPr>
              <w:t xml:space="preserve"> Salisb.  </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theme="minorHAnsi"/>
                <w:sz w:val="18"/>
                <w:szCs w:val="18"/>
              </w:rPr>
            </w:pPr>
            <w:r w:rsidRPr="00B933AF">
              <w:rPr>
                <w:rFonts w:asciiTheme="majorHAnsi" w:hAnsiTheme="majorHAnsi" w:cs="Helvetica"/>
                <w:sz w:val="18"/>
                <w:szCs w:val="18"/>
              </w:rPr>
              <w:t>WA, SA, QLD, NSW, ACT, VIC, TAS</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 xml:space="preserve">Nothofagus alpina </w:t>
            </w:r>
            <w:r w:rsidRPr="00B933AF">
              <w:rPr>
                <w:rFonts w:asciiTheme="majorHAnsi" w:hAnsiTheme="majorHAnsi" w:cs="Helvetica"/>
                <w:iCs/>
                <w:sz w:val="18"/>
                <w:szCs w:val="18"/>
              </w:rPr>
              <w:t>(Poepp. &amp; Endl.) Oerst.</w:t>
            </w:r>
            <w:r w:rsidRPr="00B933AF">
              <w:rPr>
                <w:rFonts w:asciiTheme="majorHAnsi" w:hAnsiTheme="majorHAnsi" w:cs="Helvetica"/>
                <w:i/>
                <w:iCs/>
                <w:sz w:val="18"/>
                <w:szCs w:val="18"/>
              </w:rPr>
              <w:t xml:space="preserve"> </w:t>
            </w:r>
            <w:r w:rsidRPr="00B933AF">
              <w:rPr>
                <w:rFonts w:asciiTheme="majorHAnsi" w:hAnsiTheme="majorHAnsi" w:cs="Helvetica"/>
                <w:sz w:val="18"/>
                <w:szCs w:val="18"/>
              </w:rPr>
              <w:t>[Fagaceae] – Rauli beech</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Fagus alpina</w:t>
            </w:r>
            <w:r w:rsidRPr="00B933AF">
              <w:rPr>
                <w:rFonts w:asciiTheme="majorHAnsi" w:hAnsiTheme="majorHAnsi"/>
                <w:sz w:val="18"/>
                <w:szCs w:val="18"/>
              </w:rPr>
              <w:t xml:space="preserve"> Poepp. &amp; Endl., </w:t>
            </w:r>
            <w:r w:rsidRPr="00B933AF">
              <w:rPr>
                <w:rFonts w:asciiTheme="majorHAnsi" w:hAnsiTheme="majorHAnsi"/>
                <w:i/>
                <w:sz w:val="18"/>
                <w:szCs w:val="18"/>
              </w:rPr>
              <w:t>Fagus nervosa</w:t>
            </w:r>
            <w:r w:rsidRPr="00B933AF">
              <w:rPr>
                <w:rFonts w:asciiTheme="majorHAnsi" w:hAnsiTheme="majorHAnsi"/>
                <w:sz w:val="18"/>
                <w:szCs w:val="18"/>
              </w:rPr>
              <w:t xml:space="preserve"> Phil., </w:t>
            </w:r>
            <w:r w:rsidRPr="00B933AF">
              <w:rPr>
                <w:rFonts w:asciiTheme="majorHAnsi" w:hAnsiTheme="majorHAnsi"/>
                <w:i/>
                <w:sz w:val="18"/>
                <w:szCs w:val="18"/>
              </w:rPr>
              <w:t>Fagus procera</w:t>
            </w:r>
            <w:r w:rsidRPr="00B933AF">
              <w:rPr>
                <w:rFonts w:asciiTheme="majorHAnsi" w:hAnsiTheme="majorHAnsi"/>
                <w:sz w:val="18"/>
                <w:szCs w:val="18"/>
              </w:rPr>
              <w:t xml:space="preserve"> Poepp. &amp; Endl., </w:t>
            </w:r>
            <w:r w:rsidRPr="00B933AF">
              <w:rPr>
                <w:rFonts w:asciiTheme="majorHAnsi" w:hAnsiTheme="majorHAnsi"/>
                <w:i/>
                <w:sz w:val="18"/>
                <w:szCs w:val="18"/>
              </w:rPr>
              <w:t>Nothofagus nervosa</w:t>
            </w:r>
            <w:r w:rsidRPr="00B933AF">
              <w:rPr>
                <w:rFonts w:asciiTheme="majorHAnsi" w:hAnsiTheme="majorHAnsi"/>
                <w:sz w:val="18"/>
                <w:szCs w:val="18"/>
              </w:rPr>
              <w:t xml:space="preserve"> (Phil.) Krasser, </w:t>
            </w:r>
            <w:r w:rsidRPr="00B933AF">
              <w:rPr>
                <w:rFonts w:asciiTheme="majorHAnsi" w:hAnsiTheme="majorHAnsi"/>
                <w:i/>
                <w:sz w:val="18"/>
                <w:szCs w:val="18"/>
              </w:rPr>
              <w:t>Nothofagus procera</w:t>
            </w:r>
            <w:r w:rsidRPr="00B933AF">
              <w:rPr>
                <w:rFonts w:asciiTheme="majorHAnsi" w:hAnsiTheme="majorHAnsi"/>
                <w:sz w:val="18"/>
                <w:szCs w:val="18"/>
              </w:rPr>
              <w:t xml:space="preserve"> (Poepp. &amp; Endl.) Oerst. </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Scanu et al. 2012</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theme="minorHAnsi"/>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Nothofagus obliqua</w:t>
            </w:r>
            <w:r w:rsidRPr="00B933AF">
              <w:rPr>
                <w:rFonts w:asciiTheme="majorHAnsi" w:hAnsiTheme="majorHAnsi" w:cs="Helvetica"/>
                <w:sz w:val="18"/>
                <w:szCs w:val="18"/>
              </w:rPr>
              <w:t xml:space="preserve"> (Mirb.) Blume [Fagaceae] –Roble beech</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Nothofagus obliqua</w:t>
            </w:r>
            <w:r w:rsidRPr="00B933AF">
              <w:rPr>
                <w:rFonts w:asciiTheme="majorHAnsi" w:hAnsiTheme="majorHAnsi"/>
                <w:sz w:val="18"/>
                <w:szCs w:val="18"/>
              </w:rPr>
              <w:t xml:space="preserve"> subsp. </w:t>
            </w:r>
            <w:r w:rsidRPr="00B933AF">
              <w:rPr>
                <w:rFonts w:asciiTheme="majorHAnsi" w:hAnsiTheme="majorHAnsi"/>
                <w:i/>
                <w:sz w:val="18"/>
                <w:szCs w:val="18"/>
              </w:rPr>
              <w:t>andina</w:t>
            </w:r>
            <w:r w:rsidRPr="00B933AF">
              <w:rPr>
                <w:rFonts w:asciiTheme="majorHAnsi" w:hAnsiTheme="majorHAnsi"/>
                <w:sz w:val="18"/>
                <w:szCs w:val="18"/>
              </w:rPr>
              <w:t xml:space="preserve"> F.M. Vázquez &amp; R.A. Rodr.*, </w:t>
            </w:r>
            <w:r w:rsidRPr="00B933AF">
              <w:rPr>
                <w:rFonts w:asciiTheme="majorHAnsi" w:hAnsiTheme="majorHAnsi"/>
                <w:i/>
                <w:sz w:val="18"/>
                <w:szCs w:val="18"/>
              </w:rPr>
              <w:t>Fagus obliqua</w:t>
            </w:r>
            <w:r w:rsidRPr="00B933AF">
              <w:rPr>
                <w:rFonts w:asciiTheme="majorHAnsi" w:hAnsiTheme="majorHAnsi"/>
                <w:sz w:val="18"/>
                <w:szCs w:val="18"/>
              </w:rPr>
              <w:t xml:space="preserve"> Mirb., </w:t>
            </w:r>
            <w:r w:rsidRPr="00B933AF">
              <w:rPr>
                <w:rFonts w:asciiTheme="majorHAnsi" w:hAnsiTheme="majorHAnsi"/>
                <w:i/>
                <w:sz w:val="18"/>
                <w:szCs w:val="18"/>
              </w:rPr>
              <w:t>Nothofagus obliqua</w:t>
            </w:r>
            <w:r w:rsidRPr="00B933AF">
              <w:rPr>
                <w:rFonts w:asciiTheme="majorHAnsi" w:hAnsiTheme="majorHAnsi"/>
                <w:sz w:val="18"/>
                <w:szCs w:val="18"/>
              </w:rPr>
              <w:t xml:space="preserve"> (Mirb.) Blume. </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Sansford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theme="minorHAnsi"/>
                <w:sz w:val="18"/>
                <w:szCs w:val="18"/>
              </w:rPr>
            </w:pPr>
            <w:r w:rsidRPr="00B933AF">
              <w:rPr>
                <w:rFonts w:asciiTheme="majorHAnsi" w:hAnsiTheme="majorHAnsi" w:cs="Helvetica"/>
                <w:sz w:val="18"/>
                <w:szCs w:val="18"/>
              </w:rPr>
              <w:t>VIC</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
                <w:iCs/>
                <w:sz w:val="18"/>
                <w:szCs w:val="18"/>
              </w:rPr>
            </w:pPr>
            <w:r w:rsidRPr="00B933AF">
              <w:rPr>
                <w:rFonts w:asciiTheme="majorHAnsi" w:hAnsiTheme="majorHAnsi" w:cs="Helvetica"/>
                <w:i/>
                <w:iCs/>
                <w:sz w:val="18"/>
                <w:szCs w:val="18"/>
              </w:rPr>
              <w:t xml:space="preserve">Notholithocarpus densiflorus </w:t>
            </w:r>
            <w:r w:rsidRPr="00B933AF">
              <w:rPr>
                <w:rFonts w:asciiTheme="majorHAnsi" w:hAnsiTheme="majorHAnsi" w:cs="Helvetica"/>
                <w:sz w:val="18"/>
                <w:szCs w:val="18"/>
              </w:rPr>
              <w:t>(Hook. &amp; Arn.) Manos et al. [Fagaceae]– Tanoak</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Cs/>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Garbelotto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2003; Hansen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2003a; Scianna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2003; Sansford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2009; Vettraino et al. 2010</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1529B2" w:rsidRPr="00B933AF">
        <w:tc>
          <w:tcPr>
            <w:tcW w:w="1407" w:type="pct"/>
            <w:tcBorders>
              <w:top w:val="single" w:sz="8" w:space="0" w:color="D9D9D9" w:themeColor="background1" w:themeShade="D9"/>
              <w:left w:val="nil"/>
              <w:bottom w:val="single" w:sz="8" w:space="0" w:color="D9D9D9" w:themeColor="background1" w:themeShade="D9"/>
              <w:right w:val="nil"/>
            </w:tcBorders>
          </w:tcPr>
          <w:p w:rsidR="000A667C" w:rsidRPr="001529B2" w:rsidRDefault="001529B2" w:rsidP="006B342B">
            <w:pPr>
              <w:spacing w:before="40" w:after="40"/>
              <w:rPr>
                <w:rFonts w:asciiTheme="majorHAnsi" w:hAnsiTheme="majorHAnsi" w:cs="Helvetica"/>
                <w:iCs/>
                <w:sz w:val="18"/>
                <w:szCs w:val="18"/>
              </w:rPr>
            </w:pPr>
            <w:r w:rsidRPr="005F34A8">
              <w:rPr>
                <w:rFonts w:asciiTheme="majorHAnsi" w:hAnsiTheme="majorHAnsi" w:cs="Helvetica"/>
                <w:i/>
                <w:iCs/>
                <w:sz w:val="18"/>
                <w:szCs w:val="18"/>
              </w:rPr>
              <w:t xml:space="preserve">Olea </w:t>
            </w:r>
            <w:r w:rsidR="000A667C" w:rsidRPr="005F34A8">
              <w:rPr>
                <w:rFonts w:asciiTheme="majorHAnsi" w:hAnsiTheme="majorHAnsi" w:cs="Helvetica"/>
                <w:i/>
                <w:iCs/>
                <w:sz w:val="18"/>
                <w:szCs w:val="18"/>
              </w:rPr>
              <w:t>europa</w:t>
            </w:r>
            <w:r w:rsidR="005F34A8">
              <w:rPr>
                <w:rFonts w:asciiTheme="majorHAnsi" w:hAnsiTheme="majorHAnsi" w:cs="Helvetica"/>
                <w:i/>
                <w:iCs/>
                <w:sz w:val="18"/>
                <w:szCs w:val="18"/>
              </w:rPr>
              <w:t>ea</w:t>
            </w:r>
            <w:r w:rsidRPr="005F34A8">
              <w:rPr>
                <w:rFonts w:asciiTheme="majorHAnsi" w:hAnsiTheme="majorHAnsi" w:cs="Helvetica"/>
                <w:iCs/>
                <w:sz w:val="18"/>
                <w:szCs w:val="18"/>
              </w:rPr>
              <w:t xml:space="preserve"> </w:t>
            </w:r>
            <w:r w:rsidR="005F34A8">
              <w:rPr>
                <w:rFonts w:asciiTheme="majorHAnsi" w:hAnsiTheme="majorHAnsi" w:cs="Helvetica"/>
                <w:iCs/>
                <w:sz w:val="18"/>
                <w:szCs w:val="18"/>
              </w:rPr>
              <w:t xml:space="preserve">L. </w:t>
            </w:r>
            <w:r w:rsidRPr="005F34A8">
              <w:rPr>
                <w:rFonts w:asciiTheme="majorHAnsi" w:hAnsiTheme="majorHAnsi" w:cs="Helvetica"/>
                <w:iCs/>
                <w:sz w:val="18"/>
                <w:szCs w:val="18"/>
              </w:rPr>
              <w:t>[</w:t>
            </w:r>
            <w:r w:rsidRPr="005F34A8">
              <w:rPr>
                <w:rFonts w:asciiTheme="majorHAnsi" w:hAnsiTheme="majorHAnsi" w:cs="Helvetica"/>
                <w:sz w:val="18"/>
                <w:szCs w:val="18"/>
              </w:rPr>
              <w:t>Oleaceae</w:t>
            </w:r>
            <w:r w:rsidRPr="005F34A8">
              <w:rPr>
                <w:rFonts w:asciiTheme="majorHAnsi" w:hAnsiTheme="majorHAnsi" w:cs="Helvetica"/>
                <w:iCs/>
                <w:sz w:val="18"/>
                <w:szCs w:val="18"/>
              </w:rPr>
              <w:t>] – Olive</w:t>
            </w:r>
            <w:r w:rsidR="006B342B">
              <w:rPr>
                <w:rFonts w:asciiTheme="majorHAnsi" w:hAnsiTheme="majorHAnsi" w:cs="Helvetica"/>
                <w:iCs/>
                <w:sz w:val="18"/>
                <w:szCs w:val="18"/>
              </w:rPr>
              <w:t xml:space="preserve"> </w:t>
            </w:r>
            <w:r w:rsidR="000A667C" w:rsidRPr="005F34A8">
              <w:rPr>
                <w:rFonts w:asciiTheme="majorHAnsi" w:hAnsiTheme="majorHAnsi" w:cs="Helvetica"/>
                <w:iCs/>
                <w:sz w:val="18"/>
                <w:szCs w:val="18"/>
              </w:rPr>
              <w:t>(</w:t>
            </w:r>
            <w:r w:rsidR="005F34A8" w:rsidRPr="005F34A8">
              <w:rPr>
                <w:rFonts w:asciiTheme="majorHAnsi" w:hAnsiTheme="majorHAnsi" w:cs="Helvetica"/>
                <w:iCs/>
                <w:sz w:val="18"/>
                <w:szCs w:val="18"/>
              </w:rPr>
              <w:t xml:space="preserve">Listed as </w:t>
            </w:r>
            <w:r w:rsidR="005F34A8" w:rsidRPr="00052CF9">
              <w:rPr>
                <w:rFonts w:asciiTheme="majorHAnsi" w:hAnsiTheme="majorHAnsi" w:cs="Helvetica"/>
                <w:i/>
                <w:iCs/>
                <w:sz w:val="18"/>
                <w:szCs w:val="18"/>
              </w:rPr>
              <w:t>Olea europa</w:t>
            </w:r>
            <w:r w:rsidR="004F3ADF">
              <w:rPr>
                <w:rFonts w:asciiTheme="majorHAnsi" w:hAnsiTheme="majorHAnsi" w:cs="Helvetica"/>
                <w:iCs/>
                <w:sz w:val="18"/>
                <w:szCs w:val="18"/>
              </w:rPr>
              <w:t>,</w:t>
            </w:r>
            <w:r w:rsidR="005F34A8" w:rsidRPr="005F34A8">
              <w:rPr>
                <w:rFonts w:asciiTheme="majorHAnsi" w:hAnsiTheme="majorHAnsi" w:cs="Helvetica"/>
                <w:i/>
                <w:iCs/>
                <w:sz w:val="18"/>
                <w:szCs w:val="18"/>
              </w:rPr>
              <w:t xml:space="preserve"> </w:t>
            </w:r>
            <w:r w:rsidR="005F34A8" w:rsidRPr="005F34A8">
              <w:rPr>
                <w:rFonts w:asciiTheme="majorHAnsi" w:hAnsiTheme="majorHAnsi" w:cs="Helvetica"/>
                <w:iCs/>
                <w:sz w:val="18"/>
                <w:szCs w:val="18"/>
              </w:rPr>
              <w:t>which is not an accepted name</w:t>
            </w:r>
            <w:r w:rsidR="000A667C" w:rsidRPr="005F34A8">
              <w:rPr>
                <w:rFonts w:asciiTheme="majorHAnsi" w:hAnsiTheme="majorHAnsi" w:cs="Helvetica"/>
                <w:iCs/>
                <w:sz w:val="18"/>
                <w:szCs w:val="18"/>
              </w:rPr>
              <w:t>)</w:t>
            </w:r>
          </w:p>
        </w:tc>
        <w:tc>
          <w:tcPr>
            <w:tcW w:w="1316" w:type="pct"/>
            <w:tcBorders>
              <w:top w:val="single" w:sz="8" w:space="0" w:color="D9D9D9" w:themeColor="background1" w:themeShade="D9"/>
              <w:left w:val="nil"/>
              <w:bottom w:val="single" w:sz="8" w:space="0" w:color="D9D9D9" w:themeColor="background1" w:themeShade="D9"/>
              <w:right w:val="nil"/>
            </w:tcBorders>
          </w:tcPr>
          <w:p w:rsidR="001529B2" w:rsidRPr="001529B2" w:rsidRDefault="000A667C" w:rsidP="001529B2">
            <w:pPr>
              <w:spacing w:before="40" w:after="40"/>
              <w:rPr>
                <w:rFonts w:asciiTheme="majorHAnsi" w:hAnsiTheme="majorHAnsi" w:cs="Helvetica"/>
                <w:sz w:val="18"/>
                <w:szCs w:val="18"/>
              </w:rPr>
            </w:pPr>
            <w:r>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1529B2" w:rsidRPr="001529B2" w:rsidRDefault="001529B2" w:rsidP="001529B2">
            <w:pPr>
              <w:spacing w:before="40" w:after="40"/>
              <w:rPr>
                <w:rFonts w:asciiTheme="majorHAnsi" w:hAnsiTheme="majorHAnsi" w:cs="Helvetica"/>
                <w:sz w:val="18"/>
                <w:szCs w:val="18"/>
              </w:rPr>
            </w:pPr>
            <w:r w:rsidRPr="001529B2">
              <w:rPr>
                <w:rFonts w:asciiTheme="majorHAnsi" w:hAnsiTheme="majorHAnsi" w:cs="Helvetica"/>
                <w:sz w:val="18"/>
                <w:szCs w:val="18"/>
              </w:rPr>
              <w:t>Blomquist et al. 2015</w:t>
            </w:r>
          </w:p>
        </w:tc>
        <w:tc>
          <w:tcPr>
            <w:tcW w:w="1164" w:type="pct"/>
            <w:tcBorders>
              <w:top w:val="single" w:sz="8" w:space="0" w:color="D9D9D9" w:themeColor="background1" w:themeShade="D9"/>
              <w:left w:val="nil"/>
              <w:bottom w:val="single" w:sz="8" w:space="0" w:color="D9D9D9" w:themeColor="background1" w:themeShade="D9"/>
              <w:right w:val="nil"/>
            </w:tcBorders>
          </w:tcPr>
          <w:p w:rsidR="001529B2" w:rsidRPr="00B933AF" w:rsidRDefault="00A72EC3" w:rsidP="0033344A">
            <w:pPr>
              <w:spacing w:before="40" w:after="40"/>
              <w:rPr>
                <w:rFonts w:asciiTheme="majorHAnsi" w:hAnsiTheme="majorHAnsi" w:cs="Helvetica"/>
                <w:sz w:val="18"/>
                <w:szCs w:val="18"/>
              </w:rPr>
            </w:pPr>
            <w:r w:rsidRPr="00B933AF">
              <w:rPr>
                <w:rFonts w:asciiTheme="majorHAnsi" w:hAnsiTheme="majorHAnsi" w:cs="Helvetica"/>
                <w:sz w:val="18"/>
                <w:szCs w:val="18"/>
              </w:rPr>
              <w:t>NSW, VIC, QLD, SA, WA, ACT, TAS</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Osmanthus decorus</w:t>
            </w:r>
            <w:r w:rsidRPr="00B933AF">
              <w:rPr>
                <w:rFonts w:asciiTheme="majorHAnsi" w:hAnsiTheme="majorHAnsi" w:cs="Helvetica"/>
                <w:sz w:val="18"/>
                <w:szCs w:val="18"/>
              </w:rPr>
              <w:t xml:space="preserve"> (Boiss. &amp; Balansa) Kasapligil [Oleaceae]– Osmanthus</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Phillyrea decora</w:t>
            </w:r>
            <w:r w:rsidRPr="00B933AF">
              <w:rPr>
                <w:rFonts w:asciiTheme="majorHAnsi" w:hAnsiTheme="majorHAnsi" w:cs="Helvetica"/>
                <w:sz w:val="18"/>
                <w:szCs w:val="18"/>
              </w:rPr>
              <w:t xml:space="preserve"> Boiss. &amp; Balansa, </w:t>
            </w:r>
            <w:r w:rsidRPr="00B933AF">
              <w:rPr>
                <w:rFonts w:asciiTheme="majorHAnsi" w:hAnsiTheme="majorHAnsi"/>
                <w:i/>
                <w:sz w:val="18"/>
                <w:szCs w:val="18"/>
              </w:rPr>
              <w:t>Phillyrea medwedewii</w:t>
            </w:r>
            <w:r w:rsidRPr="00B933AF">
              <w:rPr>
                <w:rFonts w:asciiTheme="majorHAnsi" w:hAnsiTheme="majorHAnsi"/>
                <w:sz w:val="18"/>
                <w:szCs w:val="18"/>
              </w:rPr>
              <w:t xml:space="preserve"> Sred.</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Sansford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Osmanthus delavayi</w:t>
            </w:r>
            <w:r w:rsidRPr="00B933AF">
              <w:rPr>
                <w:rFonts w:asciiTheme="majorHAnsi" w:hAnsiTheme="majorHAnsi" w:cs="Helvetica"/>
                <w:sz w:val="18"/>
                <w:szCs w:val="18"/>
              </w:rPr>
              <w:t xml:space="preserve"> Franch. [Oleaceae] – Delavay osmanthus</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Ligustrum phillyrea</w:t>
            </w:r>
            <w:r w:rsidRPr="00B933AF">
              <w:rPr>
                <w:rFonts w:asciiTheme="majorHAnsi" w:hAnsiTheme="majorHAnsi"/>
                <w:sz w:val="18"/>
                <w:szCs w:val="18"/>
              </w:rPr>
              <w:t xml:space="preserve"> H. Lev., </w:t>
            </w:r>
            <w:r w:rsidRPr="00B933AF">
              <w:rPr>
                <w:rFonts w:asciiTheme="majorHAnsi" w:hAnsiTheme="majorHAnsi"/>
                <w:i/>
                <w:sz w:val="18"/>
                <w:szCs w:val="18"/>
              </w:rPr>
              <w:t>Siphonosmanthus delavayi</w:t>
            </w:r>
            <w:r w:rsidRPr="00B933AF">
              <w:rPr>
                <w:rFonts w:asciiTheme="majorHAnsi" w:hAnsiTheme="majorHAnsi"/>
                <w:sz w:val="18"/>
                <w:szCs w:val="18"/>
              </w:rPr>
              <w:t xml:space="preserve"> (Franch.) Stapf.</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Cave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2008; RAPRA 2012; Sansford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Osmanthus fragrans</w:t>
            </w:r>
            <w:r w:rsidRPr="00B933AF">
              <w:rPr>
                <w:rFonts w:asciiTheme="majorHAnsi" w:hAnsiTheme="majorHAnsi" w:cs="Helvetica"/>
                <w:sz w:val="18"/>
                <w:szCs w:val="18"/>
              </w:rPr>
              <w:t xml:space="preserve"> Lour. [Oleaceae] – Sweet olive</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Olea fragrans</w:t>
            </w:r>
            <w:r w:rsidRPr="00B933AF">
              <w:rPr>
                <w:rFonts w:asciiTheme="majorHAnsi" w:hAnsiTheme="majorHAnsi"/>
                <w:sz w:val="18"/>
                <w:szCs w:val="18"/>
              </w:rPr>
              <w:t xml:space="preserve"> Thunb., </w:t>
            </w:r>
            <w:r w:rsidRPr="00B933AF">
              <w:rPr>
                <w:rFonts w:asciiTheme="majorHAnsi" w:hAnsiTheme="majorHAnsi"/>
                <w:i/>
                <w:sz w:val="18"/>
                <w:szCs w:val="18"/>
              </w:rPr>
              <w:t>Olea ovalis</w:t>
            </w:r>
            <w:r w:rsidRPr="00B933AF">
              <w:rPr>
                <w:rFonts w:asciiTheme="majorHAnsi" w:hAnsiTheme="majorHAnsi"/>
                <w:sz w:val="18"/>
                <w:szCs w:val="18"/>
              </w:rPr>
              <w:t xml:space="preserve"> Miq., </w:t>
            </w:r>
            <w:r w:rsidRPr="00B933AF">
              <w:rPr>
                <w:rFonts w:asciiTheme="majorHAnsi" w:hAnsiTheme="majorHAnsi"/>
                <w:i/>
                <w:sz w:val="18"/>
                <w:szCs w:val="18"/>
              </w:rPr>
              <w:t>Osmanthus longibracteatus</w:t>
            </w:r>
            <w:r w:rsidRPr="00B933AF">
              <w:rPr>
                <w:rFonts w:asciiTheme="majorHAnsi" w:hAnsiTheme="majorHAnsi"/>
                <w:sz w:val="18"/>
                <w:szCs w:val="18"/>
              </w:rPr>
              <w:t xml:space="preserve"> H.T. Chang, </w:t>
            </w:r>
            <w:r w:rsidRPr="00B933AF">
              <w:rPr>
                <w:rFonts w:asciiTheme="majorHAnsi" w:hAnsiTheme="majorHAnsi"/>
                <w:i/>
                <w:sz w:val="18"/>
                <w:szCs w:val="18"/>
              </w:rPr>
              <w:t>Osmanthus macrocarpus</w:t>
            </w:r>
            <w:r w:rsidRPr="00B933AF">
              <w:rPr>
                <w:rFonts w:asciiTheme="majorHAnsi" w:hAnsiTheme="majorHAnsi"/>
                <w:sz w:val="18"/>
                <w:szCs w:val="18"/>
              </w:rPr>
              <w:t xml:space="preserve"> P.Y. Bai</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shd w:val="clear" w:color="auto" w:fill="FFFFFF"/>
              </w:rPr>
              <w:t xml:space="preserve">Cave et al. 2008; Grünwald </w:t>
            </w:r>
            <w:r w:rsidRPr="00B933AF">
              <w:rPr>
                <w:rFonts w:asciiTheme="majorHAnsi" w:hAnsiTheme="majorHAnsi" w:cs="Helvetica"/>
                <w:iCs/>
                <w:sz w:val="18"/>
                <w:szCs w:val="18"/>
                <w:shd w:val="clear" w:color="auto" w:fill="FFFFFF"/>
              </w:rPr>
              <w:t>et al</w:t>
            </w:r>
            <w:r w:rsidRPr="00B933AF">
              <w:rPr>
                <w:rFonts w:asciiTheme="majorHAnsi" w:hAnsiTheme="majorHAnsi" w:cs="Helvetica"/>
                <w:sz w:val="18"/>
                <w:szCs w:val="18"/>
                <w:shd w:val="clear" w:color="auto" w:fill="FFFFFF"/>
              </w:rPr>
              <w:t xml:space="preserve">. 2008a; Sansford </w:t>
            </w:r>
            <w:r w:rsidRPr="00B933AF">
              <w:rPr>
                <w:rFonts w:asciiTheme="majorHAnsi" w:hAnsiTheme="majorHAnsi" w:cs="Helvetica"/>
                <w:iCs/>
                <w:sz w:val="18"/>
                <w:szCs w:val="18"/>
                <w:shd w:val="clear" w:color="auto" w:fill="FFFFFF"/>
              </w:rPr>
              <w:t>et al.</w:t>
            </w:r>
            <w:r w:rsidRPr="00B933AF">
              <w:rPr>
                <w:rFonts w:asciiTheme="majorHAnsi" w:hAnsiTheme="majorHAnsi" w:cs="Helvetica"/>
                <w:sz w:val="18"/>
                <w:szCs w:val="18"/>
                <w:shd w:val="clear" w:color="auto" w:fill="FFFFFF"/>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NSW</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lastRenderedPageBreak/>
              <w:t>Osmanthus heterophyllus</w:t>
            </w:r>
            <w:r w:rsidRPr="00B933AF">
              <w:rPr>
                <w:rFonts w:asciiTheme="majorHAnsi" w:hAnsiTheme="majorHAnsi" w:cs="Helvetica"/>
                <w:sz w:val="18"/>
                <w:szCs w:val="18"/>
              </w:rPr>
              <w:t xml:space="preserve"> </w:t>
            </w:r>
            <w:r w:rsidRPr="00B933AF">
              <w:rPr>
                <w:rFonts w:asciiTheme="majorHAnsi" w:hAnsiTheme="majorHAnsi" w:cs="Helvetica"/>
                <w:iCs/>
                <w:sz w:val="18"/>
                <w:szCs w:val="18"/>
              </w:rPr>
              <w:t>(</w:t>
            </w:r>
            <w:r w:rsidRPr="00B933AF">
              <w:rPr>
                <w:rFonts w:asciiTheme="majorHAnsi" w:hAnsiTheme="majorHAnsi" w:cs="Helvetica"/>
                <w:sz w:val="18"/>
                <w:szCs w:val="18"/>
              </w:rPr>
              <w:t>G. Don) P. S. Green [Oleaceae] – Holly osmanthus, Holly olive</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shd w:val="clear" w:color="auto" w:fill="FFFFFF"/>
              </w:rPr>
              <w:t xml:space="preserve">Grünwald </w:t>
            </w:r>
            <w:r w:rsidRPr="00B933AF">
              <w:rPr>
                <w:rFonts w:asciiTheme="majorHAnsi" w:hAnsiTheme="majorHAnsi" w:cs="Helvetica"/>
                <w:iCs/>
                <w:sz w:val="18"/>
                <w:szCs w:val="18"/>
                <w:shd w:val="clear" w:color="auto" w:fill="FFFFFF"/>
              </w:rPr>
              <w:t>et al</w:t>
            </w:r>
            <w:r w:rsidRPr="00B933AF">
              <w:rPr>
                <w:rFonts w:asciiTheme="majorHAnsi" w:hAnsiTheme="majorHAnsi" w:cs="Helvetica"/>
                <w:sz w:val="18"/>
                <w:szCs w:val="18"/>
                <w:shd w:val="clear" w:color="auto" w:fill="FFFFFF"/>
              </w:rPr>
              <w:t>. 2008a;</w:t>
            </w:r>
            <w:r w:rsidRPr="00B933AF">
              <w:rPr>
                <w:rFonts w:asciiTheme="majorHAnsi" w:hAnsiTheme="majorHAnsi" w:cs="Helvetica"/>
                <w:sz w:val="18"/>
                <w:szCs w:val="18"/>
              </w:rPr>
              <w:t xml:space="preserve"> Sansford </w:t>
            </w:r>
            <w:r w:rsidRPr="00B933AF">
              <w:rPr>
                <w:rFonts w:asciiTheme="majorHAnsi" w:hAnsiTheme="majorHAnsi" w:cs="Helvetica"/>
                <w:iCs/>
                <w:sz w:val="18"/>
                <w:szCs w:val="18"/>
              </w:rPr>
              <w:t>et al</w:t>
            </w:r>
            <w:r w:rsidRPr="00B933AF">
              <w:rPr>
                <w:rFonts w:asciiTheme="majorHAnsi" w:hAnsiTheme="majorHAnsi" w:cs="Helvetica"/>
                <w:sz w:val="18"/>
                <w:szCs w:val="18"/>
              </w:rPr>
              <w:t>. 2009</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Osmorhiza berteroi</w:t>
            </w:r>
            <w:r w:rsidRPr="00B933AF">
              <w:rPr>
                <w:rFonts w:asciiTheme="majorHAnsi" w:hAnsiTheme="majorHAnsi" w:cs="Helvetica"/>
                <w:sz w:val="18"/>
                <w:szCs w:val="18"/>
              </w:rPr>
              <w:t xml:space="preserve"> DC. [Apiaceae] – Sweet cicely</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 xml:space="preserve">Osmorhiza chilensis </w:t>
            </w:r>
            <w:r w:rsidRPr="00B933AF">
              <w:rPr>
                <w:rFonts w:asciiTheme="majorHAnsi" w:hAnsiTheme="majorHAnsi" w:cs="Helvetica"/>
                <w:sz w:val="18"/>
                <w:szCs w:val="18"/>
              </w:rPr>
              <w:t>Hook. &amp; Arn.*</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Sansford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theme="minorHAnsi"/>
                <w:sz w:val="18"/>
                <w:szCs w:val="18"/>
              </w:rPr>
            </w:pPr>
            <w:r w:rsidRPr="00B933AF">
              <w:rPr>
                <w:rFonts w:asciiTheme="majorHAnsi" w:hAnsiTheme="majorHAnsi" w:cs="Helvetica"/>
                <w:sz w:val="18"/>
                <w:szCs w:val="18"/>
              </w:rPr>
              <w:t>Not listed as occurring in Australia</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Parakmeria lotungensis</w:t>
            </w:r>
            <w:r w:rsidRPr="00B933AF">
              <w:rPr>
                <w:rFonts w:asciiTheme="majorHAnsi" w:hAnsiTheme="majorHAnsi" w:cs="Helvetica"/>
                <w:sz w:val="18"/>
                <w:szCs w:val="18"/>
              </w:rPr>
              <w:t xml:space="preserve"> (Chun &amp; C. H. Tsoong) Y. W. Law [Magnoliaceae] – Eastern joy lotus tree</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Magnolia lotungensis</w:t>
            </w:r>
            <w:r w:rsidRPr="00B933AF">
              <w:rPr>
                <w:rFonts w:asciiTheme="majorHAnsi" w:hAnsiTheme="majorHAnsi" w:cs="Helvetica"/>
                <w:sz w:val="18"/>
                <w:szCs w:val="18"/>
              </w:rPr>
              <w:t xml:space="preserve"> Chun &amp; C. H. Tsoong</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Sansford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theme="minorHAnsi"/>
                <w:sz w:val="18"/>
                <w:szCs w:val="18"/>
              </w:rPr>
            </w:pPr>
            <w:r w:rsidRPr="00B933AF">
              <w:rPr>
                <w:rFonts w:asciiTheme="majorHAnsi" w:hAnsiTheme="majorHAnsi" w:cs="Helvetica"/>
                <w:sz w:val="18"/>
                <w:szCs w:val="18"/>
              </w:rPr>
              <w:t>Not listed as occurring in Australia</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Parrotia persica</w:t>
            </w:r>
            <w:r w:rsidRPr="00B933AF">
              <w:rPr>
                <w:rFonts w:asciiTheme="majorHAnsi" w:hAnsiTheme="majorHAnsi" w:cs="Helvetica"/>
                <w:sz w:val="18"/>
                <w:szCs w:val="18"/>
              </w:rPr>
              <w:t xml:space="preserve"> (DC.) C. A. Mey. [Hamamelidaceae] – Persian Ironwood</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Hughes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2006; Sansford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ACT, NSW, VIC</w:t>
            </w:r>
          </w:p>
        </w:tc>
      </w:tr>
      <w:tr w:rsidR="00E164E8" w:rsidRPr="00B933AF">
        <w:tc>
          <w:tcPr>
            <w:tcW w:w="1407" w:type="pct"/>
            <w:tcBorders>
              <w:top w:val="single" w:sz="8" w:space="0" w:color="D9D9D9" w:themeColor="background1" w:themeShade="D9"/>
              <w:left w:val="nil"/>
              <w:bottom w:val="single" w:sz="8" w:space="0" w:color="D9D9D9" w:themeColor="background1" w:themeShade="D9"/>
              <w:right w:val="nil"/>
            </w:tcBorders>
          </w:tcPr>
          <w:p w:rsidR="00E164E8" w:rsidRPr="00F45FE1" w:rsidRDefault="00E164E8" w:rsidP="0033344A">
            <w:pPr>
              <w:autoSpaceDE w:val="0"/>
              <w:autoSpaceDN w:val="0"/>
              <w:adjustRightInd w:val="0"/>
              <w:spacing w:before="40" w:after="40"/>
              <w:rPr>
                <w:rFonts w:asciiTheme="majorHAnsi" w:hAnsiTheme="majorHAnsi" w:cs="Helvetica"/>
                <w:sz w:val="18"/>
                <w:szCs w:val="18"/>
              </w:rPr>
            </w:pPr>
            <w:r w:rsidRPr="00F45FE1">
              <w:rPr>
                <w:rFonts w:asciiTheme="majorHAnsi" w:hAnsiTheme="majorHAnsi" w:cs="Helvetica"/>
                <w:i/>
                <w:sz w:val="18"/>
                <w:szCs w:val="18"/>
              </w:rPr>
              <w:t>Photinia</w:t>
            </w:r>
            <w:r w:rsidRPr="00F45FE1">
              <w:rPr>
                <w:rFonts w:asciiTheme="majorHAnsi" w:hAnsiTheme="majorHAnsi" w:cs="Helvetica"/>
                <w:sz w:val="18"/>
                <w:szCs w:val="18"/>
              </w:rPr>
              <w:t xml:space="preserve"> x </w:t>
            </w:r>
            <w:r w:rsidRPr="00F45FE1">
              <w:rPr>
                <w:rFonts w:asciiTheme="majorHAnsi" w:hAnsiTheme="majorHAnsi" w:cs="Helvetica"/>
                <w:i/>
                <w:sz w:val="18"/>
                <w:szCs w:val="18"/>
              </w:rPr>
              <w:t>fraseri</w:t>
            </w:r>
            <w:r w:rsidRPr="00F45FE1">
              <w:rPr>
                <w:rFonts w:asciiTheme="majorHAnsi" w:hAnsiTheme="majorHAnsi" w:cs="Helvetica"/>
                <w:sz w:val="18"/>
                <w:szCs w:val="18"/>
              </w:rPr>
              <w:t xml:space="preserve"> Dress [Rosaceae] – Fraser’s</w:t>
            </w:r>
          </w:p>
          <w:p w:rsidR="00E164E8" w:rsidRPr="00B933AF" w:rsidRDefault="00E164E8" w:rsidP="0033344A">
            <w:pPr>
              <w:spacing w:before="40" w:after="40"/>
              <w:rPr>
                <w:rFonts w:asciiTheme="majorHAnsi" w:hAnsiTheme="majorHAnsi" w:cs="Helvetica"/>
                <w:sz w:val="18"/>
                <w:szCs w:val="18"/>
              </w:rPr>
            </w:pPr>
            <w:r w:rsidRPr="00F45FE1">
              <w:rPr>
                <w:rFonts w:asciiTheme="majorHAnsi" w:hAnsiTheme="majorHAnsi" w:cs="Helvetica"/>
                <w:sz w:val="18"/>
                <w:szCs w:val="18"/>
              </w:rPr>
              <w:t>Photinia</w:t>
            </w:r>
            <w:r w:rsidR="001943BE" w:rsidRPr="00F45FE1">
              <w:rPr>
                <w:rFonts w:asciiTheme="majorHAnsi" w:hAnsiTheme="majorHAnsi" w:cs="Helvetica"/>
                <w:sz w:val="18"/>
                <w:szCs w:val="18"/>
              </w:rPr>
              <w:t>, Christmas berry</w:t>
            </w:r>
            <w:r w:rsidRPr="00B933AF">
              <w:rPr>
                <w:rFonts w:asciiTheme="majorHAnsi" w:hAnsiTheme="majorHAnsi" w:cs="Helvetica"/>
                <w:sz w:val="18"/>
                <w:szCs w:val="18"/>
              </w:rPr>
              <w:t xml:space="preserve"> </w:t>
            </w:r>
          </w:p>
        </w:tc>
        <w:tc>
          <w:tcPr>
            <w:tcW w:w="1316" w:type="pct"/>
            <w:tcBorders>
              <w:top w:val="single" w:sz="8" w:space="0" w:color="D9D9D9" w:themeColor="background1" w:themeShade="D9"/>
              <w:left w:val="nil"/>
              <w:bottom w:val="single" w:sz="8" w:space="0" w:color="D9D9D9" w:themeColor="background1" w:themeShade="D9"/>
              <w:right w:val="nil"/>
            </w:tcBorders>
          </w:tcPr>
          <w:p w:rsidR="00E164E8" w:rsidRPr="00B933AF" w:rsidRDefault="001943BE"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E164E8" w:rsidRPr="00B933AF" w:rsidRDefault="001943BE" w:rsidP="0033344A">
            <w:pPr>
              <w:spacing w:before="40" w:after="40"/>
              <w:rPr>
                <w:rFonts w:asciiTheme="majorHAnsi" w:hAnsiTheme="majorHAnsi" w:cs="Helvetica"/>
                <w:sz w:val="18"/>
                <w:szCs w:val="18"/>
              </w:rPr>
            </w:pPr>
            <w:r w:rsidRPr="00B933AF">
              <w:rPr>
                <w:rFonts w:asciiTheme="majorHAnsi" w:hAnsiTheme="majorHAnsi" w:cs="Helvetica"/>
                <w:sz w:val="18"/>
                <w:szCs w:val="18"/>
              </w:rPr>
              <w:t>Sansford et al 2009; Orlikowski &amp; Szkuta 2004</w:t>
            </w:r>
          </w:p>
        </w:tc>
        <w:tc>
          <w:tcPr>
            <w:tcW w:w="1164" w:type="pct"/>
            <w:tcBorders>
              <w:top w:val="single" w:sz="8" w:space="0" w:color="D9D9D9" w:themeColor="background1" w:themeShade="D9"/>
              <w:left w:val="nil"/>
              <w:bottom w:val="single" w:sz="8" w:space="0" w:color="D9D9D9" w:themeColor="background1" w:themeShade="D9"/>
              <w:right w:val="nil"/>
            </w:tcBorders>
          </w:tcPr>
          <w:p w:rsidR="001943BE" w:rsidRPr="00B933AF" w:rsidRDefault="001943BE" w:rsidP="0033344A">
            <w:pPr>
              <w:autoSpaceDE w:val="0"/>
              <w:autoSpaceDN w:val="0"/>
              <w:adjustRightInd w:val="0"/>
              <w:spacing w:before="40" w:after="40"/>
              <w:rPr>
                <w:rFonts w:asciiTheme="majorHAnsi" w:eastAsia="Cambria" w:hAnsiTheme="majorHAnsi" w:cs="Cambria"/>
                <w:sz w:val="18"/>
                <w:szCs w:val="18"/>
                <w:lang w:eastAsia="en-AU"/>
              </w:rPr>
            </w:pPr>
            <w:r w:rsidRPr="00B933AF">
              <w:rPr>
                <w:rFonts w:asciiTheme="majorHAnsi" w:eastAsia="Cambria" w:hAnsiTheme="majorHAnsi" w:cs="Cambria"/>
                <w:sz w:val="18"/>
                <w:szCs w:val="18"/>
                <w:lang w:eastAsia="en-AU"/>
              </w:rPr>
              <w:t>Recorded in Australia, but location not</w:t>
            </w:r>
          </w:p>
          <w:p w:rsidR="00E164E8" w:rsidRPr="00B933AF" w:rsidRDefault="001943BE" w:rsidP="0033344A">
            <w:pPr>
              <w:spacing w:before="40" w:after="40"/>
              <w:rPr>
                <w:rFonts w:asciiTheme="majorHAnsi" w:hAnsiTheme="majorHAnsi" w:cs="Helvetica"/>
                <w:sz w:val="18"/>
                <w:szCs w:val="18"/>
              </w:rPr>
            </w:pPr>
            <w:r w:rsidRPr="00B933AF">
              <w:rPr>
                <w:rFonts w:asciiTheme="majorHAnsi" w:eastAsia="Cambria" w:hAnsiTheme="majorHAnsi" w:cs="Cambria"/>
                <w:sz w:val="18"/>
                <w:szCs w:val="18"/>
                <w:lang w:eastAsia="en-AU"/>
              </w:rPr>
              <w:t>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 xml:space="preserve">Phoradendron serotinum </w:t>
            </w:r>
            <w:r w:rsidRPr="00B933AF">
              <w:rPr>
                <w:rFonts w:asciiTheme="majorHAnsi" w:hAnsiTheme="majorHAnsi" w:cs="Helvetica"/>
                <w:sz w:val="18"/>
                <w:szCs w:val="18"/>
              </w:rPr>
              <w:t>subsp.</w:t>
            </w:r>
            <w:r w:rsidRPr="00B933AF">
              <w:rPr>
                <w:rFonts w:asciiTheme="majorHAnsi" w:hAnsiTheme="majorHAnsi" w:cs="Helvetica"/>
                <w:i/>
                <w:iCs/>
                <w:sz w:val="18"/>
                <w:szCs w:val="18"/>
              </w:rPr>
              <w:t xml:space="preserve"> macrophyllum </w:t>
            </w:r>
            <w:r w:rsidRPr="00B933AF">
              <w:rPr>
                <w:rFonts w:asciiTheme="majorHAnsi" w:hAnsiTheme="majorHAnsi" w:cs="Helvetica"/>
                <w:sz w:val="18"/>
                <w:szCs w:val="18"/>
              </w:rPr>
              <w:t>(Engelm.) Kuijt</w:t>
            </w:r>
            <w:r w:rsidRPr="00B933AF">
              <w:rPr>
                <w:rFonts w:asciiTheme="majorHAnsi" w:hAnsiTheme="majorHAnsi" w:cs="Helvetica"/>
                <w:i/>
                <w:iCs/>
                <w:sz w:val="18"/>
                <w:szCs w:val="18"/>
              </w:rPr>
              <w:t xml:space="preserve"> </w:t>
            </w:r>
            <w:r w:rsidRPr="00B933AF">
              <w:rPr>
                <w:rFonts w:asciiTheme="majorHAnsi" w:hAnsiTheme="majorHAnsi" w:cs="Helvetica"/>
                <w:sz w:val="18"/>
                <w:szCs w:val="18"/>
              </w:rPr>
              <w:t>[Santalaceae] – Mistletoe</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Riley &amp; Chastagner 2011</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Not listed as occurring in Australia</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
                <w:iCs/>
                <w:sz w:val="18"/>
                <w:szCs w:val="18"/>
              </w:rPr>
            </w:pPr>
            <w:r w:rsidRPr="00B933AF">
              <w:rPr>
                <w:rFonts w:asciiTheme="majorHAnsi" w:hAnsiTheme="majorHAnsi" w:cs="Helvetica"/>
                <w:i/>
                <w:iCs/>
                <w:sz w:val="18"/>
                <w:szCs w:val="18"/>
              </w:rPr>
              <w:t>Physocarpus opulifolius</w:t>
            </w:r>
            <w:r w:rsidRPr="00B933AF">
              <w:rPr>
                <w:rFonts w:asciiTheme="majorHAnsi" w:hAnsiTheme="majorHAnsi" w:cs="Helvetica"/>
                <w:sz w:val="18"/>
                <w:szCs w:val="18"/>
              </w:rPr>
              <w:t xml:space="preserve"> (L.) Maxim.</w:t>
            </w:r>
            <w:r w:rsidRPr="00B933AF">
              <w:rPr>
                <w:rFonts w:asciiTheme="majorHAnsi" w:hAnsiTheme="majorHAnsi" w:cs="Helvetica"/>
                <w:i/>
                <w:iCs/>
                <w:sz w:val="18"/>
                <w:szCs w:val="18"/>
              </w:rPr>
              <w:t xml:space="preserve"> </w:t>
            </w:r>
            <w:r w:rsidRPr="00B933AF">
              <w:rPr>
                <w:rFonts w:asciiTheme="majorHAnsi" w:hAnsiTheme="majorHAnsi" w:cs="Helvetica"/>
                <w:sz w:val="18"/>
                <w:szCs w:val="18"/>
              </w:rPr>
              <w:t>[Rosaceae] – Ninebark</w:t>
            </w:r>
            <w:r w:rsidRPr="00B933AF">
              <w:rPr>
                <w:rStyle w:val="CommentReference"/>
                <w:rFonts w:asciiTheme="majorHAnsi" w:hAnsiTheme="majorHAnsi" w:cs="Helvetica"/>
                <w:sz w:val="18"/>
                <w:szCs w:val="18"/>
              </w:rPr>
              <w:t xml:space="preserve"> </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ACT, NSW</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Picea</w:t>
            </w:r>
            <w:r w:rsidRPr="00B933AF">
              <w:rPr>
                <w:rFonts w:asciiTheme="majorHAnsi" w:hAnsiTheme="majorHAnsi" w:cs="Helvetica"/>
                <w:sz w:val="18"/>
                <w:szCs w:val="18"/>
              </w:rPr>
              <w:t xml:space="preserve"> </w:t>
            </w:r>
            <w:r w:rsidRPr="00B933AF">
              <w:rPr>
                <w:rFonts w:asciiTheme="majorHAnsi" w:hAnsiTheme="majorHAnsi" w:cs="Helvetica"/>
                <w:i/>
                <w:iCs/>
                <w:sz w:val="18"/>
                <w:szCs w:val="18"/>
              </w:rPr>
              <w:t xml:space="preserve">sitchensis </w:t>
            </w:r>
            <w:r w:rsidRPr="00B933AF">
              <w:rPr>
                <w:rFonts w:asciiTheme="majorHAnsi" w:hAnsiTheme="majorHAnsi" w:cs="Helvetica"/>
                <w:sz w:val="18"/>
                <w:szCs w:val="18"/>
              </w:rPr>
              <w:t>(Bong.) Carrière</w:t>
            </w:r>
            <w:r w:rsidRPr="00B933AF">
              <w:rPr>
                <w:rFonts w:asciiTheme="majorHAnsi" w:hAnsiTheme="majorHAnsi" w:cs="Helvetica"/>
                <w:i/>
                <w:iCs/>
                <w:sz w:val="18"/>
                <w:szCs w:val="18"/>
              </w:rPr>
              <w:t xml:space="preserve"> </w:t>
            </w:r>
            <w:r w:rsidRPr="00B933AF">
              <w:rPr>
                <w:rFonts w:asciiTheme="majorHAnsi" w:hAnsiTheme="majorHAnsi" w:cs="Helvetica"/>
                <w:sz w:val="18"/>
                <w:szCs w:val="18"/>
              </w:rPr>
              <w:t>[Pinaceae] – Sitka spruce</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Abies falcata</w:t>
            </w:r>
            <w:r w:rsidRPr="00B933AF">
              <w:rPr>
                <w:rFonts w:asciiTheme="majorHAnsi" w:hAnsiTheme="majorHAnsi"/>
                <w:sz w:val="18"/>
                <w:szCs w:val="18"/>
              </w:rPr>
              <w:t xml:space="preserve"> Raf., </w:t>
            </w:r>
            <w:r w:rsidRPr="00B933AF">
              <w:rPr>
                <w:rFonts w:asciiTheme="majorHAnsi" w:hAnsiTheme="majorHAnsi"/>
                <w:i/>
                <w:sz w:val="18"/>
                <w:szCs w:val="18"/>
              </w:rPr>
              <w:t>Abies menziesii</w:t>
            </w:r>
            <w:r w:rsidRPr="00B933AF">
              <w:rPr>
                <w:rFonts w:asciiTheme="majorHAnsi" w:hAnsiTheme="majorHAnsi"/>
                <w:sz w:val="18"/>
                <w:szCs w:val="18"/>
              </w:rPr>
              <w:t xml:space="preserve"> (Douglas ex D. Don) Lindl., </w:t>
            </w:r>
            <w:r w:rsidRPr="00B933AF">
              <w:rPr>
                <w:rFonts w:asciiTheme="majorHAnsi" w:hAnsiTheme="majorHAnsi"/>
                <w:i/>
                <w:sz w:val="18"/>
                <w:szCs w:val="18"/>
              </w:rPr>
              <w:t>Picea falcata</w:t>
            </w:r>
            <w:r w:rsidRPr="00B933AF">
              <w:rPr>
                <w:rFonts w:asciiTheme="majorHAnsi" w:hAnsiTheme="majorHAnsi"/>
                <w:sz w:val="18"/>
                <w:szCs w:val="18"/>
              </w:rPr>
              <w:t xml:space="preserve"> (Raf.) Suringar, </w:t>
            </w:r>
            <w:r w:rsidRPr="00B933AF">
              <w:rPr>
                <w:rFonts w:asciiTheme="majorHAnsi" w:hAnsiTheme="majorHAnsi"/>
                <w:i/>
                <w:sz w:val="18"/>
                <w:szCs w:val="18"/>
              </w:rPr>
              <w:t>Picea menziesii</w:t>
            </w:r>
            <w:r w:rsidRPr="00B933AF">
              <w:rPr>
                <w:rFonts w:asciiTheme="majorHAnsi" w:hAnsiTheme="majorHAnsi"/>
                <w:sz w:val="18"/>
                <w:szCs w:val="18"/>
              </w:rPr>
              <w:t xml:space="preserve"> (Douglas ex D. Don) Carrière, </w:t>
            </w:r>
            <w:r w:rsidRPr="00B933AF">
              <w:rPr>
                <w:rFonts w:asciiTheme="majorHAnsi" w:hAnsiTheme="majorHAnsi"/>
                <w:i/>
                <w:sz w:val="18"/>
                <w:szCs w:val="18"/>
              </w:rPr>
              <w:t>Pinus menziesii</w:t>
            </w:r>
            <w:r w:rsidRPr="00B933AF">
              <w:rPr>
                <w:rFonts w:asciiTheme="majorHAnsi" w:hAnsiTheme="majorHAnsi"/>
                <w:sz w:val="18"/>
                <w:szCs w:val="18"/>
              </w:rPr>
              <w:t xml:space="preserve"> Douglas ex D. Don, </w:t>
            </w:r>
            <w:r w:rsidRPr="00B933AF">
              <w:rPr>
                <w:rFonts w:asciiTheme="majorHAnsi" w:hAnsiTheme="majorHAnsi"/>
                <w:i/>
                <w:sz w:val="18"/>
                <w:szCs w:val="18"/>
              </w:rPr>
              <w:t>Pinus sitchensis</w:t>
            </w:r>
            <w:r w:rsidRPr="00B933AF">
              <w:rPr>
                <w:rFonts w:asciiTheme="majorHAnsi" w:hAnsiTheme="majorHAnsi"/>
                <w:sz w:val="18"/>
                <w:szCs w:val="18"/>
              </w:rPr>
              <w:t xml:space="preserve"> Bong.</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 FERA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NSW, SA</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Cs/>
                <w:sz w:val="18"/>
                <w:szCs w:val="18"/>
              </w:rPr>
            </w:pPr>
            <w:r w:rsidRPr="00B933AF">
              <w:rPr>
                <w:rFonts w:asciiTheme="majorHAnsi" w:hAnsiTheme="majorHAnsi" w:cs="Helvetica"/>
                <w:i/>
                <w:iCs/>
                <w:sz w:val="18"/>
                <w:szCs w:val="18"/>
              </w:rPr>
              <w:t xml:space="preserve">Pickeringia montana </w:t>
            </w:r>
            <w:r w:rsidRPr="00B933AF">
              <w:rPr>
                <w:rFonts w:asciiTheme="majorHAnsi" w:hAnsiTheme="majorHAnsi" w:cs="Helvetica"/>
                <w:iCs/>
                <w:sz w:val="18"/>
                <w:szCs w:val="18"/>
              </w:rPr>
              <w:t>Nutt.</w:t>
            </w:r>
            <w:r w:rsidRPr="00B933AF">
              <w:rPr>
                <w:rFonts w:asciiTheme="majorHAnsi" w:hAnsiTheme="majorHAnsi" w:cs="Helvetica"/>
                <w:i/>
                <w:iCs/>
                <w:sz w:val="18"/>
                <w:szCs w:val="18"/>
              </w:rPr>
              <w:t xml:space="preserve"> </w:t>
            </w:r>
            <w:r w:rsidRPr="00B933AF">
              <w:rPr>
                <w:rFonts w:asciiTheme="majorHAnsi" w:hAnsiTheme="majorHAnsi" w:cs="Helvetica"/>
                <w:i/>
                <w:iCs/>
                <w:sz w:val="18"/>
                <w:szCs w:val="18"/>
              </w:rPr>
              <w:softHyphen/>
            </w:r>
            <w:r w:rsidRPr="00B933AF">
              <w:rPr>
                <w:rFonts w:asciiTheme="majorHAnsi" w:hAnsiTheme="majorHAnsi" w:cs="Helvetica"/>
                <w:iCs/>
                <w:sz w:val="18"/>
                <w:szCs w:val="18"/>
              </w:rPr>
              <w:t>[Fabaceae] – Chaparral pea</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iCs/>
                <w:sz w:val="18"/>
                <w:szCs w:val="18"/>
              </w:rPr>
              <w:t>Xylothermia montana</w:t>
            </w:r>
            <w:r w:rsidRPr="00B933AF">
              <w:rPr>
                <w:rFonts w:asciiTheme="majorHAnsi" w:hAnsiTheme="majorHAnsi"/>
                <w:sz w:val="18"/>
                <w:szCs w:val="18"/>
              </w:rPr>
              <w:t xml:space="preserve"> (Nutt.) Greene</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Not listed as occurring in Australia</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Pieris floribunda</w:t>
            </w:r>
            <w:r w:rsidRPr="00B933AF">
              <w:rPr>
                <w:rFonts w:asciiTheme="majorHAnsi" w:hAnsiTheme="majorHAnsi" w:cs="Helvetica"/>
                <w:iCs/>
                <w:sz w:val="18"/>
                <w:szCs w:val="18"/>
              </w:rPr>
              <w:t xml:space="preserve"> (Pursh) Benth. &amp; Hook. f. </w:t>
            </w:r>
            <w:r w:rsidRPr="00B933AF">
              <w:rPr>
                <w:rFonts w:asciiTheme="majorHAnsi" w:hAnsiTheme="majorHAnsi" w:cs="Helvetica"/>
                <w:sz w:val="18"/>
                <w:szCs w:val="18"/>
              </w:rPr>
              <w:t>[Ericaceae] – Flutterbush, Mountain-andromeda</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Sansford 2012</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Pieris formosa</w:t>
            </w:r>
            <w:r w:rsidRPr="00B933AF">
              <w:rPr>
                <w:rFonts w:asciiTheme="majorHAnsi" w:hAnsiTheme="majorHAnsi" w:cs="Helvetica"/>
                <w:sz w:val="18"/>
                <w:szCs w:val="18"/>
              </w:rPr>
              <w:t xml:space="preserve"> (Wall.) D. Don [Ericaceae] – Himalaya andromeda</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Andromeda formosa</w:t>
            </w:r>
            <w:r w:rsidRPr="00B933AF">
              <w:rPr>
                <w:rFonts w:asciiTheme="majorHAnsi" w:hAnsiTheme="majorHAnsi"/>
                <w:sz w:val="18"/>
                <w:szCs w:val="18"/>
              </w:rPr>
              <w:t xml:space="preserve"> Wall., </w:t>
            </w:r>
            <w:r w:rsidRPr="00B933AF">
              <w:rPr>
                <w:rFonts w:asciiTheme="majorHAnsi" w:hAnsiTheme="majorHAnsi"/>
                <w:i/>
                <w:sz w:val="18"/>
                <w:szCs w:val="18"/>
              </w:rPr>
              <w:t>Lyonia formosa</w:t>
            </w:r>
            <w:r w:rsidRPr="00B933AF">
              <w:rPr>
                <w:rFonts w:asciiTheme="majorHAnsi" w:hAnsiTheme="majorHAnsi"/>
                <w:sz w:val="18"/>
                <w:szCs w:val="18"/>
              </w:rPr>
              <w:t xml:space="preserve"> (Wall.) Hand.-Mazz., </w:t>
            </w:r>
            <w:r w:rsidRPr="00B933AF">
              <w:rPr>
                <w:rFonts w:asciiTheme="majorHAnsi" w:hAnsiTheme="majorHAnsi"/>
                <w:i/>
                <w:sz w:val="18"/>
                <w:szCs w:val="18"/>
              </w:rPr>
              <w:t>Pieris bodinieri</w:t>
            </w:r>
            <w:r w:rsidRPr="00B933AF">
              <w:rPr>
                <w:rFonts w:asciiTheme="majorHAnsi" w:hAnsiTheme="majorHAnsi"/>
                <w:sz w:val="18"/>
                <w:szCs w:val="18"/>
              </w:rPr>
              <w:t xml:space="preserve"> H. Lév., </w:t>
            </w:r>
            <w:r w:rsidRPr="00B933AF">
              <w:rPr>
                <w:rFonts w:asciiTheme="majorHAnsi" w:hAnsiTheme="majorHAnsi"/>
                <w:i/>
                <w:sz w:val="18"/>
                <w:szCs w:val="18"/>
              </w:rPr>
              <w:t>Pieris forrestii</w:t>
            </w:r>
            <w:r w:rsidRPr="00B933AF">
              <w:rPr>
                <w:rFonts w:asciiTheme="majorHAnsi" w:hAnsiTheme="majorHAnsi"/>
                <w:sz w:val="18"/>
                <w:szCs w:val="18"/>
              </w:rPr>
              <w:t xml:space="preserve"> Harrow, </w:t>
            </w:r>
            <w:r w:rsidRPr="00B933AF">
              <w:rPr>
                <w:rFonts w:asciiTheme="majorHAnsi" w:hAnsiTheme="majorHAnsi"/>
                <w:i/>
                <w:sz w:val="18"/>
                <w:szCs w:val="18"/>
              </w:rPr>
              <w:t>Pieris huana</w:t>
            </w:r>
            <w:r w:rsidRPr="00B933AF">
              <w:rPr>
                <w:rFonts w:asciiTheme="majorHAnsi" w:hAnsiTheme="majorHAnsi"/>
                <w:sz w:val="18"/>
                <w:szCs w:val="18"/>
              </w:rPr>
              <w:t xml:space="preserve"> W.P. Fang</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Kliejunas 2003; Inman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2003</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Pieris japonica</w:t>
            </w:r>
            <w:r w:rsidRPr="00B933AF">
              <w:rPr>
                <w:rFonts w:asciiTheme="majorHAnsi" w:hAnsiTheme="majorHAnsi" w:cs="Helvetica"/>
                <w:sz w:val="18"/>
                <w:szCs w:val="18"/>
              </w:rPr>
              <w:t xml:space="preserve"> (Thunb.) D. Don ex G. Don [Ericaceae] – Japanese pieris</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Andromeda japonica</w:t>
            </w:r>
            <w:r w:rsidRPr="00B933AF">
              <w:rPr>
                <w:rFonts w:asciiTheme="majorHAnsi" w:hAnsiTheme="majorHAnsi"/>
                <w:sz w:val="18"/>
                <w:szCs w:val="18"/>
              </w:rPr>
              <w:t xml:space="preserve"> Thunb., </w:t>
            </w:r>
            <w:r w:rsidRPr="00B933AF">
              <w:rPr>
                <w:rFonts w:asciiTheme="majorHAnsi" w:hAnsiTheme="majorHAnsi"/>
                <w:i/>
                <w:sz w:val="18"/>
                <w:szCs w:val="18"/>
              </w:rPr>
              <w:t>Lyonia polita</w:t>
            </w:r>
            <w:r w:rsidRPr="00B933AF">
              <w:rPr>
                <w:rFonts w:asciiTheme="majorHAnsi" w:hAnsiTheme="majorHAnsi"/>
                <w:sz w:val="18"/>
                <w:szCs w:val="18"/>
              </w:rPr>
              <w:t xml:space="preserve"> (W.W. Sm. &amp; Jeffrey) Chun, </w:t>
            </w:r>
            <w:r w:rsidRPr="00B933AF">
              <w:rPr>
                <w:rFonts w:asciiTheme="majorHAnsi" w:hAnsiTheme="majorHAnsi"/>
                <w:i/>
                <w:sz w:val="18"/>
                <w:szCs w:val="18"/>
              </w:rPr>
              <w:t>Lyonia popowii</w:t>
            </w:r>
            <w:r w:rsidRPr="00B933AF">
              <w:rPr>
                <w:rFonts w:asciiTheme="majorHAnsi" w:hAnsiTheme="majorHAnsi"/>
                <w:sz w:val="18"/>
                <w:szCs w:val="18"/>
              </w:rPr>
              <w:t xml:space="preserve"> (Palib.) Chun, </w:t>
            </w:r>
            <w:r w:rsidRPr="00B933AF">
              <w:rPr>
                <w:rFonts w:asciiTheme="majorHAnsi" w:hAnsiTheme="majorHAnsi"/>
                <w:i/>
                <w:sz w:val="18"/>
                <w:szCs w:val="18"/>
              </w:rPr>
              <w:t xml:space="preserve">Pieris polita </w:t>
            </w:r>
            <w:r w:rsidRPr="00B933AF">
              <w:rPr>
                <w:rFonts w:asciiTheme="majorHAnsi" w:hAnsiTheme="majorHAnsi"/>
                <w:sz w:val="18"/>
                <w:szCs w:val="18"/>
              </w:rPr>
              <w:t xml:space="preserve">W.W. Sm. &amp; Jeffrey, </w:t>
            </w:r>
            <w:r w:rsidRPr="00B933AF">
              <w:rPr>
                <w:rFonts w:asciiTheme="majorHAnsi" w:hAnsiTheme="majorHAnsi"/>
                <w:i/>
                <w:sz w:val="18"/>
                <w:szCs w:val="18"/>
              </w:rPr>
              <w:t>Pieris popowii</w:t>
            </w:r>
            <w:r w:rsidRPr="00B933AF">
              <w:rPr>
                <w:rFonts w:asciiTheme="majorHAnsi" w:hAnsiTheme="majorHAnsi"/>
                <w:sz w:val="18"/>
                <w:szCs w:val="18"/>
              </w:rPr>
              <w:t xml:space="preserve"> Palib., </w:t>
            </w:r>
            <w:r w:rsidRPr="00B933AF">
              <w:rPr>
                <w:rFonts w:asciiTheme="majorHAnsi" w:hAnsiTheme="majorHAnsi"/>
                <w:i/>
                <w:sz w:val="18"/>
                <w:szCs w:val="18"/>
              </w:rPr>
              <w:t xml:space="preserve">Pieris </w:t>
            </w:r>
            <w:r w:rsidRPr="00B933AF">
              <w:rPr>
                <w:rFonts w:asciiTheme="majorHAnsi" w:hAnsiTheme="majorHAnsi"/>
                <w:i/>
                <w:sz w:val="18"/>
                <w:szCs w:val="18"/>
              </w:rPr>
              <w:lastRenderedPageBreak/>
              <w:t>taiwanensis</w:t>
            </w:r>
            <w:r w:rsidRPr="00B933AF">
              <w:rPr>
                <w:rFonts w:asciiTheme="majorHAnsi" w:hAnsiTheme="majorHAnsi"/>
                <w:sz w:val="18"/>
                <w:szCs w:val="18"/>
              </w:rPr>
              <w:t xml:space="preserve"> Hayata</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lastRenderedPageBreak/>
              <w:t xml:space="preserve">Parke et al. 2004a, b; Husson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2007</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
                <w:iCs/>
                <w:sz w:val="18"/>
                <w:szCs w:val="18"/>
              </w:rPr>
            </w:pPr>
            <w:r w:rsidRPr="00B933AF">
              <w:rPr>
                <w:rFonts w:asciiTheme="majorHAnsi" w:hAnsiTheme="majorHAnsi" w:cs="Helvetica"/>
                <w:i/>
                <w:sz w:val="18"/>
                <w:szCs w:val="18"/>
              </w:rPr>
              <w:lastRenderedPageBreak/>
              <w:t>Pinus radiata</w:t>
            </w:r>
            <w:r w:rsidRPr="00B933AF">
              <w:rPr>
                <w:rFonts w:asciiTheme="majorHAnsi" w:hAnsiTheme="majorHAnsi" w:cs="Helvetica"/>
                <w:sz w:val="18"/>
                <w:szCs w:val="18"/>
              </w:rPr>
              <w:t xml:space="preserve"> D. Don [Pinaceae] – Monterey pine</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C57DCF" w:rsidP="0033344A">
            <w:pPr>
              <w:spacing w:before="40" w:after="40"/>
              <w:rPr>
                <w:rFonts w:asciiTheme="majorHAnsi" w:hAnsiTheme="majorHAnsi" w:cs="Helvetica"/>
                <w:iCs/>
                <w:color w:val="FF0000"/>
                <w:sz w:val="18"/>
                <w:szCs w:val="18"/>
              </w:rPr>
            </w:pPr>
            <w:hyperlink r:id="rId41" w:tgtFrame="_top" w:history="1">
              <w:r w:rsidR="00F10705" w:rsidRPr="00B933AF">
                <w:rPr>
                  <w:rFonts w:asciiTheme="majorHAnsi" w:hAnsiTheme="majorHAnsi" w:cs="Helvetica"/>
                  <w:i/>
                  <w:sz w:val="18"/>
                  <w:szCs w:val="18"/>
                </w:rPr>
                <w:t>Pinus insignis</w:t>
              </w:r>
              <w:r w:rsidR="00F10705" w:rsidRPr="00B933AF">
                <w:rPr>
                  <w:rFonts w:asciiTheme="majorHAnsi" w:hAnsiTheme="majorHAnsi" w:cs="Helvetica"/>
                  <w:i/>
                  <w:iCs/>
                  <w:sz w:val="18"/>
                  <w:szCs w:val="18"/>
                </w:rPr>
                <w:t xml:space="preserve"> </w:t>
              </w:r>
              <w:r w:rsidR="00F10705" w:rsidRPr="00B933AF">
                <w:rPr>
                  <w:rFonts w:asciiTheme="majorHAnsi" w:hAnsiTheme="majorHAnsi" w:cs="Helvetica"/>
                  <w:iCs/>
                  <w:sz w:val="18"/>
                  <w:szCs w:val="18"/>
                </w:rPr>
                <w:t>Douglas ex Loudon</w:t>
              </w:r>
            </w:hyperlink>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Cs/>
                <w:sz w:val="18"/>
                <w:szCs w:val="18"/>
              </w:rPr>
            </w:pPr>
            <w:r w:rsidRPr="00B933AF">
              <w:rPr>
                <w:rFonts w:asciiTheme="majorHAnsi" w:hAnsiTheme="majorHAnsi" w:cs="Helvetica"/>
                <w:iCs/>
                <w:sz w:val="18"/>
                <w:szCs w:val="18"/>
              </w:rPr>
              <w:t>Dick et al. 2014</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Cs/>
                <w:color w:val="FF0000"/>
                <w:sz w:val="18"/>
                <w:szCs w:val="18"/>
              </w:rPr>
            </w:pPr>
            <w:r w:rsidRPr="00B933AF">
              <w:rPr>
                <w:rFonts w:asciiTheme="majorHAnsi" w:hAnsiTheme="majorHAnsi" w:cs="Helvetica"/>
                <w:sz w:val="18"/>
                <w:szCs w:val="18"/>
              </w:rPr>
              <w:t>NSW, VIC, QLD, SA, WA, ACT, TAS</w:t>
            </w:r>
          </w:p>
        </w:tc>
      </w:tr>
      <w:tr w:rsidR="00B142DD" w:rsidRPr="00B933AF">
        <w:tc>
          <w:tcPr>
            <w:tcW w:w="1407" w:type="pct"/>
            <w:tcBorders>
              <w:top w:val="single" w:sz="8" w:space="0" w:color="D9D9D9" w:themeColor="background1" w:themeShade="D9"/>
              <w:left w:val="nil"/>
              <w:bottom w:val="single" w:sz="8" w:space="0" w:color="D9D9D9" w:themeColor="background1" w:themeShade="D9"/>
              <w:right w:val="nil"/>
            </w:tcBorders>
          </w:tcPr>
          <w:p w:rsidR="00B142DD" w:rsidRPr="00B933AF" w:rsidRDefault="00B142DD" w:rsidP="0033344A">
            <w:pPr>
              <w:spacing w:before="40" w:after="40"/>
              <w:rPr>
                <w:rFonts w:asciiTheme="majorHAnsi" w:hAnsiTheme="majorHAnsi" w:cs="Helvetica"/>
                <w:i/>
                <w:iCs/>
                <w:sz w:val="18"/>
                <w:szCs w:val="18"/>
              </w:rPr>
            </w:pPr>
            <w:r w:rsidRPr="003F596D">
              <w:rPr>
                <w:rFonts w:asciiTheme="majorHAnsi" w:hAnsiTheme="majorHAnsi" w:cs="Helvetica"/>
                <w:i/>
                <w:iCs/>
                <w:sz w:val="18"/>
                <w:szCs w:val="18"/>
              </w:rPr>
              <w:t xml:space="preserve">Pittosporum </w:t>
            </w:r>
            <w:r w:rsidRPr="003F596D">
              <w:rPr>
                <w:rFonts w:asciiTheme="majorHAnsi" w:hAnsiTheme="majorHAnsi" w:cs="Helvetica"/>
                <w:i/>
                <w:sz w:val="18"/>
                <w:szCs w:val="18"/>
              </w:rPr>
              <w:t>tobira</w:t>
            </w:r>
            <w:r w:rsidRPr="00B142DD">
              <w:rPr>
                <w:rFonts w:asciiTheme="majorHAnsi" w:hAnsiTheme="majorHAnsi" w:cs="Helvetica"/>
                <w:sz w:val="18"/>
                <w:szCs w:val="18"/>
              </w:rPr>
              <w:t xml:space="preserve"> (Thunb.) W.T. Aiton</w:t>
            </w:r>
            <w:r>
              <w:rPr>
                <w:rFonts w:asciiTheme="majorHAnsi" w:hAnsiTheme="majorHAnsi" w:cs="Helvetica"/>
                <w:sz w:val="18"/>
                <w:szCs w:val="18"/>
              </w:rPr>
              <w:t xml:space="preserve"> [</w:t>
            </w:r>
            <w:r w:rsidRPr="00B933AF">
              <w:rPr>
                <w:rFonts w:asciiTheme="majorHAnsi" w:hAnsiTheme="majorHAnsi" w:cs="Helvetica"/>
                <w:sz w:val="18"/>
                <w:szCs w:val="18"/>
              </w:rPr>
              <w:t>Pittosporaceae</w:t>
            </w:r>
            <w:r>
              <w:rPr>
                <w:rFonts w:asciiTheme="majorHAnsi" w:hAnsiTheme="majorHAnsi" w:cs="Helvetica"/>
                <w:sz w:val="18"/>
                <w:szCs w:val="18"/>
              </w:rPr>
              <w:t>] – Australian laurel</w:t>
            </w:r>
          </w:p>
        </w:tc>
        <w:tc>
          <w:tcPr>
            <w:tcW w:w="1316" w:type="pct"/>
            <w:tcBorders>
              <w:top w:val="single" w:sz="8" w:space="0" w:color="D9D9D9" w:themeColor="background1" w:themeShade="D9"/>
              <w:left w:val="nil"/>
              <w:bottom w:val="single" w:sz="8" w:space="0" w:color="D9D9D9" w:themeColor="background1" w:themeShade="D9"/>
              <w:right w:val="nil"/>
            </w:tcBorders>
          </w:tcPr>
          <w:p w:rsidR="00B142DD" w:rsidRPr="00B933AF" w:rsidRDefault="00B142DD" w:rsidP="0033344A">
            <w:pPr>
              <w:spacing w:before="40" w:after="40"/>
              <w:rPr>
                <w:rFonts w:asciiTheme="majorHAnsi" w:hAnsiTheme="majorHAnsi" w:cs="Helvetica"/>
                <w:sz w:val="18"/>
                <w:szCs w:val="18"/>
              </w:rPr>
            </w:pPr>
            <w:r>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B142DD" w:rsidRPr="00B933AF" w:rsidRDefault="00B142DD" w:rsidP="0033344A">
            <w:pPr>
              <w:spacing w:before="40" w:after="40"/>
              <w:rPr>
                <w:rFonts w:asciiTheme="majorHAnsi" w:hAnsiTheme="majorHAnsi" w:cs="Helvetica"/>
                <w:sz w:val="18"/>
                <w:szCs w:val="18"/>
              </w:rPr>
            </w:pPr>
            <w:r>
              <w:rPr>
                <w:rFonts w:asciiTheme="majorHAnsi" w:hAnsiTheme="majorHAnsi" w:cs="Helvetica"/>
                <w:sz w:val="18"/>
                <w:szCs w:val="18"/>
              </w:rPr>
              <w:t>Blomquist et al. 2015</w:t>
            </w:r>
          </w:p>
        </w:tc>
        <w:tc>
          <w:tcPr>
            <w:tcW w:w="1164" w:type="pct"/>
            <w:tcBorders>
              <w:top w:val="single" w:sz="8" w:space="0" w:color="D9D9D9" w:themeColor="background1" w:themeShade="D9"/>
              <w:left w:val="nil"/>
              <w:bottom w:val="single" w:sz="8" w:space="0" w:color="D9D9D9" w:themeColor="background1" w:themeShade="D9"/>
              <w:right w:val="nil"/>
            </w:tcBorders>
          </w:tcPr>
          <w:p w:rsidR="00B142DD" w:rsidRPr="00B933AF" w:rsidRDefault="00B142DD" w:rsidP="0033344A">
            <w:pPr>
              <w:spacing w:before="40" w:after="40"/>
              <w:rPr>
                <w:rFonts w:asciiTheme="majorHAnsi" w:hAnsiTheme="majorHAnsi" w:cs="Helvetica"/>
                <w:sz w:val="18"/>
                <w:szCs w:val="18"/>
              </w:rPr>
            </w:pP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Pittosporum undulatum</w:t>
            </w:r>
            <w:r w:rsidRPr="00B933AF">
              <w:rPr>
                <w:rFonts w:asciiTheme="majorHAnsi" w:hAnsiTheme="majorHAnsi" w:cs="Helvetica"/>
                <w:sz w:val="18"/>
                <w:szCs w:val="18"/>
              </w:rPr>
              <w:t xml:space="preserve"> Vent. [Pittosporaceae] – Victorian box</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Hüberli et al. 2006; Sansford et al. 2009</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theme="minorHAnsi"/>
                <w:sz w:val="18"/>
                <w:szCs w:val="18"/>
              </w:rPr>
            </w:pPr>
            <w:r w:rsidRPr="00B933AF">
              <w:rPr>
                <w:rFonts w:asciiTheme="majorHAnsi" w:hAnsiTheme="majorHAnsi" w:cs="Helvetica"/>
                <w:sz w:val="18"/>
                <w:szCs w:val="18"/>
              </w:rPr>
              <w:t>NSW, VIC, QLD, SA, WA, ACT, TAS, NT</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Cs/>
                <w:sz w:val="18"/>
                <w:szCs w:val="18"/>
              </w:rPr>
            </w:pPr>
            <w:r w:rsidRPr="00B933AF">
              <w:rPr>
                <w:rFonts w:asciiTheme="majorHAnsi" w:hAnsiTheme="majorHAnsi" w:cs="Helvetica"/>
                <w:i/>
                <w:iCs/>
                <w:sz w:val="18"/>
                <w:szCs w:val="18"/>
              </w:rPr>
              <w:t xml:space="preserve">Populus deltoides </w:t>
            </w:r>
            <w:r w:rsidRPr="00B933AF">
              <w:rPr>
                <w:rFonts w:asciiTheme="majorHAnsi" w:hAnsiTheme="majorHAnsi"/>
                <w:bCs/>
                <w:sz w:val="18"/>
                <w:szCs w:val="18"/>
              </w:rPr>
              <w:t>W. Bartram ex Marshall</w:t>
            </w:r>
            <w:r w:rsidRPr="00B933AF">
              <w:rPr>
                <w:rFonts w:asciiTheme="majorHAnsi" w:hAnsiTheme="majorHAnsi"/>
                <w:b/>
                <w:bCs/>
                <w:sz w:val="18"/>
                <w:szCs w:val="18"/>
              </w:rPr>
              <w:t xml:space="preserve"> </w:t>
            </w:r>
            <w:r w:rsidRPr="00B933AF">
              <w:rPr>
                <w:rFonts w:asciiTheme="majorHAnsi" w:hAnsiTheme="majorHAnsi" w:cs="Helvetica"/>
                <w:iCs/>
                <w:sz w:val="18"/>
                <w:szCs w:val="18"/>
              </w:rPr>
              <w:t>[Salicaceae] – Necklace poplar, eastern cottonwood</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iCs/>
                <w:sz w:val="18"/>
                <w:szCs w:val="18"/>
              </w:rPr>
              <w:t>Populus canadensis</w:t>
            </w:r>
            <w:r w:rsidRPr="00B933AF">
              <w:rPr>
                <w:rFonts w:asciiTheme="majorHAnsi" w:hAnsiTheme="majorHAnsi"/>
                <w:sz w:val="18"/>
                <w:szCs w:val="18"/>
              </w:rPr>
              <w:t xml:space="preserve"> Moench</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Vettraino et al. 2010</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NSW, ACT</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Cs/>
                <w:sz w:val="18"/>
                <w:szCs w:val="18"/>
              </w:rPr>
            </w:pPr>
            <w:r w:rsidRPr="00B933AF">
              <w:rPr>
                <w:rFonts w:asciiTheme="majorHAnsi" w:hAnsiTheme="majorHAnsi" w:cs="Helvetica"/>
                <w:i/>
                <w:iCs/>
                <w:sz w:val="18"/>
                <w:szCs w:val="18"/>
              </w:rPr>
              <w:t xml:space="preserve">Prumnopitys ferruginea </w:t>
            </w:r>
            <w:r w:rsidRPr="00B933AF">
              <w:rPr>
                <w:rFonts w:asciiTheme="majorHAnsi" w:hAnsiTheme="majorHAnsi" w:cs="Helvetica"/>
                <w:iCs/>
                <w:sz w:val="18"/>
                <w:szCs w:val="18"/>
              </w:rPr>
              <w:t xml:space="preserve">(G. Benn. Ex D. Don) de Laub. [Podocarpaceae] </w:t>
            </w:r>
            <w:r w:rsidR="008C4EB6">
              <w:rPr>
                <w:rFonts w:asciiTheme="majorHAnsi" w:hAnsiTheme="majorHAnsi" w:cs="Helvetica"/>
                <w:sz w:val="18"/>
                <w:szCs w:val="18"/>
              </w:rPr>
              <w:t>(</w:t>
            </w:r>
            <w:r w:rsidRPr="00B933AF">
              <w:rPr>
                <w:rFonts w:asciiTheme="majorHAnsi" w:hAnsiTheme="majorHAnsi" w:cs="Helvetica"/>
                <w:sz w:val="18"/>
                <w:szCs w:val="18"/>
              </w:rPr>
              <w:t xml:space="preserve">Only reported as a host of </w:t>
            </w:r>
            <w:r w:rsidRPr="00B933AF">
              <w:rPr>
                <w:rFonts w:asciiTheme="majorHAnsi" w:hAnsiTheme="majorHAnsi" w:cs="Helvetica"/>
                <w:i/>
                <w:sz w:val="18"/>
                <w:szCs w:val="18"/>
              </w:rPr>
              <w:t>Phytophthora kernoviae</w:t>
            </w:r>
            <w:r w:rsidRPr="00B933AF">
              <w:rPr>
                <w:rFonts w:asciiTheme="majorHAnsi" w:hAnsiTheme="majorHAnsi" w:cs="Helvetica"/>
                <w:sz w:val="18"/>
                <w:szCs w:val="18"/>
              </w:rPr>
              <w:t>)</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Dick et al. 2014</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Prunus laurocerasus</w:t>
            </w:r>
            <w:r w:rsidRPr="00B933AF">
              <w:rPr>
                <w:rFonts w:asciiTheme="majorHAnsi" w:hAnsiTheme="majorHAnsi" w:cs="Helvetica"/>
                <w:sz w:val="18"/>
                <w:szCs w:val="18"/>
              </w:rPr>
              <w:t xml:space="preserve"> L. [Rosaceae] – Dwarf English laurel</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Cs/>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Cave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2008; Sansford </w:t>
            </w:r>
            <w:r w:rsidRPr="00B933AF">
              <w:rPr>
                <w:rFonts w:asciiTheme="majorHAnsi" w:hAnsiTheme="majorHAnsi" w:cs="Helvetica"/>
                <w:iCs/>
                <w:sz w:val="18"/>
                <w:szCs w:val="18"/>
              </w:rPr>
              <w:t>et al</w:t>
            </w:r>
            <w:r w:rsidRPr="00B933AF">
              <w:rPr>
                <w:rFonts w:asciiTheme="majorHAnsi" w:hAnsiTheme="majorHAnsi" w:cs="Helvetica"/>
                <w:sz w:val="18"/>
                <w:szCs w:val="18"/>
              </w:rPr>
              <w:t>. 2009</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NSW, SA, VIC, TAS</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Prunus lusitanica</w:t>
            </w:r>
            <w:r w:rsidRPr="00B933AF">
              <w:rPr>
                <w:rFonts w:asciiTheme="majorHAnsi" w:hAnsiTheme="majorHAnsi" w:cs="Helvetica"/>
                <w:sz w:val="18"/>
                <w:szCs w:val="18"/>
              </w:rPr>
              <w:t xml:space="preserve"> L. [Rosaceae] – Portuguese laurel cherry</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Cs/>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Sansford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NSW, VIC, ACT, SA, TAS</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Pseudotsuga menziesii</w:t>
            </w:r>
            <w:r w:rsidRPr="00B933AF">
              <w:rPr>
                <w:rFonts w:asciiTheme="majorHAnsi" w:hAnsiTheme="majorHAnsi" w:cs="Helvetica"/>
                <w:sz w:val="18"/>
                <w:szCs w:val="18"/>
              </w:rPr>
              <w:t xml:space="preserve"> (Mirb.) Franco [Pinaceae] – Douglas fir</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Abies menziesii</w:t>
            </w:r>
            <w:r w:rsidRPr="00B933AF">
              <w:rPr>
                <w:rFonts w:asciiTheme="majorHAnsi" w:hAnsiTheme="majorHAnsi"/>
                <w:sz w:val="18"/>
                <w:szCs w:val="18"/>
              </w:rPr>
              <w:t xml:space="preserve"> Mirb., </w:t>
            </w:r>
            <w:r w:rsidRPr="00B933AF">
              <w:rPr>
                <w:rFonts w:asciiTheme="majorHAnsi" w:hAnsiTheme="majorHAnsi"/>
                <w:i/>
                <w:sz w:val="18"/>
                <w:szCs w:val="18"/>
              </w:rPr>
              <w:t>Abies mucronata</w:t>
            </w:r>
            <w:r w:rsidRPr="00B933AF">
              <w:rPr>
                <w:rFonts w:asciiTheme="majorHAnsi" w:hAnsiTheme="majorHAnsi"/>
                <w:sz w:val="18"/>
                <w:szCs w:val="18"/>
              </w:rPr>
              <w:t xml:space="preserve"> Raf., </w:t>
            </w:r>
            <w:r w:rsidRPr="00B933AF">
              <w:rPr>
                <w:rFonts w:asciiTheme="majorHAnsi" w:hAnsiTheme="majorHAnsi"/>
                <w:i/>
                <w:sz w:val="18"/>
                <w:szCs w:val="18"/>
              </w:rPr>
              <w:t>Abies taxifolia</w:t>
            </w:r>
            <w:r w:rsidRPr="00B933AF">
              <w:rPr>
                <w:rFonts w:asciiTheme="majorHAnsi" w:hAnsiTheme="majorHAnsi"/>
                <w:sz w:val="18"/>
                <w:szCs w:val="18"/>
              </w:rPr>
              <w:t xml:space="preserve"> (Lamb) Poir., </w:t>
            </w:r>
            <w:r w:rsidRPr="00B933AF">
              <w:rPr>
                <w:rFonts w:asciiTheme="majorHAnsi" w:hAnsiTheme="majorHAnsi"/>
                <w:i/>
                <w:sz w:val="18"/>
                <w:szCs w:val="18"/>
              </w:rPr>
              <w:t xml:space="preserve">Pinus douglasii </w:t>
            </w:r>
            <w:r w:rsidRPr="00B933AF">
              <w:rPr>
                <w:rFonts w:asciiTheme="majorHAnsi" w:hAnsiTheme="majorHAnsi"/>
                <w:sz w:val="18"/>
                <w:szCs w:val="18"/>
              </w:rPr>
              <w:t xml:space="preserve">Sabine ex D. Don, </w:t>
            </w:r>
            <w:r w:rsidRPr="00B933AF">
              <w:rPr>
                <w:rFonts w:asciiTheme="majorHAnsi" w:hAnsiTheme="majorHAnsi"/>
                <w:i/>
                <w:sz w:val="18"/>
                <w:szCs w:val="18"/>
              </w:rPr>
              <w:t xml:space="preserve">Pinus taxifolia </w:t>
            </w:r>
            <w:r w:rsidRPr="00B933AF">
              <w:rPr>
                <w:rFonts w:asciiTheme="majorHAnsi" w:hAnsiTheme="majorHAnsi"/>
                <w:sz w:val="18"/>
                <w:szCs w:val="18"/>
              </w:rPr>
              <w:t xml:space="preserve">Lamb., </w:t>
            </w:r>
            <w:r w:rsidRPr="00B933AF">
              <w:rPr>
                <w:rFonts w:asciiTheme="majorHAnsi" w:hAnsiTheme="majorHAnsi"/>
                <w:i/>
                <w:sz w:val="18"/>
                <w:szCs w:val="18"/>
              </w:rPr>
              <w:t>Pseudotsuga douglasii</w:t>
            </w:r>
            <w:r w:rsidRPr="00B933AF">
              <w:rPr>
                <w:rFonts w:asciiTheme="majorHAnsi" w:hAnsiTheme="majorHAnsi"/>
                <w:sz w:val="18"/>
                <w:szCs w:val="18"/>
              </w:rPr>
              <w:t xml:space="preserve"> (Sabine ex D. Don) Carrière, </w:t>
            </w:r>
            <w:r w:rsidRPr="00B933AF">
              <w:rPr>
                <w:rFonts w:asciiTheme="majorHAnsi" w:hAnsiTheme="majorHAnsi"/>
                <w:i/>
                <w:sz w:val="18"/>
                <w:szCs w:val="18"/>
              </w:rPr>
              <w:t>Pseudotsuga mucronata</w:t>
            </w:r>
            <w:r w:rsidRPr="00B933AF">
              <w:rPr>
                <w:rFonts w:asciiTheme="majorHAnsi" w:hAnsiTheme="majorHAnsi"/>
                <w:sz w:val="18"/>
                <w:szCs w:val="18"/>
              </w:rPr>
              <w:t xml:space="preserve"> (Raf.) Sudw., </w:t>
            </w:r>
            <w:r w:rsidRPr="00B933AF">
              <w:rPr>
                <w:rFonts w:asciiTheme="majorHAnsi" w:hAnsiTheme="majorHAnsi"/>
                <w:i/>
                <w:sz w:val="18"/>
                <w:szCs w:val="18"/>
              </w:rPr>
              <w:t>Pseudotsuga taxifolia</w:t>
            </w:r>
            <w:r w:rsidRPr="00B933AF">
              <w:rPr>
                <w:rFonts w:asciiTheme="majorHAnsi" w:hAnsiTheme="majorHAnsi"/>
                <w:sz w:val="18"/>
                <w:szCs w:val="18"/>
              </w:rPr>
              <w:t xml:space="preserve"> Britton</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Davidson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2002c</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SA, NSW, TAS, ACT</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Pyracantha koidzumii</w:t>
            </w:r>
            <w:r w:rsidRPr="00B933AF">
              <w:rPr>
                <w:rFonts w:asciiTheme="majorHAnsi" w:hAnsiTheme="majorHAnsi" w:cs="Helvetica"/>
                <w:sz w:val="18"/>
                <w:szCs w:val="18"/>
              </w:rPr>
              <w:t xml:space="preserve"> (Hayata) Rehder [Rosaceae] – Formosa firethorn</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Cotoneaster formosanus</w:t>
            </w:r>
            <w:r w:rsidRPr="00B933AF">
              <w:rPr>
                <w:rFonts w:asciiTheme="majorHAnsi" w:hAnsiTheme="majorHAnsi"/>
                <w:sz w:val="18"/>
                <w:szCs w:val="18"/>
              </w:rPr>
              <w:t xml:space="preserve"> Hayata, </w:t>
            </w:r>
            <w:r w:rsidRPr="00B933AF">
              <w:rPr>
                <w:rFonts w:asciiTheme="majorHAnsi" w:hAnsiTheme="majorHAnsi"/>
                <w:i/>
                <w:sz w:val="18"/>
                <w:szCs w:val="18"/>
              </w:rPr>
              <w:t>Cotoneaster koidzumii</w:t>
            </w:r>
            <w:r w:rsidRPr="00B933AF">
              <w:rPr>
                <w:rFonts w:asciiTheme="majorHAnsi" w:hAnsiTheme="majorHAnsi"/>
                <w:sz w:val="18"/>
                <w:szCs w:val="18"/>
              </w:rPr>
              <w:t xml:space="preserve"> Hayata, </w:t>
            </w:r>
            <w:r w:rsidRPr="00B933AF">
              <w:rPr>
                <w:rFonts w:asciiTheme="majorHAnsi" w:hAnsiTheme="majorHAnsi"/>
                <w:i/>
                <w:sz w:val="18"/>
                <w:szCs w:val="18"/>
              </w:rPr>
              <w:t>Cotoneaster taitoensis</w:t>
            </w:r>
            <w:r w:rsidRPr="00B933AF">
              <w:rPr>
                <w:rFonts w:asciiTheme="majorHAnsi" w:hAnsiTheme="majorHAnsi"/>
                <w:sz w:val="18"/>
                <w:szCs w:val="18"/>
              </w:rPr>
              <w:t xml:space="preserve"> Hayata, </w:t>
            </w:r>
            <w:r w:rsidRPr="00B933AF">
              <w:rPr>
                <w:rFonts w:asciiTheme="majorHAnsi" w:hAnsiTheme="majorHAnsi"/>
                <w:i/>
                <w:sz w:val="18"/>
                <w:szCs w:val="18"/>
              </w:rPr>
              <w:t>Pyracantha formosana</w:t>
            </w:r>
            <w:r w:rsidRPr="00B933AF">
              <w:rPr>
                <w:rFonts w:asciiTheme="majorHAnsi" w:hAnsiTheme="majorHAnsi"/>
                <w:sz w:val="18"/>
                <w:szCs w:val="18"/>
              </w:rPr>
              <w:t xml:space="preserve"> Kaneh.</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Briere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2005; Sansford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SA</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Quercus</w:t>
            </w:r>
            <w:r w:rsidRPr="00B933AF">
              <w:rPr>
                <w:rFonts w:asciiTheme="majorHAnsi" w:hAnsiTheme="majorHAnsi" w:cs="Helvetica"/>
                <w:sz w:val="18"/>
                <w:szCs w:val="18"/>
              </w:rPr>
              <w:t xml:space="preserve"> L. species [Fagaceae] – Beech</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Erythrobalanus</w:t>
            </w:r>
            <w:r w:rsidRPr="00B933AF">
              <w:rPr>
                <w:rFonts w:asciiTheme="majorHAnsi" w:hAnsiTheme="majorHAnsi"/>
                <w:sz w:val="18"/>
                <w:szCs w:val="18"/>
              </w:rPr>
              <w:t xml:space="preserve"> (Spach) O. Schwarz, </w:t>
            </w:r>
            <w:r w:rsidRPr="00B933AF">
              <w:rPr>
                <w:rFonts w:asciiTheme="majorHAnsi" w:hAnsiTheme="majorHAnsi"/>
                <w:i/>
                <w:sz w:val="18"/>
                <w:szCs w:val="18"/>
              </w:rPr>
              <w:t>Macrobalanus</w:t>
            </w:r>
            <w:r w:rsidRPr="00B933AF">
              <w:rPr>
                <w:rFonts w:asciiTheme="majorHAnsi" w:hAnsiTheme="majorHAnsi"/>
                <w:sz w:val="18"/>
                <w:szCs w:val="18"/>
              </w:rPr>
              <w:t xml:space="preserve"> (Oerst.) O. Schwarz</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SA, ACT, NSW, VIC, TAS, QLD</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Quercus acuta</w:t>
            </w:r>
            <w:r w:rsidRPr="00B933AF">
              <w:rPr>
                <w:rFonts w:asciiTheme="majorHAnsi" w:hAnsiTheme="majorHAnsi" w:cs="Helvetica"/>
                <w:sz w:val="18"/>
                <w:szCs w:val="18"/>
              </w:rPr>
              <w:t xml:space="preserve"> Thunb. [Fagaceae] – Japanese evergreen oak</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VIC</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Quercus agrifolia</w:t>
            </w:r>
            <w:r w:rsidRPr="00B933AF">
              <w:rPr>
                <w:rFonts w:asciiTheme="majorHAnsi" w:hAnsiTheme="majorHAnsi" w:cs="Helvetica"/>
                <w:sz w:val="18"/>
                <w:szCs w:val="18"/>
              </w:rPr>
              <w:t xml:space="preserve"> Née [Fagaceae] – Coast live </w:t>
            </w:r>
            <w:r w:rsidRPr="00B933AF">
              <w:rPr>
                <w:rFonts w:asciiTheme="majorHAnsi" w:hAnsiTheme="majorHAnsi" w:cs="Helvetica"/>
                <w:sz w:val="18"/>
                <w:szCs w:val="18"/>
              </w:rPr>
              <w:lastRenderedPageBreak/>
              <w:t>oak</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lastRenderedPageBreak/>
              <w:t>Quercus acroglandis</w:t>
            </w:r>
            <w:r w:rsidRPr="00B933AF">
              <w:rPr>
                <w:rFonts w:asciiTheme="majorHAnsi" w:hAnsiTheme="majorHAnsi"/>
                <w:sz w:val="18"/>
                <w:szCs w:val="18"/>
              </w:rPr>
              <w:t xml:space="preserve"> Kellogg, </w:t>
            </w:r>
            <w:r w:rsidRPr="00B933AF">
              <w:rPr>
                <w:rFonts w:asciiTheme="majorHAnsi" w:hAnsiTheme="majorHAnsi"/>
                <w:i/>
                <w:sz w:val="18"/>
                <w:szCs w:val="18"/>
              </w:rPr>
              <w:t>Quercus pricei</w:t>
            </w:r>
            <w:r w:rsidRPr="00B933AF">
              <w:rPr>
                <w:rFonts w:asciiTheme="majorHAnsi" w:hAnsiTheme="majorHAnsi"/>
                <w:sz w:val="18"/>
                <w:szCs w:val="18"/>
              </w:rPr>
              <w:t xml:space="preserve"> </w:t>
            </w:r>
            <w:r w:rsidRPr="00B933AF">
              <w:rPr>
                <w:rFonts w:asciiTheme="majorHAnsi" w:hAnsiTheme="majorHAnsi"/>
                <w:sz w:val="18"/>
                <w:szCs w:val="18"/>
              </w:rPr>
              <w:lastRenderedPageBreak/>
              <w:t>Sudw.</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lastRenderedPageBreak/>
              <w:t xml:space="preserve">Hansen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2003a; Garbelotto et al. </w:t>
            </w:r>
            <w:r w:rsidRPr="00B933AF">
              <w:rPr>
                <w:rFonts w:asciiTheme="majorHAnsi" w:hAnsiTheme="majorHAnsi" w:cs="Helvetica"/>
                <w:sz w:val="18"/>
                <w:szCs w:val="18"/>
              </w:rPr>
              <w:lastRenderedPageBreak/>
              <w:t xml:space="preserve">2003; Scianna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2003; Vettraino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2008</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lastRenderedPageBreak/>
              <w:t>ACT</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lastRenderedPageBreak/>
              <w:t>Quercus cerris</w:t>
            </w:r>
            <w:r w:rsidRPr="00B933AF">
              <w:rPr>
                <w:rFonts w:asciiTheme="majorHAnsi" w:hAnsiTheme="majorHAnsi" w:cs="Helvetica"/>
                <w:sz w:val="18"/>
                <w:szCs w:val="18"/>
              </w:rPr>
              <w:t xml:space="preserve"> L. [Fagaceae] – Turkey oak</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Sansford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2009; 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NSW, ACT, SA, VIC</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Quercus chrysolepis</w:t>
            </w:r>
            <w:r w:rsidRPr="00B933AF">
              <w:rPr>
                <w:rFonts w:asciiTheme="majorHAnsi" w:hAnsiTheme="majorHAnsi" w:cs="Helvetica"/>
                <w:sz w:val="18"/>
                <w:szCs w:val="18"/>
              </w:rPr>
              <w:t xml:space="preserve"> Liebm. [Fagaceae] – Canyon live oak</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Quercus chrysophyllus</w:t>
            </w:r>
            <w:r w:rsidRPr="00B933AF">
              <w:rPr>
                <w:rFonts w:asciiTheme="majorHAnsi" w:hAnsiTheme="majorHAnsi"/>
                <w:sz w:val="18"/>
                <w:szCs w:val="18"/>
              </w:rPr>
              <w:t xml:space="preserve"> Kellogg, </w:t>
            </w:r>
            <w:r w:rsidRPr="00B933AF">
              <w:rPr>
                <w:rFonts w:asciiTheme="majorHAnsi" w:hAnsiTheme="majorHAnsi"/>
                <w:i/>
                <w:sz w:val="18"/>
                <w:szCs w:val="18"/>
              </w:rPr>
              <w:t>Quercus crassipocula</w:t>
            </w:r>
            <w:r w:rsidRPr="00B933AF">
              <w:rPr>
                <w:rFonts w:asciiTheme="majorHAnsi" w:hAnsiTheme="majorHAnsi"/>
                <w:sz w:val="18"/>
                <w:szCs w:val="18"/>
              </w:rPr>
              <w:t xml:space="preserve"> Torr., </w:t>
            </w:r>
            <w:r w:rsidRPr="00B933AF">
              <w:rPr>
                <w:rFonts w:asciiTheme="majorHAnsi" w:hAnsiTheme="majorHAnsi"/>
                <w:i/>
                <w:sz w:val="18"/>
                <w:szCs w:val="18"/>
              </w:rPr>
              <w:t>Quercus fulvescens</w:t>
            </w:r>
            <w:r w:rsidRPr="00B933AF">
              <w:rPr>
                <w:rFonts w:asciiTheme="majorHAnsi" w:hAnsiTheme="majorHAnsi"/>
                <w:sz w:val="18"/>
                <w:szCs w:val="18"/>
              </w:rPr>
              <w:t xml:space="preserve"> Kellogg, </w:t>
            </w:r>
            <w:r w:rsidRPr="00B933AF">
              <w:rPr>
                <w:rFonts w:asciiTheme="majorHAnsi" w:hAnsiTheme="majorHAnsi"/>
                <w:i/>
                <w:sz w:val="18"/>
                <w:szCs w:val="18"/>
              </w:rPr>
              <w:t>Quercus wilcoxii</w:t>
            </w:r>
            <w:r w:rsidRPr="00B933AF">
              <w:rPr>
                <w:rFonts w:asciiTheme="majorHAnsi" w:hAnsiTheme="majorHAnsi"/>
                <w:sz w:val="18"/>
                <w:szCs w:val="18"/>
              </w:rPr>
              <w:t xml:space="preserve"> Rydb.</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Murphy &amp; Rizzo 2003</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ACT</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Quercus falcata</w:t>
            </w:r>
            <w:r w:rsidRPr="00B933AF">
              <w:rPr>
                <w:rFonts w:asciiTheme="majorHAnsi" w:hAnsiTheme="majorHAnsi" w:cs="Helvetica"/>
                <w:sz w:val="18"/>
                <w:szCs w:val="18"/>
              </w:rPr>
              <w:t xml:space="preserve"> Michx. [Fagaceae] – Southern red oak</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Quercus rubra</w:t>
            </w:r>
            <w:r w:rsidRPr="00B933AF">
              <w:rPr>
                <w:rFonts w:asciiTheme="majorHAnsi" w:hAnsiTheme="majorHAnsi"/>
                <w:sz w:val="18"/>
                <w:szCs w:val="18"/>
              </w:rPr>
              <w:t xml:space="preserve"> Sarg.</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Brasier et al. 2004a</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Quercus ilex</w:t>
            </w:r>
            <w:r w:rsidRPr="00B933AF">
              <w:rPr>
                <w:rFonts w:asciiTheme="majorHAnsi" w:hAnsiTheme="majorHAnsi" w:cs="Helvetica"/>
                <w:sz w:val="18"/>
                <w:szCs w:val="18"/>
              </w:rPr>
              <w:t xml:space="preserve"> L. [Fagaceae] – Holm oak</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Quercus baloot</w:t>
            </w:r>
            <w:r w:rsidRPr="00B933AF">
              <w:rPr>
                <w:rFonts w:asciiTheme="majorHAnsi" w:hAnsiTheme="majorHAnsi"/>
                <w:sz w:val="18"/>
                <w:szCs w:val="18"/>
              </w:rPr>
              <w:t xml:space="preserve"> Griff.*</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Denman et al. 2005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SA, ACT, NSW, TAS</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Quercus kelloggii</w:t>
            </w:r>
            <w:r w:rsidRPr="00B933AF">
              <w:rPr>
                <w:rFonts w:asciiTheme="majorHAnsi" w:hAnsiTheme="majorHAnsi" w:cs="Helvetica"/>
                <w:sz w:val="18"/>
                <w:szCs w:val="18"/>
              </w:rPr>
              <w:t xml:space="preserve"> Newb. [Fagaceae] – Californian black oak</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Quercus californica</w:t>
            </w:r>
            <w:r w:rsidRPr="00B933AF">
              <w:rPr>
                <w:rFonts w:asciiTheme="majorHAnsi" w:hAnsiTheme="majorHAnsi"/>
                <w:sz w:val="18"/>
                <w:szCs w:val="18"/>
              </w:rPr>
              <w:t xml:space="preserve"> (Torr.) Cooper</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Garbelotto et al. 2003; Scianna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2003; Sansford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Quercus petraea</w:t>
            </w:r>
            <w:r w:rsidRPr="00B933AF">
              <w:rPr>
                <w:rFonts w:asciiTheme="majorHAnsi" w:hAnsiTheme="majorHAnsi" w:cs="Helvetica"/>
                <w:sz w:val="18"/>
                <w:szCs w:val="18"/>
              </w:rPr>
              <w:t xml:space="preserve"> (Matt.) Liebl. [Fagaceae] – Sessile oak</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NSW</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Quercus phillyraeoides</w:t>
            </w:r>
            <w:r w:rsidRPr="00B933AF">
              <w:rPr>
                <w:rFonts w:asciiTheme="majorHAnsi" w:hAnsiTheme="majorHAnsi" w:cs="Helvetica"/>
                <w:sz w:val="18"/>
                <w:szCs w:val="18"/>
              </w:rPr>
              <w:t xml:space="preserve"> A. Gray [Fagaceae] – Ubame oak</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Maesa singuliflora</w:t>
            </w:r>
            <w:r w:rsidRPr="00B933AF">
              <w:rPr>
                <w:rFonts w:asciiTheme="majorHAnsi" w:hAnsiTheme="majorHAnsi"/>
                <w:sz w:val="18"/>
                <w:szCs w:val="18"/>
              </w:rPr>
              <w:t xml:space="preserve"> H. Lév., </w:t>
            </w:r>
            <w:r w:rsidRPr="00B933AF">
              <w:rPr>
                <w:rFonts w:asciiTheme="majorHAnsi" w:hAnsiTheme="majorHAnsi"/>
                <w:i/>
                <w:sz w:val="18"/>
                <w:szCs w:val="18"/>
              </w:rPr>
              <w:t>Quercus fokienensis</w:t>
            </w:r>
            <w:r w:rsidRPr="00B933AF">
              <w:rPr>
                <w:rFonts w:asciiTheme="majorHAnsi" w:hAnsiTheme="majorHAnsi"/>
                <w:sz w:val="18"/>
                <w:szCs w:val="18"/>
              </w:rPr>
              <w:t xml:space="preserve"> Nakai, </w:t>
            </w:r>
            <w:r w:rsidRPr="00B933AF">
              <w:rPr>
                <w:rFonts w:asciiTheme="majorHAnsi" w:hAnsiTheme="majorHAnsi"/>
                <w:i/>
                <w:sz w:val="18"/>
                <w:szCs w:val="18"/>
              </w:rPr>
              <w:t>Quercus fooningensis</w:t>
            </w:r>
            <w:r w:rsidRPr="00B933AF">
              <w:rPr>
                <w:rFonts w:asciiTheme="majorHAnsi" w:hAnsiTheme="majorHAnsi"/>
                <w:sz w:val="18"/>
                <w:szCs w:val="18"/>
              </w:rPr>
              <w:t xml:space="preserve"> H.H. Hu &amp; W.C. Cheng, </w:t>
            </w:r>
            <w:r w:rsidRPr="00B933AF">
              <w:rPr>
                <w:rFonts w:asciiTheme="majorHAnsi" w:hAnsiTheme="majorHAnsi"/>
                <w:i/>
                <w:sz w:val="18"/>
                <w:szCs w:val="18"/>
              </w:rPr>
              <w:t>Quercus lichuanensis</w:t>
            </w:r>
            <w:r w:rsidRPr="00B933AF">
              <w:rPr>
                <w:rFonts w:asciiTheme="majorHAnsi" w:hAnsiTheme="majorHAnsi"/>
                <w:sz w:val="18"/>
                <w:szCs w:val="18"/>
              </w:rPr>
              <w:t xml:space="preserve"> W.C. Cheng, </w:t>
            </w:r>
            <w:r w:rsidRPr="00B933AF">
              <w:rPr>
                <w:rFonts w:asciiTheme="majorHAnsi" w:hAnsiTheme="majorHAnsi"/>
                <w:i/>
                <w:sz w:val="18"/>
                <w:szCs w:val="18"/>
              </w:rPr>
              <w:t>Quercus myricifolia</w:t>
            </w:r>
            <w:r w:rsidRPr="00B933AF">
              <w:rPr>
                <w:rFonts w:asciiTheme="majorHAnsi" w:hAnsiTheme="majorHAnsi"/>
                <w:sz w:val="18"/>
                <w:szCs w:val="18"/>
              </w:rPr>
              <w:t xml:space="preserve"> H.H. Hu &amp; W.C. Cheng, </w:t>
            </w:r>
            <w:r w:rsidRPr="00B933AF">
              <w:rPr>
                <w:rFonts w:asciiTheme="majorHAnsi" w:hAnsiTheme="majorHAnsi"/>
                <w:i/>
                <w:sz w:val="18"/>
                <w:szCs w:val="18"/>
              </w:rPr>
              <w:t>Quercus singuliflora</w:t>
            </w:r>
            <w:r w:rsidRPr="00B933AF">
              <w:rPr>
                <w:rFonts w:asciiTheme="majorHAnsi" w:hAnsiTheme="majorHAnsi"/>
                <w:sz w:val="18"/>
                <w:szCs w:val="18"/>
              </w:rPr>
              <w:t xml:space="preserve"> A. Camus</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FERA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 xml:space="preserve">Quercus robur </w:t>
            </w:r>
            <w:r w:rsidRPr="00B933AF">
              <w:rPr>
                <w:rFonts w:asciiTheme="majorHAnsi" w:hAnsiTheme="majorHAnsi" w:cs="Helvetica"/>
                <w:sz w:val="18"/>
                <w:szCs w:val="18"/>
              </w:rPr>
              <w:t>L.</w:t>
            </w:r>
            <w:r w:rsidRPr="00B933AF">
              <w:rPr>
                <w:rFonts w:asciiTheme="majorHAnsi" w:hAnsiTheme="majorHAnsi" w:cs="Helvetica"/>
                <w:i/>
                <w:iCs/>
                <w:sz w:val="18"/>
                <w:szCs w:val="18"/>
              </w:rPr>
              <w:t xml:space="preserve"> </w:t>
            </w:r>
            <w:r w:rsidRPr="00B933AF">
              <w:rPr>
                <w:rFonts w:asciiTheme="majorHAnsi" w:hAnsiTheme="majorHAnsi" w:cs="Helvetica"/>
                <w:sz w:val="18"/>
                <w:szCs w:val="18"/>
              </w:rPr>
              <w:t>[Fagaceae]– English oak, Pedunculate oak</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Quercus pedunculata</w:t>
            </w:r>
            <w:r w:rsidRPr="00B933AF">
              <w:rPr>
                <w:rFonts w:asciiTheme="majorHAnsi" w:hAnsiTheme="majorHAnsi"/>
                <w:sz w:val="18"/>
                <w:szCs w:val="18"/>
              </w:rPr>
              <w:t xml:space="preserve"> Ehrh.</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FERA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SA, ACT, NSW, TAS, QLD, VIC</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Quercus rubra</w:t>
            </w:r>
            <w:r w:rsidRPr="00B933AF">
              <w:rPr>
                <w:rFonts w:asciiTheme="majorHAnsi" w:hAnsiTheme="majorHAnsi" w:cs="Helvetica"/>
                <w:sz w:val="18"/>
                <w:szCs w:val="18"/>
              </w:rPr>
              <w:t xml:space="preserve"> L. [Fagaceae] – Northern red oak</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Quercus borealis</w:t>
            </w:r>
            <w:r w:rsidRPr="00B933AF">
              <w:rPr>
                <w:rFonts w:asciiTheme="majorHAnsi" w:hAnsiTheme="majorHAnsi"/>
                <w:sz w:val="18"/>
                <w:szCs w:val="18"/>
              </w:rPr>
              <w:t xml:space="preserve"> F. Michx., </w:t>
            </w:r>
            <w:r w:rsidRPr="00B933AF">
              <w:rPr>
                <w:rFonts w:asciiTheme="majorHAnsi" w:hAnsiTheme="majorHAnsi"/>
                <w:i/>
                <w:sz w:val="18"/>
                <w:szCs w:val="18"/>
              </w:rPr>
              <w:t>Quercus maxima</w:t>
            </w:r>
            <w:r w:rsidRPr="00B933AF">
              <w:rPr>
                <w:rFonts w:asciiTheme="majorHAnsi" w:hAnsiTheme="majorHAnsi"/>
                <w:sz w:val="18"/>
                <w:szCs w:val="18"/>
              </w:rPr>
              <w:t xml:space="preserve"> (Marshall) Ashe</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Sundheim </w:t>
            </w:r>
            <w:r w:rsidRPr="00B933AF">
              <w:rPr>
                <w:rFonts w:asciiTheme="majorHAnsi" w:hAnsiTheme="majorHAnsi" w:cs="Helvetica"/>
                <w:iCs/>
                <w:sz w:val="18"/>
                <w:szCs w:val="18"/>
              </w:rPr>
              <w:t>et al</w:t>
            </w:r>
            <w:r w:rsidRPr="00B933AF">
              <w:rPr>
                <w:rFonts w:asciiTheme="majorHAnsi" w:hAnsiTheme="majorHAnsi" w:cs="Helvetica"/>
                <w:sz w:val="18"/>
                <w:szCs w:val="18"/>
              </w:rPr>
              <w:t>. 2009</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theme="minorHAnsi"/>
                <w:sz w:val="18"/>
                <w:szCs w:val="18"/>
              </w:rPr>
            </w:pPr>
            <w:r w:rsidRPr="00B933AF">
              <w:rPr>
                <w:rFonts w:asciiTheme="majorHAnsi" w:hAnsiTheme="majorHAnsi" w:cs="Helvetica"/>
                <w:sz w:val="18"/>
                <w:szCs w:val="18"/>
              </w:rPr>
              <w:t>ACT</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 xml:space="preserve">Quercus wislizeni </w:t>
            </w:r>
            <w:r w:rsidRPr="00B933AF">
              <w:rPr>
                <w:rFonts w:asciiTheme="majorHAnsi" w:hAnsiTheme="majorHAnsi" w:cs="Helvetica"/>
                <w:sz w:val="18"/>
                <w:szCs w:val="18"/>
              </w:rPr>
              <w:t xml:space="preserve">A. DC. [Fagaceae] – Shreve oak </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Quercus parvula</w:t>
            </w:r>
            <w:r w:rsidRPr="00B933AF">
              <w:rPr>
                <w:rFonts w:asciiTheme="majorHAnsi" w:hAnsiTheme="majorHAnsi"/>
                <w:sz w:val="18"/>
                <w:szCs w:val="18"/>
              </w:rPr>
              <w:t xml:space="preserve"> Greene</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Garbelotto et al. 2003; Scianna </w:t>
            </w:r>
            <w:r w:rsidRPr="00B933AF">
              <w:rPr>
                <w:rFonts w:asciiTheme="majorHAnsi" w:hAnsiTheme="majorHAnsi" w:cs="Helvetica"/>
                <w:iCs/>
                <w:sz w:val="18"/>
                <w:szCs w:val="18"/>
              </w:rPr>
              <w:t>et al</w:t>
            </w:r>
            <w:r w:rsidRPr="00B933AF">
              <w:rPr>
                <w:rFonts w:asciiTheme="majorHAnsi" w:hAnsiTheme="majorHAnsi" w:cs="Helvetica"/>
                <w:sz w:val="18"/>
                <w:szCs w:val="18"/>
              </w:rPr>
              <w:t>. 2003</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theme="minorHAnsi"/>
                <w:sz w:val="18"/>
                <w:szCs w:val="18"/>
              </w:rPr>
            </w:pPr>
            <w:r w:rsidRPr="00B933AF">
              <w:rPr>
                <w:rFonts w:asciiTheme="majorHAnsi" w:hAnsiTheme="majorHAnsi" w:cs="Helvetica"/>
                <w:sz w:val="18"/>
                <w:szCs w:val="18"/>
              </w:rPr>
              <w:t>Recorded in Australia, but location not specified (Randall 2007)</w:t>
            </w:r>
          </w:p>
        </w:tc>
      </w:tr>
      <w:tr w:rsidR="00EC0CC2" w:rsidRPr="00B933AF">
        <w:tc>
          <w:tcPr>
            <w:tcW w:w="1407" w:type="pct"/>
            <w:tcBorders>
              <w:top w:val="single" w:sz="8" w:space="0" w:color="D9D9D9" w:themeColor="background1" w:themeShade="D9"/>
              <w:left w:val="nil"/>
              <w:bottom w:val="single" w:sz="8" w:space="0" w:color="D9D9D9" w:themeColor="background1" w:themeShade="D9"/>
              <w:right w:val="nil"/>
            </w:tcBorders>
          </w:tcPr>
          <w:p w:rsidR="00EC0CC2" w:rsidRPr="000A099D" w:rsidRDefault="00EC0CC2" w:rsidP="004D7E3C">
            <w:pPr>
              <w:rPr>
                <w:rFonts w:asciiTheme="majorHAnsi" w:hAnsiTheme="majorHAnsi"/>
                <w:sz w:val="18"/>
                <w:szCs w:val="18"/>
              </w:rPr>
            </w:pPr>
            <w:r w:rsidRPr="003F596D">
              <w:rPr>
                <w:rFonts w:asciiTheme="majorHAnsi" w:hAnsiTheme="majorHAnsi"/>
                <w:i/>
                <w:sz w:val="18"/>
                <w:szCs w:val="18"/>
              </w:rPr>
              <w:t xml:space="preserve">Rhamnus </w:t>
            </w:r>
            <w:r w:rsidRPr="003F596D">
              <w:rPr>
                <w:rFonts w:asciiTheme="majorHAnsi" w:hAnsiTheme="majorHAnsi"/>
                <w:sz w:val="18"/>
                <w:szCs w:val="18"/>
              </w:rPr>
              <w:t>L. species</w:t>
            </w:r>
            <w:r w:rsidR="0006399B">
              <w:rPr>
                <w:rFonts w:asciiTheme="majorHAnsi" w:hAnsiTheme="majorHAnsi"/>
                <w:sz w:val="18"/>
                <w:szCs w:val="18"/>
              </w:rPr>
              <w:t xml:space="preserve"> [</w:t>
            </w:r>
            <w:r w:rsidR="00C365FE">
              <w:rPr>
                <w:rFonts w:asciiTheme="majorHAnsi" w:hAnsiTheme="majorHAnsi"/>
                <w:sz w:val="18"/>
                <w:szCs w:val="18"/>
              </w:rPr>
              <w:t>Rhamnaceae</w:t>
            </w:r>
            <w:r w:rsidR="0006399B">
              <w:rPr>
                <w:rFonts w:asciiTheme="majorHAnsi" w:hAnsiTheme="majorHAnsi"/>
                <w:sz w:val="18"/>
                <w:szCs w:val="18"/>
              </w:rPr>
              <w:t xml:space="preserve">] – </w:t>
            </w:r>
            <w:r w:rsidR="00C365FE">
              <w:rPr>
                <w:rFonts w:asciiTheme="majorHAnsi" w:hAnsiTheme="majorHAnsi"/>
                <w:sz w:val="18"/>
                <w:szCs w:val="18"/>
              </w:rPr>
              <w:t>Buckthorn</w:t>
            </w:r>
          </w:p>
        </w:tc>
        <w:tc>
          <w:tcPr>
            <w:tcW w:w="1316" w:type="pct"/>
            <w:tcBorders>
              <w:top w:val="single" w:sz="8" w:space="0" w:color="D9D9D9" w:themeColor="background1" w:themeShade="D9"/>
              <w:left w:val="nil"/>
              <w:bottom w:val="single" w:sz="8" w:space="0" w:color="D9D9D9" w:themeColor="background1" w:themeShade="D9"/>
              <w:right w:val="nil"/>
            </w:tcBorders>
          </w:tcPr>
          <w:p w:rsidR="00EC0CC2" w:rsidRPr="00A819F0" w:rsidRDefault="00EC0CC2" w:rsidP="004D7E3C">
            <w:pPr>
              <w:rPr>
                <w:rFonts w:asciiTheme="majorHAnsi" w:hAnsiTheme="majorHAnsi"/>
                <w:i/>
                <w:sz w:val="18"/>
                <w:szCs w:val="18"/>
              </w:rPr>
            </w:pPr>
            <w:r w:rsidRPr="000A099D">
              <w:rPr>
                <w:rFonts w:asciiTheme="majorHAnsi" w:hAnsiTheme="majorHAnsi"/>
                <w:i/>
                <w:sz w:val="18"/>
                <w:szCs w:val="18"/>
              </w:rPr>
              <w:t>Oreoherzogia</w:t>
            </w:r>
            <w:r w:rsidRPr="000A099D">
              <w:rPr>
                <w:rFonts w:asciiTheme="majorHAnsi" w:hAnsiTheme="majorHAnsi"/>
                <w:sz w:val="18"/>
                <w:szCs w:val="18"/>
              </w:rPr>
              <w:t xml:space="preserve"> W. Vent</w:t>
            </w:r>
          </w:p>
        </w:tc>
        <w:tc>
          <w:tcPr>
            <w:tcW w:w="1113" w:type="pct"/>
            <w:tcBorders>
              <w:top w:val="single" w:sz="8" w:space="0" w:color="D9D9D9" w:themeColor="background1" w:themeShade="D9"/>
              <w:left w:val="nil"/>
              <w:bottom w:val="single" w:sz="8" w:space="0" w:color="D9D9D9" w:themeColor="background1" w:themeShade="D9"/>
              <w:right w:val="nil"/>
            </w:tcBorders>
          </w:tcPr>
          <w:p w:rsidR="00EC0CC2" w:rsidRPr="00F5250C" w:rsidRDefault="00EC0CC2" w:rsidP="004D7E3C">
            <w:pPr>
              <w:rPr>
                <w:rFonts w:asciiTheme="majorHAnsi" w:hAnsiTheme="majorHAnsi"/>
                <w:sz w:val="18"/>
                <w:szCs w:val="18"/>
              </w:rPr>
            </w:pPr>
            <w:r>
              <w:rPr>
                <w:rFonts w:asciiTheme="majorHAnsi" w:hAnsiTheme="majorHAnsi"/>
                <w:sz w:val="18"/>
                <w:szCs w:val="18"/>
              </w:rPr>
              <w:t>Blomquist et al. 2015</w:t>
            </w:r>
          </w:p>
        </w:tc>
        <w:tc>
          <w:tcPr>
            <w:tcW w:w="1164" w:type="pct"/>
            <w:tcBorders>
              <w:top w:val="single" w:sz="8" w:space="0" w:color="D9D9D9" w:themeColor="background1" w:themeShade="D9"/>
              <w:left w:val="nil"/>
              <w:bottom w:val="single" w:sz="8" w:space="0" w:color="D9D9D9" w:themeColor="background1" w:themeShade="D9"/>
              <w:right w:val="nil"/>
            </w:tcBorders>
          </w:tcPr>
          <w:p w:rsidR="00EC0CC2" w:rsidRPr="00B933AF" w:rsidRDefault="00EC0CC2" w:rsidP="0033344A">
            <w:pPr>
              <w:spacing w:before="40" w:after="40"/>
              <w:rPr>
                <w:rFonts w:asciiTheme="majorHAnsi" w:hAnsiTheme="majorHAnsi" w:cs="Helvetica"/>
                <w:sz w:val="18"/>
                <w:szCs w:val="18"/>
              </w:rPr>
            </w:pPr>
            <w:r w:rsidRPr="00B933AF">
              <w:rPr>
                <w:rFonts w:asciiTheme="majorHAnsi" w:hAnsiTheme="majorHAnsi" w:cs="Helvetica"/>
                <w:sz w:val="18"/>
                <w:szCs w:val="18"/>
              </w:rPr>
              <w:t>QLD, ACT, NSW, TAS, VIC, SA, WA</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Rhododendron</w:t>
            </w:r>
            <w:r w:rsidRPr="00B933AF">
              <w:rPr>
                <w:rFonts w:asciiTheme="majorHAnsi" w:hAnsiTheme="majorHAnsi" w:cs="Helvetica"/>
                <w:sz w:val="18"/>
                <w:szCs w:val="18"/>
              </w:rPr>
              <w:t xml:space="preserve"> L. species[ Ericaceae] – Rhododendron</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
                <w:sz w:val="18"/>
                <w:szCs w:val="18"/>
              </w:rPr>
            </w:pPr>
            <w:r w:rsidRPr="00B933AF">
              <w:rPr>
                <w:rFonts w:asciiTheme="majorHAnsi" w:hAnsiTheme="majorHAnsi" w:cs="Helvetica"/>
                <w:i/>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Garbelotto et al. 2003; Parke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2004a; Tjosvold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2005; Cave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2008; Tsopelas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2011; Dick et al. 2014</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QLD, ACT, NSW, TAS, VIC, SA, WA</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shd w:val="clear" w:color="auto" w:fill="FFFFFF"/>
              </w:rPr>
              <w:lastRenderedPageBreak/>
              <w:t>Rhododendron catawbiense</w:t>
            </w:r>
            <w:r w:rsidRPr="00B933AF">
              <w:rPr>
                <w:rFonts w:asciiTheme="majorHAnsi" w:hAnsiTheme="majorHAnsi" w:cs="Helvetica"/>
                <w:iCs/>
                <w:sz w:val="18"/>
                <w:szCs w:val="18"/>
                <w:shd w:val="clear" w:color="auto" w:fill="FFFFFF"/>
              </w:rPr>
              <w:t xml:space="preserve"> Michx. [</w:t>
            </w:r>
            <w:r w:rsidRPr="00B933AF">
              <w:rPr>
                <w:rFonts w:asciiTheme="majorHAnsi" w:hAnsiTheme="majorHAnsi" w:cs="Helvetica"/>
                <w:sz w:val="18"/>
                <w:szCs w:val="18"/>
              </w:rPr>
              <w:t xml:space="preserve">Ericaceae] – Catawba rhododendron  </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i/>
                <w:sz w:val="18"/>
                <w:szCs w:val="18"/>
              </w:rPr>
            </w:pPr>
            <w:r w:rsidRPr="00B933AF">
              <w:rPr>
                <w:rFonts w:asciiTheme="majorHAnsi" w:hAnsiTheme="majorHAnsi" w:cs="Helvetica"/>
                <w:i/>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color w:val="000000"/>
                <w:sz w:val="18"/>
                <w:szCs w:val="18"/>
                <w:shd w:val="clear" w:color="auto" w:fill="FFFFFF"/>
              </w:rPr>
              <w:t xml:space="preserve">Herrero </w:t>
            </w:r>
            <w:r w:rsidRPr="00B933AF">
              <w:rPr>
                <w:rFonts w:asciiTheme="majorHAnsi" w:hAnsiTheme="majorHAnsi" w:cs="Helvetica"/>
                <w:iCs/>
                <w:color w:val="000000"/>
                <w:sz w:val="18"/>
                <w:szCs w:val="18"/>
                <w:shd w:val="clear" w:color="auto" w:fill="FFFFFF"/>
              </w:rPr>
              <w:t>et al</w:t>
            </w:r>
            <w:r w:rsidRPr="00B933AF">
              <w:rPr>
                <w:rFonts w:asciiTheme="majorHAnsi" w:hAnsiTheme="majorHAnsi" w:cs="Helvetica"/>
                <w:color w:val="000000"/>
                <w:sz w:val="18"/>
                <w:szCs w:val="18"/>
                <w:shd w:val="clear" w:color="auto" w:fill="FFFFFF"/>
              </w:rPr>
              <w:t>. 2006</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NSW</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Cs/>
                <w:sz w:val="18"/>
                <w:szCs w:val="18"/>
              </w:rPr>
            </w:pPr>
            <w:r w:rsidRPr="00B933AF">
              <w:rPr>
                <w:rFonts w:asciiTheme="majorHAnsi" w:hAnsiTheme="majorHAnsi" w:cs="Helvetica"/>
                <w:i/>
                <w:iCs/>
                <w:sz w:val="18"/>
                <w:szCs w:val="18"/>
              </w:rPr>
              <w:t>Rhododendron macrophyllum</w:t>
            </w:r>
            <w:r w:rsidRPr="00B933AF">
              <w:rPr>
                <w:rFonts w:asciiTheme="majorHAnsi" w:hAnsiTheme="majorHAnsi" w:cs="Helvetica"/>
                <w:iCs/>
                <w:sz w:val="18"/>
                <w:szCs w:val="18"/>
              </w:rPr>
              <w:t xml:space="preserve"> D. Don ex G. Don [</w:t>
            </w:r>
            <w:r w:rsidRPr="00B933AF">
              <w:rPr>
                <w:rFonts w:asciiTheme="majorHAnsi" w:hAnsiTheme="majorHAnsi" w:cs="Helvetica"/>
                <w:sz w:val="18"/>
                <w:szCs w:val="18"/>
              </w:rPr>
              <w:t xml:space="preserve">Ericaceae]– California rose bay  </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i/>
                <w:iCs/>
                <w:sz w:val="18"/>
                <w:szCs w:val="18"/>
              </w:rPr>
            </w:pPr>
            <w:r w:rsidRPr="00B933AF">
              <w:rPr>
                <w:rFonts w:asciiTheme="majorHAnsi" w:hAnsiTheme="majorHAnsi" w:cs="Helvetica"/>
                <w:i/>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Scianna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2003; Goheen </w:t>
            </w:r>
            <w:r w:rsidRPr="00B933AF">
              <w:rPr>
                <w:rFonts w:asciiTheme="majorHAnsi" w:hAnsiTheme="majorHAnsi" w:cs="Helvetica"/>
                <w:iCs/>
                <w:sz w:val="18"/>
                <w:szCs w:val="18"/>
              </w:rPr>
              <w:t xml:space="preserve">et al </w:t>
            </w:r>
            <w:r w:rsidRPr="00B933AF">
              <w:rPr>
                <w:rFonts w:asciiTheme="majorHAnsi" w:hAnsiTheme="majorHAnsi" w:cs="Helvetica"/>
                <w:sz w:val="18"/>
                <w:szCs w:val="18"/>
              </w:rPr>
              <w:t>2002</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Cs/>
                <w:sz w:val="18"/>
                <w:szCs w:val="18"/>
              </w:rPr>
            </w:pPr>
            <w:r w:rsidRPr="00B933AF">
              <w:rPr>
                <w:rFonts w:asciiTheme="majorHAnsi" w:hAnsiTheme="majorHAnsi" w:cs="Helvetica"/>
                <w:i/>
                <w:iCs/>
                <w:sz w:val="18"/>
                <w:szCs w:val="18"/>
              </w:rPr>
              <w:t>Rhododendron ponticum</w:t>
            </w:r>
            <w:r w:rsidRPr="00B933AF">
              <w:rPr>
                <w:rFonts w:asciiTheme="majorHAnsi" w:hAnsiTheme="majorHAnsi" w:cs="Helvetica"/>
                <w:iCs/>
                <w:sz w:val="18"/>
                <w:szCs w:val="18"/>
              </w:rPr>
              <w:t xml:space="preserve"> L. [</w:t>
            </w:r>
            <w:r w:rsidRPr="00B933AF">
              <w:rPr>
                <w:rFonts w:asciiTheme="majorHAnsi" w:hAnsiTheme="majorHAnsi" w:cs="Helvetica"/>
                <w:sz w:val="18"/>
                <w:szCs w:val="18"/>
              </w:rPr>
              <w:t>Ericaceae</w:t>
            </w:r>
            <w:r w:rsidRPr="00B933AF">
              <w:rPr>
                <w:rFonts w:asciiTheme="majorHAnsi" w:hAnsiTheme="majorHAnsi" w:cs="Helvetica"/>
                <w:iCs/>
                <w:sz w:val="18"/>
                <w:szCs w:val="18"/>
              </w:rPr>
              <w:t>] – Common rhododendron</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Purse et al. 2013</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TAS, NSW, SA</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Ribes laurifolium</w:t>
            </w:r>
            <w:r w:rsidRPr="00B933AF">
              <w:rPr>
                <w:rFonts w:asciiTheme="majorHAnsi" w:hAnsiTheme="majorHAnsi" w:cs="Helvetica"/>
                <w:sz w:val="18"/>
                <w:szCs w:val="18"/>
              </w:rPr>
              <w:t xml:space="preserve"> Jancz. [Grossulariaceae] – Bayleaf currant</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theme="minorHAnsi"/>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Rosa</w:t>
            </w:r>
            <w:r w:rsidRPr="00B933AF">
              <w:rPr>
                <w:rFonts w:asciiTheme="majorHAnsi" w:hAnsiTheme="majorHAnsi" w:cs="Helvetica"/>
                <w:sz w:val="18"/>
                <w:szCs w:val="18"/>
              </w:rPr>
              <w:t xml:space="preserve"> species (several different cultivars) [Rosaceae] – Rose</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Cave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2008; Sansford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SA, NSW, VIC, QLD, TAS, WA, ACT</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Cs/>
                <w:sz w:val="18"/>
                <w:szCs w:val="18"/>
              </w:rPr>
            </w:pPr>
            <w:r w:rsidRPr="00B933AF">
              <w:rPr>
                <w:rFonts w:asciiTheme="majorHAnsi" w:hAnsiTheme="majorHAnsi" w:cs="Helvetica"/>
                <w:i/>
                <w:iCs/>
                <w:sz w:val="18"/>
                <w:szCs w:val="18"/>
              </w:rPr>
              <w:t>Rosa californica</w:t>
            </w:r>
            <w:r w:rsidRPr="00B933AF">
              <w:rPr>
                <w:rFonts w:asciiTheme="majorHAnsi" w:hAnsiTheme="majorHAnsi"/>
                <w:bCs/>
                <w:sz w:val="18"/>
                <w:szCs w:val="18"/>
              </w:rPr>
              <w:t xml:space="preserve"> Cham. &amp; Schltdl.</w:t>
            </w:r>
            <w:r w:rsidRPr="00B933AF">
              <w:rPr>
                <w:rFonts w:asciiTheme="majorHAnsi" w:hAnsiTheme="majorHAnsi" w:cs="Helvetica"/>
                <w:i/>
                <w:iCs/>
                <w:sz w:val="18"/>
                <w:szCs w:val="18"/>
              </w:rPr>
              <w:t xml:space="preserve"> </w:t>
            </w:r>
            <w:r w:rsidRPr="00B933AF">
              <w:rPr>
                <w:rFonts w:asciiTheme="majorHAnsi" w:hAnsiTheme="majorHAnsi" w:cs="Helvetica"/>
                <w:iCs/>
                <w:sz w:val="18"/>
                <w:szCs w:val="18"/>
              </w:rPr>
              <w:t>[</w:t>
            </w:r>
            <w:r w:rsidRPr="00B933AF">
              <w:rPr>
                <w:rFonts w:asciiTheme="majorHAnsi" w:hAnsiTheme="majorHAnsi" w:cs="Helvetica"/>
                <w:sz w:val="18"/>
                <w:szCs w:val="18"/>
              </w:rPr>
              <w:t>Rosaceae</w:t>
            </w:r>
            <w:r w:rsidRPr="00B933AF">
              <w:rPr>
                <w:rFonts w:asciiTheme="majorHAnsi" w:hAnsiTheme="majorHAnsi" w:cs="Helvetica"/>
                <w:iCs/>
                <w:sz w:val="18"/>
                <w:szCs w:val="18"/>
              </w:rPr>
              <w:t xml:space="preserve">] – </w:t>
            </w:r>
            <w:r w:rsidRPr="00B933AF">
              <w:rPr>
                <w:rFonts w:asciiTheme="majorHAnsi" w:hAnsiTheme="majorHAnsi" w:cs="Helvetica"/>
                <w:sz w:val="18"/>
                <w:szCs w:val="18"/>
              </w:rPr>
              <w:t>Californian wild rose</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iCs/>
                <w:sz w:val="18"/>
                <w:szCs w:val="18"/>
              </w:rPr>
              <w:t>Rosa aldersonii</w:t>
            </w:r>
            <w:r w:rsidRPr="00B933AF">
              <w:rPr>
                <w:rFonts w:asciiTheme="majorHAnsi" w:hAnsiTheme="majorHAnsi"/>
                <w:sz w:val="18"/>
                <w:szCs w:val="18"/>
              </w:rPr>
              <w:t xml:space="preserve"> Greene</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shd w:val="clear" w:color="auto" w:fill="FFFFFF"/>
              </w:rPr>
            </w:pPr>
            <w:r w:rsidRPr="00B933AF">
              <w:rPr>
                <w:rFonts w:asciiTheme="majorHAnsi" w:hAnsiTheme="majorHAnsi" w:cs="Helvetica"/>
                <w:sz w:val="18"/>
                <w:szCs w:val="18"/>
              </w:rPr>
              <w:t>Vettraino et al. 2010</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Rosa gymnocarpa</w:t>
            </w:r>
            <w:r w:rsidRPr="00B933AF">
              <w:rPr>
                <w:rFonts w:asciiTheme="majorHAnsi" w:hAnsiTheme="majorHAnsi" w:cs="Helvetica"/>
                <w:sz w:val="18"/>
                <w:szCs w:val="18"/>
              </w:rPr>
              <w:t xml:space="preserve"> Nutt. [Rosaceae] – Californian wood rose</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shd w:val="clear" w:color="auto" w:fill="FFFFFF"/>
              </w:rPr>
              <w:t>Hüberli</w:t>
            </w:r>
            <w:r w:rsidRPr="00B933AF">
              <w:rPr>
                <w:rFonts w:asciiTheme="majorHAnsi" w:hAnsiTheme="majorHAnsi" w:cs="Helvetica"/>
                <w:sz w:val="18"/>
                <w:szCs w:val="18"/>
              </w:rPr>
              <w:t xml:space="preserve"> </w:t>
            </w:r>
            <w:r w:rsidRPr="00B933AF">
              <w:rPr>
                <w:rFonts w:asciiTheme="majorHAnsi" w:hAnsiTheme="majorHAnsi" w:cs="Helvetica"/>
                <w:iCs/>
                <w:sz w:val="18"/>
                <w:szCs w:val="18"/>
              </w:rPr>
              <w:t>et al</w:t>
            </w:r>
            <w:r w:rsidRPr="00B933AF">
              <w:rPr>
                <w:rFonts w:asciiTheme="majorHAnsi" w:hAnsiTheme="majorHAnsi" w:cs="Helvetica"/>
                <w:sz w:val="18"/>
                <w:szCs w:val="18"/>
              </w:rPr>
              <w:t>. 2004</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Rosa rugosa</w:t>
            </w:r>
            <w:r w:rsidRPr="00B933AF">
              <w:rPr>
                <w:rFonts w:asciiTheme="majorHAnsi" w:hAnsiTheme="majorHAnsi" w:cs="Helvetica"/>
                <w:sz w:val="18"/>
                <w:szCs w:val="18"/>
              </w:rPr>
              <w:t xml:space="preserve"> Thunb. [Rosaceae] – Rugosa rose</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Rosa ferox</w:t>
            </w:r>
            <w:r w:rsidRPr="00B933AF">
              <w:rPr>
                <w:rFonts w:asciiTheme="majorHAnsi" w:hAnsiTheme="majorHAnsi"/>
                <w:sz w:val="18"/>
                <w:szCs w:val="18"/>
              </w:rPr>
              <w:t xml:space="preserve"> Lawrance, </w:t>
            </w:r>
            <w:r w:rsidRPr="00B933AF">
              <w:rPr>
                <w:rFonts w:asciiTheme="majorHAnsi" w:hAnsiTheme="majorHAnsi"/>
                <w:i/>
                <w:sz w:val="18"/>
                <w:szCs w:val="18"/>
              </w:rPr>
              <w:t>Rosa pubescens</w:t>
            </w:r>
            <w:r w:rsidRPr="00B933AF">
              <w:rPr>
                <w:rFonts w:asciiTheme="majorHAnsi" w:hAnsiTheme="majorHAnsi"/>
                <w:sz w:val="18"/>
                <w:szCs w:val="18"/>
              </w:rPr>
              <w:t xml:space="preserve"> Baker</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Sansford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SA</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Rubus spectabilis</w:t>
            </w:r>
            <w:r w:rsidRPr="00B933AF">
              <w:rPr>
                <w:rFonts w:asciiTheme="majorHAnsi" w:hAnsiTheme="majorHAnsi" w:cs="Helvetica"/>
                <w:sz w:val="18"/>
                <w:szCs w:val="18"/>
              </w:rPr>
              <w:t xml:space="preserve"> Pursh [Rosaceae] – Salmonberry</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Rubus franciscanus</w:t>
            </w:r>
            <w:r w:rsidRPr="00B933AF">
              <w:rPr>
                <w:rFonts w:asciiTheme="majorHAnsi" w:hAnsiTheme="majorHAnsi"/>
                <w:sz w:val="18"/>
                <w:szCs w:val="18"/>
              </w:rPr>
              <w:t xml:space="preserve"> Rydb.</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Cave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2008</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Cs/>
                <w:sz w:val="18"/>
                <w:szCs w:val="18"/>
              </w:rPr>
            </w:pPr>
            <w:r w:rsidRPr="00B933AF">
              <w:rPr>
                <w:rFonts w:asciiTheme="majorHAnsi" w:hAnsiTheme="majorHAnsi" w:cs="Helvetica"/>
                <w:i/>
                <w:iCs/>
                <w:sz w:val="18"/>
                <w:szCs w:val="18"/>
              </w:rPr>
              <w:t>Rubus ursinus</w:t>
            </w:r>
            <w:r w:rsidRPr="00B933AF">
              <w:rPr>
                <w:rFonts w:asciiTheme="majorHAnsi" w:hAnsiTheme="majorHAnsi"/>
                <w:b/>
                <w:bCs/>
                <w:sz w:val="18"/>
                <w:szCs w:val="18"/>
              </w:rPr>
              <w:t xml:space="preserve"> </w:t>
            </w:r>
            <w:r w:rsidRPr="00B933AF">
              <w:rPr>
                <w:rFonts w:asciiTheme="majorHAnsi" w:hAnsiTheme="majorHAnsi" w:cs="Helvetica"/>
                <w:iCs/>
                <w:sz w:val="18"/>
                <w:szCs w:val="18"/>
              </w:rPr>
              <w:t>Cham. &amp; Schltdl.</w:t>
            </w:r>
            <w:r w:rsidRPr="00B933AF">
              <w:rPr>
                <w:rFonts w:asciiTheme="majorHAnsi" w:hAnsiTheme="majorHAnsi" w:cs="Helvetica"/>
                <w:i/>
                <w:iCs/>
                <w:sz w:val="18"/>
                <w:szCs w:val="18"/>
              </w:rPr>
              <w:t xml:space="preserve"> </w:t>
            </w:r>
            <w:r w:rsidRPr="00B933AF">
              <w:rPr>
                <w:rFonts w:asciiTheme="majorHAnsi" w:hAnsiTheme="majorHAnsi" w:cs="Helvetica"/>
                <w:iCs/>
                <w:sz w:val="18"/>
                <w:szCs w:val="18"/>
              </w:rPr>
              <w:t>[Rosaceae] – Blackberry, Dewberry</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Rubus eastwoodianus</w:t>
            </w:r>
            <w:r w:rsidRPr="00B933AF">
              <w:rPr>
                <w:rFonts w:asciiTheme="majorHAnsi" w:hAnsiTheme="majorHAnsi"/>
                <w:sz w:val="18"/>
                <w:szCs w:val="18"/>
              </w:rPr>
              <w:t xml:space="preserve"> Rydb., </w:t>
            </w:r>
            <w:r w:rsidRPr="00B933AF">
              <w:rPr>
                <w:rFonts w:asciiTheme="majorHAnsi" w:hAnsiTheme="majorHAnsi"/>
                <w:i/>
                <w:sz w:val="18"/>
                <w:szCs w:val="18"/>
              </w:rPr>
              <w:t>Rubus macropetalus</w:t>
            </w:r>
            <w:r w:rsidRPr="00B933AF">
              <w:rPr>
                <w:rFonts w:asciiTheme="majorHAnsi" w:hAnsiTheme="majorHAnsi"/>
                <w:sz w:val="18"/>
                <w:szCs w:val="18"/>
              </w:rPr>
              <w:t xml:space="preserve"> Douglas ex Hook., </w:t>
            </w:r>
            <w:r w:rsidRPr="00B933AF">
              <w:rPr>
                <w:rFonts w:asciiTheme="majorHAnsi" w:hAnsiTheme="majorHAnsi"/>
                <w:i/>
                <w:sz w:val="18"/>
                <w:szCs w:val="18"/>
              </w:rPr>
              <w:t>Rubus sirbenus</w:t>
            </w:r>
            <w:r w:rsidRPr="00B933AF">
              <w:rPr>
                <w:rFonts w:asciiTheme="majorHAnsi" w:hAnsiTheme="majorHAnsi"/>
                <w:sz w:val="18"/>
                <w:szCs w:val="18"/>
              </w:rPr>
              <w:t xml:space="preserve"> L.H. Bailey, </w:t>
            </w:r>
            <w:r w:rsidRPr="00B933AF">
              <w:rPr>
                <w:rFonts w:asciiTheme="majorHAnsi" w:hAnsiTheme="majorHAnsi"/>
                <w:i/>
                <w:sz w:val="18"/>
                <w:szCs w:val="18"/>
              </w:rPr>
              <w:t>Rubus vitifolius</w:t>
            </w:r>
            <w:r w:rsidRPr="00B933AF">
              <w:rPr>
                <w:rFonts w:asciiTheme="majorHAnsi" w:hAnsiTheme="majorHAnsi"/>
                <w:sz w:val="18"/>
                <w:szCs w:val="18"/>
              </w:rPr>
              <w:t xml:space="preserve"> Cham. &amp; Schltdl.</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 Vettraino et al. 2010</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Salix caprea</w:t>
            </w:r>
            <w:r w:rsidRPr="00B933AF">
              <w:rPr>
                <w:rFonts w:asciiTheme="majorHAnsi" w:hAnsiTheme="majorHAnsi" w:cs="Helvetica"/>
                <w:sz w:val="18"/>
                <w:szCs w:val="18"/>
              </w:rPr>
              <w:t xml:space="preserve"> L. [Salicaceae] – Goat willow, Sallow</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Salix bakko</w:t>
            </w:r>
            <w:r w:rsidRPr="00B933AF">
              <w:rPr>
                <w:rFonts w:asciiTheme="majorHAnsi" w:hAnsiTheme="majorHAnsi"/>
                <w:sz w:val="18"/>
                <w:szCs w:val="18"/>
              </w:rPr>
              <w:t xml:space="preserve"> Kimura, </w:t>
            </w:r>
            <w:r w:rsidRPr="00B933AF">
              <w:rPr>
                <w:rFonts w:asciiTheme="majorHAnsi" w:hAnsiTheme="majorHAnsi"/>
                <w:i/>
                <w:sz w:val="18"/>
                <w:szCs w:val="18"/>
              </w:rPr>
              <w:t>Salix coaetanea</w:t>
            </w:r>
            <w:r w:rsidRPr="00B933AF">
              <w:rPr>
                <w:rFonts w:asciiTheme="majorHAnsi" w:hAnsiTheme="majorHAnsi"/>
                <w:sz w:val="18"/>
                <w:szCs w:val="18"/>
              </w:rPr>
              <w:t xml:space="preserve"> Flod., </w:t>
            </w:r>
            <w:r w:rsidRPr="00B933AF">
              <w:rPr>
                <w:rFonts w:asciiTheme="majorHAnsi" w:hAnsiTheme="majorHAnsi"/>
                <w:i/>
                <w:sz w:val="18"/>
                <w:szCs w:val="18"/>
              </w:rPr>
              <w:t>Salix hultenii</w:t>
            </w:r>
            <w:r w:rsidRPr="00B933AF">
              <w:rPr>
                <w:rFonts w:asciiTheme="majorHAnsi" w:hAnsiTheme="majorHAnsi"/>
                <w:sz w:val="18"/>
                <w:szCs w:val="18"/>
              </w:rPr>
              <w:t xml:space="preserve"> Flod.</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Sansford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2009; 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TAS, NSW, ACT, VIC</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 xml:space="preserve">Sarcococca hookeriana </w:t>
            </w:r>
            <w:r w:rsidRPr="00B933AF">
              <w:rPr>
                <w:rFonts w:asciiTheme="majorHAnsi" w:hAnsiTheme="majorHAnsi" w:cs="Helvetica"/>
                <w:sz w:val="18"/>
                <w:szCs w:val="18"/>
              </w:rPr>
              <w:t xml:space="preserve">Baill. var. </w:t>
            </w:r>
            <w:r w:rsidRPr="00B933AF">
              <w:rPr>
                <w:rFonts w:asciiTheme="majorHAnsi" w:hAnsiTheme="majorHAnsi" w:cs="Helvetica"/>
                <w:i/>
                <w:iCs/>
                <w:sz w:val="18"/>
                <w:szCs w:val="18"/>
              </w:rPr>
              <w:t>digyna</w:t>
            </w:r>
            <w:r w:rsidRPr="00B933AF">
              <w:rPr>
                <w:rFonts w:asciiTheme="majorHAnsi" w:hAnsiTheme="majorHAnsi" w:cs="Helvetica"/>
                <w:sz w:val="18"/>
                <w:szCs w:val="18"/>
              </w:rPr>
              <w:t xml:space="preserve"> Franch. [Buxaceae] – Himalyan sweet box</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Myrsine chevalieri</w:t>
            </w:r>
            <w:r w:rsidRPr="00B933AF">
              <w:rPr>
                <w:rFonts w:asciiTheme="majorHAnsi" w:hAnsiTheme="majorHAnsi"/>
                <w:sz w:val="18"/>
                <w:szCs w:val="18"/>
              </w:rPr>
              <w:t xml:space="preserve"> H. Lév., </w:t>
            </w:r>
            <w:r w:rsidRPr="00B933AF">
              <w:rPr>
                <w:rFonts w:asciiTheme="majorHAnsi" w:hAnsiTheme="majorHAnsi"/>
                <w:i/>
                <w:sz w:val="18"/>
                <w:szCs w:val="18"/>
              </w:rPr>
              <w:t>Pachysandra mairei</w:t>
            </w:r>
            <w:r w:rsidRPr="00B933AF">
              <w:rPr>
                <w:rFonts w:asciiTheme="majorHAnsi" w:hAnsiTheme="majorHAnsi"/>
                <w:sz w:val="18"/>
                <w:szCs w:val="18"/>
              </w:rPr>
              <w:t xml:space="preserve"> H. Lév., </w:t>
            </w:r>
            <w:r w:rsidRPr="00B933AF">
              <w:rPr>
                <w:rFonts w:asciiTheme="majorHAnsi" w:hAnsiTheme="majorHAnsi"/>
                <w:i/>
                <w:sz w:val="18"/>
                <w:szCs w:val="18"/>
              </w:rPr>
              <w:t>Sarcococca humilis</w:t>
            </w:r>
            <w:r w:rsidRPr="00B933AF">
              <w:rPr>
                <w:rFonts w:asciiTheme="majorHAnsi" w:hAnsiTheme="majorHAnsi"/>
                <w:sz w:val="18"/>
                <w:szCs w:val="18"/>
              </w:rPr>
              <w:t xml:space="preserve"> Stapf</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FERA 2012; Alexandra Schlenzig, SASA, personal communication 2012</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
                <w:iCs/>
                <w:sz w:val="18"/>
                <w:szCs w:val="18"/>
              </w:rPr>
            </w:pPr>
            <w:r w:rsidRPr="00B933AF">
              <w:rPr>
                <w:rFonts w:asciiTheme="majorHAnsi" w:hAnsiTheme="majorHAnsi" w:cs="Helvetica"/>
                <w:i/>
                <w:iCs/>
                <w:sz w:val="18"/>
                <w:szCs w:val="18"/>
              </w:rPr>
              <w:t xml:space="preserve">Schima superba </w:t>
            </w:r>
            <w:r w:rsidRPr="00B933AF">
              <w:rPr>
                <w:rFonts w:asciiTheme="majorHAnsi" w:hAnsiTheme="majorHAnsi" w:cs="Helvetica"/>
                <w:sz w:val="18"/>
                <w:szCs w:val="18"/>
              </w:rPr>
              <w:t>Gardner &amp; Champ. [Theaceae] – Chinese guger tree</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Schima confertiflora</w:t>
            </w:r>
            <w:r w:rsidRPr="00B933AF">
              <w:rPr>
                <w:rFonts w:asciiTheme="majorHAnsi" w:hAnsiTheme="majorHAnsi"/>
                <w:sz w:val="18"/>
                <w:szCs w:val="18"/>
              </w:rPr>
              <w:t xml:space="preserve"> Merr., </w:t>
            </w:r>
            <w:r w:rsidRPr="00B933AF">
              <w:rPr>
                <w:rFonts w:asciiTheme="majorHAnsi" w:hAnsiTheme="majorHAnsi"/>
                <w:i/>
                <w:sz w:val="18"/>
                <w:szCs w:val="18"/>
              </w:rPr>
              <w:t>Schima kankaoensis</w:t>
            </w:r>
            <w:r w:rsidRPr="00B933AF">
              <w:rPr>
                <w:rFonts w:asciiTheme="majorHAnsi" w:hAnsiTheme="majorHAnsi"/>
                <w:sz w:val="18"/>
                <w:szCs w:val="18"/>
              </w:rPr>
              <w:t xml:space="preserve"> Hayata, </w:t>
            </w:r>
            <w:r w:rsidRPr="00B933AF">
              <w:rPr>
                <w:rFonts w:asciiTheme="majorHAnsi" w:hAnsiTheme="majorHAnsi"/>
                <w:i/>
                <w:sz w:val="18"/>
                <w:szCs w:val="18"/>
              </w:rPr>
              <w:t>Schima liukiuensis</w:t>
            </w:r>
            <w:r w:rsidRPr="00B933AF">
              <w:rPr>
                <w:rFonts w:asciiTheme="majorHAnsi" w:hAnsiTheme="majorHAnsi"/>
                <w:sz w:val="18"/>
                <w:szCs w:val="18"/>
              </w:rPr>
              <w:t xml:space="preserve"> Nakai, </w:t>
            </w:r>
            <w:r w:rsidRPr="00B933AF">
              <w:rPr>
                <w:rFonts w:asciiTheme="majorHAnsi" w:hAnsiTheme="majorHAnsi"/>
                <w:i/>
                <w:sz w:val="18"/>
                <w:szCs w:val="18"/>
              </w:rPr>
              <w:t>Schima xinyiensis</w:t>
            </w:r>
            <w:r w:rsidRPr="00B933AF">
              <w:rPr>
                <w:rFonts w:asciiTheme="majorHAnsi" w:hAnsiTheme="majorHAnsi"/>
                <w:sz w:val="18"/>
                <w:szCs w:val="18"/>
              </w:rPr>
              <w:t xml:space="preserve"> H.T. Chang &amp; Z.Y. Su</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Sansford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2009</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
                <w:iCs/>
                <w:sz w:val="18"/>
                <w:szCs w:val="18"/>
              </w:rPr>
            </w:pPr>
            <w:r w:rsidRPr="00B933AF">
              <w:rPr>
                <w:rFonts w:asciiTheme="majorHAnsi" w:hAnsiTheme="majorHAnsi" w:cs="Helvetica"/>
                <w:i/>
                <w:iCs/>
                <w:sz w:val="18"/>
                <w:szCs w:val="18"/>
              </w:rPr>
              <w:t>Schima wallichii</w:t>
            </w:r>
            <w:r w:rsidRPr="00B933AF">
              <w:rPr>
                <w:rFonts w:asciiTheme="majorHAnsi" w:hAnsiTheme="majorHAnsi" w:cs="Helvetica"/>
                <w:sz w:val="18"/>
                <w:szCs w:val="18"/>
              </w:rPr>
              <w:t xml:space="preserve"> (DC.) Korth. [Theaceae]</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Gordonia chilaunia</w:t>
            </w:r>
            <w:r w:rsidRPr="00B933AF">
              <w:rPr>
                <w:rFonts w:asciiTheme="majorHAnsi" w:hAnsiTheme="majorHAnsi"/>
                <w:sz w:val="18"/>
                <w:szCs w:val="18"/>
              </w:rPr>
              <w:t xml:space="preserve"> Buch.-Ham. ex D. Don, </w:t>
            </w:r>
            <w:r w:rsidRPr="00B933AF">
              <w:rPr>
                <w:rFonts w:asciiTheme="majorHAnsi" w:hAnsiTheme="majorHAnsi"/>
                <w:i/>
                <w:sz w:val="18"/>
                <w:szCs w:val="18"/>
              </w:rPr>
              <w:t>Gordonia wallichii</w:t>
            </w:r>
            <w:r w:rsidRPr="00B933AF">
              <w:rPr>
                <w:rFonts w:asciiTheme="majorHAnsi" w:hAnsiTheme="majorHAnsi"/>
                <w:sz w:val="18"/>
                <w:szCs w:val="18"/>
              </w:rPr>
              <w:t xml:space="preserve"> DC., </w:t>
            </w:r>
            <w:r w:rsidRPr="00B933AF">
              <w:rPr>
                <w:rFonts w:asciiTheme="majorHAnsi" w:hAnsiTheme="majorHAnsi"/>
                <w:i/>
                <w:sz w:val="18"/>
                <w:szCs w:val="18"/>
              </w:rPr>
              <w:t>Schima brevipes</w:t>
            </w:r>
            <w:r w:rsidRPr="00B933AF">
              <w:rPr>
                <w:rFonts w:asciiTheme="majorHAnsi" w:hAnsiTheme="majorHAnsi"/>
                <w:sz w:val="18"/>
                <w:szCs w:val="18"/>
              </w:rPr>
              <w:t xml:space="preserve"> Craib</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NSW</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
                <w:iCs/>
                <w:sz w:val="18"/>
                <w:szCs w:val="18"/>
              </w:rPr>
            </w:pPr>
            <w:r w:rsidRPr="00B933AF">
              <w:rPr>
                <w:rFonts w:asciiTheme="majorHAnsi" w:hAnsiTheme="majorHAnsi" w:cs="Helvetica"/>
                <w:i/>
                <w:iCs/>
                <w:sz w:val="18"/>
                <w:szCs w:val="18"/>
              </w:rPr>
              <w:lastRenderedPageBreak/>
              <w:t>Sequoia</w:t>
            </w:r>
            <w:r w:rsidRPr="00B933AF">
              <w:rPr>
                <w:rFonts w:asciiTheme="majorHAnsi" w:hAnsiTheme="majorHAnsi" w:cs="Helvetica"/>
                <w:sz w:val="18"/>
                <w:szCs w:val="18"/>
              </w:rPr>
              <w:t xml:space="preserve"> Endl. species [Taxodiaceae] – Redwood</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Helvetica"/>
                <w:sz w:val="18"/>
                <w:szCs w:val="18"/>
              </w:rPr>
              <w:t xml:space="preserve">Scianna </w:t>
            </w:r>
            <w:r w:rsidRPr="00B933AF">
              <w:rPr>
                <w:rFonts w:asciiTheme="majorHAnsi" w:hAnsiTheme="majorHAnsi" w:cs="Helvetica"/>
                <w:iCs/>
                <w:sz w:val="18"/>
                <w:szCs w:val="18"/>
              </w:rPr>
              <w:t>et al</w:t>
            </w:r>
            <w:r w:rsidRPr="00B933AF">
              <w:rPr>
                <w:rFonts w:asciiTheme="majorHAnsi" w:hAnsiTheme="majorHAnsi" w:cs="Helvetica"/>
                <w:sz w:val="18"/>
                <w:szCs w:val="18"/>
              </w:rPr>
              <w:t>. 2003</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ACT, SA, VIC, TAS, WA</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
                <w:iCs/>
                <w:sz w:val="18"/>
                <w:szCs w:val="18"/>
              </w:rPr>
            </w:pPr>
            <w:r w:rsidRPr="00B933AF">
              <w:rPr>
                <w:rFonts w:asciiTheme="majorHAnsi" w:hAnsiTheme="majorHAnsi" w:cs="Helvetica"/>
                <w:i/>
                <w:iCs/>
                <w:sz w:val="18"/>
                <w:szCs w:val="18"/>
              </w:rPr>
              <w:t>Sequoia sempervirens</w:t>
            </w:r>
            <w:r w:rsidRPr="00B933AF">
              <w:rPr>
                <w:rFonts w:asciiTheme="majorHAnsi" w:hAnsiTheme="majorHAnsi" w:cs="Helvetica"/>
                <w:sz w:val="18"/>
                <w:szCs w:val="18"/>
              </w:rPr>
              <w:t xml:space="preserve"> (D. Don) Endl. [Taxodiaceae] – Coast redwood</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Sequoia gigantea</w:t>
            </w:r>
            <w:r w:rsidRPr="00B933AF">
              <w:rPr>
                <w:rFonts w:asciiTheme="majorHAnsi" w:hAnsiTheme="majorHAnsi"/>
                <w:sz w:val="18"/>
                <w:szCs w:val="18"/>
              </w:rPr>
              <w:t xml:space="preserve"> (Lindl.) Endl., </w:t>
            </w:r>
            <w:r w:rsidRPr="00B933AF">
              <w:rPr>
                <w:rFonts w:asciiTheme="majorHAnsi" w:hAnsiTheme="majorHAnsi" w:cs="Helvetica"/>
                <w:i/>
                <w:iCs/>
                <w:sz w:val="18"/>
                <w:szCs w:val="18"/>
              </w:rPr>
              <w:t>Taxodium sempervirens</w:t>
            </w:r>
            <w:r w:rsidRPr="00B933AF">
              <w:rPr>
                <w:rFonts w:asciiTheme="majorHAnsi" w:hAnsiTheme="majorHAnsi" w:cs="Helvetica"/>
                <w:sz w:val="18"/>
                <w:szCs w:val="18"/>
              </w:rPr>
              <w:t xml:space="preserve"> D. Don</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Maloney et al. 2002; Kliejunas 2003; Hansen </w:t>
            </w:r>
            <w:r w:rsidRPr="00B933AF">
              <w:rPr>
                <w:rFonts w:asciiTheme="majorHAnsi" w:hAnsiTheme="majorHAnsi" w:cs="Helvetica"/>
                <w:iCs/>
                <w:sz w:val="18"/>
                <w:szCs w:val="18"/>
              </w:rPr>
              <w:t>et al</w:t>
            </w:r>
            <w:r w:rsidRPr="00B933AF">
              <w:rPr>
                <w:rFonts w:asciiTheme="majorHAnsi" w:hAnsiTheme="majorHAnsi" w:cs="Helvetica"/>
                <w:sz w:val="18"/>
                <w:szCs w:val="18"/>
              </w:rPr>
              <w:t>. 2003a</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ACT, VIC, SA, TAS, WA</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Cs/>
                <w:sz w:val="18"/>
                <w:szCs w:val="18"/>
              </w:rPr>
            </w:pPr>
            <w:r w:rsidRPr="00B933AF">
              <w:rPr>
                <w:rFonts w:asciiTheme="majorHAnsi" w:hAnsiTheme="majorHAnsi" w:cs="Helvetica"/>
                <w:i/>
                <w:iCs/>
                <w:sz w:val="18"/>
                <w:szCs w:val="18"/>
              </w:rPr>
              <w:t xml:space="preserve">Symphoricarpos </w:t>
            </w:r>
            <w:r w:rsidRPr="00B933AF">
              <w:rPr>
                <w:rFonts w:asciiTheme="majorHAnsi" w:hAnsiTheme="majorHAnsi" w:cs="Helvetica"/>
                <w:iCs/>
                <w:sz w:val="18"/>
                <w:szCs w:val="18"/>
              </w:rPr>
              <w:t xml:space="preserve">Duhamel species </w:t>
            </w:r>
            <w:r w:rsidRPr="00B933AF">
              <w:rPr>
                <w:rFonts w:asciiTheme="majorHAnsi" w:hAnsiTheme="majorHAnsi" w:cs="Helvetica"/>
                <w:sz w:val="18"/>
                <w:szCs w:val="18"/>
              </w:rPr>
              <w:t>[Caprifoliaceae</w:t>
            </w:r>
            <w:r w:rsidRPr="00B933AF">
              <w:rPr>
                <w:rFonts w:asciiTheme="majorHAnsi" w:hAnsiTheme="majorHAnsi" w:cs="Helvetica"/>
                <w:iCs/>
                <w:sz w:val="18"/>
                <w:szCs w:val="18"/>
              </w:rPr>
              <w:t>] – Snowberry</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Vettraino et al. 2010</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TAS, NSW, VIC, SA, ACT</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Syringa vulgaris</w:t>
            </w:r>
            <w:r w:rsidRPr="00B933AF">
              <w:rPr>
                <w:rFonts w:asciiTheme="majorHAnsi" w:hAnsiTheme="majorHAnsi" w:cs="Helvetica"/>
                <w:sz w:val="18"/>
                <w:szCs w:val="18"/>
              </w:rPr>
              <w:t xml:space="preserve"> L. [Oleaceae] – Lilac</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Beales et al. 2004b</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theme="minorHAnsi"/>
                <w:sz w:val="18"/>
                <w:szCs w:val="18"/>
              </w:rPr>
            </w:pPr>
            <w:r w:rsidRPr="00B933AF">
              <w:rPr>
                <w:rFonts w:asciiTheme="majorHAnsi" w:hAnsiTheme="majorHAnsi" w:cs="Helvetica"/>
                <w:sz w:val="18"/>
                <w:szCs w:val="18"/>
              </w:rPr>
              <w:t>ACT, WA, NSW, TAS</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
                <w:iCs/>
                <w:sz w:val="18"/>
                <w:szCs w:val="18"/>
              </w:rPr>
            </w:pPr>
            <w:r w:rsidRPr="00B933AF">
              <w:rPr>
                <w:rFonts w:asciiTheme="majorHAnsi" w:hAnsiTheme="majorHAnsi" w:cs="Helvetica"/>
                <w:i/>
                <w:iCs/>
                <w:sz w:val="18"/>
                <w:szCs w:val="18"/>
              </w:rPr>
              <w:t>Taxus baccata</w:t>
            </w:r>
            <w:r w:rsidRPr="00B933AF">
              <w:rPr>
                <w:rFonts w:asciiTheme="majorHAnsi" w:hAnsiTheme="majorHAnsi" w:cs="Helvetica"/>
                <w:sz w:val="18"/>
                <w:szCs w:val="18"/>
              </w:rPr>
              <w:t xml:space="preserve"> L. [Taxaceae] – Yew</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Taxus wallichiana</w:t>
            </w:r>
            <w:r w:rsidRPr="00B933AF">
              <w:rPr>
                <w:rFonts w:asciiTheme="majorHAnsi" w:hAnsiTheme="majorHAnsi"/>
                <w:sz w:val="18"/>
                <w:szCs w:val="18"/>
              </w:rPr>
              <w:t xml:space="preserve"> Zucc.</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Lane </w:t>
            </w:r>
            <w:r w:rsidRPr="00B933AF">
              <w:rPr>
                <w:rFonts w:asciiTheme="majorHAnsi" w:hAnsiTheme="majorHAnsi" w:cs="Helvetica"/>
                <w:iCs/>
                <w:sz w:val="18"/>
                <w:szCs w:val="18"/>
              </w:rPr>
              <w:t>et al</w:t>
            </w:r>
            <w:r w:rsidRPr="00B933AF">
              <w:rPr>
                <w:rFonts w:asciiTheme="majorHAnsi" w:hAnsiTheme="majorHAnsi" w:cs="Helvetica"/>
                <w:sz w:val="18"/>
                <w:szCs w:val="18"/>
              </w:rPr>
              <w:t>. 2004</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NSW, SA, TAS, ACT</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
                <w:iCs/>
                <w:sz w:val="18"/>
                <w:szCs w:val="18"/>
              </w:rPr>
            </w:pPr>
            <w:r w:rsidRPr="00B933AF">
              <w:rPr>
                <w:rFonts w:asciiTheme="majorHAnsi" w:hAnsiTheme="majorHAnsi" w:cs="Helvetica"/>
                <w:i/>
                <w:iCs/>
                <w:sz w:val="18"/>
                <w:szCs w:val="18"/>
              </w:rPr>
              <w:t>Taxus brevifolia</w:t>
            </w:r>
            <w:r w:rsidRPr="00B933AF">
              <w:rPr>
                <w:rFonts w:asciiTheme="majorHAnsi" w:hAnsiTheme="majorHAnsi" w:cs="Helvetica"/>
                <w:sz w:val="18"/>
                <w:szCs w:val="18"/>
              </w:rPr>
              <w:t xml:space="preserve"> Nutt. [Taxaceae] – Pacific yew</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Taxus boursieri</w:t>
            </w:r>
            <w:r w:rsidRPr="00B933AF">
              <w:rPr>
                <w:rFonts w:asciiTheme="majorHAnsi" w:hAnsiTheme="majorHAnsi"/>
                <w:sz w:val="18"/>
                <w:szCs w:val="18"/>
              </w:rPr>
              <w:t xml:space="preserve"> Carrière, </w:t>
            </w:r>
            <w:r w:rsidRPr="00B933AF">
              <w:rPr>
                <w:rFonts w:asciiTheme="majorHAnsi" w:hAnsiTheme="majorHAnsi"/>
                <w:i/>
                <w:sz w:val="18"/>
                <w:szCs w:val="18"/>
              </w:rPr>
              <w:t>Taxus lindleyana</w:t>
            </w:r>
            <w:r w:rsidRPr="00B933AF">
              <w:rPr>
                <w:rFonts w:asciiTheme="majorHAnsi" w:hAnsiTheme="majorHAnsi"/>
                <w:sz w:val="18"/>
                <w:szCs w:val="18"/>
              </w:rPr>
              <w:t xml:space="preserve"> A. Murray bis</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Sansford et al. 2009; 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
                <w:iCs/>
                <w:sz w:val="18"/>
                <w:szCs w:val="18"/>
              </w:rPr>
            </w:pPr>
            <w:r w:rsidRPr="00B933AF">
              <w:rPr>
                <w:rFonts w:asciiTheme="majorHAnsi" w:hAnsiTheme="majorHAnsi" w:cs="Helvetica"/>
                <w:i/>
                <w:iCs/>
                <w:sz w:val="18"/>
                <w:szCs w:val="18"/>
              </w:rPr>
              <w:t>Torreya californica</w:t>
            </w:r>
            <w:r w:rsidRPr="00B933AF">
              <w:rPr>
                <w:rFonts w:asciiTheme="majorHAnsi" w:hAnsiTheme="majorHAnsi" w:cs="Helvetica"/>
                <w:sz w:val="18"/>
                <w:szCs w:val="18"/>
              </w:rPr>
              <w:t xml:space="preserve"> Torr. [Taxaceae] – California nutmeg</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Tumion californicum</w:t>
            </w:r>
            <w:r w:rsidRPr="00B933AF">
              <w:rPr>
                <w:rFonts w:asciiTheme="majorHAnsi" w:hAnsiTheme="majorHAnsi" w:cs="Helvetica"/>
                <w:sz w:val="18"/>
                <w:szCs w:val="18"/>
              </w:rPr>
              <w:t xml:space="preserve"> (Torr.) Greene* </w:t>
            </w:r>
            <w:r w:rsidRPr="00B933AF">
              <w:rPr>
                <w:rFonts w:asciiTheme="majorHAnsi" w:hAnsiTheme="majorHAnsi"/>
                <w:i/>
                <w:sz w:val="18"/>
                <w:szCs w:val="18"/>
              </w:rPr>
              <w:t>Torreya myristica</w:t>
            </w:r>
            <w:r w:rsidRPr="00B933AF">
              <w:rPr>
                <w:rFonts w:asciiTheme="majorHAnsi" w:hAnsiTheme="majorHAnsi"/>
                <w:sz w:val="18"/>
                <w:szCs w:val="18"/>
              </w:rPr>
              <w:t xml:space="preserve"> Hook.</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Cave et al. 2008; Sansford et al. 2009; 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Toxicodendron diversilobum</w:t>
            </w:r>
            <w:r w:rsidRPr="00B933AF">
              <w:rPr>
                <w:rFonts w:asciiTheme="majorHAnsi" w:hAnsiTheme="majorHAnsi" w:cs="Helvetica"/>
                <w:sz w:val="18"/>
                <w:szCs w:val="18"/>
              </w:rPr>
              <w:t xml:space="preserve"> (Torr. &amp; A. Gray) Greene [Anacardiaceae] – Pacific poison oak</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Rhus diversiloba</w:t>
            </w:r>
            <w:r w:rsidRPr="00B933AF">
              <w:rPr>
                <w:rFonts w:asciiTheme="majorHAnsi" w:hAnsiTheme="majorHAnsi" w:cs="Helvetica"/>
                <w:sz w:val="18"/>
                <w:szCs w:val="18"/>
              </w:rPr>
              <w:t xml:space="preserve"> Torr. &amp; A. Gray</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Cave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2008</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theme="minorHAnsi"/>
                <w:sz w:val="18"/>
                <w:szCs w:val="18"/>
              </w:rPr>
            </w:pPr>
            <w:r w:rsidRPr="00B933AF">
              <w:rPr>
                <w:rFonts w:asciiTheme="majorHAnsi" w:hAnsiTheme="majorHAnsi" w:cs="Helvetica"/>
                <w:sz w:val="18"/>
                <w:szCs w:val="18"/>
              </w:rPr>
              <w:t>QLD</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Trachelospermum jasminoides</w:t>
            </w:r>
            <w:r w:rsidRPr="00B933AF">
              <w:rPr>
                <w:rFonts w:asciiTheme="majorHAnsi" w:hAnsiTheme="majorHAnsi" w:cs="Helvetica"/>
                <w:sz w:val="18"/>
                <w:szCs w:val="18"/>
              </w:rPr>
              <w:t xml:space="preserve"> (Lindl.) Lem. [Apocynaceae] – Star jasmine, Confederate jasmine </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Rhynchospermum jasminoides</w:t>
            </w:r>
            <w:r w:rsidRPr="00B933AF">
              <w:rPr>
                <w:rFonts w:asciiTheme="majorHAnsi" w:hAnsiTheme="majorHAnsi"/>
                <w:sz w:val="18"/>
                <w:szCs w:val="18"/>
              </w:rPr>
              <w:t xml:space="preserve"> Lindl., </w:t>
            </w:r>
            <w:r w:rsidRPr="00B933AF">
              <w:rPr>
                <w:rFonts w:asciiTheme="majorHAnsi" w:hAnsiTheme="majorHAnsi"/>
                <w:i/>
                <w:sz w:val="18"/>
                <w:szCs w:val="18"/>
              </w:rPr>
              <w:t>Trachelospermum adnascens</w:t>
            </w:r>
            <w:r w:rsidRPr="00B933AF">
              <w:rPr>
                <w:rFonts w:asciiTheme="majorHAnsi" w:hAnsiTheme="majorHAnsi"/>
                <w:sz w:val="18"/>
                <w:szCs w:val="18"/>
              </w:rPr>
              <w:t xml:space="preserve"> Hance</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theme="minorHAnsi"/>
                <w:sz w:val="18"/>
                <w:szCs w:val="18"/>
              </w:rPr>
            </w:pPr>
            <w:r w:rsidRPr="00B933AF">
              <w:rPr>
                <w:rFonts w:asciiTheme="majorHAnsi" w:hAnsiTheme="majorHAnsi" w:cs="Helvetica"/>
                <w:sz w:val="18"/>
                <w:szCs w:val="18"/>
              </w:rPr>
              <w:t>QLD, NSW, ACT</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Trientalis latifolia</w:t>
            </w:r>
            <w:r w:rsidRPr="00B933AF">
              <w:rPr>
                <w:rFonts w:asciiTheme="majorHAnsi" w:hAnsiTheme="majorHAnsi" w:cs="Helvetica"/>
                <w:sz w:val="18"/>
                <w:szCs w:val="18"/>
              </w:rPr>
              <w:t xml:space="preserve"> Hook. [Primulaceae] – Western star flower</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shd w:val="clear" w:color="auto" w:fill="FFFFFF"/>
              </w:rPr>
              <w:t>Hüberli</w:t>
            </w:r>
            <w:r w:rsidRPr="00B933AF">
              <w:rPr>
                <w:rFonts w:asciiTheme="majorHAnsi" w:hAnsiTheme="majorHAnsi" w:cs="Helvetica"/>
                <w:sz w:val="18"/>
                <w:szCs w:val="18"/>
              </w:rPr>
              <w:t xml:space="preserve"> </w:t>
            </w:r>
            <w:r w:rsidRPr="00B933AF">
              <w:rPr>
                <w:rFonts w:asciiTheme="majorHAnsi" w:hAnsiTheme="majorHAnsi" w:cs="Helvetica"/>
                <w:iCs/>
                <w:sz w:val="18"/>
                <w:szCs w:val="18"/>
              </w:rPr>
              <w:t>et al</w:t>
            </w:r>
            <w:r w:rsidRPr="00B933AF">
              <w:rPr>
                <w:rFonts w:asciiTheme="majorHAnsi" w:hAnsiTheme="majorHAnsi" w:cs="Helvetica"/>
                <w:sz w:val="18"/>
                <w:szCs w:val="18"/>
              </w:rPr>
              <w:t>. 2003b</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theme="minorHAnsi"/>
                <w:sz w:val="18"/>
                <w:szCs w:val="18"/>
              </w:rPr>
            </w:pPr>
            <w:r w:rsidRPr="00B933AF">
              <w:rPr>
                <w:rFonts w:asciiTheme="majorHAnsi" w:hAnsiTheme="majorHAnsi" w:cs="Helvetica"/>
                <w:sz w:val="18"/>
                <w:szCs w:val="18"/>
              </w:rPr>
              <w:t>Not listed as occurring in Australia</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Cs/>
                <w:sz w:val="18"/>
                <w:szCs w:val="18"/>
              </w:rPr>
            </w:pPr>
            <w:r w:rsidRPr="00B933AF">
              <w:rPr>
                <w:rFonts w:asciiTheme="majorHAnsi" w:hAnsiTheme="majorHAnsi" w:cs="Helvetica"/>
                <w:i/>
                <w:iCs/>
                <w:sz w:val="18"/>
                <w:szCs w:val="18"/>
              </w:rPr>
              <w:t xml:space="preserve">Trillium ovatum </w:t>
            </w:r>
            <w:r w:rsidRPr="00B933AF">
              <w:rPr>
                <w:rFonts w:asciiTheme="majorHAnsi" w:hAnsiTheme="majorHAnsi" w:cs="Helvetica"/>
                <w:iCs/>
                <w:sz w:val="18"/>
                <w:szCs w:val="18"/>
              </w:rPr>
              <w:t>Pursh</w:t>
            </w:r>
            <w:r w:rsidRPr="00B933AF">
              <w:rPr>
                <w:rFonts w:asciiTheme="majorHAnsi" w:hAnsiTheme="majorHAnsi" w:cs="Helvetica"/>
                <w:i/>
                <w:iCs/>
                <w:sz w:val="18"/>
                <w:szCs w:val="18"/>
              </w:rPr>
              <w:t xml:space="preserve"> </w:t>
            </w:r>
            <w:r w:rsidRPr="00B933AF">
              <w:rPr>
                <w:rFonts w:asciiTheme="majorHAnsi" w:hAnsiTheme="majorHAnsi" w:cs="Helvetica"/>
                <w:iCs/>
                <w:sz w:val="18"/>
                <w:szCs w:val="18"/>
              </w:rPr>
              <w:t>[</w:t>
            </w:r>
            <w:r w:rsidRPr="00B933AF">
              <w:rPr>
                <w:rFonts w:asciiTheme="majorHAnsi" w:hAnsiTheme="majorHAnsi"/>
                <w:color w:val="000000"/>
                <w:sz w:val="18"/>
                <w:szCs w:val="18"/>
              </w:rPr>
              <w:t>Melanthiaceae</w:t>
            </w:r>
            <w:r w:rsidRPr="00B933AF">
              <w:rPr>
                <w:rFonts w:asciiTheme="majorHAnsi" w:hAnsiTheme="majorHAnsi" w:cs="Helvetica"/>
                <w:iCs/>
                <w:sz w:val="18"/>
                <w:szCs w:val="18"/>
              </w:rPr>
              <w:t>] – Western wake robin</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
                <w:iCs/>
                <w:sz w:val="18"/>
                <w:szCs w:val="18"/>
              </w:rPr>
            </w:pPr>
            <w:r w:rsidRPr="00B933AF">
              <w:rPr>
                <w:rFonts w:asciiTheme="majorHAnsi" w:hAnsiTheme="majorHAnsi" w:cs="Helvetica"/>
                <w:i/>
                <w:iCs/>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Not listed as occurring in Australia</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Tsuga heterophylla</w:t>
            </w:r>
            <w:r w:rsidRPr="00B933AF">
              <w:rPr>
                <w:rFonts w:asciiTheme="majorHAnsi" w:hAnsiTheme="majorHAnsi" w:cs="Helvetica"/>
                <w:sz w:val="18"/>
                <w:szCs w:val="18"/>
              </w:rPr>
              <w:t xml:space="preserve"> (Raf.) Sarg. [Pinaceae] – Western hemlock</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 xml:space="preserve">Abies heterophylla </w:t>
            </w:r>
            <w:r w:rsidRPr="00B933AF">
              <w:rPr>
                <w:rFonts w:asciiTheme="majorHAnsi" w:hAnsiTheme="majorHAnsi" w:cs="Helvetica"/>
                <w:sz w:val="18"/>
                <w:szCs w:val="18"/>
              </w:rPr>
              <w:t>Raf.</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 FERA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Umbellularia californica</w:t>
            </w:r>
            <w:r w:rsidRPr="00B933AF">
              <w:rPr>
                <w:rFonts w:asciiTheme="majorHAnsi" w:hAnsiTheme="majorHAnsi" w:cs="Helvetica"/>
                <w:sz w:val="18"/>
                <w:szCs w:val="18"/>
              </w:rPr>
              <w:t xml:space="preserve"> (Hook. &amp; Arn.) Nutt. [Lauraceae] – Californian bay laurel</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Garbelotto et al. 2003; Scianna </w:t>
            </w:r>
            <w:r w:rsidRPr="00B933AF">
              <w:rPr>
                <w:rFonts w:asciiTheme="majorHAnsi" w:hAnsiTheme="majorHAnsi" w:cs="Helvetica"/>
                <w:iCs/>
                <w:sz w:val="18"/>
                <w:szCs w:val="18"/>
              </w:rPr>
              <w:t>et al</w:t>
            </w:r>
            <w:r w:rsidRPr="00B933AF">
              <w:rPr>
                <w:rFonts w:asciiTheme="majorHAnsi" w:hAnsiTheme="majorHAnsi" w:cs="Helvetica"/>
                <w:sz w:val="18"/>
                <w:szCs w:val="18"/>
              </w:rPr>
              <w:t xml:space="preserve">. 2003; Hansen </w:t>
            </w:r>
            <w:r w:rsidRPr="00B933AF">
              <w:rPr>
                <w:rFonts w:asciiTheme="majorHAnsi" w:hAnsiTheme="majorHAnsi" w:cs="Helvetica"/>
                <w:iCs/>
                <w:sz w:val="18"/>
                <w:szCs w:val="18"/>
              </w:rPr>
              <w:t>et al</w:t>
            </w:r>
            <w:r w:rsidRPr="00B933AF">
              <w:rPr>
                <w:rFonts w:asciiTheme="majorHAnsi" w:hAnsiTheme="majorHAnsi" w:cs="Helvetica"/>
                <w:sz w:val="18"/>
                <w:szCs w:val="18"/>
              </w:rPr>
              <w:t>. 2003a</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SA</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Vaccinium myrtillus</w:t>
            </w:r>
            <w:r w:rsidRPr="00B933AF">
              <w:rPr>
                <w:rFonts w:asciiTheme="majorHAnsi" w:hAnsiTheme="majorHAnsi" w:cs="Helvetica"/>
                <w:sz w:val="18"/>
                <w:szCs w:val="18"/>
              </w:rPr>
              <w:t xml:space="preserve"> L. [Ericaceae] – Bilberry</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Vaccinium oreophilum</w:t>
            </w:r>
            <w:r w:rsidRPr="00B933AF">
              <w:rPr>
                <w:rFonts w:asciiTheme="majorHAnsi" w:hAnsiTheme="majorHAnsi"/>
                <w:sz w:val="18"/>
                <w:szCs w:val="18"/>
              </w:rPr>
              <w:t xml:space="preserve"> Rydb.</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shd w:val="clear" w:color="auto" w:fill="FFFFFF"/>
              </w:rPr>
              <w:t xml:space="preserve">Herrero </w:t>
            </w:r>
            <w:r w:rsidRPr="00B933AF">
              <w:rPr>
                <w:rFonts w:asciiTheme="majorHAnsi" w:hAnsiTheme="majorHAnsi" w:cs="Helvetica"/>
                <w:iCs/>
                <w:sz w:val="18"/>
                <w:szCs w:val="18"/>
                <w:shd w:val="clear" w:color="auto" w:fill="FFFFFF"/>
              </w:rPr>
              <w:t>et al</w:t>
            </w:r>
            <w:r w:rsidRPr="00B933AF">
              <w:rPr>
                <w:rFonts w:asciiTheme="majorHAnsi" w:hAnsiTheme="majorHAnsi" w:cs="Helvetica"/>
                <w:sz w:val="18"/>
                <w:szCs w:val="18"/>
                <w:shd w:val="clear" w:color="auto" w:fill="FFFFFF"/>
              </w:rPr>
              <w:t>. 2011</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Vaccinium ovatum</w:t>
            </w:r>
            <w:r w:rsidRPr="00B933AF">
              <w:rPr>
                <w:rFonts w:asciiTheme="majorHAnsi" w:hAnsiTheme="majorHAnsi" w:cs="Helvetica"/>
                <w:sz w:val="18"/>
                <w:szCs w:val="18"/>
              </w:rPr>
              <w:t xml:space="preserve"> Pursh [Ericaceae] – Californian huckleberry</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Goheen et al. 2002; Davidson et al. 2003b; Scianna </w:t>
            </w:r>
            <w:r w:rsidRPr="00B933AF">
              <w:rPr>
                <w:rFonts w:asciiTheme="majorHAnsi" w:hAnsiTheme="majorHAnsi" w:cs="Helvetica"/>
                <w:iCs/>
                <w:sz w:val="18"/>
                <w:szCs w:val="18"/>
              </w:rPr>
              <w:t>et al</w:t>
            </w:r>
            <w:r w:rsidRPr="00B933AF">
              <w:rPr>
                <w:rFonts w:asciiTheme="majorHAnsi" w:hAnsiTheme="majorHAnsi" w:cs="Helvetica"/>
                <w:sz w:val="18"/>
                <w:szCs w:val="18"/>
              </w:rPr>
              <w:t>. 2003</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VIC</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Cs/>
                <w:sz w:val="18"/>
                <w:szCs w:val="18"/>
              </w:rPr>
            </w:pPr>
            <w:r w:rsidRPr="00B933AF">
              <w:rPr>
                <w:rFonts w:asciiTheme="majorHAnsi" w:hAnsiTheme="majorHAnsi" w:cs="Helvetica"/>
                <w:i/>
                <w:iCs/>
                <w:sz w:val="18"/>
                <w:szCs w:val="18"/>
              </w:rPr>
              <w:t xml:space="preserve">Vaccinium parvifolium </w:t>
            </w:r>
            <w:r w:rsidRPr="00B933AF">
              <w:rPr>
                <w:rFonts w:asciiTheme="majorHAnsi" w:hAnsiTheme="majorHAnsi" w:cs="Helvetica"/>
                <w:iCs/>
                <w:sz w:val="18"/>
                <w:szCs w:val="18"/>
              </w:rPr>
              <w:t>Sm. [</w:t>
            </w:r>
            <w:r w:rsidRPr="00B933AF">
              <w:rPr>
                <w:rFonts w:asciiTheme="majorHAnsi" w:hAnsiTheme="majorHAnsi" w:cs="Helvetica"/>
                <w:sz w:val="18"/>
                <w:szCs w:val="18"/>
              </w:rPr>
              <w:t>Ericaceae</w:t>
            </w:r>
            <w:r w:rsidRPr="00B933AF">
              <w:rPr>
                <w:rFonts w:asciiTheme="majorHAnsi" w:hAnsiTheme="majorHAnsi" w:cs="Helvetica"/>
                <w:iCs/>
                <w:sz w:val="18"/>
                <w:szCs w:val="18"/>
              </w:rPr>
              <w:t xml:space="preserve">] – Red </w:t>
            </w:r>
            <w:r w:rsidRPr="00B933AF">
              <w:rPr>
                <w:rFonts w:asciiTheme="majorHAnsi" w:hAnsiTheme="majorHAnsi" w:cs="Helvetica"/>
                <w:iCs/>
                <w:sz w:val="18"/>
                <w:szCs w:val="18"/>
              </w:rPr>
              <w:lastRenderedPageBreak/>
              <w:t>huckleberry</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lastRenderedPageBreak/>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 xml:space="preserve">Recorded in Australia, but location not </w:t>
            </w:r>
            <w:r w:rsidRPr="00B933AF">
              <w:rPr>
                <w:rFonts w:asciiTheme="majorHAnsi" w:hAnsiTheme="majorHAnsi" w:cs="Helvetica"/>
                <w:sz w:val="18"/>
                <w:szCs w:val="18"/>
              </w:rPr>
              <w:lastRenderedPageBreak/>
              <w:t>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lastRenderedPageBreak/>
              <w:t>Vaccinium vitis-idaea</w:t>
            </w:r>
            <w:r w:rsidRPr="00B933AF">
              <w:rPr>
                <w:rFonts w:asciiTheme="majorHAnsi" w:hAnsiTheme="majorHAnsi" w:cs="Helvetica"/>
                <w:sz w:val="18"/>
                <w:szCs w:val="18"/>
              </w:rPr>
              <w:t xml:space="preserve"> L. [Ericaceae] – Cowberry</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Rhodococcum vitis-idaea</w:t>
            </w:r>
            <w:r w:rsidRPr="00B933AF">
              <w:rPr>
                <w:rFonts w:asciiTheme="majorHAnsi" w:hAnsiTheme="majorHAnsi"/>
                <w:sz w:val="18"/>
                <w:szCs w:val="18"/>
              </w:rPr>
              <w:t xml:space="preserve"> Avrorin, </w:t>
            </w:r>
            <w:r w:rsidRPr="00B933AF">
              <w:rPr>
                <w:rFonts w:asciiTheme="majorHAnsi" w:hAnsiTheme="majorHAnsi"/>
                <w:i/>
                <w:sz w:val="18"/>
                <w:szCs w:val="18"/>
              </w:rPr>
              <w:t>Vaccinium jesoense</w:t>
            </w:r>
            <w:r w:rsidRPr="00B933AF">
              <w:rPr>
                <w:rFonts w:asciiTheme="majorHAnsi" w:hAnsiTheme="majorHAnsi"/>
                <w:sz w:val="18"/>
                <w:szCs w:val="18"/>
              </w:rPr>
              <w:t xml:space="preserve"> Miq.</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Vancouveria planipetala</w:t>
            </w:r>
            <w:r w:rsidRPr="00B933AF">
              <w:rPr>
                <w:rFonts w:asciiTheme="majorHAnsi" w:hAnsiTheme="majorHAnsi" w:cs="Helvetica"/>
                <w:sz w:val="18"/>
                <w:szCs w:val="18"/>
              </w:rPr>
              <w:t xml:space="preserve"> Calloni [Berberidaceae] – Redwood ivy</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Not listed as occurring in Australia</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i/>
                <w:iCs/>
                <w:sz w:val="18"/>
                <w:szCs w:val="18"/>
              </w:rPr>
            </w:pPr>
            <w:r w:rsidRPr="00B933AF">
              <w:rPr>
                <w:rFonts w:asciiTheme="majorHAnsi" w:hAnsiTheme="majorHAnsi" w:cs="Helvetica"/>
                <w:i/>
                <w:iCs/>
                <w:sz w:val="18"/>
                <w:szCs w:val="18"/>
              </w:rPr>
              <w:t xml:space="preserve">Veronica spicata </w:t>
            </w:r>
            <w:r w:rsidRPr="00B933AF">
              <w:rPr>
                <w:rFonts w:asciiTheme="majorHAnsi" w:hAnsiTheme="majorHAnsi" w:cs="Helvetica"/>
                <w:sz w:val="18"/>
                <w:szCs w:val="18"/>
              </w:rPr>
              <w:t>L. [Scrophulariaceae ] – Spiked speedwell</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Pseudolysimachion spicatum</w:t>
            </w:r>
            <w:r w:rsidRPr="00B933AF">
              <w:rPr>
                <w:rFonts w:asciiTheme="majorHAnsi" w:hAnsiTheme="majorHAnsi"/>
                <w:sz w:val="18"/>
                <w:szCs w:val="18"/>
              </w:rPr>
              <w:t xml:space="preserve"> (L.) Opiz*, </w:t>
            </w:r>
            <w:r w:rsidRPr="00B933AF">
              <w:rPr>
                <w:rFonts w:asciiTheme="majorHAnsi" w:hAnsiTheme="majorHAnsi"/>
                <w:i/>
                <w:sz w:val="18"/>
                <w:szCs w:val="18"/>
              </w:rPr>
              <w:t>Veronica hybrida</w:t>
            </w:r>
            <w:r w:rsidRPr="00B933AF">
              <w:rPr>
                <w:rFonts w:asciiTheme="majorHAnsi" w:hAnsiTheme="majorHAnsi"/>
                <w:sz w:val="18"/>
                <w:szCs w:val="18"/>
              </w:rPr>
              <w:t xml:space="preserve"> L.</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COMTF 2015; APHIS 2012</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NSW</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Viburnum</w:t>
            </w:r>
            <w:r w:rsidRPr="00B933AF">
              <w:rPr>
                <w:rFonts w:asciiTheme="majorHAnsi" w:hAnsiTheme="majorHAnsi" w:cs="Helvetica"/>
                <w:sz w:val="18"/>
                <w:szCs w:val="18"/>
              </w:rPr>
              <w:t xml:space="preserve"> L. species [Caprifoliaceae] –Viburnum</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Actinotinus</w:t>
            </w:r>
            <w:r w:rsidRPr="00B933AF">
              <w:rPr>
                <w:rFonts w:asciiTheme="majorHAnsi" w:hAnsiTheme="majorHAnsi"/>
                <w:sz w:val="18"/>
                <w:szCs w:val="18"/>
              </w:rPr>
              <w:t xml:space="preserve"> Oliv., </w:t>
            </w:r>
            <w:r w:rsidRPr="00B933AF">
              <w:rPr>
                <w:rFonts w:asciiTheme="majorHAnsi" w:hAnsiTheme="majorHAnsi"/>
                <w:i/>
                <w:sz w:val="18"/>
                <w:szCs w:val="18"/>
              </w:rPr>
              <w:t>Oreinotinus</w:t>
            </w:r>
            <w:r w:rsidRPr="00B933AF">
              <w:rPr>
                <w:rFonts w:asciiTheme="majorHAnsi" w:hAnsiTheme="majorHAnsi"/>
                <w:sz w:val="18"/>
                <w:szCs w:val="18"/>
              </w:rPr>
              <w:t xml:space="preserve"> Oerst.</w:t>
            </w:r>
          </w:p>
          <w:p w:rsidR="00C74066" w:rsidRPr="00B933AF" w:rsidRDefault="00C74066" w:rsidP="0033344A">
            <w:pPr>
              <w:spacing w:before="40" w:after="40"/>
              <w:rPr>
                <w:rFonts w:asciiTheme="majorHAnsi" w:hAnsiTheme="majorHAnsi" w:cs="Helvetica"/>
                <w:sz w:val="18"/>
                <w:szCs w:val="18"/>
              </w:rPr>
            </w:pP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Parke et al. 2004a, b; Tjosvold et al. 2005; Cave et al. 2008; Sansford et al. 2009; COMTF 2015; RAPRA 2012</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SA, ACT, VIC, NSW, TAS</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Viburnum davidii</w:t>
            </w:r>
            <w:r w:rsidRPr="00B933AF">
              <w:rPr>
                <w:rFonts w:asciiTheme="majorHAnsi" w:hAnsiTheme="majorHAnsi" w:cs="Helvetica"/>
                <w:sz w:val="18"/>
                <w:szCs w:val="18"/>
              </w:rPr>
              <w:t xml:space="preserve"> Franch. [Caprifoliaceae] – David viburnum</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Osterbauer 2004</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ACT</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Viburnum farreri</w:t>
            </w:r>
            <w:r w:rsidRPr="00B933AF">
              <w:rPr>
                <w:rFonts w:asciiTheme="majorHAnsi" w:hAnsiTheme="majorHAnsi" w:cs="Helvetica"/>
                <w:sz w:val="18"/>
                <w:szCs w:val="18"/>
              </w:rPr>
              <w:t xml:space="preserve"> Stearn [Caprifoliaceae] – Fragrant viburnum</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Lonicera mongolica</w:t>
            </w:r>
            <w:r w:rsidRPr="00B933AF">
              <w:rPr>
                <w:rFonts w:asciiTheme="majorHAnsi" w:hAnsiTheme="majorHAnsi"/>
                <w:sz w:val="18"/>
                <w:szCs w:val="18"/>
              </w:rPr>
              <w:t xml:space="preserve"> J.F. Gmel., </w:t>
            </w:r>
            <w:r w:rsidRPr="00B933AF">
              <w:rPr>
                <w:rFonts w:asciiTheme="majorHAnsi" w:hAnsiTheme="majorHAnsi"/>
                <w:i/>
                <w:sz w:val="18"/>
                <w:szCs w:val="18"/>
              </w:rPr>
              <w:t>Viburnum fragrans</w:t>
            </w:r>
            <w:r w:rsidRPr="00B933AF">
              <w:rPr>
                <w:rFonts w:asciiTheme="majorHAnsi" w:hAnsiTheme="majorHAnsi"/>
                <w:sz w:val="18"/>
                <w:szCs w:val="18"/>
              </w:rPr>
              <w:t xml:space="preserve"> Bunge</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Osterbauer 2004</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rPr>
          <w:trHeight w:val="63"/>
        </w:trPr>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Viburnum lantana</w:t>
            </w:r>
            <w:r w:rsidRPr="00B933AF">
              <w:rPr>
                <w:rFonts w:asciiTheme="majorHAnsi" w:hAnsiTheme="majorHAnsi" w:cs="Helvetica"/>
                <w:sz w:val="18"/>
                <w:szCs w:val="18"/>
              </w:rPr>
              <w:t xml:space="preserve"> L. [Caprifoliaceae] – Wayfaringtree viburnum</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Osterbauer 2004</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NSW</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Viburnum opulus</w:t>
            </w:r>
            <w:r w:rsidRPr="00B933AF">
              <w:rPr>
                <w:rFonts w:asciiTheme="majorHAnsi" w:hAnsiTheme="majorHAnsi" w:cs="Helvetica"/>
                <w:sz w:val="18"/>
                <w:szCs w:val="18"/>
              </w:rPr>
              <w:t xml:space="preserve"> L. [Caprifoliaceae]– European cranberry, Bush viburnum</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Osterbauer 2004</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NSW, TAS, VIC</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rPr>
              <w:t xml:space="preserve">Viburnum plicatum </w:t>
            </w:r>
            <w:r w:rsidRPr="00B933AF">
              <w:rPr>
                <w:rFonts w:asciiTheme="majorHAnsi" w:hAnsiTheme="majorHAnsi" w:cs="Helvetica"/>
                <w:iCs/>
                <w:sz w:val="18"/>
                <w:szCs w:val="18"/>
              </w:rPr>
              <w:t>Thunb. var.</w:t>
            </w:r>
            <w:r w:rsidRPr="00B933AF">
              <w:rPr>
                <w:rFonts w:asciiTheme="majorHAnsi" w:hAnsiTheme="majorHAnsi" w:cs="Helvetica"/>
                <w:i/>
                <w:iCs/>
                <w:sz w:val="18"/>
                <w:szCs w:val="18"/>
              </w:rPr>
              <w:t xml:space="preserve"> tomentosum </w:t>
            </w:r>
            <w:r w:rsidRPr="00B933AF">
              <w:rPr>
                <w:rFonts w:asciiTheme="majorHAnsi" w:hAnsiTheme="majorHAnsi" w:cs="Helvetica"/>
                <w:iCs/>
                <w:sz w:val="18"/>
                <w:szCs w:val="18"/>
              </w:rPr>
              <w:t>Miq.</w:t>
            </w:r>
            <w:r w:rsidRPr="00B933AF">
              <w:rPr>
                <w:rFonts w:asciiTheme="majorHAnsi" w:hAnsiTheme="majorHAnsi" w:cs="Helvetica"/>
                <w:i/>
                <w:iCs/>
                <w:sz w:val="18"/>
                <w:szCs w:val="18"/>
              </w:rPr>
              <w:t xml:space="preserve"> </w:t>
            </w:r>
            <w:r w:rsidRPr="00B933AF">
              <w:rPr>
                <w:rFonts w:asciiTheme="majorHAnsi" w:hAnsiTheme="majorHAnsi" w:cs="Helvetica"/>
                <w:sz w:val="18"/>
                <w:szCs w:val="18"/>
              </w:rPr>
              <w:t>[Caprifoliaceae] – Doublefile viburnum</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i/>
                <w:sz w:val="18"/>
                <w:szCs w:val="18"/>
              </w:rPr>
              <w:t>Viburnum tomentosum</w:t>
            </w:r>
            <w:r w:rsidRPr="00B933AF">
              <w:rPr>
                <w:rFonts w:asciiTheme="majorHAnsi" w:hAnsiTheme="majorHAnsi"/>
                <w:sz w:val="18"/>
                <w:szCs w:val="18"/>
              </w:rPr>
              <w:t xml:space="preserve"> Thunb</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Osterbauer 2004</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Recorded in Australia, but location not specified (Randall 2007)</w:t>
            </w:r>
          </w:p>
        </w:tc>
      </w:tr>
      <w:tr w:rsidR="00C74066" w:rsidRPr="00B933AF">
        <w:tc>
          <w:tcPr>
            <w:tcW w:w="1407"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i/>
                <w:iCs/>
                <w:sz w:val="18"/>
                <w:szCs w:val="18"/>
                <w:shd w:val="clear" w:color="auto" w:fill="FFFFFF"/>
              </w:rPr>
              <w:t>Viburnum tinus</w:t>
            </w:r>
            <w:r w:rsidRPr="00B933AF">
              <w:rPr>
                <w:rFonts w:asciiTheme="majorHAnsi" w:hAnsiTheme="majorHAnsi" w:cs="Helvetica"/>
                <w:iCs/>
                <w:sz w:val="18"/>
                <w:szCs w:val="18"/>
                <w:shd w:val="clear" w:color="auto" w:fill="FFFFFF"/>
              </w:rPr>
              <w:t xml:space="preserve"> L. [</w:t>
            </w:r>
            <w:r w:rsidRPr="00B933AF">
              <w:rPr>
                <w:rFonts w:asciiTheme="majorHAnsi" w:hAnsiTheme="majorHAnsi" w:cs="Helvetica"/>
                <w:sz w:val="18"/>
                <w:szCs w:val="18"/>
              </w:rPr>
              <w:t>Caprifoliaceae] – Laurustinus</w:t>
            </w:r>
          </w:p>
        </w:tc>
        <w:tc>
          <w:tcPr>
            <w:tcW w:w="1316"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Helvetica"/>
                <w:sz w:val="18"/>
                <w:szCs w:val="18"/>
              </w:rPr>
              <w:t>Vettraino et al. 2009</w:t>
            </w:r>
          </w:p>
        </w:tc>
        <w:tc>
          <w:tcPr>
            <w:tcW w:w="1164" w:type="pct"/>
            <w:tcBorders>
              <w:top w:val="single" w:sz="8" w:space="0" w:color="D9D9D9" w:themeColor="background1" w:themeShade="D9"/>
              <w:left w:val="nil"/>
              <w:bottom w:val="single" w:sz="8" w:space="0" w:color="D9D9D9" w:themeColor="background1" w:themeShade="D9"/>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SA, ACT, VIC, TAS, NSW</w:t>
            </w:r>
          </w:p>
        </w:tc>
      </w:tr>
      <w:tr w:rsidR="00C74066" w:rsidRPr="00B933AF">
        <w:tc>
          <w:tcPr>
            <w:tcW w:w="1407" w:type="pct"/>
            <w:tcBorders>
              <w:top w:val="single" w:sz="8" w:space="0" w:color="D9D9D9" w:themeColor="background1" w:themeShade="D9"/>
              <w:left w:val="nil"/>
              <w:bottom w:val="single" w:sz="4" w:space="0" w:color="auto"/>
              <w:right w:val="nil"/>
            </w:tcBorders>
          </w:tcPr>
          <w:p w:rsidR="00C74066" w:rsidRPr="00B933AF" w:rsidRDefault="00F10705" w:rsidP="0033344A">
            <w:pPr>
              <w:spacing w:before="40" w:after="40"/>
              <w:rPr>
                <w:rFonts w:asciiTheme="majorHAnsi" w:hAnsiTheme="majorHAnsi" w:cs="Helvetica"/>
                <w:iCs/>
                <w:sz w:val="18"/>
                <w:szCs w:val="18"/>
                <w:shd w:val="clear" w:color="auto" w:fill="FFFFFF"/>
              </w:rPr>
            </w:pPr>
            <w:r w:rsidRPr="00B933AF">
              <w:rPr>
                <w:rFonts w:asciiTheme="majorHAnsi" w:hAnsiTheme="majorHAnsi" w:cs="Helvetica"/>
                <w:i/>
                <w:iCs/>
                <w:sz w:val="18"/>
                <w:szCs w:val="18"/>
                <w:shd w:val="clear" w:color="auto" w:fill="FFFFFF"/>
              </w:rPr>
              <w:t>Vinca</w:t>
            </w:r>
            <w:r w:rsidRPr="00B933AF">
              <w:rPr>
                <w:rFonts w:asciiTheme="majorHAnsi" w:hAnsiTheme="majorHAnsi" w:cs="Helvetica"/>
                <w:iCs/>
                <w:sz w:val="18"/>
                <w:szCs w:val="18"/>
                <w:shd w:val="clear" w:color="auto" w:fill="FFFFFF"/>
              </w:rPr>
              <w:t xml:space="preserve"> L. species [</w:t>
            </w:r>
            <w:r w:rsidRPr="00B933AF">
              <w:rPr>
                <w:rFonts w:asciiTheme="majorHAnsi" w:hAnsiTheme="majorHAnsi" w:cs="Helvetica"/>
                <w:sz w:val="18"/>
                <w:szCs w:val="18"/>
              </w:rPr>
              <w:t>Apocynaceae] – Periwinkle</w:t>
            </w:r>
          </w:p>
        </w:tc>
        <w:tc>
          <w:tcPr>
            <w:tcW w:w="1316" w:type="pct"/>
            <w:tcBorders>
              <w:top w:val="single" w:sz="8" w:space="0" w:color="D9D9D9" w:themeColor="background1" w:themeShade="D9"/>
              <w:left w:val="nil"/>
              <w:bottom w:val="single" w:sz="4" w:space="0" w:color="auto"/>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Helvetica"/>
                <w:sz w:val="18"/>
                <w:szCs w:val="18"/>
              </w:rPr>
              <w:t>-</w:t>
            </w:r>
          </w:p>
        </w:tc>
        <w:tc>
          <w:tcPr>
            <w:tcW w:w="1113" w:type="pct"/>
            <w:tcBorders>
              <w:top w:val="single" w:sz="8" w:space="0" w:color="D9D9D9" w:themeColor="background1" w:themeShade="D9"/>
              <w:left w:val="nil"/>
              <w:bottom w:val="single" w:sz="4" w:space="0" w:color="auto"/>
              <w:right w:val="nil"/>
            </w:tcBorders>
          </w:tcPr>
          <w:p w:rsidR="00C74066" w:rsidRPr="00B933AF" w:rsidRDefault="00F10705" w:rsidP="0033344A">
            <w:pPr>
              <w:pStyle w:val="AQISText"/>
              <w:spacing w:before="40" w:after="40" w:line="276" w:lineRule="auto"/>
              <w:jc w:val="left"/>
              <w:rPr>
                <w:rFonts w:asciiTheme="majorHAnsi" w:hAnsiTheme="majorHAnsi" w:cs="Helvetica"/>
                <w:sz w:val="18"/>
                <w:szCs w:val="18"/>
              </w:rPr>
            </w:pPr>
            <w:r w:rsidRPr="00B933AF">
              <w:rPr>
                <w:rFonts w:asciiTheme="majorHAnsi" w:hAnsiTheme="majorHAnsi" w:cs="Helvetica"/>
                <w:sz w:val="18"/>
                <w:szCs w:val="18"/>
              </w:rPr>
              <w:t>COMTF 2015</w:t>
            </w:r>
          </w:p>
        </w:tc>
        <w:tc>
          <w:tcPr>
            <w:tcW w:w="1164" w:type="pct"/>
            <w:tcBorders>
              <w:top w:val="single" w:sz="8" w:space="0" w:color="D9D9D9" w:themeColor="background1" w:themeShade="D9"/>
              <w:left w:val="nil"/>
              <w:bottom w:val="single" w:sz="4" w:space="0" w:color="auto"/>
              <w:right w:val="nil"/>
            </w:tcBorders>
          </w:tcPr>
          <w:p w:rsidR="00C74066" w:rsidRPr="00B933AF" w:rsidRDefault="00F10705" w:rsidP="0033344A">
            <w:pPr>
              <w:spacing w:before="40" w:after="40"/>
              <w:rPr>
                <w:rFonts w:asciiTheme="majorHAnsi" w:hAnsiTheme="majorHAnsi" w:cs="Helvetica"/>
                <w:sz w:val="18"/>
                <w:szCs w:val="18"/>
              </w:rPr>
            </w:pPr>
            <w:r w:rsidRPr="00B933AF">
              <w:rPr>
                <w:rFonts w:asciiTheme="majorHAnsi" w:hAnsiTheme="majorHAnsi" w:cs="Helvetica"/>
                <w:sz w:val="18"/>
                <w:szCs w:val="18"/>
              </w:rPr>
              <w:t>QLD, NSW, VIC, WA, SA, TAS</w:t>
            </w:r>
          </w:p>
        </w:tc>
      </w:tr>
    </w:tbl>
    <w:p w:rsidR="00985A98" w:rsidRDefault="00F10705" w:rsidP="00985A98">
      <w:pPr>
        <w:rPr>
          <w:rFonts w:asciiTheme="majorHAnsi" w:hAnsiTheme="majorHAnsi"/>
          <w:sz w:val="18"/>
          <w:szCs w:val="18"/>
        </w:rPr>
        <w:sectPr w:rsidR="00985A98" w:rsidSect="00985A98">
          <w:headerReference w:type="default" r:id="rId42"/>
          <w:footerReference w:type="default" r:id="rId43"/>
          <w:pgSz w:w="16838" w:h="11906" w:orient="landscape"/>
          <w:pgMar w:top="1418" w:right="1418" w:bottom="1418" w:left="1418" w:header="567" w:footer="284" w:gutter="0"/>
          <w:cols w:space="708"/>
          <w:docGrid w:linePitch="360"/>
        </w:sectPr>
      </w:pPr>
      <w:r>
        <w:t>*</w:t>
      </w:r>
      <w:r w:rsidRPr="0019174D">
        <w:rPr>
          <w:rFonts w:asciiTheme="majorHAnsi" w:hAnsiTheme="majorHAnsi"/>
          <w:sz w:val="18"/>
          <w:szCs w:val="18"/>
        </w:rPr>
        <w:t xml:space="preserve">represents an accepted name on the </w:t>
      </w:r>
      <w:r w:rsidRPr="0019174D">
        <w:rPr>
          <w:rFonts w:asciiTheme="majorHAnsi" w:hAnsiTheme="majorHAnsi" w:cs="Lucida Grande"/>
          <w:sz w:val="18"/>
          <w:szCs w:val="18"/>
        </w:rPr>
        <w:t xml:space="preserve">Missouri Botanical Garden </w:t>
      </w:r>
      <w:r w:rsidRPr="0019174D">
        <w:rPr>
          <w:rFonts w:asciiTheme="majorHAnsi" w:hAnsiTheme="majorHAnsi"/>
          <w:sz w:val="18"/>
          <w:szCs w:val="18"/>
        </w:rPr>
        <w:t>taxonomic database Tropicos (</w:t>
      </w:r>
      <w:r w:rsidR="0019174D" w:rsidRPr="0019174D">
        <w:rPr>
          <w:rFonts w:asciiTheme="majorHAnsi" w:hAnsiTheme="majorHAnsi" w:cs="Lucida Grande"/>
          <w:sz w:val="18"/>
          <w:szCs w:val="18"/>
        </w:rPr>
        <w:t>tropicos.org</w:t>
      </w:r>
      <w:r w:rsidRPr="0019174D">
        <w:rPr>
          <w:rFonts w:asciiTheme="majorHAnsi" w:hAnsiTheme="majorHAnsi"/>
          <w:sz w:val="18"/>
          <w:szCs w:val="18"/>
        </w:rPr>
        <w:t>).</w:t>
      </w:r>
      <w:bookmarkStart w:id="201" w:name="_Toc392488736"/>
    </w:p>
    <w:p w:rsidR="00C74066" w:rsidRDefault="00F10705">
      <w:pPr>
        <w:pStyle w:val="Heading1nonumbers"/>
        <w:rPr>
          <w:lang w:val="en-AU"/>
        </w:rPr>
      </w:pPr>
      <w:bookmarkStart w:id="202" w:name="_Toc434247481"/>
      <w:r>
        <w:rPr>
          <w:lang w:val="en-AU"/>
        </w:rPr>
        <w:lastRenderedPageBreak/>
        <w:t>Appendix B: Additional quarantine pest data</w:t>
      </w:r>
      <w:bookmarkEnd w:id="201"/>
      <w:bookmarkEnd w:id="202"/>
    </w:p>
    <w:tbl>
      <w:tblPr>
        <w:tblW w:w="5000" w:type="pct"/>
        <w:tblBorders>
          <w:top w:val="single" w:sz="4" w:space="0" w:color="auto"/>
          <w:bottom w:val="single" w:sz="4" w:space="0" w:color="auto"/>
        </w:tblBorders>
        <w:tblLook w:val="04A0"/>
      </w:tblPr>
      <w:tblGrid>
        <w:gridCol w:w="1987"/>
        <w:gridCol w:w="7299"/>
      </w:tblGrid>
      <w:tr w:rsidR="00C74066">
        <w:tc>
          <w:tcPr>
            <w:tcW w:w="1070" w:type="pct"/>
            <w:tcBorders>
              <w:top w:val="single" w:sz="4" w:space="0" w:color="D9D9D9" w:themeColor="background1" w:themeShade="D9"/>
              <w:bottom w:val="nil"/>
            </w:tcBorders>
          </w:tcPr>
          <w:p w:rsidR="00C74066" w:rsidRDefault="00F10705">
            <w:pPr>
              <w:pStyle w:val="TableHeading"/>
              <w:rPr>
                <w:rFonts w:ascii="Cambria" w:hAnsi="Cambria"/>
                <w:szCs w:val="18"/>
              </w:rPr>
            </w:pPr>
            <w:r>
              <w:rPr>
                <w:rFonts w:ascii="Cambria" w:hAnsi="Cambria"/>
                <w:szCs w:val="18"/>
              </w:rPr>
              <w:t>Quarantine pest</w:t>
            </w:r>
          </w:p>
        </w:tc>
        <w:tc>
          <w:tcPr>
            <w:tcW w:w="3930" w:type="pct"/>
            <w:tcBorders>
              <w:top w:val="single" w:sz="4" w:space="0" w:color="D9D9D9" w:themeColor="background1" w:themeShade="D9"/>
              <w:bottom w:val="nil"/>
            </w:tcBorders>
            <w:vAlign w:val="center"/>
          </w:tcPr>
          <w:p w:rsidR="00C74066" w:rsidRDefault="00F10705">
            <w:pPr>
              <w:pStyle w:val="TableText0"/>
              <w:keepNext w:val="0"/>
              <w:rPr>
                <w:rFonts w:ascii="Cambria" w:hAnsi="Cambria" w:cs="Helvetica"/>
                <w:b/>
                <w:bCs/>
                <w:sz w:val="18"/>
                <w:szCs w:val="18"/>
              </w:rPr>
            </w:pPr>
            <w:r>
              <w:rPr>
                <w:rFonts w:ascii="Cambria" w:hAnsi="Cambria" w:cs="Helvetica"/>
                <w:b/>
                <w:i/>
                <w:iCs/>
                <w:sz w:val="18"/>
                <w:szCs w:val="18"/>
              </w:rPr>
              <w:t>Phytophthora kernoviae</w:t>
            </w:r>
            <w:r>
              <w:rPr>
                <w:rFonts w:ascii="Cambria" w:hAnsi="Cambria" w:cs="Helvetica"/>
                <w:iCs/>
                <w:sz w:val="18"/>
                <w:szCs w:val="18"/>
              </w:rPr>
              <w:t xml:space="preserve"> </w:t>
            </w:r>
            <w:r>
              <w:rPr>
                <w:rFonts w:ascii="Cambria" w:hAnsi="Cambria"/>
                <w:bCs/>
                <w:sz w:val="18"/>
                <w:szCs w:val="18"/>
              </w:rPr>
              <w:t>Brasier, Beales &amp; S.A. Kirk 2005</w:t>
            </w:r>
          </w:p>
        </w:tc>
      </w:tr>
      <w:tr w:rsidR="00C74066">
        <w:tc>
          <w:tcPr>
            <w:tcW w:w="1070" w:type="pct"/>
            <w:tcBorders>
              <w:top w:val="nil"/>
            </w:tcBorders>
          </w:tcPr>
          <w:p w:rsidR="00C74066" w:rsidRDefault="00F10705">
            <w:pPr>
              <w:pStyle w:val="TableText"/>
              <w:rPr>
                <w:rFonts w:ascii="Cambria" w:hAnsi="Cambria"/>
                <w:szCs w:val="18"/>
              </w:rPr>
            </w:pPr>
            <w:r>
              <w:rPr>
                <w:rFonts w:ascii="Cambria" w:hAnsi="Cambria"/>
                <w:szCs w:val="18"/>
              </w:rPr>
              <w:t>Synonyms</w:t>
            </w:r>
          </w:p>
        </w:tc>
        <w:tc>
          <w:tcPr>
            <w:tcW w:w="3930" w:type="pct"/>
            <w:tcBorders>
              <w:top w:val="nil"/>
            </w:tcBorders>
            <w:vAlign w:val="center"/>
          </w:tcPr>
          <w:p w:rsidR="00C74066" w:rsidRDefault="00F10705">
            <w:pPr>
              <w:pStyle w:val="TableText0"/>
              <w:keepNext w:val="0"/>
              <w:rPr>
                <w:rFonts w:ascii="Cambria" w:hAnsi="Cambria" w:cs="Helvetica"/>
                <w:sz w:val="18"/>
                <w:szCs w:val="18"/>
              </w:rPr>
            </w:pPr>
            <w:r>
              <w:rPr>
                <w:rFonts w:ascii="Cambria" w:hAnsi="Cambria" w:cs="Helvetica"/>
                <w:sz w:val="18"/>
                <w:szCs w:val="18"/>
              </w:rPr>
              <w:t>None</w:t>
            </w:r>
          </w:p>
        </w:tc>
      </w:tr>
      <w:tr w:rsidR="00C74066">
        <w:tc>
          <w:tcPr>
            <w:tcW w:w="1070" w:type="pct"/>
          </w:tcPr>
          <w:p w:rsidR="00C74066" w:rsidRDefault="00F10705">
            <w:pPr>
              <w:pStyle w:val="TableText"/>
              <w:rPr>
                <w:rFonts w:ascii="Cambria" w:hAnsi="Cambria"/>
                <w:szCs w:val="18"/>
              </w:rPr>
            </w:pPr>
            <w:r>
              <w:rPr>
                <w:rFonts w:ascii="Cambria" w:hAnsi="Cambria"/>
                <w:szCs w:val="18"/>
              </w:rPr>
              <w:t>Common name(s)</w:t>
            </w:r>
          </w:p>
        </w:tc>
        <w:tc>
          <w:tcPr>
            <w:tcW w:w="3930" w:type="pct"/>
            <w:vAlign w:val="center"/>
          </w:tcPr>
          <w:p w:rsidR="00C74066" w:rsidRDefault="00F10705">
            <w:pPr>
              <w:pStyle w:val="TableText0"/>
              <w:keepNext w:val="0"/>
              <w:rPr>
                <w:rFonts w:ascii="Cambria" w:hAnsi="Cambria" w:cs="Helvetica"/>
                <w:sz w:val="18"/>
                <w:szCs w:val="18"/>
              </w:rPr>
            </w:pPr>
            <w:r>
              <w:rPr>
                <w:rFonts w:ascii="Cambria" w:hAnsi="Cambria" w:cs="Helvetica"/>
                <w:sz w:val="18"/>
                <w:szCs w:val="18"/>
              </w:rPr>
              <w:t>Kernoviae bleeding canker, Kernoviae dieback, Kernoviae leaf blight</w:t>
            </w:r>
          </w:p>
        </w:tc>
      </w:tr>
      <w:tr w:rsidR="00C74066">
        <w:tc>
          <w:tcPr>
            <w:tcW w:w="1070" w:type="pct"/>
          </w:tcPr>
          <w:p w:rsidR="00C74066" w:rsidRDefault="00F10705">
            <w:pPr>
              <w:pStyle w:val="TableText"/>
              <w:rPr>
                <w:rFonts w:ascii="Cambria" w:hAnsi="Cambria"/>
                <w:szCs w:val="18"/>
              </w:rPr>
            </w:pPr>
            <w:r>
              <w:rPr>
                <w:rFonts w:ascii="Cambria" w:hAnsi="Cambria"/>
                <w:szCs w:val="18"/>
              </w:rPr>
              <w:t>Main hosts</w:t>
            </w:r>
          </w:p>
        </w:tc>
        <w:tc>
          <w:tcPr>
            <w:tcW w:w="3930" w:type="pct"/>
            <w:vAlign w:val="center"/>
          </w:tcPr>
          <w:p w:rsidR="00C74066" w:rsidRDefault="00F10705">
            <w:pPr>
              <w:pStyle w:val="TableText0"/>
              <w:keepNext w:val="0"/>
              <w:rPr>
                <w:rFonts w:ascii="Cambria" w:hAnsi="Cambria" w:cs="Helvetica"/>
                <w:sz w:val="18"/>
                <w:szCs w:val="18"/>
              </w:rPr>
            </w:pPr>
            <w:r>
              <w:rPr>
                <w:rFonts w:ascii="Cambria" w:hAnsi="Cambria" w:cs="Helvetica"/>
                <w:sz w:val="18"/>
                <w:szCs w:val="18"/>
              </w:rPr>
              <w:t>Multiple; including trees and non-trees</w:t>
            </w:r>
          </w:p>
        </w:tc>
      </w:tr>
      <w:tr w:rsidR="00C74066">
        <w:tc>
          <w:tcPr>
            <w:tcW w:w="1070" w:type="pct"/>
            <w:tcBorders>
              <w:bottom w:val="single" w:sz="4" w:space="0" w:color="D9D9D9" w:themeColor="background1" w:themeShade="D9"/>
            </w:tcBorders>
          </w:tcPr>
          <w:p w:rsidR="00C74066" w:rsidRDefault="00F10705">
            <w:pPr>
              <w:pStyle w:val="TableText"/>
              <w:rPr>
                <w:rFonts w:ascii="Cambria" w:hAnsi="Cambria"/>
                <w:szCs w:val="18"/>
              </w:rPr>
            </w:pPr>
            <w:r>
              <w:rPr>
                <w:rFonts w:ascii="Cambria" w:hAnsi="Cambria"/>
                <w:szCs w:val="18"/>
              </w:rPr>
              <w:t>Distribution</w:t>
            </w:r>
          </w:p>
        </w:tc>
        <w:tc>
          <w:tcPr>
            <w:tcW w:w="3930" w:type="pct"/>
            <w:tcBorders>
              <w:bottom w:val="single" w:sz="4" w:space="0" w:color="D9D9D9" w:themeColor="background1" w:themeShade="D9"/>
            </w:tcBorders>
            <w:vAlign w:val="center"/>
          </w:tcPr>
          <w:p w:rsidR="00C74066" w:rsidRDefault="00F10705">
            <w:pPr>
              <w:pStyle w:val="TableText0"/>
              <w:keepNext w:val="0"/>
              <w:rPr>
                <w:rFonts w:ascii="Cambria" w:hAnsi="Cambria" w:cs="Helvetica"/>
                <w:sz w:val="18"/>
                <w:szCs w:val="18"/>
              </w:rPr>
            </w:pPr>
            <w:r>
              <w:rPr>
                <w:rFonts w:ascii="Cambria" w:hAnsi="Cambria" w:cs="Helvetica"/>
                <w:sz w:val="18"/>
                <w:szCs w:val="18"/>
              </w:rPr>
              <w:t>New Zealand and the UK (England, Ireland, Scotland and Wales) (DEFRA 2008; Fichtner et al. 2012).</w:t>
            </w:r>
          </w:p>
        </w:tc>
      </w:tr>
      <w:tr w:rsidR="00C74066">
        <w:tc>
          <w:tcPr>
            <w:tcW w:w="1070" w:type="pct"/>
            <w:tcBorders>
              <w:top w:val="single" w:sz="4" w:space="0" w:color="D9D9D9" w:themeColor="background1" w:themeShade="D9"/>
              <w:bottom w:val="nil"/>
            </w:tcBorders>
          </w:tcPr>
          <w:p w:rsidR="00C74066" w:rsidRDefault="00F10705">
            <w:pPr>
              <w:pStyle w:val="TableHeading"/>
              <w:rPr>
                <w:rFonts w:ascii="Cambria" w:hAnsi="Cambria"/>
                <w:szCs w:val="18"/>
              </w:rPr>
            </w:pPr>
            <w:r>
              <w:rPr>
                <w:rFonts w:ascii="Cambria" w:hAnsi="Cambria"/>
                <w:szCs w:val="18"/>
              </w:rPr>
              <w:t>Quarantine pest</w:t>
            </w:r>
          </w:p>
        </w:tc>
        <w:tc>
          <w:tcPr>
            <w:tcW w:w="3930" w:type="pct"/>
            <w:tcBorders>
              <w:top w:val="single" w:sz="4" w:space="0" w:color="D9D9D9" w:themeColor="background1" w:themeShade="D9"/>
              <w:bottom w:val="nil"/>
            </w:tcBorders>
          </w:tcPr>
          <w:p w:rsidR="00C74066" w:rsidRDefault="00F10705">
            <w:pPr>
              <w:pStyle w:val="TableText0"/>
              <w:keepNext w:val="0"/>
              <w:rPr>
                <w:rFonts w:ascii="Cambria" w:hAnsi="Cambria"/>
                <w:iCs/>
                <w:sz w:val="18"/>
                <w:szCs w:val="18"/>
              </w:rPr>
            </w:pPr>
            <w:r>
              <w:rPr>
                <w:rFonts w:ascii="Cambria" w:hAnsi="Cambria"/>
                <w:b/>
                <w:i/>
                <w:iCs/>
                <w:sz w:val="18"/>
                <w:szCs w:val="18"/>
              </w:rPr>
              <w:t xml:space="preserve">Phytophthora nemorosa </w:t>
            </w:r>
            <w:r>
              <w:rPr>
                <w:rFonts w:ascii="Cambria" w:hAnsi="Cambria"/>
                <w:bCs/>
                <w:sz w:val="18"/>
                <w:szCs w:val="18"/>
              </w:rPr>
              <w:t>E.M. Hansen &amp; Reeser 2003</w:t>
            </w:r>
          </w:p>
        </w:tc>
      </w:tr>
      <w:tr w:rsidR="00C74066">
        <w:tc>
          <w:tcPr>
            <w:tcW w:w="1070" w:type="pct"/>
            <w:tcBorders>
              <w:top w:val="nil"/>
            </w:tcBorders>
          </w:tcPr>
          <w:p w:rsidR="00C74066" w:rsidRDefault="00F10705">
            <w:pPr>
              <w:pStyle w:val="TableText"/>
              <w:rPr>
                <w:rFonts w:ascii="Cambria" w:hAnsi="Cambria"/>
                <w:szCs w:val="18"/>
              </w:rPr>
            </w:pPr>
            <w:r>
              <w:rPr>
                <w:rFonts w:ascii="Cambria" w:hAnsi="Cambria"/>
                <w:szCs w:val="18"/>
              </w:rPr>
              <w:t>Synonyms</w:t>
            </w:r>
          </w:p>
        </w:tc>
        <w:tc>
          <w:tcPr>
            <w:tcW w:w="3930" w:type="pct"/>
            <w:tcBorders>
              <w:top w:val="nil"/>
            </w:tcBorders>
            <w:vAlign w:val="center"/>
          </w:tcPr>
          <w:p w:rsidR="00C74066" w:rsidRDefault="00F10705">
            <w:pPr>
              <w:pStyle w:val="TableText0"/>
              <w:keepNext w:val="0"/>
              <w:rPr>
                <w:rFonts w:ascii="Cambria" w:hAnsi="Cambria" w:cs="Helvetica"/>
                <w:sz w:val="18"/>
                <w:szCs w:val="18"/>
              </w:rPr>
            </w:pPr>
            <w:r>
              <w:rPr>
                <w:rFonts w:ascii="Cambria" w:hAnsi="Cambria" w:cs="Helvetica"/>
                <w:sz w:val="18"/>
                <w:szCs w:val="18"/>
              </w:rPr>
              <w:t>None</w:t>
            </w:r>
          </w:p>
        </w:tc>
      </w:tr>
      <w:tr w:rsidR="00C74066">
        <w:tc>
          <w:tcPr>
            <w:tcW w:w="1070" w:type="pct"/>
          </w:tcPr>
          <w:p w:rsidR="00C74066" w:rsidRDefault="00F10705">
            <w:pPr>
              <w:pStyle w:val="TableText"/>
              <w:rPr>
                <w:rFonts w:ascii="Cambria" w:hAnsi="Cambria"/>
                <w:szCs w:val="18"/>
              </w:rPr>
            </w:pPr>
            <w:r>
              <w:rPr>
                <w:rFonts w:ascii="Cambria" w:hAnsi="Cambria"/>
                <w:szCs w:val="18"/>
              </w:rPr>
              <w:t>Common name(s)</w:t>
            </w:r>
          </w:p>
        </w:tc>
        <w:tc>
          <w:tcPr>
            <w:tcW w:w="3930" w:type="pct"/>
            <w:vAlign w:val="center"/>
          </w:tcPr>
          <w:p w:rsidR="00C74066" w:rsidRDefault="00F10705">
            <w:pPr>
              <w:pStyle w:val="TableText0"/>
              <w:keepNext w:val="0"/>
              <w:rPr>
                <w:rFonts w:ascii="Cambria" w:hAnsi="Cambria" w:cs="Helvetica"/>
                <w:sz w:val="18"/>
                <w:szCs w:val="18"/>
              </w:rPr>
            </w:pPr>
            <w:r>
              <w:rPr>
                <w:rFonts w:ascii="Cambria" w:hAnsi="Cambria" w:cs="Helvetica"/>
                <w:sz w:val="18"/>
                <w:szCs w:val="18"/>
              </w:rPr>
              <w:t>None</w:t>
            </w:r>
          </w:p>
        </w:tc>
      </w:tr>
      <w:tr w:rsidR="00C74066">
        <w:tc>
          <w:tcPr>
            <w:tcW w:w="1070" w:type="pct"/>
          </w:tcPr>
          <w:p w:rsidR="00C74066" w:rsidRDefault="00F10705">
            <w:pPr>
              <w:pStyle w:val="TableText"/>
              <w:rPr>
                <w:rFonts w:ascii="Cambria" w:hAnsi="Cambria"/>
                <w:szCs w:val="18"/>
              </w:rPr>
            </w:pPr>
            <w:r>
              <w:rPr>
                <w:rFonts w:ascii="Cambria" w:hAnsi="Cambria"/>
                <w:szCs w:val="18"/>
              </w:rPr>
              <w:t>Main hosts</w:t>
            </w:r>
          </w:p>
        </w:tc>
        <w:tc>
          <w:tcPr>
            <w:tcW w:w="3930" w:type="pct"/>
            <w:vAlign w:val="center"/>
          </w:tcPr>
          <w:p w:rsidR="00C74066" w:rsidRDefault="00F10705">
            <w:pPr>
              <w:pStyle w:val="TableText0"/>
              <w:keepNext w:val="0"/>
              <w:rPr>
                <w:rFonts w:ascii="Cambria" w:hAnsi="Cambria" w:cs="Helvetica"/>
                <w:sz w:val="18"/>
                <w:szCs w:val="18"/>
              </w:rPr>
            </w:pPr>
            <w:r>
              <w:rPr>
                <w:rFonts w:ascii="Cambria" w:hAnsi="Cambria" w:cs="Helvetica"/>
                <w:sz w:val="18"/>
                <w:szCs w:val="18"/>
              </w:rPr>
              <w:t>Multiple; including trees and non-trees</w:t>
            </w:r>
          </w:p>
        </w:tc>
      </w:tr>
      <w:tr w:rsidR="00C74066">
        <w:tc>
          <w:tcPr>
            <w:tcW w:w="1070" w:type="pct"/>
            <w:tcBorders>
              <w:bottom w:val="single" w:sz="4" w:space="0" w:color="D9D9D9" w:themeColor="background1" w:themeShade="D9"/>
            </w:tcBorders>
          </w:tcPr>
          <w:p w:rsidR="00C74066" w:rsidRDefault="00F10705">
            <w:pPr>
              <w:pStyle w:val="TableText"/>
              <w:rPr>
                <w:rFonts w:ascii="Cambria" w:hAnsi="Cambria"/>
                <w:szCs w:val="18"/>
              </w:rPr>
            </w:pPr>
            <w:r>
              <w:rPr>
                <w:rFonts w:ascii="Cambria" w:hAnsi="Cambria"/>
                <w:szCs w:val="18"/>
              </w:rPr>
              <w:t>Distribution</w:t>
            </w:r>
          </w:p>
        </w:tc>
        <w:tc>
          <w:tcPr>
            <w:tcW w:w="3930" w:type="pct"/>
            <w:tcBorders>
              <w:bottom w:val="single" w:sz="4" w:space="0" w:color="D9D9D9" w:themeColor="background1" w:themeShade="D9"/>
            </w:tcBorders>
            <w:vAlign w:val="center"/>
          </w:tcPr>
          <w:p w:rsidR="00C74066" w:rsidRDefault="00F10705">
            <w:pPr>
              <w:pStyle w:val="TableText0"/>
              <w:keepNext w:val="0"/>
              <w:rPr>
                <w:rFonts w:ascii="Cambria" w:hAnsi="Cambria" w:cs="Helvetica"/>
                <w:sz w:val="18"/>
                <w:szCs w:val="18"/>
              </w:rPr>
            </w:pPr>
            <w:r>
              <w:rPr>
                <w:rFonts w:ascii="Cambria" w:hAnsi="Cambria" w:cs="Helvetica"/>
                <w:sz w:val="18"/>
                <w:szCs w:val="18"/>
              </w:rPr>
              <w:t>The USA (California and Oregon) (Linzer et al. 2009; Yakabe et al. 2009).</w:t>
            </w:r>
          </w:p>
        </w:tc>
      </w:tr>
      <w:tr w:rsidR="00C74066">
        <w:tc>
          <w:tcPr>
            <w:tcW w:w="1070" w:type="pct"/>
          </w:tcPr>
          <w:p w:rsidR="00C74066" w:rsidRDefault="00F10705">
            <w:pPr>
              <w:pStyle w:val="TableHeading"/>
              <w:rPr>
                <w:rFonts w:ascii="Cambria" w:hAnsi="Cambria"/>
                <w:szCs w:val="18"/>
              </w:rPr>
            </w:pPr>
            <w:r>
              <w:rPr>
                <w:rFonts w:ascii="Cambria" w:hAnsi="Cambria"/>
                <w:szCs w:val="18"/>
              </w:rPr>
              <w:t>Quarantine pest</w:t>
            </w:r>
          </w:p>
        </w:tc>
        <w:tc>
          <w:tcPr>
            <w:tcW w:w="3930" w:type="pct"/>
          </w:tcPr>
          <w:p w:rsidR="00C74066" w:rsidRDefault="00F10705">
            <w:pPr>
              <w:pStyle w:val="TableText0"/>
              <w:keepNext w:val="0"/>
              <w:rPr>
                <w:rFonts w:ascii="Cambria" w:hAnsi="Cambria" w:cs="Helvetica"/>
                <w:b/>
                <w:bCs/>
                <w:sz w:val="18"/>
                <w:szCs w:val="18"/>
              </w:rPr>
            </w:pPr>
            <w:r>
              <w:rPr>
                <w:rFonts w:ascii="Cambria" w:hAnsi="Cambria" w:cs="Helvetica"/>
                <w:b/>
                <w:bCs/>
                <w:i/>
                <w:iCs/>
                <w:sz w:val="18"/>
                <w:szCs w:val="18"/>
              </w:rPr>
              <w:t>Phytophthora pseudosyringae</w:t>
            </w:r>
            <w:r>
              <w:rPr>
                <w:rFonts w:ascii="Cambria" w:hAnsi="Cambria" w:cs="Helvetica"/>
                <w:b/>
                <w:bCs/>
                <w:iCs/>
                <w:sz w:val="18"/>
                <w:szCs w:val="18"/>
              </w:rPr>
              <w:t xml:space="preserve"> </w:t>
            </w:r>
            <w:r>
              <w:rPr>
                <w:rFonts w:ascii="Cambria" w:hAnsi="Cambria"/>
                <w:bCs/>
                <w:sz w:val="18"/>
                <w:szCs w:val="18"/>
              </w:rPr>
              <w:t>T. Jung &amp; Delatour 2003</w:t>
            </w:r>
          </w:p>
        </w:tc>
      </w:tr>
      <w:tr w:rsidR="00C74066">
        <w:tc>
          <w:tcPr>
            <w:tcW w:w="1070" w:type="pct"/>
          </w:tcPr>
          <w:p w:rsidR="00C74066" w:rsidRDefault="00F10705">
            <w:pPr>
              <w:pStyle w:val="TableText"/>
              <w:rPr>
                <w:rFonts w:ascii="Cambria" w:hAnsi="Cambria"/>
                <w:szCs w:val="18"/>
              </w:rPr>
            </w:pPr>
            <w:r>
              <w:rPr>
                <w:rFonts w:ascii="Cambria" w:hAnsi="Cambria"/>
                <w:szCs w:val="18"/>
              </w:rPr>
              <w:t>Synonyms</w:t>
            </w:r>
          </w:p>
        </w:tc>
        <w:tc>
          <w:tcPr>
            <w:tcW w:w="3930" w:type="pct"/>
            <w:vAlign w:val="center"/>
          </w:tcPr>
          <w:p w:rsidR="00C74066" w:rsidRDefault="00F10705">
            <w:pPr>
              <w:pStyle w:val="TableText0"/>
              <w:keepNext w:val="0"/>
              <w:rPr>
                <w:rFonts w:ascii="Cambria" w:hAnsi="Cambria" w:cs="Helvetica"/>
                <w:sz w:val="18"/>
                <w:szCs w:val="18"/>
              </w:rPr>
            </w:pPr>
            <w:r>
              <w:rPr>
                <w:rFonts w:ascii="Cambria" w:hAnsi="Cambria" w:cs="Helvetica"/>
                <w:sz w:val="18"/>
                <w:szCs w:val="18"/>
              </w:rPr>
              <w:t>None</w:t>
            </w:r>
          </w:p>
        </w:tc>
      </w:tr>
      <w:tr w:rsidR="00C74066">
        <w:tc>
          <w:tcPr>
            <w:tcW w:w="1070" w:type="pct"/>
          </w:tcPr>
          <w:p w:rsidR="00C74066" w:rsidRDefault="00F10705">
            <w:pPr>
              <w:pStyle w:val="TableText"/>
              <w:rPr>
                <w:rFonts w:ascii="Cambria" w:hAnsi="Cambria"/>
                <w:szCs w:val="18"/>
              </w:rPr>
            </w:pPr>
            <w:r>
              <w:rPr>
                <w:rFonts w:ascii="Cambria" w:hAnsi="Cambria"/>
                <w:szCs w:val="18"/>
              </w:rPr>
              <w:t>Common name(s)</w:t>
            </w:r>
          </w:p>
        </w:tc>
        <w:tc>
          <w:tcPr>
            <w:tcW w:w="3930" w:type="pct"/>
            <w:vAlign w:val="center"/>
          </w:tcPr>
          <w:p w:rsidR="00C74066" w:rsidRDefault="00F10705">
            <w:pPr>
              <w:pStyle w:val="TableText0"/>
              <w:keepNext w:val="0"/>
              <w:rPr>
                <w:rFonts w:ascii="Cambria" w:hAnsi="Cambria" w:cs="Helvetica"/>
                <w:sz w:val="18"/>
                <w:szCs w:val="18"/>
              </w:rPr>
            </w:pPr>
            <w:r>
              <w:rPr>
                <w:rFonts w:ascii="Cambria" w:hAnsi="Cambria" w:cs="Helvetica"/>
                <w:sz w:val="18"/>
                <w:szCs w:val="18"/>
              </w:rPr>
              <w:t>None</w:t>
            </w:r>
          </w:p>
        </w:tc>
      </w:tr>
      <w:tr w:rsidR="00C74066">
        <w:tc>
          <w:tcPr>
            <w:tcW w:w="1070" w:type="pct"/>
          </w:tcPr>
          <w:p w:rsidR="00C74066" w:rsidRDefault="00F10705">
            <w:pPr>
              <w:pStyle w:val="TableText"/>
              <w:rPr>
                <w:rFonts w:ascii="Cambria" w:hAnsi="Cambria"/>
                <w:szCs w:val="18"/>
              </w:rPr>
            </w:pPr>
            <w:r>
              <w:rPr>
                <w:rFonts w:ascii="Cambria" w:hAnsi="Cambria"/>
                <w:szCs w:val="18"/>
              </w:rPr>
              <w:t>Main hosts</w:t>
            </w:r>
          </w:p>
        </w:tc>
        <w:tc>
          <w:tcPr>
            <w:tcW w:w="3930" w:type="pct"/>
            <w:vAlign w:val="center"/>
          </w:tcPr>
          <w:p w:rsidR="00C74066" w:rsidRDefault="00F10705">
            <w:pPr>
              <w:pStyle w:val="TableText0"/>
              <w:keepNext w:val="0"/>
              <w:rPr>
                <w:rFonts w:ascii="Cambria" w:hAnsi="Cambria" w:cs="Helvetica"/>
                <w:sz w:val="18"/>
                <w:szCs w:val="18"/>
              </w:rPr>
            </w:pPr>
            <w:r>
              <w:rPr>
                <w:rFonts w:ascii="Cambria" w:hAnsi="Cambria" w:cs="Helvetica"/>
                <w:sz w:val="18"/>
                <w:szCs w:val="18"/>
              </w:rPr>
              <w:t>Multiple; including trees and non-trees</w:t>
            </w:r>
          </w:p>
        </w:tc>
      </w:tr>
      <w:tr w:rsidR="00C74066">
        <w:tc>
          <w:tcPr>
            <w:tcW w:w="1070" w:type="pct"/>
            <w:tcBorders>
              <w:bottom w:val="single" w:sz="4" w:space="0" w:color="D9D9D9" w:themeColor="background1" w:themeShade="D9"/>
            </w:tcBorders>
          </w:tcPr>
          <w:p w:rsidR="00C74066" w:rsidRDefault="00F10705">
            <w:pPr>
              <w:pStyle w:val="TableText"/>
              <w:rPr>
                <w:rFonts w:ascii="Cambria" w:hAnsi="Cambria"/>
                <w:szCs w:val="18"/>
              </w:rPr>
            </w:pPr>
            <w:r>
              <w:rPr>
                <w:rFonts w:ascii="Cambria" w:hAnsi="Cambria"/>
                <w:szCs w:val="18"/>
              </w:rPr>
              <w:t>Distribution</w:t>
            </w:r>
          </w:p>
        </w:tc>
        <w:tc>
          <w:tcPr>
            <w:tcW w:w="3930" w:type="pct"/>
            <w:tcBorders>
              <w:bottom w:val="single" w:sz="4" w:space="0" w:color="D9D9D9" w:themeColor="background1" w:themeShade="D9"/>
            </w:tcBorders>
            <w:vAlign w:val="center"/>
          </w:tcPr>
          <w:p w:rsidR="00C74066" w:rsidRDefault="00F10705">
            <w:pPr>
              <w:pStyle w:val="TableText0"/>
              <w:keepNext w:val="0"/>
              <w:rPr>
                <w:rFonts w:ascii="Cambria" w:hAnsi="Cambria" w:cs="Helvetica"/>
                <w:sz w:val="18"/>
                <w:szCs w:val="18"/>
              </w:rPr>
            </w:pPr>
            <w:r>
              <w:rPr>
                <w:rFonts w:ascii="Cambria" w:hAnsi="Cambria" w:cs="Helvetica"/>
                <w:sz w:val="18"/>
                <w:szCs w:val="18"/>
              </w:rPr>
              <w:t>England, Scotland, Wales (Scanu et al. 2012), Italy, Spain (Scanu et al. 2010), Germany, France, Romania (Jung et al. 2007), Poland (Olejarski et al. 2012), Norway (Talgø et al. 2012), the Netherlands (Jung 2009) and USA (Yakabe et al. 2009; Alaska (Reeser et al. 2011), California, Oregon (Jung et al. 2007; Linzer et al. 2009</w:t>
            </w:r>
            <w:r w:rsidR="0085332F">
              <w:rPr>
                <w:rFonts w:ascii="Cambria" w:hAnsi="Cambria" w:cs="Helvetica"/>
                <w:sz w:val="18"/>
                <w:szCs w:val="18"/>
              </w:rPr>
              <w:t>) and North Carolina (EPPO 2009</w:t>
            </w:r>
            <w:r>
              <w:rPr>
                <w:rFonts w:ascii="Cambria" w:hAnsi="Cambria" w:cs="Helvetica"/>
                <w:sz w:val="18"/>
                <w:szCs w:val="18"/>
              </w:rPr>
              <w:t>).</w:t>
            </w:r>
          </w:p>
        </w:tc>
      </w:tr>
      <w:tr w:rsidR="00C74066">
        <w:tc>
          <w:tcPr>
            <w:tcW w:w="1070" w:type="pct"/>
            <w:tcBorders>
              <w:top w:val="single" w:sz="4" w:space="0" w:color="D9D9D9" w:themeColor="background1" w:themeShade="D9"/>
              <w:bottom w:val="nil"/>
            </w:tcBorders>
          </w:tcPr>
          <w:p w:rsidR="00C74066" w:rsidRDefault="00F10705">
            <w:pPr>
              <w:pStyle w:val="TableHeading"/>
              <w:rPr>
                <w:rFonts w:ascii="Cambria" w:hAnsi="Cambria"/>
                <w:szCs w:val="18"/>
              </w:rPr>
            </w:pPr>
            <w:r>
              <w:rPr>
                <w:rFonts w:ascii="Cambria" w:hAnsi="Cambria"/>
                <w:szCs w:val="18"/>
              </w:rPr>
              <w:t>Quarantine pest</w:t>
            </w:r>
          </w:p>
        </w:tc>
        <w:tc>
          <w:tcPr>
            <w:tcW w:w="3930" w:type="pct"/>
            <w:tcBorders>
              <w:top w:val="single" w:sz="4" w:space="0" w:color="D9D9D9" w:themeColor="background1" w:themeShade="D9"/>
              <w:bottom w:val="nil"/>
            </w:tcBorders>
          </w:tcPr>
          <w:p w:rsidR="00C74066" w:rsidRDefault="00F10705">
            <w:pPr>
              <w:pStyle w:val="TableText0"/>
              <w:keepNext w:val="0"/>
              <w:rPr>
                <w:rFonts w:ascii="Cambria" w:hAnsi="Cambria" w:cs="Helvetica"/>
                <w:b/>
                <w:bCs/>
                <w:sz w:val="18"/>
                <w:szCs w:val="18"/>
              </w:rPr>
            </w:pPr>
            <w:r>
              <w:rPr>
                <w:rFonts w:ascii="Cambria" w:hAnsi="Cambria" w:cs="Helvetica"/>
                <w:b/>
                <w:bCs/>
                <w:i/>
                <w:iCs/>
                <w:sz w:val="18"/>
                <w:szCs w:val="18"/>
              </w:rPr>
              <w:t>Phytophthora ramorum</w:t>
            </w:r>
            <w:r>
              <w:rPr>
                <w:rFonts w:ascii="Cambria" w:hAnsi="Cambria" w:cs="Helvetica"/>
                <w:b/>
                <w:bCs/>
                <w:iCs/>
                <w:sz w:val="18"/>
                <w:szCs w:val="18"/>
              </w:rPr>
              <w:t xml:space="preserve"> </w:t>
            </w:r>
            <w:r>
              <w:rPr>
                <w:rFonts w:ascii="Cambria" w:eastAsia="Calibri" w:hAnsi="Cambria"/>
                <w:bCs/>
                <w:iCs/>
                <w:sz w:val="18"/>
                <w:szCs w:val="18"/>
              </w:rPr>
              <w:t>Werres, De Cock &amp; Man in 't Veld 2001</w:t>
            </w:r>
          </w:p>
        </w:tc>
      </w:tr>
      <w:tr w:rsidR="00C74066">
        <w:tc>
          <w:tcPr>
            <w:tcW w:w="1070" w:type="pct"/>
            <w:tcBorders>
              <w:top w:val="nil"/>
            </w:tcBorders>
          </w:tcPr>
          <w:p w:rsidR="00C74066" w:rsidRDefault="00F10705">
            <w:pPr>
              <w:pStyle w:val="TableText"/>
              <w:rPr>
                <w:rFonts w:ascii="Cambria" w:hAnsi="Cambria"/>
                <w:szCs w:val="18"/>
              </w:rPr>
            </w:pPr>
            <w:r>
              <w:rPr>
                <w:rFonts w:ascii="Cambria" w:hAnsi="Cambria"/>
                <w:szCs w:val="18"/>
              </w:rPr>
              <w:t>Synonyms</w:t>
            </w:r>
          </w:p>
        </w:tc>
        <w:tc>
          <w:tcPr>
            <w:tcW w:w="3930" w:type="pct"/>
            <w:tcBorders>
              <w:top w:val="nil"/>
            </w:tcBorders>
            <w:vAlign w:val="center"/>
          </w:tcPr>
          <w:p w:rsidR="00C74066" w:rsidRDefault="00F10705">
            <w:pPr>
              <w:pStyle w:val="TableText0"/>
              <w:keepNext w:val="0"/>
              <w:rPr>
                <w:rFonts w:ascii="Cambria" w:hAnsi="Cambria" w:cs="Helvetica"/>
                <w:sz w:val="18"/>
                <w:szCs w:val="18"/>
              </w:rPr>
            </w:pPr>
            <w:r>
              <w:rPr>
                <w:rFonts w:ascii="Cambria" w:hAnsi="Cambria" w:cs="Helvetica"/>
                <w:sz w:val="18"/>
                <w:szCs w:val="18"/>
              </w:rPr>
              <w:t>None</w:t>
            </w:r>
          </w:p>
        </w:tc>
      </w:tr>
      <w:tr w:rsidR="00C74066">
        <w:tc>
          <w:tcPr>
            <w:tcW w:w="1070" w:type="pct"/>
          </w:tcPr>
          <w:p w:rsidR="00C74066" w:rsidRDefault="00F10705">
            <w:pPr>
              <w:pStyle w:val="TableText"/>
              <w:rPr>
                <w:rFonts w:ascii="Cambria" w:hAnsi="Cambria"/>
                <w:szCs w:val="18"/>
              </w:rPr>
            </w:pPr>
            <w:r>
              <w:rPr>
                <w:rFonts w:ascii="Cambria" w:hAnsi="Cambria"/>
                <w:szCs w:val="18"/>
              </w:rPr>
              <w:t>Common name(s)</w:t>
            </w:r>
          </w:p>
        </w:tc>
        <w:tc>
          <w:tcPr>
            <w:tcW w:w="3930" w:type="pct"/>
            <w:vAlign w:val="center"/>
          </w:tcPr>
          <w:p w:rsidR="00C74066" w:rsidRDefault="00F10705">
            <w:pPr>
              <w:pStyle w:val="TableText0"/>
              <w:keepNext w:val="0"/>
              <w:rPr>
                <w:rFonts w:ascii="Cambria" w:hAnsi="Cambria" w:cs="Helvetica"/>
                <w:sz w:val="18"/>
                <w:szCs w:val="18"/>
              </w:rPr>
            </w:pPr>
            <w:r>
              <w:rPr>
                <w:rFonts w:ascii="Cambria" w:hAnsi="Cambria" w:cs="Helvetica"/>
                <w:sz w:val="18"/>
                <w:szCs w:val="18"/>
              </w:rPr>
              <w:t>Ramorum bleeding canker, Ramorum leaf blight, Ramorum shoot dieback, Sudden larch death, Sudden oak death</w:t>
            </w:r>
          </w:p>
        </w:tc>
      </w:tr>
      <w:tr w:rsidR="00C74066">
        <w:tc>
          <w:tcPr>
            <w:tcW w:w="1070" w:type="pct"/>
          </w:tcPr>
          <w:p w:rsidR="00C74066" w:rsidRDefault="00F10705">
            <w:pPr>
              <w:pStyle w:val="TableText"/>
              <w:rPr>
                <w:rFonts w:ascii="Cambria" w:hAnsi="Cambria"/>
                <w:szCs w:val="18"/>
              </w:rPr>
            </w:pPr>
            <w:r>
              <w:rPr>
                <w:rFonts w:ascii="Cambria" w:hAnsi="Cambria"/>
                <w:szCs w:val="18"/>
              </w:rPr>
              <w:t>Main hosts</w:t>
            </w:r>
          </w:p>
        </w:tc>
        <w:tc>
          <w:tcPr>
            <w:tcW w:w="3930" w:type="pct"/>
            <w:vAlign w:val="center"/>
          </w:tcPr>
          <w:p w:rsidR="00C74066" w:rsidRDefault="00F10705">
            <w:pPr>
              <w:pStyle w:val="TableText0"/>
              <w:keepNext w:val="0"/>
              <w:rPr>
                <w:rFonts w:ascii="Cambria" w:hAnsi="Cambria" w:cs="Helvetica"/>
                <w:sz w:val="18"/>
                <w:szCs w:val="18"/>
              </w:rPr>
            </w:pPr>
            <w:r>
              <w:rPr>
                <w:rFonts w:ascii="Cambria" w:hAnsi="Cambria" w:cs="Helvetica"/>
                <w:sz w:val="18"/>
                <w:szCs w:val="18"/>
              </w:rPr>
              <w:t>Multiple; including trees and non-trees</w:t>
            </w:r>
          </w:p>
        </w:tc>
      </w:tr>
      <w:tr w:rsidR="00C74066">
        <w:tc>
          <w:tcPr>
            <w:tcW w:w="1070" w:type="pct"/>
          </w:tcPr>
          <w:p w:rsidR="00C74066" w:rsidRDefault="00F10705">
            <w:pPr>
              <w:pStyle w:val="TableText"/>
              <w:rPr>
                <w:rFonts w:ascii="Cambria" w:hAnsi="Cambria"/>
                <w:szCs w:val="18"/>
              </w:rPr>
            </w:pPr>
            <w:r>
              <w:rPr>
                <w:rFonts w:ascii="Cambria" w:hAnsi="Cambria"/>
                <w:szCs w:val="18"/>
              </w:rPr>
              <w:t>Distribution</w:t>
            </w:r>
          </w:p>
        </w:tc>
        <w:tc>
          <w:tcPr>
            <w:tcW w:w="3930" w:type="pct"/>
          </w:tcPr>
          <w:p w:rsidR="00C74066" w:rsidRDefault="00F10705">
            <w:pPr>
              <w:pStyle w:val="TableText0"/>
              <w:keepNext w:val="0"/>
              <w:rPr>
                <w:rFonts w:ascii="Cambria" w:hAnsi="Cambria" w:cs="Helvetica"/>
                <w:sz w:val="18"/>
                <w:szCs w:val="18"/>
              </w:rPr>
            </w:pPr>
            <w:r>
              <w:rPr>
                <w:rFonts w:ascii="Cambria" w:hAnsi="Cambria" w:cs="Helvetica"/>
                <w:sz w:val="18"/>
                <w:szCs w:val="18"/>
              </w:rPr>
              <w:t xml:space="preserve">Belgium, Canada (British Columbia), Croatia, Czech Republic, Denmark, Estonia, Finland, France, Germany, Greece, India, Italy, Latvia, Lithuania, Luxembourg, the Netherlands, Norway, Poland, Portugal, Serbia, Slovenia, Spain, Switzerland, Sweden, the UK (England, Ireland, Scotland and Wales) and the USA (Denman et al. 2009; EPPO 2012; FERA 2012; Sansford et al. 2009; Gomes &amp; Amaro 2009; Mathew &amp; Beena 2012). In the USA, </w:t>
            </w:r>
            <w:r>
              <w:rPr>
                <w:rFonts w:ascii="Cambria" w:hAnsi="Cambria" w:cs="Helvetica"/>
                <w:i/>
                <w:sz w:val="18"/>
                <w:szCs w:val="18"/>
              </w:rPr>
              <w:t>P. ramorum</w:t>
            </w:r>
            <w:r>
              <w:rPr>
                <w:rFonts w:ascii="Cambria" w:hAnsi="Cambria" w:cs="Helvetica"/>
                <w:sz w:val="18"/>
                <w:szCs w:val="18"/>
              </w:rPr>
              <w:t xml:space="preserve"> occurs in California, Washington and Oregon. Infected nursery stock has also been detected in Alabama, Arkansas, Arizona, California, Colorado, Connecticut, Florida, Georgia, Louisiana, Maryland, Mississippi, North Carolina, New Jersey, New Mexico, New York, Oklahoma, Oregon, Pennsylvania, South Carolina, Tennessee, Texas, Virginia, and Washington (Sansford et al. 2009; Cave et al. 2008; Henricot &amp; Prior 2004). The known geographic distribution of </w:t>
            </w:r>
            <w:r>
              <w:rPr>
                <w:rFonts w:ascii="Cambria" w:hAnsi="Cambria" w:cs="Helvetica"/>
                <w:i/>
                <w:sz w:val="18"/>
                <w:szCs w:val="18"/>
              </w:rPr>
              <w:t>P. ramorum</w:t>
            </w:r>
            <w:r>
              <w:rPr>
                <w:rFonts w:ascii="Cambria" w:hAnsi="Cambria" w:cs="Helvetica"/>
                <w:sz w:val="18"/>
                <w:szCs w:val="18"/>
              </w:rPr>
              <w:t xml:space="preserve"> is expanding, with ongoing new detections in nurseries and forests.</w:t>
            </w:r>
          </w:p>
        </w:tc>
      </w:tr>
    </w:tbl>
    <w:p w:rsidR="00873038" w:rsidRDefault="00873038" w:rsidP="00910023">
      <w:pPr>
        <w:sectPr w:rsidR="00873038" w:rsidSect="00985A98">
          <w:headerReference w:type="default" r:id="rId44"/>
          <w:footerReference w:type="default" r:id="rId45"/>
          <w:pgSz w:w="11906" w:h="16838"/>
          <w:pgMar w:top="1418" w:right="1418" w:bottom="1418" w:left="1418" w:header="567" w:footer="283" w:gutter="0"/>
          <w:cols w:space="708"/>
          <w:docGrid w:linePitch="360"/>
        </w:sectPr>
      </w:pPr>
    </w:p>
    <w:p w:rsidR="00C74066" w:rsidRDefault="00F10705">
      <w:pPr>
        <w:pStyle w:val="Heading1nonumbers"/>
        <w:rPr>
          <w:lang w:val="en-AU"/>
        </w:rPr>
      </w:pPr>
      <w:bookmarkStart w:id="203" w:name="_Toc392488737"/>
      <w:bookmarkStart w:id="204" w:name="_Toc434247482"/>
      <w:r>
        <w:rPr>
          <w:lang w:val="en-AU"/>
        </w:rPr>
        <w:lastRenderedPageBreak/>
        <w:t>Appendix C: Biosecurity framework</w:t>
      </w:r>
      <w:bookmarkEnd w:id="203"/>
      <w:bookmarkEnd w:id="204"/>
    </w:p>
    <w:p w:rsidR="00C74066" w:rsidRDefault="00F10705">
      <w:pPr>
        <w:pStyle w:val="Heading3Nonumber"/>
      </w:pPr>
      <w:bookmarkStart w:id="205" w:name="_Toc384209883"/>
      <w:r>
        <w:t>Australia’s biosecurity policies</w:t>
      </w:r>
      <w:bookmarkEnd w:id="205"/>
    </w:p>
    <w:p w:rsidR="00C74066" w:rsidRDefault="00F10705">
      <w:pPr>
        <w:spacing w:before="200"/>
        <w:rPr>
          <w:rFonts w:ascii="Cambria" w:hAnsi="Cambria"/>
        </w:rPr>
      </w:pPr>
      <w:r>
        <w:rPr>
          <w:rFonts w:ascii="Cambria" w:hAnsi="Cambria"/>
        </w:rPr>
        <w:t>The objective of Australia’s biosecurity policies and risk management measures is the prevention or control of the entry, establishment or spread of pests and diseases that could cause significant harm to people, animals, plants and other aspects of the environment.</w:t>
      </w:r>
    </w:p>
    <w:p w:rsidR="00C74066" w:rsidRDefault="00F10705">
      <w:pPr>
        <w:spacing w:before="200"/>
        <w:rPr>
          <w:rFonts w:ascii="Cambria" w:hAnsi="Cambria"/>
        </w:rPr>
      </w:pPr>
      <w:r>
        <w:rPr>
          <w:rFonts w:ascii="Cambria" w:hAnsi="Cambria"/>
        </w:rPr>
        <w:t>Australia has diverse native flora and fauna and a large agricultural sector, and is relatively free from the more significant pests and diseases present in other countries. Therefore, successive Australian Governments have maintained a conservative, but not a zero-risk, approach to the management of biosecurity risks. This approach is consistent with the World Trade Organization’s (WTO’s) Agreement on the Application of Sanitary and Phytosanitary Measures (SPS Agreement).</w:t>
      </w:r>
    </w:p>
    <w:p w:rsidR="00C74066" w:rsidRDefault="00F10705">
      <w:pPr>
        <w:spacing w:before="200"/>
        <w:rPr>
          <w:rFonts w:ascii="Cambria" w:hAnsi="Cambria"/>
        </w:rPr>
      </w:pPr>
      <w:r>
        <w:rPr>
          <w:rFonts w:ascii="Cambria" w:hAnsi="Cambria"/>
        </w:rPr>
        <w:t>The SPS Agreement defines the concept of an ‘appropriate level of protection’ (ALOP) as the level of protection deemed appropriate by a WTO Member establishing a sanitary or phytosanitary measure to protect human, animal or plant life or health within its territory. Among a number of obligations, a WTO Member should take into account the objective of minimising negative trade effects in setting its ALOP.</w:t>
      </w:r>
    </w:p>
    <w:p w:rsidR="00C74066" w:rsidRDefault="00F10705">
      <w:pPr>
        <w:spacing w:before="200"/>
        <w:rPr>
          <w:rFonts w:ascii="Cambria" w:hAnsi="Cambria"/>
        </w:rPr>
      </w:pPr>
      <w:r>
        <w:rPr>
          <w:rFonts w:ascii="Cambria" w:hAnsi="Cambria"/>
        </w:rPr>
        <w:t>Like many other countries, Australia expresses its ALOP in qualitative terms. Australia’s ALOP, which reflects community expectations through Australian Government policy, is currently expressed as providing a high level of sanitary and phytosanitary protection, aimed at reducing risk to a very low level, but not to zero.</w:t>
      </w:r>
    </w:p>
    <w:p w:rsidR="00C74066" w:rsidRDefault="00F10705">
      <w:pPr>
        <w:spacing w:before="200"/>
        <w:rPr>
          <w:rFonts w:ascii="Cambria" w:hAnsi="Cambria"/>
        </w:rPr>
      </w:pPr>
      <w:r>
        <w:rPr>
          <w:rFonts w:ascii="Cambria" w:hAnsi="Cambria"/>
        </w:rPr>
        <w:t>Consistent with the SPS Agreement, in conducting risk analyses Australia takes into account as relevant economic factors:</w:t>
      </w:r>
    </w:p>
    <w:p w:rsidR="00C74066" w:rsidRDefault="00F10705">
      <w:pPr>
        <w:pStyle w:val="ListBullet"/>
        <w:tabs>
          <w:tab w:val="clear" w:pos="360"/>
          <w:tab w:val="num" w:pos="284"/>
        </w:tabs>
        <w:ind w:left="284" w:hanging="284"/>
        <w:rPr>
          <w:rFonts w:ascii="Cambria" w:hAnsi="Cambria"/>
        </w:rPr>
      </w:pPr>
      <w:r>
        <w:rPr>
          <w:rFonts w:ascii="Cambria" w:hAnsi="Cambria"/>
        </w:rPr>
        <w:t>the potential damage in terms of loss of production or sales in the event of the entry, establishment or spread of a pest or disease in the territory of Australia</w:t>
      </w:r>
    </w:p>
    <w:p w:rsidR="00C74066" w:rsidRDefault="00F10705">
      <w:pPr>
        <w:pStyle w:val="ListBullet"/>
        <w:tabs>
          <w:tab w:val="clear" w:pos="360"/>
          <w:tab w:val="num" w:pos="284"/>
        </w:tabs>
        <w:ind w:left="284" w:hanging="284"/>
        <w:rPr>
          <w:rFonts w:ascii="Cambria" w:hAnsi="Cambria"/>
        </w:rPr>
      </w:pPr>
      <w:r>
        <w:rPr>
          <w:rFonts w:ascii="Cambria" w:hAnsi="Cambria"/>
        </w:rPr>
        <w:t>the costs of control or eradication of a pest or disease</w:t>
      </w:r>
    </w:p>
    <w:p w:rsidR="00C74066" w:rsidRDefault="00F10705">
      <w:pPr>
        <w:pStyle w:val="ListBullet"/>
        <w:tabs>
          <w:tab w:val="clear" w:pos="360"/>
          <w:tab w:val="num" w:pos="284"/>
        </w:tabs>
        <w:ind w:left="284" w:hanging="284"/>
        <w:rPr>
          <w:rFonts w:ascii="Cambria" w:hAnsi="Cambria"/>
        </w:rPr>
      </w:pPr>
      <w:r>
        <w:rPr>
          <w:rFonts w:ascii="Cambria" w:hAnsi="Cambria"/>
        </w:rPr>
        <w:t>and the relative cost-effectiveness of alternative approaches to limiting risks.</w:t>
      </w:r>
    </w:p>
    <w:p w:rsidR="00C74066" w:rsidRDefault="00F10705">
      <w:pPr>
        <w:pStyle w:val="Heading3Nonumber"/>
      </w:pPr>
      <w:bookmarkStart w:id="206" w:name="_Toc384209884"/>
      <w:r>
        <w:t>Roles and responsibilities within Australia’s quarantine system</w:t>
      </w:r>
      <w:bookmarkEnd w:id="206"/>
    </w:p>
    <w:p w:rsidR="00C74066" w:rsidRDefault="00F10705">
      <w:pPr>
        <w:spacing w:before="200"/>
        <w:rPr>
          <w:rFonts w:ascii="Cambria" w:hAnsi="Cambria"/>
        </w:rPr>
      </w:pPr>
      <w:r>
        <w:rPr>
          <w:rFonts w:ascii="Cambria" w:hAnsi="Cambria"/>
        </w:rPr>
        <w:t>Australia protects its human, animal and plant life or health through a comprehensive quarantine system that covers the quarantine continuum, from pre-border to border and post-border activities. The Australian Government Department of Health is responsible for human health aspects of quarantine. The Australian Government Department of Agriculture and Water Resources is responsible for animal and plant life or health.</w:t>
      </w:r>
    </w:p>
    <w:p w:rsidR="00C74066" w:rsidRDefault="00F10705">
      <w:pPr>
        <w:spacing w:before="200"/>
        <w:rPr>
          <w:rFonts w:ascii="Cambria" w:hAnsi="Cambria"/>
        </w:rPr>
      </w:pPr>
      <w:r>
        <w:rPr>
          <w:rFonts w:ascii="Cambria" w:hAnsi="Cambria"/>
        </w:rPr>
        <w:t>Pre-border, Australia participates in international standard-setting bodies, undertakes risk analyses, develops offshore quarantine arrangements where appropriate, and engages with our neighbours to counter the spread of exotic pests and diseases.</w:t>
      </w:r>
    </w:p>
    <w:p w:rsidR="00C74066" w:rsidRDefault="00F10705">
      <w:pPr>
        <w:spacing w:before="200"/>
        <w:rPr>
          <w:rFonts w:ascii="Cambria" w:hAnsi="Cambria"/>
        </w:rPr>
      </w:pPr>
      <w:r>
        <w:rPr>
          <w:rFonts w:ascii="Cambria" w:hAnsi="Cambria"/>
        </w:rPr>
        <w:t>At the border, Australia screens vessels (including aircraft), people and goods entering the country to detect potential threats to Australian human, animal and plant health.</w:t>
      </w:r>
    </w:p>
    <w:p w:rsidR="00C74066" w:rsidRDefault="00F10705">
      <w:pPr>
        <w:spacing w:before="200"/>
        <w:rPr>
          <w:rFonts w:ascii="Cambria" w:hAnsi="Cambria"/>
        </w:rPr>
      </w:pPr>
      <w:r>
        <w:rPr>
          <w:rFonts w:ascii="Cambria" w:hAnsi="Cambria"/>
        </w:rPr>
        <w:lastRenderedPageBreak/>
        <w:t>The Australian Government also undertakes targeted measures at the immediate post-border level within Australia. This includes national co-ordination of emergency responses to pest and disease incursions. The movement of goods of quarantine concern within Australia’s border is the responsibility of relevant state and territory authorities, which undertake inter– and intra–state quarantine operations that reflect regional differences in pest and disease status, as a part of their wider plant and animal health responsibilities.</w:t>
      </w:r>
    </w:p>
    <w:p w:rsidR="00C74066" w:rsidRDefault="00F10705">
      <w:pPr>
        <w:pStyle w:val="Heading3Nonumber"/>
      </w:pPr>
      <w:bookmarkStart w:id="207" w:name="_Toc384209885"/>
      <w:r>
        <w:t>Roles and responsibilities within the Department</w:t>
      </w:r>
      <w:bookmarkEnd w:id="207"/>
    </w:p>
    <w:p w:rsidR="00C74066" w:rsidRDefault="00F10705">
      <w:pPr>
        <w:spacing w:before="200"/>
        <w:rPr>
          <w:rFonts w:ascii="Cambria" w:hAnsi="Cambria"/>
        </w:rPr>
      </w:pPr>
      <w:r>
        <w:rPr>
          <w:rFonts w:ascii="Cambria" w:hAnsi="Cambria"/>
        </w:rPr>
        <w:t xml:space="preserve">The Australian Government Department of Agriculture and Water Resources is responsible for the Australian Government’s animal and plant biosecurity policy development and the establishment of risk management measures. The Secretary of the department is appointed as the Director of Animal and Plant Quarantine under the </w:t>
      </w:r>
      <w:r>
        <w:rPr>
          <w:rFonts w:ascii="Cambria" w:hAnsi="Cambria"/>
          <w:i/>
        </w:rPr>
        <w:t>Quarantine Act 1908</w:t>
      </w:r>
      <w:r>
        <w:rPr>
          <w:rFonts w:ascii="Cambria" w:hAnsi="Cambria"/>
        </w:rPr>
        <w:t xml:space="preserve"> (the Act).</w:t>
      </w:r>
    </w:p>
    <w:p w:rsidR="00C74066" w:rsidRDefault="00F10705">
      <w:pPr>
        <w:spacing w:before="200"/>
        <w:rPr>
          <w:rFonts w:ascii="Cambria" w:hAnsi="Cambria"/>
        </w:rPr>
      </w:pPr>
      <w:r>
        <w:rPr>
          <w:rFonts w:ascii="Cambria" w:hAnsi="Cambria"/>
        </w:rPr>
        <w:t>The department takes the lead in biosecurity and quarantine policy development and the establishment and implementation of risk management measures across the biosecurity continuum, and:</w:t>
      </w:r>
    </w:p>
    <w:p w:rsidR="00C74066" w:rsidRDefault="00F10705">
      <w:pPr>
        <w:pStyle w:val="ListBullet"/>
        <w:tabs>
          <w:tab w:val="clear" w:pos="360"/>
          <w:tab w:val="num" w:pos="284"/>
        </w:tabs>
        <w:ind w:left="284" w:hanging="284"/>
        <w:rPr>
          <w:rFonts w:ascii="Cambria" w:hAnsi="Cambria"/>
        </w:rPr>
      </w:pPr>
      <w:r>
        <w:rPr>
          <w:rFonts w:ascii="Cambria" w:hAnsi="Cambria"/>
          <w:b/>
        </w:rPr>
        <w:t>Pre-border</w:t>
      </w:r>
      <w:r>
        <w:rPr>
          <w:rFonts w:ascii="Cambria" w:hAnsi="Cambria"/>
        </w:rPr>
        <w:t xml:space="preserve"> conducts risk analyses, including IRAs, and develops recommendations for biosecurity policy as well as providing quarantine policy advice to the Director of Animal and Plant Quarantine</w:t>
      </w:r>
    </w:p>
    <w:p w:rsidR="00C74066" w:rsidRDefault="00F10705">
      <w:pPr>
        <w:pStyle w:val="ListBullet"/>
        <w:tabs>
          <w:tab w:val="clear" w:pos="360"/>
          <w:tab w:val="num" w:pos="284"/>
        </w:tabs>
        <w:ind w:left="284" w:hanging="284"/>
        <w:rPr>
          <w:rFonts w:ascii="Cambria" w:hAnsi="Cambria"/>
        </w:rPr>
      </w:pPr>
      <w:r>
        <w:rPr>
          <w:rFonts w:ascii="Cambria" w:hAnsi="Cambria"/>
          <w:b/>
        </w:rPr>
        <w:t>At the border</w:t>
      </w:r>
      <w:r>
        <w:rPr>
          <w:rFonts w:ascii="Cambria" w:hAnsi="Cambria"/>
        </w:rPr>
        <w:t xml:space="preserve"> develops operational procedures, makes a range of quarantine decisions under the Act (including import permit decisions under delegation from the Director of Animal and Plant Quarantine) and delivers quarantine services</w:t>
      </w:r>
    </w:p>
    <w:p w:rsidR="00C74066" w:rsidRDefault="00F10705">
      <w:pPr>
        <w:pStyle w:val="ListBullet"/>
        <w:tabs>
          <w:tab w:val="clear" w:pos="360"/>
          <w:tab w:val="num" w:pos="284"/>
        </w:tabs>
        <w:ind w:left="284" w:hanging="284"/>
        <w:rPr>
          <w:rFonts w:ascii="Cambria" w:hAnsi="Cambria"/>
        </w:rPr>
      </w:pPr>
      <w:r>
        <w:rPr>
          <w:rFonts w:ascii="Cambria" w:hAnsi="Cambria"/>
          <w:b/>
        </w:rPr>
        <w:t>Post-border</w:t>
      </w:r>
      <w:r>
        <w:rPr>
          <w:rFonts w:ascii="Cambria" w:hAnsi="Cambria"/>
        </w:rPr>
        <w:t xml:space="preserve"> coordinates pest and disease preparedness, emergency responses and liaison on inter– and intra–state quarantine arrangements for the Australian Government, in conjunction with Australia’s state and territory governments.</w:t>
      </w:r>
    </w:p>
    <w:p w:rsidR="00C74066" w:rsidRDefault="00F10705">
      <w:pPr>
        <w:pStyle w:val="Heading3Nonumber"/>
      </w:pPr>
      <w:bookmarkStart w:id="208" w:name="_Toc384209886"/>
      <w:r>
        <w:t>Roles and responsibilities of other government agencies</w:t>
      </w:r>
      <w:bookmarkEnd w:id="208"/>
    </w:p>
    <w:p w:rsidR="00C74066" w:rsidRDefault="00F10705">
      <w:pPr>
        <w:spacing w:before="200"/>
        <w:rPr>
          <w:rFonts w:ascii="Cambria" w:hAnsi="Cambria"/>
        </w:rPr>
      </w:pPr>
      <w:r>
        <w:rPr>
          <w:rFonts w:ascii="Cambria" w:hAnsi="Cambria"/>
        </w:rPr>
        <w:t>State and territory governments play a vital role in the quarantine continuum. The department works in partnership with state and territory governments to address regional differences in pest and disease status and risk within Australia, and develops appropriate sanitary and phytosanitary measures to account for those differences. Australia’s partnership approach to quarantine is supported by a formal Memorandum of Understanding that provides for consultation between the Australian Government and the state and territory governments.</w:t>
      </w:r>
    </w:p>
    <w:p w:rsidR="00C74066" w:rsidRDefault="00F10705">
      <w:pPr>
        <w:spacing w:before="200"/>
        <w:rPr>
          <w:rFonts w:ascii="Cambria" w:hAnsi="Cambria"/>
        </w:rPr>
      </w:pPr>
      <w:r>
        <w:rPr>
          <w:rFonts w:ascii="Cambria" w:hAnsi="Cambria"/>
        </w:rPr>
        <w:t>Depending on the nature of the good being imported or proposed for importation, the department may consult other Australian Government authorities or agencies in developing its recommendations and providing advice.</w:t>
      </w:r>
    </w:p>
    <w:p w:rsidR="00C74066" w:rsidRDefault="00F10705">
      <w:pPr>
        <w:spacing w:before="200"/>
        <w:rPr>
          <w:rFonts w:ascii="Cambria" w:hAnsi="Cambria"/>
        </w:rPr>
      </w:pPr>
      <w:r>
        <w:rPr>
          <w:rFonts w:ascii="Cambria" w:hAnsi="Cambria"/>
        </w:rPr>
        <w:t>As well as a Director of Animal and Plant Quarantine, the Act provides for a Director of Human Quarantine. The Australian Government Department of Health is responsible for human health aspects of quarantine and Australia’s Chief Medical Officer within that department holds the position of Director of Human Quarantine. The Department of Agriculture and Water Resources may, where appropriate, consult with the Department of Health on relevant matters that may have implications for human health.</w:t>
      </w:r>
    </w:p>
    <w:p w:rsidR="00C74066" w:rsidRDefault="00F10705">
      <w:pPr>
        <w:spacing w:before="200"/>
        <w:rPr>
          <w:rFonts w:ascii="Cambria" w:hAnsi="Cambria"/>
        </w:rPr>
      </w:pPr>
      <w:r>
        <w:rPr>
          <w:rFonts w:ascii="Cambria" w:hAnsi="Cambria"/>
        </w:rPr>
        <w:lastRenderedPageBreak/>
        <w:t xml:space="preserve">The Act also requires the Director of Animal and Plant Quarantine, before making certain decisions, to request advice from the Environment Minister and to take the advice into account when making those decisions. The Australian Government Department of the Environment is responsible under the </w:t>
      </w:r>
      <w:r>
        <w:rPr>
          <w:rFonts w:ascii="Cambria" w:hAnsi="Cambria"/>
          <w:i/>
        </w:rPr>
        <w:t>Environment Protection and Biodiversity Conservation Act 1999</w:t>
      </w:r>
      <w:r>
        <w:rPr>
          <w:rFonts w:ascii="Cambria" w:hAnsi="Cambria"/>
        </w:rPr>
        <w:t xml:space="preserve"> for assessing the environmental impact associated with proposals to import live species. Anyone proposing to import such material should contact the Department of the Environment directly for further information.</w:t>
      </w:r>
    </w:p>
    <w:p w:rsidR="00C74066" w:rsidRDefault="00F10705">
      <w:pPr>
        <w:spacing w:before="200"/>
        <w:rPr>
          <w:rFonts w:ascii="Cambria" w:hAnsi="Cambria"/>
        </w:rPr>
      </w:pPr>
      <w:r>
        <w:rPr>
          <w:rFonts w:ascii="Cambria" w:hAnsi="Cambria"/>
        </w:rPr>
        <w:t>When undertaking risk analyses, the Department of Agriculture and Water Resources consults with the Department of the Environment about environmental issues and may use or refer to the Department of the Environment’s assessment.</w:t>
      </w:r>
    </w:p>
    <w:p w:rsidR="00C74066" w:rsidRDefault="00F10705">
      <w:pPr>
        <w:pStyle w:val="Heading3Nonumber"/>
      </w:pPr>
      <w:bookmarkStart w:id="209" w:name="_Toc384209887"/>
      <w:r>
        <w:t>Australian quarantine legislation</w:t>
      </w:r>
      <w:bookmarkEnd w:id="209"/>
    </w:p>
    <w:p w:rsidR="00C74066" w:rsidRDefault="00F10705">
      <w:pPr>
        <w:spacing w:before="200"/>
        <w:rPr>
          <w:rFonts w:ascii="Cambria" w:hAnsi="Cambria"/>
        </w:rPr>
      </w:pPr>
      <w:r>
        <w:rPr>
          <w:rFonts w:ascii="Cambria" w:hAnsi="Cambria"/>
        </w:rPr>
        <w:t>The Australian quarantine system is supported by Commonwealth, state and territory quarantine laws. Under the Australian Constitution, the Commonwealth Government does not have exclusive power to make laws in relation to quarantine, and as a result, Commonwealth and state quarantine laws can co-exist.</w:t>
      </w:r>
    </w:p>
    <w:p w:rsidR="00C74066" w:rsidRDefault="00F10705">
      <w:pPr>
        <w:spacing w:before="200"/>
        <w:rPr>
          <w:rFonts w:ascii="Cambria" w:hAnsi="Cambria"/>
        </w:rPr>
      </w:pPr>
      <w:r>
        <w:rPr>
          <w:rFonts w:ascii="Cambria" w:hAnsi="Cambria"/>
        </w:rPr>
        <w:t xml:space="preserve">Commonwealth quarantine laws are contained in the </w:t>
      </w:r>
      <w:r>
        <w:rPr>
          <w:rFonts w:ascii="Cambria" w:hAnsi="Cambria"/>
          <w:i/>
        </w:rPr>
        <w:t>Quarantine Act 1908</w:t>
      </w:r>
      <w:r>
        <w:rPr>
          <w:rFonts w:ascii="Cambria" w:hAnsi="Cambria"/>
        </w:rPr>
        <w:t xml:space="preserve"> and subordinate legislation including the </w:t>
      </w:r>
      <w:r>
        <w:rPr>
          <w:rFonts w:ascii="Cambria" w:hAnsi="Cambria"/>
          <w:i/>
        </w:rPr>
        <w:t>Quarantine Regulations 2000</w:t>
      </w:r>
      <w:r>
        <w:rPr>
          <w:rFonts w:ascii="Cambria" w:hAnsi="Cambria"/>
        </w:rPr>
        <w:t xml:space="preserve">, the </w:t>
      </w:r>
      <w:r>
        <w:rPr>
          <w:rFonts w:ascii="Cambria" w:hAnsi="Cambria"/>
          <w:i/>
        </w:rPr>
        <w:t>Quarantine Proclamation 1998</w:t>
      </w:r>
      <w:r>
        <w:rPr>
          <w:rFonts w:ascii="Cambria" w:hAnsi="Cambria"/>
        </w:rPr>
        <w:t xml:space="preserve">, the </w:t>
      </w:r>
      <w:r>
        <w:rPr>
          <w:rFonts w:ascii="Cambria" w:hAnsi="Cambria"/>
          <w:i/>
        </w:rPr>
        <w:t xml:space="preserve">Quarantine (Cocos Islands) Proclamation 2004 </w:t>
      </w:r>
      <w:r>
        <w:rPr>
          <w:rFonts w:ascii="Cambria" w:hAnsi="Cambria"/>
        </w:rPr>
        <w:t xml:space="preserve">and the </w:t>
      </w:r>
      <w:r>
        <w:rPr>
          <w:rFonts w:ascii="Cambria" w:hAnsi="Cambria"/>
          <w:i/>
        </w:rPr>
        <w:t>Quarantine (Christmas Island) Proclamation 2004</w:t>
      </w:r>
      <w:r>
        <w:rPr>
          <w:rFonts w:ascii="Cambria" w:hAnsi="Cambria"/>
        </w:rPr>
        <w:t>.</w:t>
      </w:r>
    </w:p>
    <w:p w:rsidR="00C74066" w:rsidRDefault="00F10705">
      <w:pPr>
        <w:spacing w:before="200"/>
        <w:rPr>
          <w:rFonts w:ascii="Cambria" w:hAnsi="Cambria"/>
        </w:rPr>
      </w:pPr>
      <w:r>
        <w:rPr>
          <w:rFonts w:ascii="Cambria" w:hAnsi="Cambria"/>
        </w:rPr>
        <w:t xml:space="preserve">The quarantine proclamations identify goods, which cannot be imported, into Australia, the Cocos Islands and or Christmas Island unless the Director of Animal and Plant Quarantine or delegate grants an import permit or unless they comply with other conditions specified in the proclamations. Section 70 of the </w:t>
      </w:r>
      <w:r>
        <w:rPr>
          <w:rFonts w:ascii="Cambria" w:hAnsi="Cambria"/>
          <w:i/>
        </w:rPr>
        <w:t>Quarantine Proclamation 1998</w:t>
      </w:r>
      <w:r>
        <w:rPr>
          <w:rFonts w:ascii="Cambria" w:hAnsi="Cambria"/>
        </w:rPr>
        <w:t xml:space="preserve">, section 34 of the </w:t>
      </w:r>
      <w:r>
        <w:rPr>
          <w:rFonts w:ascii="Cambria" w:hAnsi="Cambria"/>
          <w:i/>
        </w:rPr>
        <w:t xml:space="preserve">Quarantine (Cocos Islands) Proclamation 2004 </w:t>
      </w:r>
      <w:r>
        <w:rPr>
          <w:rFonts w:ascii="Cambria" w:hAnsi="Cambria"/>
        </w:rPr>
        <w:t xml:space="preserve">and section 34 of the </w:t>
      </w:r>
      <w:r>
        <w:rPr>
          <w:rFonts w:ascii="Cambria" w:hAnsi="Cambria"/>
          <w:i/>
        </w:rPr>
        <w:t>Quarantine (Christmas Island) Proclamation 2004</w:t>
      </w:r>
      <w:r>
        <w:rPr>
          <w:rFonts w:ascii="Cambria" w:hAnsi="Cambria"/>
        </w:rPr>
        <w:t xml:space="preserve"> specify the things a Director of Animal and Plant Quarantine must take into account when deciding whether to grant a permit.</w:t>
      </w:r>
    </w:p>
    <w:p w:rsidR="00C74066" w:rsidRDefault="00F10705">
      <w:pPr>
        <w:spacing w:before="200"/>
        <w:rPr>
          <w:rFonts w:ascii="Cambria" w:hAnsi="Cambria"/>
        </w:rPr>
      </w:pPr>
      <w:r>
        <w:rPr>
          <w:rFonts w:ascii="Cambria" w:hAnsi="Cambria"/>
        </w:rPr>
        <w:t>In particular, a Director of Animal and Plant Quarantine (or delegate):</w:t>
      </w:r>
    </w:p>
    <w:p w:rsidR="00C74066" w:rsidRDefault="00F10705">
      <w:pPr>
        <w:pStyle w:val="ListBullet"/>
        <w:tabs>
          <w:tab w:val="clear" w:pos="360"/>
          <w:tab w:val="num" w:pos="284"/>
        </w:tabs>
        <w:ind w:left="284" w:hanging="284"/>
        <w:rPr>
          <w:rFonts w:ascii="Cambria" w:hAnsi="Cambria"/>
        </w:rPr>
      </w:pPr>
      <w:r>
        <w:rPr>
          <w:rFonts w:ascii="Cambria" w:hAnsi="Cambria"/>
        </w:rPr>
        <w:t>must consider the level of quarantine risk if the permit were granted;</w:t>
      </w:r>
    </w:p>
    <w:p w:rsidR="00C74066" w:rsidRDefault="00F10705">
      <w:pPr>
        <w:pStyle w:val="ListBullet"/>
        <w:tabs>
          <w:tab w:val="clear" w:pos="360"/>
          <w:tab w:val="num" w:pos="284"/>
        </w:tabs>
        <w:ind w:left="284" w:hanging="284"/>
        <w:rPr>
          <w:rFonts w:ascii="Cambria" w:hAnsi="Cambria"/>
        </w:rPr>
      </w:pPr>
      <w:r>
        <w:rPr>
          <w:rFonts w:ascii="Cambria" w:hAnsi="Cambria"/>
        </w:rPr>
        <w:t>must consider whether, if the permit were granted, the imposition of conditions would be necessary to limit the level of quarantine risk to one that is acceptably low;</w:t>
      </w:r>
    </w:p>
    <w:p w:rsidR="00C74066" w:rsidRDefault="00F10705">
      <w:pPr>
        <w:pStyle w:val="ListBullet"/>
        <w:tabs>
          <w:tab w:val="clear" w:pos="360"/>
          <w:tab w:val="num" w:pos="284"/>
        </w:tabs>
        <w:ind w:left="284" w:hanging="284"/>
        <w:rPr>
          <w:rFonts w:ascii="Cambria" w:hAnsi="Cambria"/>
        </w:rPr>
      </w:pPr>
      <w:r>
        <w:rPr>
          <w:rFonts w:ascii="Cambria" w:hAnsi="Cambria"/>
        </w:rPr>
        <w:t xml:space="preserve">for a permit to import a seed of a plant that was produced by genetic manipulation—must take into account any risk assessment prepared, and any decision made, in relation to the seed under the </w:t>
      </w:r>
      <w:r>
        <w:rPr>
          <w:rFonts w:ascii="Cambria" w:hAnsi="Cambria"/>
          <w:i/>
        </w:rPr>
        <w:t>Gene Technology Act</w:t>
      </w:r>
      <w:r>
        <w:rPr>
          <w:rFonts w:ascii="Cambria" w:hAnsi="Cambria"/>
        </w:rPr>
        <w:t xml:space="preserve">; and </w:t>
      </w:r>
    </w:p>
    <w:p w:rsidR="00C74066" w:rsidRDefault="00F10705">
      <w:pPr>
        <w:pStyle w:val="ListBullet"/>
        <w:tabs>
          <w:tab w:val="clear" w:pos="360"/>
          <w:tab w:val="num" w:pos="284"/>
        </w:tabs>
        <w:ind w:left="284" w:hanging="284"/>
        <w:rPr>
          <w:rFonts w:ascii="Cambria" w:hAnsi="Cambria"/>
        </w:rPr>
      </w:pPr>
      <w:r>
        <w:rPr>
          <w:rFonts w:ascii="Cambria" w:hAnsi="Cambria"/>
        </w:rPr>
        <w:t>may take into account anything else that he or she knows is relevant.</w:t>
      </w:r>
    </w:p>
    <w:p w:rsidR="00C74066" w:rsidRDefault="00F10705">
      <w:pPr>
        <w:spacing w:before="200"/>
        <w:rPr>
          <w:rFonts w:ascii="Cambria" w:hAnsi="Cambria"/>
        </w:rPr>
      </w:pPr>
      <w:r>
        <w:rPr>
          <w:rFonts w:ascii="Cambria" w:hAnsi="Cambria"/>
        </w:rPr>
        <w:t xml:space="preserve">The level of quarantine risk is defined in section 5D of the </w:t>
      </w:r>
      <w:r>
        <w:rPr>
          <w:rFonts w:ascii="Cambria" w:hAnsi="Cambria"/>
          <w:i/>
        </w:rPr>
        <w:t>Quarantine Act 1908</w:t>
      </w:r>
      <w:r>
        <w:rPr>
          <w:rFonts w:ascii="Cambria" w:hAnsi="Cambria"/>
        </w:rPr>
        <w:t>. The definition is as follows:</w:t>
      </w:r>
    </w:p>
    <w:p w:rsidR="00C74066" w:rsidRDefault="00F10705">
      <w:pPr>
        <w:rPr>
          <w:rFonts w:ascii="Cambria" w:hAnsi="Cambria"/>
        </w:rPr>
      </w:pPr>
      <w:r>
        <w:rPr>
          <w:rFonts w:ascii="Cambria" w:hAnsi="Cambria"/>
        </w:rPr>
        <w:t xml:space="preserve">reference in this Act to a </w:t>
      </w:r>
      <w:r>
        <w:rPr>
          <w:rFonts w:ascii="Cambria" w:hAnsi="Cambria"/>
          <w:i/>
        </w:rPr>
        <w:t>level of quarantine risk</w:t>
      </w:r>
      <w:r>
        <w:rPr>
          <w:rFonts w:ascii="Cambria" w:hAnsi="Cambria"/>
        </w:rPr>
        <w:t xml:space="preserve"> is a reference to:</w:t>
      </w:r>
    </w:p>
    <w:p w:rsidR="00C74066" w:rsidRDefault="00F10705">
      <w:pPr>
        <w:pStyle w:val="ListNumber2"/>
        <w:rPr>
          <w:szCs w:val="22"/>
        </w:rPr>
      </w:pPr>
      <w:r>
        <w:rPr>
          <w:szCs w:val="22"/>
        </w:rPr>
        <w:t>the probability of:</w:t>
      </w:r>
    </w:p>
    <w:p w:rsidR="00C74066" w:rsidRDefault="00F10705">
      <w:pPr>
        <w:pStyle w:val="ListNumber3"/>
        <w:rPr>
          <w:szCs w:val="22"/>
        </w:rPr>
      </w:pPr>
      <w:r>
        <w:rPr>
          <w:szCs w:val="22"/>
        </w:rPr>
        <w:lastRenderedPageBreak/>
        <w:t>a disease or pest being introduced, established or spread in Australia, the Cocos Islands or Christmas Island; and</w:t>
      </w:r>
    </w:p>
    <w:p w:rsidR="00C74066" w:rsidRDefault="00F10705">
      <w:pPr>
        <w:pStyle w:val="ListNumber3"/>
        <w:rPr>
          <w:szCs w:val="22"/>
        </w:rPr>
      </w:pPr>
      <w:r>
        <w:rPr>
          <w:szCs w:val="22"/>
        </w:rPr>
        <w:t>the disease or pest causing harm to human beings, animals, plants, other aspects of the environment, or economic activities; and</w:t>
      </w:r>
    </w:p>
    <w:p w:rsidR="00C74066" w:rsidRDefault="00F10705">
      <w:pPr>
        <w:pStyle w:val="ListNumber2"/>
        <w:rPr>
          <w:szCs w:val="22"/>
        </w:rPr>
      </w:pPr>
      <w:r>
        <w:rPr>
          <w:szCs w:val="22"/>
        </w:rPr>
        <w:t>the probable extent of the harm.</w:t>
      </w:r>
    </w:p>
    <w:p w:rsidR="00C74066" w:rsidRDefault="00F10705">
      <w:pPr>
        <w:spacing w:before="200"/>
        <w:rPr>
          <w:rFonts w:ascii="Cambria" w:hAnsi="Cambria"/>
        </w:rPr>
      </w:pPr>
      <w:r>
        <w:rPr>
          <w:rFonts w:ascii="Cambria" w:hAnsi="Cambria"/>
        </w:rPr>
        <w:t xml:space="preserve">The </w:t>
      </w:r>
      <w:r>
        <w:rPr>
          <w:rFonts w:ascii="Cambria" w:hAnsi="Cambria"/>
          <w:i/>
        </w:rPr>
        <w:t>Quarantine Regulations 2000</w:t>
      </w:r>
      <w:r>
        <w:rPr>
          <w:rFonts w:ascii="Cambria" w:hAnsi="Cambria"/>
        </w:rPr>
        <w:t xml:space="preserve"> were amended in 2007 to regulate keys steps of the import risk analysis process. The Regulations:</w:t>
      </w:r>
    </w:p>
    <w:p w:rsidR="00C74066" w:rsidRDefault="00F10705">
      <w:pPr>
        <w:pStyle w:val="ListBullet"/>
        <w:tabs>
          <w:tab w:val="clear" w:pos="360"/>
          <w:tab w:val="num" w:pos="284"/>
        </w:tabs>
        <w:ind w:left="284" w:hanging="284"/>
        <w:rPr>
          <w:rFonts w:ascii="Cambria" w:hAnsi="Cambria"/>
        </w:rPr>
      </w:pPr>
      <w:r>
        <w:rPr>
          <w:rFonts w:ascii="Cambria" w:hAnsi="Cambria"/>
        </w:rPr>
        <w:t>define both a standard and an expanded IRA;</w:t>
      </w:r>
    </w:p>
    <w:p w:rsidR="00C74066" w:rsidRDefault="00F10705">
      <w:pPr>
        <w:pStyle w:val="ListBullet"/>
        <w:tabs>
          <w:tab w:val="clear" w:pos="360"/>
          <w:tab w:val="num" w:pos="284"/>
        </w:tabs>
        <w:ind w:left="284" w:hanging="284"/>
        <w:rPr>
          <w:rFonts w:ascii="Cambria" w:hAnsi="Cambria"/>
        </w:rPr>
      </w:pPr>
      <w:r>
        <w:rPr>
          <w:rFonts w:ascii="Cambria" w:hAnsi="Cambria"/>
        </w:rPr>
        <w:t>identify certain steps, which must be included in each type of IRA;</w:t>
      </w:r>
    </w:p>
    <w:p w:rsidR="00C74066" w:rsidRDefault="00F10705">
      <w:pPr>
        <w:pStyle w:val="ListBullet"/>
        <w:tabs>
          <w:tab w:val="clear" w:pos="360"/>
          <w:tab w:val="num" w:pos="284"/>
        </w:tabs>
        <w:ind w:left="284" w:hanging="284"/>
        <w:rPr>
          <w:rFonts w:ascii="Cambria" w:hAnsi="Cambria"/>
        </w:rPr>
      </w:pPr>
      <w:r>
        <w:rPr>
          <w:rFonts w:ascii="Cambria" w:hAnsi="Cambria"/>
        </w:rPr>
        <w:t>specify time limits for certain steps and overall timeframes for the completion of IRAs (up to 24 months for a standard IRA and up to 30 months for an expanded IRA);</w:t>
      </w:r>
    </w:p>
    <w:p w:rsidR="00C74066" w:rsidRDefault="00F10705">
      <w:pPr>
        <w:pStyle w:val="ListBullet"/>
        <w:tabs>
          <w:tab w:val="clear" w:pos="360"/>
          <w:tab w:val="num" w:pos="284"/>
        </w:tabs>
        <w:ind w:left="284" w:hanging="284"/>
        <w:rPr>
          <w:rFonts w:ascii="Cambria" w:hAnsi="Cambria"/>
        </w:rPr>
      </w:pPr>
      <w:r>
        <w:rPr>
          <w:rFonts w:ascii="Cambria" w:hAnsi="Cambria"/>
        </w:rPr>
        <w:t>specify publication requirements;</w:t>
      </w:r>
    </w:p>
    <w:p w:rsidR="00C74066" w:rsidRDefault="00F10705">
      <w:pPr>
        <w:pStyle w:val="ListBullet"/>
        <w:tabs>
          <w:tab w:val="clear" w:pos="360"/>
          <w:tab w:val="num" w:pos="284"/>
        </w:tabs>
        <w:ind w:left="284" w:hanging="284"/>
        <w:rPr>
          <w:rFonts w:ascii="Cambria" w:hAnsi="Cambria"/>
        </w:rPr>
      </w:pPr>
      <w:r>
        <w:rPr>
          <w:rFonts w:ascii="Cambria" w:hAnsi="Cambria"/>
        </w:rPr>
        <w:t>make provision for termination of an IRA; and</w:t>
      </w:r>
    </w:p>
    <w:p w:rsidR="00C74066" w:rsidRDefault="00F10705">
      <w:pPr>
        <w:pStyle w:val="ListBullet"/>
        <w:tabs>
          <w:tab w:val="clear" w:pos="360"/>
          <w:tab w:val="num" w:pos="284"/>
        </w:tabs>
        <w:ind w:left="284" w:hanging="284"/>
        <w:rPr>
          <w:rFonts w:ascii="Cambria" w:hAnsi="Cambria"/>
        </w:rPr>
      </w:pPr>
      <w:r>
        <w:rPr>
          <w:rFonts w:ascii="Cambria" w:hAnsi="Cambria"/>
        </w:rPr>
        <w:t>allow for a partially completed risk analysis to be completed as an IRA under the Regulations.</w:t>
      </w:r>
    </w:p>
    <w:p w:rsidR="00C74066" w:rsidRDefault="00F10705">
      <w:pPr>
        <w:spacing w:before="200"/>
        <w:rPr>
          <w:rFonts w:ascii="Cambria" w:hAnsi="Cambria"/>
        </w:rPr>
      </w:pPr>
      <w:r>
        <w:rPr>
          <w:rFonts w:ascii="Cambria" w:hAnsi="Cambria"/>
        </w:rPr>
        <w:t xml:space="preserve">The Regulations are available on the </w:t>
      </w:r>
      <w:hyperlink r:id="rId46" w:history="1">
        <w:r>
          <w:rPr>
            <w:rStyle w:val="Hyperlink"/>
            <w:rFonts w:ascii="Cambria" w:hAnsi="Cambria"/>
          </w:rPr>
          <w:t>ComLaw</w:t>
        </w:r>
      </w:hyperlink>
      <w:r>
        <w:rPr>
          <w:rFonts w:ascii="Cambria" w:hAnsi="Cambria"/>
        </w:rPr>
        <w:t xml:space="preserve"> website.</w:t>
      </w:r>
    </w:p>
    <w:p w:rsidR="00C74066" w:rsidRDefault="00F10705">
      <w:pPr>
        <w:pStyle w:val="Heading3Nonumber"/>
      </w:pPr>
      <w:bookmarkStart w:id="210" w:name="_Toc384209888"/>
      <w:r>
        <w:t>International agreements and standards</w:t>
      </w:r>
      <w:bookmarkEnd w:id="210"/>
    </w:p>
    <w:p w:rsidR="00C74066" w:rsidRDefault="00F10705">
      <w:pPr>
        <w:spacing w:before="200"/>
        <w:rPr>
          <w:rFonts w:ascii="Cambria" w:hAnsi="Cambria"/>
        </w:rPr>
      </w:pPr>
      <w:r>
        <w:rPr>
          <w:rFonts w:ascii="Cambria" w:hAnsi="Cambria"/>
        </w:rPr>
        <w:t xml:space="preserve">The process set out in the </w:t>
      </w:r>
      <w:r>
        <w:rPr>
          <w:rFonts w:ascii="Cambria" w:hAnsi="Cambria"/>
          <w:i/>
        </w:rPr>
        <w:t>Import Risk Analysis Handbook 2011</w:t>
      </w:r>
      <w:r>
        <w:rPr>
          <w:rFonts w:ascii="Cambria" w:hAnsi="Cambria"/>
        </w:rPr>
        <w:t xml:space="preserve"> is consistent with Australia’s international obligations under the SPS Agreement. It also takes into account relevant international standards on risk assessment developed under the International Plant Protection Convention (IPPC) and by the World Organisation for Animal Health (OIE).</w:t>
      </w:r>
    </w:p>
    <w:p w:rsidR="00C74066" w:rsidRDefault="00F10705">
      <w:pPr>
        <w:spacing w:before="200"/>
        <w:rPr>
          <w:rFonts w:ascii="Cambria" w:hAnsi="Cambria"/>
        </w:rPr>
      </w:pPr>
      <w:r>
        <w:rPr>
          <w:rFonts w:ascii="Cambria" w:hAnsi="Cambria"/>
        </w:rPr>
        <w:t>Australia bases its national risk management measures on international standards where they exist and when they achieve Australia’s ALOP. Otherwise, Australia exercises its right under the SPS Agreement to apply science-based sanitary and phytosanitary measures that are not more trade restrictive than required to achieve Australia’s ALOP.</w:t>
      </w:r>
    </w:p>
    <w:p w:rsidR="00C74066" w:rsidRDefault="00F10705">
      <w:pPr>
        <w:pStyle w:val="Heading3Nonumber"/>
      </w:pPr>
      <w:bookmarkStart w:id="211" w:name="_Toc384209889"/>
      <w:r>
        <w:t>Notification obligations</w:t>
      </w:r>
      <w:bookmarkEnd w:id="211"/>
    </w:p>
    <w:p w:rsidR="00C74066" w:rsidRDefault="00F10705">
      <w:pPr>
        <w:spacing w:before="200"/>
        <w:rPr>
          <w:rFonts w:ascii="Cambria" w:hAnsi="Cambria"/>
        </w:rPr>
      </w:pPr>
      <w:r>
        <w:rPr>
          <w:rFonts w:ascii="Cambria" w:hAnsi="Cambria"/>
        </w:rPr>
        <w:t>Under the transparency provisions of the SPS Agreement, WTO Members are required, among other things, to notify other members of proposed sanitary or phytosanitary regulations, or changes to existing regulations, that are not substantially the same as the content of an international standard and that may have a significant effect on trade of other WTO Members.</w:t>
      </w:r>
    </w:p>
    <w:p w:rsidR="00C74066" w:rsidRDefault="00F10705">
      <w:pPr>
        <w:pStyle w:val="Heading3Nonumber"/>
      </w:pPr>
      <w:bookmarkStart w:id="212" w:name="_Toc384209890"/>
      <w:r>
        <w:t>Risk analysis</w:t>
      </w:r>
      <w:bookmarkEnd w:id="212"/>
    </w:p>
    <w:p w:rsidR="00C74066" w:rsidRDefault="00F10705">
      <w:pPr>
        <w:spacing w:before="200"/>
        <w:rPr>
          <w:rFonts w:ascii="Cambria" w:hAnsi="Cambria"/>
        </w:rPr>
      </w:pPr>
      <w:r>
        <w:rPr>
          <w:rFonts w:ascii="Cambria" w:hAnsi="Cambria"/>
        </w:rPr>
        <w:t>Within Australia’s quarantine framework, the Australian Government uses risk analyses to assist it in considering the level of quarantine risk that may be associated with the importation or proposed importation of animals, plants or other goods.</w:t>
      </w:r>
    </w:p>
    <w:p w:rsidR="00C74066" w:rsidRDefault="00F10705">
      <w:pPr>
        <w:spacing w:before="200"/>
        <w:rPr>
          <w:rFonts w:ascii="Cambria" w:hAnsi="Cambria"/>
        </w:rPr>
      </w:pPr>
      <w:r>
        <w:rPr>
          <w:rFonts w:ascii="Cambria" w:hAnsi="Cambria"/>
        </w:rPr>
        <w:t>In conducting a risk analysis, the department:</w:t>
      </w:r>
    </w:p>
    <w:p w:rsidR="00C74066" w:rsidRDefault="00F10705">
      <w:pPr>
        <w:pStyle w:val="ListBullet"/>
        <w:tabs>
          <w:tab w:val="clear" w:pos="360"/>
          <w:tab w:val="num" w:pos="284"/>
        </w:tabs>
        <w:ind w:left="284" w:hanging="284"/>
        <w:rPr>
          <w:rFonts w:ascii="Cambria" w:hAnsi="Cambria"/>
        </w:rPr>
      </w:pPr>
      <w:r>
        <w:rPr>
          <w:rFonts w:ascii="Cambria" w:hAnsi="Cambria"/>
        </w:rPr>
        <w:t>identifies the pests and diseases of quarantine concern that may be carried by the good;</w:t>
      </w:r>
    </w:p>
    <w:p w:rsidR="00C74066" w:rsidRDefault="00F10705">
      <w:pPr>
        <w:pStyle w:val="ListBullet"/>
        <w:tabs>
          <w:tab w:val="clear" w:pos="360"/>
          <w:tab w:val="num" w:pos="284"/>
        </w:tabs>
        <w:ind w:left="284" w:hanging="284"/>
        <w:rPr>
          <w:rFonts w:ascii="Cambria" w:hAnsi="Cambria"/>
        </w:rPr>
      </w:pPr>
      <w:r>
        <w:rPr>
          <w:rFonts w:ascii="Cambria" w:hAnsi="Cambria"/>
        </w:rPr>
        <w:lastRenderedPageBreak/>
        <w:t>assesses the likelihood that an identified pest or disease would enter, establish or spread; and</w:t>
      </w:r>
    </w:p>
    <w:p w:rsidR="00C74066" w:rsidRDefault="00F10705">
      <w:pPr>
        <w:pStyle w:val="ListBullet"/>
        <w:tabs>
          <w:tab w:val="clear" w:pos="360"/>
          <w:tab w:val="num" w:pos="284"/>
        </w:tabs>
        <w:ind w:left="284" w:hanging="284"/>
        <w:rPr>
          <w:rFonts w:ascii="Cambria" w:hAnsi="Cambria"/>
        </w:rPr>
      </w:pPr>
      <w:r>
        <w:rPr>
          <w:rFonts w:ascii="Cambria" w:hAnsi="Cambria"/>
        </w:rPr>
        <w:t>assesses the probable extent of the harm that would result.</w:t>
      </w:r>
    </w:p>
    <w:p w:rsidR="00C74066" w:rsidRDefault="00F10705">
      <w:pPr>
        <w:spacing w:before="200"/>
        <w:rPr>
          <w:rFonts w:ascii="Cambria" w:hAnsi="Cambria"/>
        </w:rPr>
      </w:pPr>
      <w:r>
        <w:rPr>
          <w:rFonts w:ascii="Cambria" w:hAnsi="Cambria"/>
        </w:rPr>
        <w:t>If the assessed level of quarantine risk exceeds Australia’s ALOP, the department will consider whether there are any risk management measures that will reduce quarantine risk to achieve the ALOP. If there are no risk management measures that reduce the risk to that level, trade will not be allowed.</w:t>
      </w:r>
    </w:p>
    <w:p w:rsidR="00C74066" w:rsidRDefault="00F10705">
      <w:pPr>
        <w:spacing w:before="200"/>
        <w:rPr>
          <w:rFonts w:ascii="Cambria" w:hAnsi="Cambria"/>
        </w:rPr>
      </w:pPr>
      <w:r>
        <w:rPr>
          <w:rFonts w:ascii="Cambria" w:hAnsi="Cambria"/>
        </w:rPr>
        <w:t>Risk analyses carried out by specialists within the department, may also involve relevant experts from state and territory agencies, the Commonwealth Scientific and Industrial Research Organisation (CSIRO), universities and industry to access the technical expertise needed for a particular analysis.</w:t>
      </w:r>
    </w:p>
    <w:p w:rsidR="00C74066" w:rsidRDefault="00F10705">
      <w:pPr>
        <w:spacing w:before="200"/>
        <w:rPr>
          <w:rFonts w:ascii="Cambria" w:hAnsi="Cambria"/>
          <w:i/>
        </w:rPr>
      </w:pPr>
      <w:r>
        <w:rPr>
          <w:rFonts w:ascii="Cambria" w:hAnsi="Cambria"/>
        </w:rPr>
        <w:t xml:space="preserve">Risk analyses are conducted across a spectrum of scientific complexity and available scientific information. An IRA is a type of risk analysis with key steps regulated under the </w:t>
      </w:r>
      <w:r>
        <w:rPr>
          <w:rFonts w:ascii="Cambria" w:hAnsi="Cambria"/>
          <w:i/>
        </w:rPr>
        <w:t>Quarantine Regulations 2000</w:t>
      </w:r>
      <w:r>
        <w:rPr>
          <w:rFonts w:ascii="Cambria" w:hAnsi="Cambria"/>
        </w:rPr>
        <w:t xml:space="preserve">. The department’s assessment of risk may also take the form of a non-regulated analysis of existing policy or technical advice. Further information on the types of risk analysis is provided in the </w:t>
      </w:r>
      <w:r>
        <w:rPr>
          <w:rFonts w:ascii="Cambria" w:hAnsi="Cambria"/>
          <w:i/>
        </w:rPr>
        <w:t>Import Risk Analysis Handbook 2011.</w:t>
      </w:r>
    </w:p>
    <w:p w:rsidR="00C74066" w:rsidRDefault="00C74066">
      <w:pPr>
        <w:rPr>
          <w:i/>
        </w:rPr>
      </w:pPr>
    </w:p>
    <w:p w:rsidR="00C74066" w:rsidRDefault="00C74066">
      <w:pPr>
        <w:pStyle w:val="Heading1"/>
        <w:sectPr w:rsidR="00C74066" w:rsidSect="00873038">
          <w:headerReference w:type="default" r:id="rId47"/>
          <w:pgSz w:w="11906" w:h="16838"/>
          <w:pgMar w:top="1418" w:right="1418" w:bottom="1418" w:left="1418" w:header="567" w:footer="283" w:gutter="0"/>
          <w:cols w:space="708"/>
          <w:docGrid w:linePitch="360"/>
        </w:sectPr>
      </w:pPr>
      <w:bookmarkStart w:id="213" w:name="_Toc387412877"/>
    </w:p>
    <w:p w:rsidR="00C74066" w:rsidRDefault="00F10705">
      <w:pPr>
        <w:pStyle w:val="Heading1nonumbers"/>
        <w:rPr>
          <w:lang w:val="en-AU"/>
        </w:rPr>
      </w:pPr>
      <w:bookmarkStart w:id="214" w:name="_Toc392488738"/>
      <w:bookmarkStart w:id="215" w:name="_Toc434247483"/>
      <w:r>
        <w:rPr>
          <w:lang w:val="en-AU"/>
        </w:rPr>
        <w:lastRenderedPageBreak/>
        <w:t>Glossary</w:t>
      </w:r>
      <w:bookmarkEnd w:id="213"/>
      <w:bookmarkEnd w:id="214"/>
      <w:bookmarkEnd w:id="215"/>
    </w:p>
    <w:tbl>
      <w:tblPr>
        <w:tblW w:w="5000" w:type="pct"/>
        <w:tblBorders>
          <w:top w:val="single" w:sz="4" w:space="0" w:color="auto"/>
          <w:bottom w:val="single" w:sz="4" w:space="0" w:color="auto"/>
        </w:tblBorders>
        <w:tblLook w:val="04A0"/>
      </w:tblPr>
      <w:tblGrid>
        <w:gridCol w:w="2803"/>
        <w:gridCol w:w="6483"/>
      </w:tblGrid>
      <w:tr w:rsidR="00C74066">
        <w:tc>
          <w:tcPr>
            <w:tcW w:w="1509" w:type="pct"/>
          </w:tcPr>
          <w:p w:rsidR="00C74066" w:rsidRDefault="00F10705">
            <w:pPr>
              <w:pStyle w:val="TableHeading"/>
              <w:rPr>
                <w:rFonts w:ascii="Cambria" w:hAnsi="Cambria"/>
                <w:szCs w:val="18"/>
              </w:rPr>
            </w:pPr>
            <w:r>
              <w:rPr>
                <w:rFonts w:ascii="Cambria" w:hAnsi="Cambria"/>
                <w:szCs w:val="18"/>
              </w:rPr>
              <w:t>Term or abbreviation</w:t>
            </w:r>
          </w:p>
        </w:tc>
        <w:tc>
          <w:tcPr>
            <w:tcW w:w="3491" w:type="pct"/>
          </w:tcPr>
          <w:p w:rsidR="00C74066" w:rsidRDefault="00F10705">
            <w:pPr>
              <w:pStyle w:val="TableHeading"/>
              <w:rPr>
                <w:rFonts w:ascii="Cambria" w:hAnsi="Cambria"/>
                <w:szCs w:val="18"/>
              </w:rPr>
            </w:pPr>
            <w:r>
              <w:rPr>
                <w:rFonts w:ascii="Cambria" w:hAnsi="Cambria"/>
                <w:szCs w:val="18"/>
              </w:rPr>
              <w:t>Definition</w:t>
            </w:r>
          </w:p>
        </w:tc>
      </w:tr>
      <w:tr w:rsidR="00C74066">
        <w:tc>
          <w:tcPr>
            <w:tcW w:w="1509" w:type="pct"/>
          </w:tcPr>
          <w:p w:rsidR="00C74066" w:rsidRDefault="00F10705">
            <w:pPr>
              <w:pStyle w:val="TableText"/>
              <w:rPr>
                <w:rFonts w:ascii="Cambria" w:hAnsi="Cambria"/>
                <w:szCs w:val="18"/>
              </w:rPr>
            </w:pPr>
            <w:r>
              <w:rPr>
                <w:rFonts w:ascii="Cambria" w:hAnsi="Cambria"/>
                <w:szCs w:val="18"/>
              </w:rPr>
              <w:t>Additional declaration</w:t>
            </w:r>
          </w:p>
        </w:tc>
        <w:tc>
          <w:tcPr>
            <w:tcW w:w="3491" w:type="pct"/>
          </w:tcPr>
          <w:p w:rsidR="00C74066" w:rsidRDefault="00F10705">
            <w:pPr>
              <w:pStyle w:val="TableText"/>
              <w:rPr>
                <w:rFonts w:ascii="Cambria" w:hAnsi="Cambria"/>
                <w:szCs w:val="18"/>
              </w:rPr>
            </w:pPr>
            <w:r>
              <w:rPr>
                <w:rFonts w:ascii="Cambria" w:hAnsi="Cambria"/>
                <w:szCs w:val="18"/>
              </w:rPr>
              <w:t xml:space="preserve">A statement that is required by an importing country to be entered on a phytosanitary certificate and which provides specific additional information on a consignment in relation to regulated pests </w:t>
            </w:r>
            <w:r w:rsidR="00C57DCF">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C57DCF">
              <w:rPr>
                <w:rFonts w:ascii="Cambria" w:hAnsi="Cambria"/>
                <w:szCs w:val="18"/>
              </w:rPr>
              <w:fldChar w:fldCharType="separate"/>
            </w:r>
            <w:r>
              <w:rPr>
                <w:rFonts w:ascii="Cambria" w:hAnsi="Cambria"/>
                <w:szCs w:val="18"/>
              </w:rPr>
              <w:t>(FAO 2015)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rPr>
                <w:rFonts w:ascii="Cambria" w:hAnsi="Cambria"/>
                <w:szCs w:val="18"/>
              </w:rPr>
            </w:pPr>
            <w:r>
              <w:rPr>
                <w:rFonts w:ascii="Cambria" w:hAnsi="Cambria"/>
                <w:szCs w:val="18"/>
              </w:rPr>
              <w:t>Appropriate level of protection (ALOP)</w:t>
            </w:r>
          </w:p>
        </w:tc>
        <w:tc>
          <w:tcPr>
            <w:tcW w:w="3491" w:type="pct"/>
          </w:tcPr>
          <w:p w:rsidR="00C74066" w:rsidRDefault="00F10705">
            <w:pPr>
              <w:pStyle w:val="TableText"/>
              <w:rPr>
                <w:rFonts w:ascii="Cambria" w:hAnsi="Cambria"/>
                <w:szCs w:val="18"/>
              </w:rPr>
            </w:pPr>
            <w:r>
              <w:rPr>
                <w:rFonts w:ascii="Cambria" w:hAnsi="Cambria"/>
                <w:szCs w:val="18"/>
              </w:rPr>
              <w:t xml:space="preserve">The level of protection deemed appropriate by the Member establishing a sanitary or phytosanitary measure to protect human, animal or plant life or health within its territory </w:t>
            </w:r>
            <w:r w:rsidR="00C57DCF">
              <w:rPr>
                <w:rFonts w:ascii="Cambria" w:hAnsi="Cambria"/>
                <w:szCs w:val="18"/>
              </w:rPr>
              <w:fldChar w:fldCharType="begin"/>
            </w:r>
            <w:r>
              <w:rPr>
                <w:rFonts w:ascii="Cambria" w:hAnsi="Cambria"/>
                <w:szCs w:val="18"/>
              </w:rPr>
              <w:instrText xml:space="preserve"> ADDIN REFMGR.CITE &lt;Refman&gt;&lt;Cite&gt;&lt;Author&gt;WTO&lt;/Author&gt;&lt;Year&gt;1995&lt;/Year&gt;&lt;RecNum&gt;70051&lt;/RecNum&gt;&lt;IDText&gt;Agreement on the application of sanitary and phytosanitary measures&lt;/IDText&gt;&lt;MDL Ref_Type="Generic"&gt;&lt;Ref_Type&gt;Generic&lt;/Ref_Type&gt;&lt;Ref_ID&gt;70051&lt;/Ref_ID&gt;&lt;Title_Primary&gt;Agreement on the application of sanitary and phytosanitary measures&lt;/Title_Primary&gt;&lt;Authors_Primary&gt;WTO&lt;/Authors_Primary&gt;&lt;Date_Primary&gt;1995&lt;/Date_Primary&gt;&lt;Keywords&gt;Phytosanitary&lt;/Keywords&gt;&lt;Keywords&gt;Phytosanitary measures&lt;/Keywords&gt;&lt;Keywords&gt;Measures&lt;/Keywords&gt;&lt;Pub_Place&gt;Geneva&lt;/Pub_Place&gt;&lt;Publisher&gt;World Trade Organization&lt;/Publisher&gt;&lt;User_Def_1&gt;China table grapes sp Mexican avocados Pineapples from Malaysia Drosophila Canadian blueberries European grapevine moth jc PSTVd Unshu mandarins &lt;i&gt;Candidatus&lt;/i&gt; Liberibacter psyllarous sp&lt;/User_Def_1&gt;&lt;Web_URL&gt;&lt;u&gt;http://www.wto.org/english/docs_e/legal_e/15-sps.pdf&lt;/u&gt;&lt;/Web_URL&gt;&lt;Web_URL_Link1&gt;&lt;u&gt;J:\E Library\Plant Catalogue\W&lt;/u&gt;&lt;/Web_URL_Link1&gt;&lt;ZZ_WorkformID&gt;33&lt;/ZZ_WorkformID&gt;&lt;/MDL&gt;&lt;/Cite&gt;&lt;/Refman&gt;</w:instrText>
            </w:r>
            <w:r w:rsidR="00C57DCF">
              <w:rPr>
                <w:rFonts w:ascii="Cambria" w:hAnsi="Cambria"/>
                <w:szCs w:val="18"/>
              </w:rPr>
              <w:fldChar w:fldCharType="separate"/>
            </w:r>
            <w:r>
              <w:rPr>
                <w:rFonts w:ascii="Cambria" w:hAnsi="Cambria"/>
                <w:szCs w:val="18"/>
              </w:rPr>
              <w:t>(WTO 1995)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rPr>
                <w:rFonts w:ascii="Cambria" w:hAnsi="Cambria"/>
                <w:szCs w:val="18"/>
              </w:rPr>
            </w:pPr>
            <w:r>
              <w:rPr>
                <w:rFonts w:ascii="Cambria" w:hAnsi="Cambria"/>
                <w:szCs w:val="18"/>
              </w:rPr>
              <w:t>Area</w:t>
            </w:r>
          </w:p>
        </w:tc>
        <w:tc>
          <w:tcPr>
            <w:tcW w:w="3491" w:type="pct"/>
          </w:tcPr>
          <w:p w:rsidR="00C74066" w:rsidRDefault="00F10705">
            <w:pPr>
              <w:pStyle w:val="TableText"/>
              <w:rPr>
                <w:rFonts w:ascii="Cambria" w:hAnsi="Cambria"/>
                <w:szCs w:val="18"/>
              </w:rPr>
            </w:pPr>
            <w:r>
              <w:rPr>
                <w:rFonts w:ascii="Cambria" w:hAnsi="Cambria"/>
                <w:szCs w:val="18"/>
              </w:rPr>
              <w:t xml:space="preserve">An officially defined country, part of a country or all or parts of several countries </w:t>
            </w:r>
            <w:r w:rsidR="00C57DCF">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C57DCF">
              <w:rPr>
                <w:rFonts w:ascii="Cambria" w:hAnsi="Cambria"/>
                <w:szCs w:val="18"/>
              </w:rPr>
              <w:fldChar w:fldCharType="separate"/>
            </w:r>
            <w:r>
              <w:rPr>
                <w:rFonts w:ascii="Cambria" w:hAnsi="Cambria"/>
                <w:szCs w:val="18"/>
              </w:rPr>
              <w:t>(FAO 2015)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rPr>
                <w:rFonts w:ascii="Cambria" w:hAnsi="Cambria"/>
                <w:szCs w:val="18"/>
              </w:rPr>
            </w:pPr>
            <w:r>
              <w:rPr>
                <w:rFonts w:ascii="Cambria" w:hAnsi="Cambria"/>
                <w:szCs w:val="18"/>
              </w:rPr>
              <w:t>Area of low pest prevalence</w:t>
            </w:r>
          </w:p>
        </w:tc>
        <w:tc>
          <w:tcPr>
            <w:tcW w:w="3491" w:type="pct"/>
          </w:tcPr>
          <w:p w:rsidR="00C74066" w:rsidRDefault="00F10705">
            <w:pPr>
              <w:pStyle w:val="TableText"/>
              <w:rPr>
                <w:rFonts w:ascii="Cambria" w:hAnsi="Cambria"/>
                <w:szCs w:val="18"/>
              </w:rPr>
            </w:pPr>
            <w:r>
              <w:rPr>
                <w:rFonts w:ascii="Cambria" w:hAnsi="Cambria"/>
                <w:szCs w:val="18"/>
              </w:rPr>
              <w:t xml:space="preserve">An area, whether all of a country, part of a country, or all parts of several countries, as identified by the competent authorities, in which a specific pest occurs at low levels and which is subject to effective surveillance, control or eradication measures </w:t>
            </w:r>
            <w:r w:rsidR="00C57DCF">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C57DCF">
              <w:rPr>
                <w:rFonts w:ascii="Cambria" w:hAnsi="Cambria"/>
                <w:szCs w:val="18"/>
              </w:rPr>
              <w:fldChar w:fldCharType="separate"/>
            </w:r>
            <w:r>
              <w:rPr>
                <w:rFonts w:ascii="Cambria" w:hAnsi="Cambria"/>
                <w:szCs w:val="18"/>
              </w:rPr>
              <w:t>(FAO 2015)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rPr>
                <w:rFonts w:ascii="Cambria" w:hAnsi="Cambria"/>
                <w:szCs w:val="18"/>
              </w:rPr>
            </w:pPr>
            <w:r>
              <w:rPr>
                <w:rFonts w:ascii="Cambria" w:hAnsi="Cambria"/>
                <w:szCs w:val="18"/>
              </w:rPr>
              <w:t>Arthropod</w:t>
            </w:r>
          </w:p>
        </w:tc>
        <w:tc>
          <w:tcPr>
            <w:tcW w:w="3491" w:type="pct"/>
          </w:tcPr>
          <w:p w:rsidR="00C74066" w:rsidRDefault="00F10705">
            <w:pPr>
              <w:pStyle w:val="TableText"/>
              <w:rPr>
                <w:rFonts w:ascii="Cambria" w:hAnsi="Cambria"/>
                <w:szCs w:val="18"/>
              </w:rPr>
            </w:pPr>
            <w:r>
              <w:rPr>
                <w:rFonts w:ascii="Cambria" w:hAnsi="Cambria"/>
                <w:szCs w:val="18"/>
              </w:rPr>
              <w:t>The largest phylum of animals, including the insects, arachnids and crustaceans.</w:t>
            </w:r>
          </w:p>
        </w:tc>
      </w:tr>
      <w:tr w:rsidR="00C74066">
        <w:tc>
          <w:tcPr>
            <w:tcW w:w="1509" w:type="pct"/>
          </w:tcPr>
          <w:p w:rsidR="00C74066" w:rsidRDefault="00F10705">
            <w:pPr>
              <w:pStyle w:val="TableText"/>
              <w:rPr>
                <w:rFonts w:ascii="Cambria" w:hAnsi="Cambria"/>
                <w:szCs w:val="18"/>
              </w:rPr>
            </w:pPr>
            <w:r>
              <w:rPr>
                <w:rFonts w:ascii="Cambria" w:hAnsi="Cambria"/>
                <w:szCs w:val="18"/>
              </w:rPr>
              <w:t>Asexual reproduction</w:t>
            </w:r>
          </w:p>
        </w:tc>
        <w:tc>
          <w:tcPr>
            <w:tcW w:w="3491" w:type="pct"/>
          </w:tcPr>
          <w:p w:rsidR="00C74066" w:rsidRDefault="00F10705">
            <w:pPr>
              <w:pStyle w:val="TableText"/>
              <w:rPr>
                <w:rFonts w:ascii="Cambria" w:hAnsi="Cambria"/>
                <w:szCs w:val="18"/>
              </w:rPr>
            </w:pPr>
            <w:r>
              <w:rPr>
                <w:rFonts w:ascii="Cambria" w:hAnsi="Cambria"/>
                <w:szCs w:val="18"/>
              </w:rPr>
              <w:t>The development of new individual from a single cell or group of cells in the absence of meiosis.</w:t>
            </w:r>
          </w:p>
        </w:tc>
      </w:tr>
      <w:tr w:rsidR="00C74066">
        <w:tc>
          <w:tcPr>
            <w:tcW w:w="1509" w:type="pct"/>
          </w:tcPr>
          <w:p w:rsidR="00C74066" w:rsidRDefault="00F10705">
            <w:pPr>
              <w:pStyle w:val="TableText"/>
              <w:rPr>
                <w:rFonts w:ascii="Cambria" w:hAnsi="Cambria"/>
                <w:szCs w:val="18"/>
              </w:rPr>
            </w:pPr>
            <w:r>
              <w:rPr>
                <w:rFonts w:ascii="Cambria" w:hAnsi="Cambria"/>
                <w:szCs w:val="18"/>
              </w:rPr>
              <w:t>Chlamydospore</w:t>
            </w:r>
          </w:p>
        </w:tc>
        <w:tc>
          <w:tcPr>
            <w:tcW w:w="3491" w:type="pct"/>
          </w:tcPr>
          <w:p w:rsidR="00C74066" w:rsidRDefault="00F10705">
            <w:pPr>
              <w:pStyle w:val="TableText"/>
              <w:rPr>
                <w:rFonts w:ascii="Cambria" w:hAnsi="Cambria"/>
                <w:szCs w:val="18"/>
              </w:rPr>
            </w:pPr>
            <w:r>
              <w:rPr>
                <w:rFonts w:ascii="Cambria" w:hAnsi="Cambria"/>
                <w:szCs w:val="18"/>
              </w:rPr>
              <w:t>An asexual reproductive structure providing a resting spore that can survive adverse conditions better than sporangia.</w:t>
            </w:r>
          </w:p>
        </w:tc>
      </w:tr>
      <w:tr w:rsidR="00C74066">
        <w:tc>
          <w:tcPr>
            <w:tcW w:w="1509" w:type="pct"/>
          </w:tcPr>
          <w:p w:rsidR="00C74066" w:rsidRDefault="00F10705">
            <w:pPr>
              <w:pStyle w:val="TableText"/>
              <w:rPr>
                <w:rFonts w:ascii="Cambria" w:hAnsi="Cambria"/>
                <w:szCs w:val="18"/>
              </w:rPr>
            </w:pPr>
            <w:r>
              <w:rPr>
                <w:rFonts w:ascii="Cambria" w:hAnsi="Cambria"/>
                <w:szCs w:val="18"/>
              </w:rPr>
              <w:t>Clonal lineage</w:t>
            </w:r>
          </w:p>
        </w:tc>
        <w:tc>
          <w:tcPr>
            <w:tcW w:w="3491" w:type="pct"/>
          </w:tcPr>
          <w:p w:rsidR="00C74066" w:rsidRDefault="00F10705">
            <w:pPr>
              <w:pStyle w:val="TableText"/>
              <w:rPr>
                <w:rFonts w:ascii="Cambria" w:hAnsi="Cambria"/>
                <w:szCs w:val="18"/>
              </w:rPr>
            </w:pPr>
            <w:r>
              <w:rPr>
                <w:rFonts w:ascii="Cambria" w:hAnsi="Cambria"/>
                <w:szCs w:val="18"/>
              </w:rPr>
              <w:t>A population of asexually reproducing individuals descended from the same ancestor.</w:t>
            </w:r>
          </w:p>
        </w:tc>
      </w:tr>
      <w:tr w:rsidR="00C74066">
        <w:tc>
          <w:tcPr>
            <w:tcW w:w="1509" w:type="pct"/>
          </w:tcPr>
          <w:p w:rsidR="00C74066" w:rsidRDefault="00F10705">
            <w:pPr>
              <w:pStyle w:val="TableText"/>
              <w:rPr>
                <w:rFonts w:ascii="Cambria" w:hAnsi="Cambria"/>
                <w:szCs w:val="18"/>
              </w:rPr>
            </w:pPr>
            <w:r>
              <w:rPr>
                <w:rFonts w:ascii="Cambria" w:hAnsi="Cambria"/>
                <w:szCs w:val="18"/>
              </w:rPr>
              <w:t>Consignment</w:t>
            </w:r>
          </w:p>
        </w:tc>
        <w:tc>
          <w:tcPr>
            <w:tcW w:w="3491" w:type="pct"/>
          </w:tcPr>
          <w:p w:rsidR="00C74066" w:rsidRDefault="00F10705">
            <w:pPr>
              <w:pStyle w:val="TableText"/>
              <w:rPr>
                <w:rFonts w:ascii="Cambria" w:hAnsi="Cambria"/>
                <w:szCs w:val="18"/>
              </w:rPr>
            </w:pPr>
            <w:r>
              <w:rPr>
                <w:rFonts w:ascii="Cambria" w:hAnsi="Cambria"/>
                <w:szCs w:val="18"/>
              </w:rPr>
              <w:t xml:space="preserve">A quantity of plants, plant products or other articles being moved from one country to another and covered, when required, by a single phytosanitary certificate (a consignment may be composed of one or more commodities or lots) </w:t>
            </w:r>
            <w:r w:rsidR="00C57DCF">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C57DCF">
              <w:rPr>
                <w:rFonts w:ascii="Cambria" w:hAnsi="Cambria"/>
                <w:szCs w:val="18"/>
              </w:rPr>
              <w:fldChar w:fldCharType="separate"/>
            </w:r>
            <w:r>
              <w:rPr>
                <w:rFonts w:ascii="Cambria" w:hAnsi="Cambria"/>
                <w:szCs w:val="18"/>
              </w:rPr>
              <w:t>(FAO 2015)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rPr>
                <w:rFonts w:ascii="Cambria" w:hAnsi="Cambria"/>
                <w:szCs w:val="18"/>
              </w:rPr>
            </w:pPr>
            <w:r>
              <w:rPr>
                <w:rFonts w:ascii="Cambria" w:hAnsi="Cambria"/>
                <w:szCs w:val="18"/>
              </w:rPr>
              <w:t>Control (of a pest)</w:t>
            </w:r>
          </w:p>
        </w:tc>
        <w:tc>
          <w:tcPr>
            <w:tcW w:w="3491" w:type="pct"/>
          </w:tcPr>
          <w:p w:rsidR="00C74066" w:rsidRDefault="00F10705">
            <w:pPr>
              <w:pStyle w:val="TableText"/>
              <w:rPr>
                <w:rFonts w:ascii="Cambria" w:hAnsi="Cambria"/>
                <w:szCs w:val="18"/>
              </w:rPr>
            </w:pPr>
            <w:r>
              <w:rPr>
                <w:rFonts w:ascii="Cambria" w:hAnsi="Cambria"/>
                <w:szCs w:val="18"/>
              </w:rPr>
              <w:t xml:space="preserve">Suppression, containment or eradication of a pest population </w:t>
            </w:r>
            <w:r w:rsidR="00C57DCF">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C57DCF">
              <w:rPr>
                <w:rFonts w:ascii="Cambria" w:hAnsi="Cambria"/>
                <w:szCs w:val="18"/>
              </w:rPr>
              <w:fldChar w:fldCharType="separate"/>
            </w:r>
            <w:r>
              <w:rPr>
                <w:rFonts w:ascii="Cambria" w:hAnsi="Cambria"/>
                <w:szCs w:val="18"/>
              </w:rPr>
              <w:t>(FAO 2015)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rPr>
                <w:rFonts w:ascii="Cambria" w:hAnsi="Cambria"/>
                <w:szCs w:val="18"/>
              </w:rPr>
            </w:pPr>
            <w:r>
              <w:rPr>
                <w:rFonts w:ascii="Cambria" w:hAnsi="Cambria"/>
                <w:szCs w:val="18"/>
              </w:rPr>
              <w:t>Culturing</w:t>
            </w:r>
          </w:p>
        </w:tc>
        <w:tc>
          <w:tcPr>
            <w:tcW w:w="3491" w:type="pct"/>
          </w:tcPr>
          <w:p w:rsidR="00C74066" w:rsidRDefault="00F10705">
            <w:pPr>
              <w:spacing w:before="100" w:beforeAutospacing="1" w:after="100" w:afterAutospacing="1"/>
              <w:rPr>
                <w:rFonts w:ascii="Cambria" w:hAnsi="Cambria"/>
                <w:szCs w:val="18"/>
              </w:rPr>
            </w:pPr>
            <w:r>
              <w:rPr>
                <w:rFonts w:ascii="Cambria" w:hAnsi="Cambria"/>
                <w:sz w:val="18"/>
                <w:szCs w:val="18"/>
              </w:rPr>
              <w:t xml:space="preserve">A technique that multiplies plant cells, tissues or organs under controlled conditions suitable for plant growth, allowing disease screening to take place. </w:t>
            </w:r>
          </w:p>
        </w:tc>
      </w:tr>
      <w:tr w:rsidR="00C74066">
        <w:tc>
          <w:tcPr>
            <w:tcW w:w="1509" w:type="pct"/>
          </w:tcPr>
          <w:p w:rsidR="00C74066" w:rsidRDefault="00F10705">
            <w:pPr>
              <w:pStyle w:val="TableText"/>
              <w:rPr>
                <w:rFonts w:ascii="Cambria" w:hAnsi="Cambria"/>
                <w:szCs w:val="18"/>
              </w:rPr>
            </w:pPr>
            <w:r>
              <w:rPr>
                <w:rFonts w:ascii="Cambria" w:hAnsi="Cambria"/>
                <w:szCs w:val="18"/>
              </w:rPr>
              <w:t>Disease cycle</w:t>
            </w:r>
          </w:p>
        </w:tc>
        <w:tc>
          <w:tcPr>
            <w:tcW w:w="3491" w:type="pct"/>
          </w:tcPr>
          <w:p w:rsidR="00C74066" w:rsidRDefault="00F10705">
            <w:pPr>
              <w:pStyle w:val="TableText"/>
              <w:rPr>
                <w:rFonts w:ascii="Cambria" w:hAnsi="Cambria"/>
                <w:szCs w:val="18"/>
              </w:rPr>
            </w:pPr>
            <w:r>
              <w:rPr>
                <w:rFonts w:ascii="Cambria" w:hAnsi="Cambria"/>
                <w:szCs w:val="18"/>
              </w:rPr>
              <w:t>This is the sequence of events involved in disease development, including the stages of development of the pathogen and the effect of the disease on the host; the chain of events that occur between the time of infection and the final expression of disease (Shurtleff &amp; Averre 1997).</w:t>
            </w:r>
          </w:p>
        </w:tc>
      </w:tr>
      <w:tr w:rsidR="00C74066">
        <w:tc>
          <w:tcPr>
            <w:tcW w:w="1509" w:type="pct"/>
          </w:tcPr>
          <w:p w:rsidR="00C74066" w:rsidRDefault="00F10705">
            <w:pPr>
              <w:pStyle w:val="TableText"/>
              <w:rPr>
                <w:rFonts w:ascii="Cambria" w:hAnsi="Cambria"/>
                <w:szCs w:val="18"/>
              </w:rPr>
            </w:pPr>
            <w:r>
              <w:rPr>
                <w:rFonts w:ascii="Cambria" w:hAnsi="Cambria"/>
                <w:szCs w:val="18"/>
              </w:rPr>
              <w:t>Drenching</w:t>
            </w:r>
          </w:p>
        </w:tc>
        <w:tc>
          <w:tcPr>
            <w:tcW w:w="3491" w:type="pct"/>
          </w:tcPr>
          <w:p w:rsidR="00C74066" w:rsidRDefault="00F10705">
            <w:pPr>
              <w:pStyle w:val="TableText"/>
              <w:rPr>
                <w:rFonts w:ascii="Cambria" w:hAnsi="Cambria"/>
                <w:szCs w:val="18"/>
              </w:rPr>
            </w:pPr>
            <w:r>
              <w:rPr>
                <w:rFonts w:ascii="Cambria" w:hAnsi="Cambria"/>
                <w:szCs w:val="18"/>
              </w:rPr>
              <w:t>A technique used by quarantine authorities to remove organisms of quarantine concern. The technique involves the sufficient application of liquid to plant material to ensure adequate penetration of chemicals to control the risk of nematodes and fungi (Department of Agriculture 2006).</w:t>
            </w:r>
          </w:p>
        </w:tc>
      </w:tr>
      <w:tr w:rsidR="00C74066">
        <w:tc>
          <w:tcPr>
            <w:tcW w:w="1509" w:type="pct"/>
          </w:tcPr>
          <w:p w:rsidR="00C74066" w:rsidRDefault="00F10705">
            <w:pPr>
              <w:pStyle w:val="TableText"/>
              <w:rPr>
                <w:rFonts w:ascii="Cambria" w:hAnsi="Cambria"/>
                <w:szCs w:val="18"/>
              </w:rPr>
            </w:pPr>
            <w:r>
              <w:rPr>
                <w:rFonts w:ascii="Cambria" w:hAnsi="Cambria"/>
                <w:szCs w:val="18"/>
              </w:rPr>
              <w:t>The department</w:t>
            </w:r>
          </w:p>
        </w:tc>
        <w:tc>
          <w:tcPr>
            <w:tcW w:w="3491" w:type="pct"/>
          </w:tcPr>
          <w:p w:rsidR="00C74066" w:rsidRDefault="00F10705">
            <w:pPr>
              <w:pStyle w:val="TableText"/>
              <w:rPr>
                <w:rFonts w:ascii="Cambria" w:hAnsi="Cambria"/>
                <w:szCs w:val="18"/>
              </w:rPr>
            </w:pPr>
            <w:r>
              <w:rPr>
                <w:rFonts w:ascii="Cambria" w:hAnsi="Cambria"/>
                <w:szCs w:val="18"/>
              </w:rPr>
              <w:t>The Australian Government Department of Agriculture and Water Resources.</w:t>
            </w:r>
          </w:p>
        </w:tc>
      </w:tr>
      <w:tr w:rsidR="00C74066">
        <w:tc>
          <w:tcPr>
            <w:tcW w:w="1509" w:type="pct"/>
          </w:tcPr>
          <w:p w:rsidR="00C74066" w:rsidRDefault="00F10705">
            <w:pPr>
              <w:pStyle w:val="TableText"/>
              <w:rPr>
                <w:rFonts w:ascii="Cambria" w:hAnsi="Cambria"/>
                <w:szCs w:val="18"/>
              </w:rPr>
            </w:pPr>
            <w:r>
              <w:rPr>
                <w:rFonts w:ascii="Cambria" w:hAnsi="Cambria"/>
                <w:szCs w:val="18"/>
              </w:rPr>
              <w:t>Endangered area</w:t>
            </w:r>
          </w:p>
        </w:tc>
        <w:tc>
          <w:tcPr>
            <w:tcW w:w="3491" w:type="pct"/>
          </w:tcPr>
          <w:p w:rsidR="00C74066" w:rsidRDefault="00F10705">
            <w:pPr>
              <w:pStyle w:val="TableText"/>
              <w:rPr>
                <w:rFonts w:ascii="Cambria" w:hAnsi="Cambria"/>
                <w:szCs w:val="18"/>
              </w:rPr>
            </w:pPr>
            <w:r>
              <w:rPr>
                <w:rFonts w:ascii="Cambria" w:hAnsi="Cambria"/>
                <w:szCs w:val="18"/>
              </w:rPr>
              <w:t xml:space="preserve">An area where ecological factors favour the establishment of a pest whose presence in the area will result in economically important loss </w:t>
            </w:r>
            <w:r w:rsidR="00C57DCF">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C57DCF">
              <w:rPr>
                <w:rFonts w:ascii="Cambria" w:hAnsi="Cambria"/>
                <w:szCs w:val="18"/>
              </w:rPr>
              <w:fldChar w:fldCharType="separate"/>
            </w:r>
            <w:r>
              <w:rPr>
                <w:rFonts w:ascii="Cambria" w:hAnsi="Cambria"/>
                <w:szCs w:val="18"/>
              </w:rPr>
              <w:t>(FAO 2015)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rPr>
                <w:rFonts w:ascii="Cambria" w:hAnsi="Cambria"/>
                <w:szCs w:val="18"/>
              </w:rPr>
            </w:pPr>
            <w:r>
              <w:rPr>
                <w:rFonts w:ascii="Cambria" w:hAnsi="Cambria"/>
                <w:szCs w:val="18"/>
              </w:rPr>
              <w:t>Endemic</w:t>
            </w:r>
          </w:p>
        </w:tc>
        <w:tc>
          <w:tcPr>
            <w:tcW w:w="3491" w:type="pct"/>
          </w:tcPr>
          <w:p w:rsidR="00C74066" w:rsidRDefault="00F10705">
            <w:pPr>
              <w:pStyle w:val="TableText"/>
              <w:rPr>
                <w:rFonts w:ascii="Cambria" w:hAnsi="Cambria"/>
                <w:szCs w:val="18"/>
              </w:rPr>
            </w:pPr>
            <w:r>
              <w:rPr>
                <w:rFonts w:ascii="Cambria" w:hAnsi="Cambria"/>
                <w:szCs w:val="18"/>
              </w:rPr>
              <w:t>Belonging to, native to, or prevalent in a particular geography, area or environment.</w:t>
            </w:r>
          </w:p>
        </w:tc>
      </w:tr>
      <w:tr w:rsidR="00C74066">
        <w:tc>
          <w:tcPr>
            <w:tcW w:w="1509" w:type="pct"/>
          </w:tcPr>
          <w:p w:rsidR="00C74066" w:rsidRDefault="00F10705">
            <w:pPr>
              <w:pStyle w:val="TableText"/>
              <w:rPr>
                <w:rFonts w:ascii="Cambria" w:hAnsi="Cambria"/>
                <w:szCs w:val="18"/>
              </w:rPr>
            </w:pPr>
            <w:r>
              <w:rPr>
                <w:rFonts w:ascii="Cambria" w:hAnsi="Cambria"/>
                <w:szCs w:val="18"/>
              </w:rPr>
              <w:t>Entry (of a pest)</w:t>
            </w:r>
          </w:p>
        </w:tc>
        <w:tc>
          <w:tcPr>
            <w:tcW w:w="3491" w:type="pct"/>
          </w:tcPr>
          <w:p w:rsidR="00C74066" w:rsidRDefault="00F10705">
            <w:pPr>
              <w:pStyle w:val="TableText"/>
              <w:rPr>
                <w:rFonts w:ascii="Cambria" w:hAnsi="Cambria"/>
                <w:szCs w:val="18"/>
              </w:rPr>
            </w:pPr>
            <w:r>
              <w:rPr>
                <w:rFonts w:ascii="Cambria" w:hAnsi="Cambria"/>
                <w:szCs w:val="18"/>
              </w:rPr>
              <w:t xml:space="preserve">Movement of a pest into an area where it is not yet present, or present but not widely distributed and being officially controlled </w:t>
            </w:r>
            <w:r w:rsidR="00C57DCF">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C57DCF">
              <w:rPr>
                <w:rFonts w:ascii="Cambria" w:hAnsi="Cambria"/>
                <w:szCs w:val="18"/>
              </w:rPr>
              <w:fldChar w:fldCharType="separate"/>
            </w:r>
            <w:r>
              <w:rPr>
                <w:rFonts w:ascii="Cambria" w:hAnsi="Cambria"/>
                <w:szCs w:val="18"/>
              </w:rPr>
              <w:t>(FAO 2015)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rPr>
                <w:rFonts w:ascii="Cambria" w:hAnsi="Cambria"/>
                <w:szCs w:val="18"/>
              </w:rPr>
            </w:pPr>
            <w:r>
              <w:rPr>
                <w:rFonts w:ascii="Cambria" w:hAnsi="Cambria"/>
                <w:szCs w:val="18"/>
              </w:rPr>
              <w:t>Equivalence (of phytosanitary terms)</w:t>
            </w:r>
          </w:p>
        </w:tc>
        <w:tc>
          <w:tcPr>
            <w:tcW w:w="3491" w:type="pct"/>
          </w:tcPr>
          <w:p w:rsidR="00C74066" w:rsidRDefault="00F10705">
            <w:pPr>
              <w:pStyle w:val="TableText"/>
              <w:rPr>
                <w:rFonts w:ascii="Cambria" w:hAnsi="Cambria"/>
                <w:szCs w:val="18"/>
              </w:rPr>
            </w:pPr>
            <w:r>
              <w:rPr>
                <w:rFonts w:ascii="Cambria" w:hAnsi="Cambria"/>
                <w:szCs w:val="18"/>
              </w:rPr>
              <w:t>The situation where, for a specified pest, different phytosanitary measures achieve a contracting party’s appropriate level of protection (FAO 2015).</w:t>
            </w:r>
          </w:p>
        </w:tc>
      </w:tr>
      <w:tr w:rsidR="00C74066">
        <w:tc>
          <w:tcPr>
            <w:tcW w:w="1509" w:type="pct"/>
          </w:tcPr>
          <w:p w:rsidR="00C74066" w:rsidRDefault="00F10705">
            <w:pPr>
              <w:pStyle w:val="TableText"/>
              <w:rPr>
                <w:rFonts w:ascii="Cambria" w:hAnsi="Cambria"/>
                <w:szCs w:val="18"/>
              </w:rPr>
            </w:pPr>
            <w:r>
              <w:rPr>
                <w:rFonts w:ascii="Cambria" w:hAnsi="Cambria"/>
                <w:szCs w:val="18"/>
              </w:rPr>
              <w:lastRenderedPageBreak/>
              <w:t>Establishment (of a pest)</w:t>
            </w:r>
          </w:p>
        </w:tc>
        <w:tc>
          <w:tcPr>
            <w:tcW w:w="3491" w:type="pct"/>
          </w:tcPr>
          <w:p w:rsidR="00C74066" w:rsidRDefault="00F10705">
            <w:pPr>
              <w:pStyle w:val="TableText"/>
              <w:rPr>
                <w:rFonts w:ascii="Cambria" w:hAnsi="Cambria"/>
                <w:szCs w:val="18"/>
              </w:rPr>
            </w:pPr>
            <w:r>
              <w:rPr>
                <w:rFonts w:ascii="Cambria" w:hAnsi="Cambria"/>
                <w:szCs w:val="18"/>
              </w:rPr>
              <w:t xml:space="preserve">Perpetuation, for the foreseeable future, of a pest within an area after entry </w:t>
            </w:r>
            <w:r w:rsidR="00C57DCF">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C57DCF">
              <w:rPr>
                <w:rFonts w:ascii="Cambria" w:hAnsi="Cambria"/>
                <w:szCs w:val="18"/>
              </w:rPr>
              <w:fldChar w:fldCharType="separate"/>
            </w:r>
            <w:r>
              <w:rPr>
                <w:rFonts w:ascii="Cambria" w:hAnsi="Cambria"/>
                <w:szCs w:val="18"/>
              </w:rPr>
              <w:t>(FAO 2015)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rPr>
                <w:rFonts w:ascii="Cambria" w:hAnsi="Cambria"/>
                <w:szCs w:val="18"/>
              </w:rPr>
            </w:pPr>
            <w:r>
              <w:rPr>
                <w:rFonts w:ascii="Cambria" w:hAnsi="Cambria"/>
                <w:szCs w:val="18"/>
              </w:rPr>
              <w:t>Fumigation</w:t>
            </w:r>
          </w:p>
        </w:tc>
        <w:tc>
          <w:tcPr>
            <w:tcW w:w="3491" w:type="pct"/>
          </w:tcPr>
          <w:p w:rsidR="00C74066" w:rsidRDefault="00F10705">
            <w:pPr>
              <w:pStyle w:val="TableText"/>
              <w:rPr>
                <w:rFonts w:ascii="Cambria" w:hAnsi="Cambria"/>
                <w:szCs w:val="18"/>
              </w:rPr>
            </w:pPr>
            <w:r>
              <w:rPr>
                <w:rFonts w:ascii="Cambria" w:hAnsi="Cambria"/>
                <w:szCs w:val="18"/>
              </w:rPr>
              <w:t>A method of pest control that completely fills an area with gaseous pesticides to suffocate or poison the pests within.</w:t>
            </w:r>
          </w:p>
        </w:tc>
      </w:tr>
      <w:tr w:rsidR="00C74066">
        <w:tc>
          <w:tcPr>
            <w:tcW w:w="1509" w:type="pct"/>
          </w:tcPr>
          <w:p w:rsidR="00C74066" w:rsidRDefault="00F10705">
            <w:pPr>
              <w:pStyle w:val="TableText"/>
              <w:rPr>
                <w:rFonts w:ascii="Cambria" w:hAnsi="Cambria"/>
                <w:szCs w:val="18"/>
              </w:rPr>
            </w:pPr>
            <w:r>
              <w:rPr>
                <w:rFonts w:ascii="Cambria" w:hAnsi="Cambria"/>
                <w:szCs w:val="18"/>
              </w:rPr>
              <w:t>Heterothallic</w:t>
            </w:r>
          </w:p>
        </w:tc>
        <w:tc>
          <w:tcPr>
            <w:tcW w:w="3491" w:type="pct"/>
          </w:tcPr>
          <w:p w:rsidR="00C74066" w:rsidRDefault="00F10705">
            <w:pPr>
              <w:pStyle w:val="TableText"/>
              <w:rPr>
                <w:rFonts w:ascii="Cambria" w:hAnsi="Cambria"/>
                <w:szCs w:val="18"/>
              </w:rPr>
            </w:pPr>
            <w:r>
              <w:rPr>
                <w:rFonts w:ascii="Cambria" w:hAnsi="Cambria"/>
                <w:szCs w:val="18"/>
              </w:rPr>
              <w:t>Requiring two opposite mating types for sexual reproduction via oospores as opposed to homothallic species. Homothallism is thought to result in inbreeding or selfing with low rates of outcrossing (Shurtleff &amp; Averre, 1997).</w:t>
            </w:r>
          </w:p>
        </w:tc>
      </w:tr>
      <w:tr w:rsidR="00C74066">
        <w:tc>
          <w:tcPr>
            <w:tcW w:w="1509" w:type="pct"/>
          </w:tcPr>
          <w:p w:rsidR="00C74066" w:rsidRDefault="00F10705">
            <w:pPr>
              <w:pStyle w:val="TableText"/>
              <w:rPr>
                <w:rFonts w:ascii="Cambria" w:hAnsi="Cambria"/>
                <w:szCs w:val="18"/>
              </w:rPr>
            </w:pPr>
            <w:r>
              <w:rPr>
                <w:rFonts w:ascii="Cambria" w:hAnsi="Cambria"/>
                <w:szCs w:val="18"/>
              </w:rPr>
              <w:t>Heterothallism</w:t>
            </w:r>
          </w:p>
        </w:tc>
        <w:tc>
          <w:tcPr>
            <w:tcW w:w="3491" w:type="pct"/>
          </w:tcPr>
          <w:p w:rsidR="00C74066" w:rsidRDefault="00F10705">
            <w:pPr>
              <w:pStyle w:val="TableText"/>
              <w:rPr>
                <w:rFonts w:ascii="Cambria" w:hAnsi="Cambria"/>
                <w:szCs w:val="18"/>
              </w:rPr>
            </w:pPr>
            <w:r>
              <w:rPr>
                <w:rFonts w:ascii="Cambria" w:hAnsi="Cambria"/>
                <w:szCs w:val="18"/>
              </w:rPr>
              <w:t>Self-sterility; a sexual condition in which an individual produces only one kind of gamete. Used chiefly in reference to fungi and algae (Shurtleff &amp; Averre, 1997).</w:t>
            </w:r>
          </w:p>
        </w:tc>
      </w:tr>
      <w:tr w:rsidR="00C74066">
        <w:tc>
          <w:tcPr>
            <w:tcW w:w="1509" w:type="pct"/>
          </w:tcPr>
          <w:p w:rsidR="00C74066" w:rsidRDefault="00F10705">
            <w:pPr>
              <w:pStyle w:val="TableText"/>
              <w:rPr>
                <w:rFonts w:ascii="Cambria" w:hAnsi="Cambria"/>
                <w:szCs w:val="18"/>
              </w:rPr>
            </w:pPr>
            <w:r>
              <w:rPr>
                <w:rFonts w:ascii="Cambria" w:hAnsi="Cambria"/>
                <w:szCs w:val="18"/>
              </w:rPr>
              <w:t>Host</w:t>
            </w:r>
          </w:p>
        </w:tc>
        <w:tc>
          <w:tcPr>
            <w:tcW w:w="3491" w:type="pct"/>
          </w:tcPr>
          <w:p w:rsidR="00C74066" w:rsidRDefault="00F10705">
            <w:pPr>
              <w:pStyle w:val="TableText"/>
              <w:rPr>
                <w:rFonts w:ascii="Cambria" w:hAnsi="Cambria"/>
                <w:szCs w:val="18"/>
              </w:rPr>
            </w:pPr>
            <w:r>
              <w:rPr>
                <w:rFonts w:ascii="Cambria" w:hAnsi="Cambria"/>
                <w:szCs w:val="18"/>
              </w:rPr>
              <w:t>An organism that harbours a parasite, mutual partner, or commensal partner, typically providing nourishment and shelter.</w:t>
            </w:r>
          </w:p>
        </w:tc>
      </w:tr>
      <w:tr w:rsidR="00C74066">
        <w:tc>
          <w:tcPr>
            <w:tcW w:w="1509" w:type="pct"/>
          </w:tcPr>
          <w:p w:rsidR="00C74066" w:rsidRDefault="00F10705">
            <w:pPr>
              <w:pStyle w:val="TableText"/>
              <w:rPr>
                <w:rFonts w:ascii="Cambria" w:hAnsi="Cambria"/>
                <w:szCs w:val="18"/>
              </w:rPr>
            </w:pPr>
            <w:r>
              <w:rPr>
                <w:rFonts w:ascii="Cambria" w:hAnsi="Cambria"/>
                <w:szCs w:val="18"/>
              </w:rPr>
              <w:t>Host range</w:t>
            </w:r>
          </w:p>
        </w:tc>
        <w:tc>
          <w:tcPr>
            <w:tcW w:w="3491" w:type="pct"/>
          </w:tcPr>
          <w:p w:rsidR="00C74066" w:rsidRDefault="00F10705">
            <w:pPr>
              <w:pStyle w:val="TableText"/>
              <w:rPr>
                <w:rFonts w:ascii="Cambria" w:hAnsi="Cambria"/>
                <w:szCs w:val="18"/>
              </w:rPr>
            </w:pPr>
            <w:r>
              <w:rPr>
                <w:rFonts w:ascii="Cambria" w:hAnsi="Cambria"/>
                <w:szCs w:val="18"/>
              </w:rPr>
              <w:t xml:space="preserve">Species capable, under natural conditions, of sustaining a specific pest or other organism </w:t>
            </w:r>
            <w:r w:rsidR="00C57DCF">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C57DCF">
              <w:rPr>
                <w:rFonts w:ascii="Cambria" w:hAnsi="Cambria"/>
                <w:szCs w:val="18"/>
              </w:rPr>
              <w:fldChar w:fldCharType="separate"/>
            </w:r>
            <w:r>
              <w:rPr>
                <w:rFonts w:ascii="Cambria" w:hAnsi="Cambria"/>
                <w:szCs w:val="18"/>
              </w:rPr>
              <w:t>(FAO 2015)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rPr>
                <w:rFonts w:ascii="Cambria" w:hAnsi="Cambria"/>
                <w:szCs w:val="18"/>
              </w:rPr>
            </w:pPr>
            <w:r>
              <w:rPr>
                <w:rFonts w:ascii="Cambria" w:hAnsi="Cambria"/>
                <w:szCs w:val="18"/>
              </w:rPr>
              <w:t>Hypha(e)</w:t>
            </w:r>
          </w:p>
        </w:tc>
        <w:tc>
          <w:tcPr>
            <w:tcW w:w="3491" w:type="pct"/>
          </w:tcPr>
          <w:p w:rsidR="00C74066" w:rsidRDefault="00F10705">
            <w:pPr>
              <w:pStyle w:val="TableText"/>
              <w:rPr>
                <w:rFonts w:ascii="Cambria" w:hAnsi="Cambria"/>
                <w:szCs w:val="18"/>
              </w:rPr>
            </w:pPr>
            <w:r>
              <w:rPr>
                <w:rFonts w:ascii="Cambria" w:hAnsi="Cambria"/>
                <w:szCs w:val="18"/>
              </w:rPr>
              <w:t>The basic vegetative unit of structure and function of most fungi; a largely microscopic tubular filament that increases in length by growth at its tip. New hyphae arise as lateral branches. Some can become specialized for given functions including producing spores, penetrating host tissues, etc. (Erwin &amp; Ribeiro 1996).</w:t>
            </w:r>
          </w:p>
        </w:tc>
      </w:tr>
      <w:tr w:rsidR="00C74066">
        <w:tc>
          <w:tcPr>
            <w:tcW w:w="1509" w:type="pct"/>
          </w:tcPr>
          <w:p w:rsidR="00C74066" w:rsidRDefault="00F10705">
            <w:pPr>
              <w:pStyle w:val="TableText"/>
              <w:rPr>
                <w:rFonts w:ascii="Cambria" w:hAnsi="Cambria"/>
                <w:szCs w:val="18"/>
              </w:rPr>
            </w:pPr>
            <w:r>
              <w:rPr>
                <w:rFonts w:ascii="Cambria" w:hAnsi="Cambria"/>
                <w:szCs w:val="18"/>
              </w:rPr>
              <w:t>Import permit</w:t>
            </w:r>
          </w:p>
        </w:tc>
        <w:tc>
          <w:tcPr>
            <w:tcW w:w="3491" w:type="pct"/>
          </w:tcPr>
          <w:p w:rsidR="00C74066" w:rsidRDefault="00F10705">
            <w:pPr>
              <w:pStyle w:val="TableText"/>
              <w:rPr>
                <w:rFonts w:ascii="Cambria" w:hAnsi="Cambria"/>
                <w:szCs w:val="18"/>
              </w:rPr>
            </w:pPr>
            <w:r>
              <w:rPr>
                <w:rFonts w:ascii="Cambria" w:hAnsi="Cambria"/>
                <w:szCs w:val="18"/>
              </w:rPr>
              <w:t xml:space="preserve">Official document authorising importation of a commodity in accordance with specified phytosanitary import requirements </w:t>
            </w:r>
            <w:r w:rsidR="00C57DCF">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C57DCF">
              <w:rPr>
                <w:rFonts w:ascii="Cambria" w:hAnsi="Cambria"/>
                <w:szCs w:val="18"/>
              </w:rPr>
              <w:fldChar w:fldCharType="separate"/>
            </w:r>
            <w:r>
              <w:rPr>
                <w:rFonts w:ascii="Cambria" w:hAnsi="Cambria"/>
                <w:szCs w:val="18"/>
              </w:rPr>
              <w:t>(FAO 2015)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rPr>
                <w:rFonts w:ascii="Cambria" w:hAnsi="Cambria"/>
                <w:szCs w:val="18"/>
              </w:rPr>
            </w:pPr>
            <w:r>
              <w:rPr>
                <w:rFonts w:ascii="Cambria" w:hAnsi="Cambria"/>
                <w:szCs w:val="18"/>
              </w:rPr>
              <w:t>Import risk analysis</w:t>
            </w:r>
          </w:p>
        </w:tc>
        <w:tc>
          <w:tcPr>
            <w:tcW w:w="3491" w:type="pct"/>
          </w:tcPr>
          <w:p w:rsidR="00C74066" w:rsidRDefault="00F10705">
            <w:pPr>
              <w:pStyle w:val="TableText"/>
              <w:rPr>
                <w:rFonts w:ascii="Cambria" w:hAnsi="Cambria"/>
                <w:szCs w:val="18"/>
              </w:rPr>
            </w:pPr>
            <w:r>
              <w:rPr>
                <w:rFonts w:ascii="Cambria" w:hAnsi="Cambria"/>
                <w:szCs w:val="18"/>
              </w:rPr>
              <w:t>An administrative process through which quarantine policy is developed or reviewed, incorporating risk assessment, risk management and risk communication.</w:t>
            </w:r>
          </w:p>
        </w:tc>
      </w:tr>
      <w:tr w:rsidR="00C74066">
        <w:tc>
          <w:tcPr>
            <w:tcW w:w="1509" w:type="pct"/>
          </w:tcPr>
          <w:p w:rsidR="00C74066" w:rsidRDefault="00F10705">
            <w:pPr>
              <w:pStyle w:val="TableText"/>
              <w:rPr>
                <w:rFonts w:ascii="Cambria" w:hAnsi="Cambria"/>
                <w:szCs w:val="18"/>
              </w:rPr>
            </w:pPr>
            <w:r>
              <w:rPr>
                <w:rFonts w:ascii="Cambria" w:hAnsi="Cambria"/>
                <w:szCs w:val="18"/>
              </w:rPr>
              <w:t>Infection</w:t>
            </w:r>
          </w:p>
        </w:tc>
        <w:tc>
          <w:tcPr>
            <w:tcW w:w="3491" w:type="pct"/>
          </w:tcPr>
          <w:p w:rsidR="00C74066" w:rsidRDefault="00F10705">
            <w:pPr>
              <w:pStyle w:val="TableText"/>
              <w:rPr>
                <w:rFonts w:ascii="Cambria" w:hAnsi="Cambria"/>
                <w:szCs w:val="18"/>
              </w:rPr>
            </w:pPr>
            <w:r>
              <w:rPr>
                <w:rFonts w:ascii="Cambria" w:hAnsi="Cambria"/>
                <w:szCs w:val="18"/>
              </w:rPr>
              <w:t>The internal ‘endophytic’ colonisation of a plant, or plant organ, and is generally associated with the development of disease symptoms as the integrity of cells and/or biological processes are disrupted.</w:t>
            </w:r>
          </w:p>
        </w:tc>
      </w:tr>
      <w:tr w:rsidR="00C74066">
        <w:tc>
          <w:tcPr>
            <w:tcW w:w="1509" w:type="pct"/>
          </w:tcPr>
          <w:p w:rsidR="00C74066" w:rsidRDefault="00F10705">
            <w:pPr>
              <w:pStyle w:val="TableText"/>
              <w:rPr>
                <w:rFonts w:ascii="Cambria" w:hAnsi="Cambria"/>
                <w:szCs w:val="18"/>
              </w:rPr>
            </w:pPr>
            <w:r>
              <w:rPr>
                <w:rFonts w:ascii="Cambria" w:hAnsi="Cambria"/>
                <w:szCs w:val="18"/>
              </w:rPr>
              <w:t>Infestation (of a commodity)</w:t>
            </w:r>
          </w:p>
        </w:tc>
        <w:tc>
          <w:tcPr>
            <w:tcW w:w="3491" w:type="pct"/>
          </w:tcPr>
          <w:p w:rsidR="00C74066" w:rsidRDefault="00F10705">
            <w:pPr>
              <w:pStyle w:val="TableText"/>
              <w:rPr>
                <w:rFonts w:ascii="Cambria" w:hAnsi="Cambria"/>
                <w:szCs w:val="18"/>
              </w:rPr>
            </w:pPr>
            <w:r>
              <w:rPr>
                <w:rFonts w:ascii="Cambria" w:hAnsi="Cambria"/>
                <w:szCs w:val="18"/>
              </w:rPr>
              <w:t xml:space="preserve">Presence in a commodity of a living pest of the plant or plant product concerned. Infestation includes infection </w:t>
            </w:r>
            <w:r w:rsidR="00C57DCF">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C57DCF">
              <w:rPr>
                <w:rFonts w:ascii="Cambria" w:hAnsi="Cambria"/>
                <w:szCs w:val="18"/>
              </w:rPr>
              <w:fldChar w:fldCharType="separate"/>
            </w:r>
            <w:r>
              <w:rPr>
                <w:rFonts w:ascii="Cambria" w:hAnsi="Cambria"/>
                <w:szCs w:val="18"/>
              </w:rPr>
              <w:t>(FAO 2015)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rPr>
                <w:rFonts w:ascii="Cambria" w:hAnsi="Cambria"/>
                <w:szCs w:val="18"/>
              </w:rPr>
            </w:pPr>
            <w:r>
              <w:rPr>
                <w:rFonts w:ascii="Cambria" w:hAnsi="Cambria"/>
                <w:szCs w:val="18"/>
              </w:rPr>
              <w:t>Inspection</w:t>
            </w:r>
          </w:p>
        </w:tc>
        <w:tc>
          <w:tcPr>
            <w:tcW w:w="3491" w:type="pct"/>
          </w:tcPr>
          <w:p w:rsidR="00C74066" w:rsidRDefault="00F10705">
            <w:pPr>
              <w:pStyle w:val="TableText"/>
              <w:rPr>
                <w:rFonts w:ascii="Cambria" w:hAnsi="Cambria"/>
                <w:szCs w:val="18"/>
              </w:rPr>
            </w:pPr>
            <w:r>
              <w:rPr>
                <w:rFonts w:ascii="Cambria" w:hAnsi="Cambria"/>
                <w:szCs w:val="18"/>
              </w:rPr>
              <w:t xml:space="preserve">Official visual examination of plants, plant products or other regulated articles to determine if pests are present or to determine compliance with phytosanitary regulations </w:t>
            </w:r>
            <w:r w:rsidR="00C57DCF">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C57DCF">
              <w:rPr>
                <w:rFonts w:ascii="Cambria" w:hAnsi="Cambria"/>
                <w:szCs w:val="18"/>
              </w:rPr>
              <w:fldChar w:fldCharType="separate"/>
            </w:r>
            <w:r>
              <w:rPr>
                <w:rFonts w:ascii="Cambria" w:hAnsi="Cambria"/>
                <w:szCs w:val="18"/>
              </w:rPr>
              <w:t>(FAO 2015)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rPr>
                <w:rFonts w:ascii="Cambria" w:hAnsi="Cambria"/>
                <w:szCs w:val="18"/>
              </w:rPr>
            </w:pPr>
            <w:r>
              <w:rPr>
                <w:rFonts w:ascii="Cambria" w:hAnsi="Cambria"/>
                <w:szCs w:val="18"/>
              </w:rPr>
              <w:t>Intended use</w:t>
            </w:r>
          </w:p>
        </w:tc>
        <w:tc>
          <w:tcPr>
            <w:tcW w:w="3491" w:type="pct"/>
          </w:tcPr>
          <w:p w:rsidR="00C74066" w:rsidRDefault="00F10705">
            <w:pPr>
              <w:pStyle w:val="TableText"/>
              <w:rPr>
                <w:rFonts w:ascii="Cambria" w:hAnsi="Cambria"/>
                <w:szCs w:val="18"/>
              </w:rPr>
            </w:pPr>
            <w:r>
              <w:rPr>
                <w:rFonts w:ascii="Cambria" w:hAnsi="Cambria"/>
                <w:szCs w:val="18"/>
              </w:rPr>
              <w:t xml:space="preserve">Declared purpose for which plants, plant products, or other regulated articles are imported, produced or used </w:t>
            </w:r>
            <w:r w:rsidR="00C57DCF">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C57DCF">
              <w:rPr>
                <w:rFonts w:ascii="Cambria" w:hAnsi="Cambria"/>
                <w:szCs w:val="18"/>
              </w:rPr>
              <w:fldChar w:fldCharType="separate"/>
            </w:r>
            <w:r>
              <w:rPr>
                <w:rFonts w:ascii="Cambria" w:hAnsi="Cambria"/>
                <w:szCs w:val="18"/>
              </w:rPr>
              <w:t>(FAO 2015)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rPr>
                <w:rFonts w:ascii="Cambria" w:hAnsi="Cambria"/>
                <w:szCs w:val="18"/>
              </w:rPr>
            </w:pPr>
            <w:r>
              <w:rPr>
                <w:rFonts w:ascii="Cambria" w:hAnsi="Cambria"/>
                <w:szCs w:val="18"/>
              </w:rPr>
              <w:t>Interception (of a pest)</w:t>
            </w:r>
          </w:p>
        </w:tc>
        <w:tc>
          <w:tcPr>
            <w:tcW w:w="3491" w:type="pct"/>
          </w:tcPr>
          <w:p w:rsidR="00C74066" w:rsidRDefault="00F10705">
            <w:pPr>
              <w:pStyle w:val="TableText"/>
              <w:rPr>
                <w:rFonts w:ascii="Cambria" w:hAnsi="Cambria"/>
                <w:szCs w:val="18"/>
              </w:rPr>
            </w:pPr>
            <w:r>
              <w:rPr>
                <w:rFonts w:ascii="Cambria" w:hAnsi="Cambria"/>
                <w:szCs w:val="18"/>
              </w:rPr>
              <w:t xml:space="preserve">The detection of a pest during inspection or testing of an imported consignment </w:t>
            </w:r>
            <w:r w:rsidR="00C57DCF">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C57DCF">
              <w:rPr>
                <w:rFonts w:ascii="Cambria" w:hAnsi="Cambria"/>
                <w:szCs w:val="18"/>
              </w:rPr>
              <w:fldChar w:fldCharType="separate"/>
            </w:r>
            <w:r>
              <w:rPr>
                <w:rFonts w:ascii="Cambria" w:hAnsi="Cambria"/>
                <w:szCs w:val="18"/>
              </w:rPr>
              <w:t>(FAO 2015)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rPr>
                <w:rFonts w:ascii="Cambria" w:hAnsi="Cambria"/>
                <w:szCs w:val="18"/>
              </w:rPr>
            </w:pPr>
            <w:r>
              <w:rPr>
                <w:rFonts w:ascii="Cambria" w:hAnsi="Cambria"/>
                <w:szCs w:val="18"/>
              </w:rPr>
              <w:t>International Standard for Phytosanitary Measures (ISPM)</w:t>
            </w:r>
          </w:p>
        </w:tc>
        <w:tc>
          <w:tcPr>
            <w:tcW w:w="3491" w:type="pct"/>
          </w:tcPr>
          <w:p w:rsidR="00C74066" w:rsidRDefault="00F10705">
            <w:pPr>
              <w:pStyle w:val="TableText"/>
              <w:rPr>
                <w:rFonts w:ascii="Cambria" w:hAnsi="Cambria"/>
                <w:szCs w:val="18"/>
              </w:rPr>
            </w:pPr>
            <w:r>
              <w:rPr>
                <w:rFonts w:ascii="Cambria" w:hAnsi="Cambria"/>
                <w:szCs w:val="18"/>
              </w:rPr>
              <w:t xml:space="preserve">An international standard adopted by the Conference of the Food and Agriculture Organization, the Interim Commission on Phytosanitary Measures or the Commission on Phytosanitary Measures, established under the IPCC </w:t>
            </w:r>
            <w:r w:rsidR="00C57DCF">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C57DCF">
              <w:rPr>
                <w:rFonts w:ascii="Cambria" w:hAnsi="Cambria"/>
                <w:szCs w:val="18"/>
              </w:rPr>
              <w:fldChar w:fldCharType="separate"/>
            </w:r>
            <w:r>
              <w:rPr>
                <w:rFonts w:ascii="Cambria" w:hAnsi="Cambria"/>
                <w:szCs w:val="18"/>
              </w:rPr>
              <w:t>(FAO 2015)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rPr>
                <w:rFonts w:ascii="Cambria" w:hAnsi="Cambria"/>
                <w:szCs w:val="18"/>
              </w:rPr>
            </w:pPr>
            <w:r>
              <w:rPr>
                <w:rFonts w:ascii="Cambria" w:hAnsi="Cambria"/>
                <w:szCs w:val="18"/>
              </w:rPr>
              <w:t>Introduction (of a pest)</w:t>
            </w:r>
          </w:p>
        </w:tc>
        <w:tc>
          <w:tcPr>
            <w:tcW w:w="3491" w:type="pct"/>
          </w:tcPr>
          <w:p w:rsidR="00C74066" w:rsidRDefault="00F10705">
            <w:pPr>
              <w:pStyle w:val="TableText"/>
              <w:rPr>
                <w:rFonts w:ascii="Cambria" w:hAnsi="Cambria"/>
                <w:szCs w:val="18"/>
              </w:rPr>
            </w:pPr>
            <w:r>
              <w:rPr>
                <w:rFonts w:ascii="Cambria" w:hAnsi="Cambria"/>
                <w:szCs w:val="18"/>
              </w:rPr>
              <w:t xml:space="preserve">The entry of a pest resulting in its establishment </w:t>
            </w:r>
            <w:r w:rsidR="00C57DCF">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C57DCF">
              <w:rPr>
                <w:rFonts w:ascii="Cambria" w:hAnsi="Cambria"/>
                <w:szCs w:val="18"/>
              </w:rPr>
              <w:fldChar w:fldCharType="separate"/>
            </w:r>
            <w:r>
              <w:rPr>
                <w:rFonts w:ascii="Cambria" w:hAnsi="Cambria"/>
                <w:szCs w:val="18"/>
              </w:rPr>
              <w:t>(FAO 2015)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rPr>
                <w:rFonts w:ascii="Cambria" w:hAnsi="Cambria"/>
                <w:szCs w:val="18"/>
              </w:rPr>
            </w:pPr>
            <w:r>
              <w:rPr>
                <w:rFonts w:ascii="Cambria" w:hAnsi="Cambria"/>
                <w:szCs w:val="18"/>
              </w:rPr>
              <w:t>Larva</w:t>
            </w:r>
          </w:p>
        </w:tc>
        <w:tc>
          <w:tcPr>
            <w:tcW w:w="3491" w:type="pct"/>
          </w:tcPr>
          <w:p w:rsidR="00C74066" w:rsidRDefault="00F10705">
            <w:pPr>
              <w:pStyle w:val="TableText"/>
              <w:rPr>
                <w:rFonts w:ascii="Cambria" w:hAnsi="Cambria"/>
                <w:szCs w:val="18"/>
              </w:rPr>
            </w:pPr>
            <w:r>
              <w:rPr>
                <w:rFonts w:ascii="Cambria" w:hAnsi="Cambria"/>
                <w:szCs w:val="18"/>
              </w:rPr>
              <w:t>A juvenile form of animal with indirect development, undergoing metamorphosis (for example, insects or amphibians).</w:t>
            </w:r>
          </w:p>
        </w:tc>
      </w:tr>
      <w:tr w:rsidR="00C74066">
        <w:tc>
          <w:tcPr>
            <w:tcW w:w="1509" w:type="pct"/>
          </w:tcPr>
          <w:p w:rsidR="00C74066" w:rsidRDefault="00F10705">
            <w:pPr>
              <w:pStyle w:val="TableText"/>
              <w:rPr>
                <w:rFonts w:ascii="Cambria" w:hAnsi="Cambria"/>
                <w:szCs w:val="18"/>
              </w:rPr>
            </w:pPr>
            <w:r>
              <w:rPr>
                <w:rFonts w:ascii="Cambria" w:hAnsi="Cambria"/>
                <w:szCs w:val="18"/>
              </w:rPr>
              <w:t>Life cycle</w:t>
            </w:r>
          </w:p>
        </w:tc>
        <w:tc>
          <w:tcPr>
            <w:tcW w:w="3491" w:type="pct"/>
          </w:tcPr>
          <w:p w:rsidR="00C74066" w:rsidRDefault="00F10705">
            <w:pPr>
              <w:pStyle w:val="TableText"/>
              <w:rPr>
                <w:rFonts w:ascii="Cambria" w:hAnsi="Cambria"/>
                <w:szCs w:val="18"/>
              </w:rPr>
            </w:pPr>
            <w:r>
              <w:rPr>
                <w:rFonts w:ascii="Cambria" w:hAnsi="Cambria"/>
                <w:szCs w:val="18"/>
              </w:rPr>
              <w:t>Cyclical progression of stages in the growth and development of an organism (plant, animal, or pathogen) that occur between the appearance and reappearance of the same stage of the organism (Shurtleff &amp; Averre 1997).</w:t>
            </w:r>
          </w:p>
        </w:tc>
      </w:tr>
      <w:tr w:rsidR="00C74066">
        <w:tc>
          <w:tcPr>
            <w:tcW w:w="1509" w:type="pct"/>
          </w:tcPr>
          <w:p w:rsidR="00C74066" w:rsidRDefault="00F10705">
            <w:pPr>
              <w:pStyle w:val="TableText"/>
              <w:rPr>
                <w:rFonts w:ascii="Cambria" w:hAnsi="Cambria"/>
                <w:szCs w:val="18"/>
              </w:rPr>
            </w:pPr>
            <w:r>
              <w:rPr>
                <w:rFonts w:ascii="Cambria" w:hAnsi="Cambria"/>
                <w:szCs w:val="18"/>
              </w:rPr>
              <w:t>Mating Types</w:t>
            </w:r>
          </w:p>
        </w:tc>
        <w:tc>
          <w:tcPr>
            <w:tcW w:w="3491" w:type="pct"/>
          </w:tcPr>
          <w:p w:rsidR="00C74066" w:rsidRDefault="00F10705">
            <w:pPr>
              <w:pStyle w:val="TableText"/>
              <w:rPr>
                <w:rFonts w:ascii="Cambria" w:hAnsi="Cambria"/>
                <w:szCs w:val="18"/>
              </w:rPr>
            </w:pPr>
            <w:r>
              <w:rPr>
                <w:rFonts w:ascii="Cambria" w:hAnsi="Cambria"/>
                <w:szCs w:val="18"/>
              </w:rPr>
              <w:t>Compatible strains, usually designated + and – or A and B, necessary for sexual reproduction in heterothallic fungi (Shurtleff &amp; Averre 1997).</w:t>
            </w:r>
          </w:p>
        </w:tc>
      </w:tr>
      <w:tr w:rsidR="00C74066">
        <w:tc>
          <w:tcPr>
            <w:tcW w:w="1509" w:type="pct"/>
          </w:tcPr>
          <w:p w:rsidR="00C74066" w:rsidRDefault="00F10705">
            <w:pPr>
              <w:pStyle w:val="TableText"/>
              <w:rPr>
                <w:rFonts w:ascii="Cambria" w:hAnsi="Cambria"/>
                <w:szCs w:val="18"/>
              </w:rPr>
            </w:pPr>
            <w:r>
              <w:rPr>
                <w:rFonts w:ascii="Cambria" w:hAnsi="Cambria"/>
                <w:szCs w:val="18"/>
              </w:rPr>
              <w:t>Monocyclic</w:t>
            </w:r>
          </w:p>
        </w:tc>
        <w:tc>
          <w:tcPr>
            <w:tcW w:w="3491" w:type="pct"/>
          </w:tcPr>
          <w:p w:rsidR="00C74066" w:rsidRDefault="00F10705">
            <w:pPr>
              <w:pStyle w:val="TableText"/>
              <w:rPr>
                <w:rFonts w:ascii="Cambria" w:hAnsi="Cambria"/>
                <w:szCs w:val="18"/>
              </w:rPr>
            </w:pPr>
            <w:r>
              <w:rPr>
                <w:rFonts w:ascii="Cambria" w:hAnsi="Cambria"/>
                <w:szCs w:val="18"/>
              </w:rPr>
              <w:t xml:space="preserve">Having one cycle per growing season; no secondary infections (Shurtleff &amp; Averre </w:t>
            </w:r>
            <w:r>
              <w:rPr>
                <w:rFonts w:ascii="Cambria" w:hAnsi="Cambria"/>
                <w:szCs w:val="18"/>
              </w:rPr>
              <w:lastRenderedPageBreak/>
              <w:t>1997).</w:t>
            </w:r>
          </w:p>
        </w:tc>
      </w:tr>
      <w:tr w:rsidR="00C74066">
        <w:tc>
          <w:tcPr>
            <w:tcW w:w="1509" w:type="pct"/>
          </w:tcPr>
          <w:p w:rsidR="00C74066" w:rsidRDefault="00F10705">
            <w:pPr>
              <w:pStyle w:val="TableText"/>
              <w:rPr>
                <w:rFonts w:ascii="Cambria" w:hAnsi="Cambria"/>
                <w:szCs w:val="18"/>
              </w:rPr>
            </w:pPr>
            <w:r>
              <w:rPr>
                <w:rFonts w:ascii="Cambria" w:hAnsi="Cambria"/>
                <w:szCs w:val="18"/>
              </w:rPr>
              <w:lastRenderedPageBreak/>
              <w:t>Mycelium</w:t>
            </w:r>
          </w:p>
        </w:tc>
        <w:tc>
          <w:tcPr>
            <w:tcW w:w="3491" w:type="pct"/>
          </w:tcPr>
          <w:p w:rsidR="00C74066" w:rsidRDefault="00F10705">
            <w:pPr>
              <w:pStyle w:val="TableText"/>
              <w:rPr>
                <w:rFonts w:ascii="Cambria" w:hAnsi="Cambria"/>
                <w:szCs w:val="18"/>
              </w:rPr>
            </w:pPr>
            <w:r>
              <w:rPr>
                <w:rFonts w:ascii="Cambria" w:hAnsi="Cambria"/>
                <w:szCs w:val="18"/>
              </w:rPr>
              <w:t xml:space="preserve">Tubular strands that make up the body of the fungal microorganism. In </w:t>
            </w:r>
            <w:r>
              <w:rPr>
                <w:rFonts w:ascii="Cambria" w:hAnsi="Cambria"/>
                <w:i/>
                <w:szCs w:val="18"/>
              </w:rPr>
              <w:t>Phytophthora</w:t>
            </w:r>
            <w:r>
              <w:rPr>
                <w:rFonts w:ascii="Cambria" w:hAnsi="Cambria"/>
                <w:szCs w:val="18"/>
              </w:rPr>
              <w:t>, mycelium is non-septate, but plugs, often called false septa, can be seen in old mycelium (Erwin &amp; Ribeiro 1996).</w:t>
            </w:r>
          </w:p>
        </w:tc>
      </w:tr>
      <w:tr w:rsidR="00C74066">
        <w:tc>
          <w:tcPr>
            <w:tcW w:w="1509" w:type="pct"/>
          </w:tcPr>
          <w:p w:rsidR="00C74066" w:rsidRDefault="00F10705" w:rsidP="00365420">
            <w:pPr>
              <w:pStyle w:val="TableText"/>
              <w:rPr>
                <w:rFonts w:ascii="Cambria" w:hAnsi="Cambria"/>
                <w:szCs w:val="18"/>
              </w:rPr>
            </w:pPr>
            <w:r>
              <w:rPr>
                <w:rFonts w:ascii="Cambria" w:hAnsi="Cambria"/>
                <w:szCs w:val="18"/>
              </w:rPr>
              <w:t>National Plant Protection Organi</w:t>
            </w:r>
            <w:r w:rsidR="00365420">
              <w:rPr>
                <w:rFonts w:ascii="Cambria" w:hAnsi="Cambria"/>
                <w:szCs w:val="18"/>
              </w:rPr>
              <w:t>s</w:t>
            </w:r>
            <w:r>
              <w:rPr>
                <w:rFonts w:ascii="Cambria" w:hAnsi="Cambria"/>
                <w:szCs w:val="18"/>
              </w:rPr>
              <w:t>ation (NPPO)</w:t>
            </w:r>
          </w:p>
        </w:tc>
        <w:tc>
          <w:tcPr>
            <w:tcW w:w="3491" w:type="pct"/>
          </w:tcPr>
          <w:p w:rsidR="00C74066" w:rsidRDefault="00F10705">
            <w:pPr>
              <w:pStyle w:val="TableText"/>
              <w:rPr>
                <w:rFonts w:ascii="Cambria" w:hAnsi="Cambria"/>
                <w:szCs w:val="18"/>
              </w:rPr>
            </w:pPr>
            <w:r>
              <w:rPr>
                <w:rFonts w:ascii="Cambria" w:hAnsi="Cambria"/>
                <w:szCs w:val="18"/>
              </w:rPr>
              <w:t xml:space="preserve">Official service established by a government to discharge the functions specified by the IPPC </w:t>
            </w:r>
            <w:r w:rsidR="00C57DCF">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C57DCF">
              <w:rPr>
                <w:rFonts w:ascii="Cambria" w:hAnsi="Cambria"/>
                <w:szCs w:val="18"/>
              </w:rPr>
              <w:fldChar w:fldCharType="separate"/>
            </w:r>
            <w:r>
              <w:rPr>
                <w:rFonts w:ascii="Cambria" w:hAnsi="Cambria"/>
                <w:szCs w:val="18"/>
              </w:rPr>
              <w:t>(FAO 2015)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rPr>
                <w:rFonts w:ascii="Cambria" w:hAnsi="Cambria"/>
                <w:szCs w:val="18"/>
              </w:rPr>
            </w:pPr>
            <w:r>
              <w:rPr>
                <w:rFonts w:ascii="Cambria" w:hAnsi="Cambria"/>
                <w:szCs w:val="18"/>
              </w:rPr>
              <w:t>Official control</w:t>
            </w:r>
          </w:p>
        </w:tc>
        <w:tc>
          <w:tcPr>
            <w:tcW w:w="3491" w:type="pct"/>
          </w:tcPr>
          <w:p w:rsidR="00C74066" w:rsidRDefault="00F10705">
            <w:pPr>
              <w:pStyle w:val="TableText"/>
              <w:rPr>
                <w:rFonts w:ascii="Cambria" w:hAnsi="Cambria"/>
                <w:szCs w:val="18"/>
              </w:rPr>
            </w:pPr>
            <w:r>
              <w:rPr>
                <w:rFonts w:ascii="Cambria" w:hAnsi="Cambria"/>
                <w:szCs w:val="18"/>
              </w:rPr>
              <w:t xml:space="preserve">The active enforcement of mandatory phytosanitary regulations and the application of mandatory phytosanitary procedures with the objective of eradication or containment of quarantine pests or for the management of regulated non-quarantine pests </w:t>
            </w:r>
            <w:r w:rsidR="00C57DCF">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C57DCF">
              <w:rPr>
                <w:rFonts w:ascii="Cambria" w:hAnsi="Cambria"/>
                <w:szCs w:val="18"/>
              </w:rPr>
              <w:fldChar w:fldCharType="separate"/>
            </w:r>
            <w:r>
              <w:rPr>
                <w:rFonts w:ascii="Cambria" w:hAnsi="Cambria"/>
                <w:szCs w:val="18"/>
              </w:rPr>
              <w:t>(FAO 2015)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rPr>
                <w:rFonts w:ascii="Cambria" w:hAnsi="Cambria"/>
                <w:szCs w:val="18"/>
              </w:rPr>
            </w:pPr>
            <w:r>
              <w:rPr>
                <w:rFonts w:ascii="Cambria" w:hAnsi="Cambria"/>
                <w:szCs w:val="18"/>
              </w:rPr>
              <w:t>Oospore</w:t>
            </w:r>
          </w:p>
        </w:tc>
        <w:tc>
          <w:tcPr>
            <w:tcW w:w="3491" w:type="pct"/>
          </w:tcPr>
          <w:p w:rsidR="00C74066" w:rsidRDefault="00F10705">
            <w:pPr>
              <w:pStyle w:val="TableText"/>
              <w:rPr>
                <w:rFonts w:ascii="Cambria" w:hAnsi="Cambria"/>
                <w:szCs w:val="18"/>
              </w:rPr>
            </w:pPr>
            <w:r>
              <w:rPr>
                <w:rFonts w:ascii="Cambria" w:hAnsi="Cambria"/>
                <w:szCs w:val="18"/>
              </w:rPr>
              <w:t>Thick-walled, resting spore in the oomycetes that develops from a fertilized oosphere or by parthenogenesis (Shurtleff &amp; Averre 1997).</w:t>
            </w:r>
          </w:p>
        </w:tc>
      </w:tr>
      <w:tr w:rsidR="00C74066">
        <w:tc>
          <w:tcPr>
            <w:tcW w:w="1509" w:type="pct"/>
          </w:tcPr>
          <w:p w:rsidR="00C74066" w:rsidRDefault="00F10705">
            <w:pPr>
              <w:pStyle w:val="TableText"/>
              <w:rPr>
                <w:rFonts w:ascii="Cambria" w:hAnsi="Cambria"/>
                <w:szCs w:val="18"/>
              </w:rPr>
            </w:pPr>
            <w:r>
              <w:rPr>
                <w:rFonts w:ascii="Cambria" w:hAnsi="Cambria"/>
                <w:szCs w:val="18"/>
              </w:rPr>
              <w:t>Pathogen</w:t>
            </w:r>
          </w:p>
        </w:tc>
        <w:tc>
          <w:tcPr>
            <w:tcW w:w="3491" w:type="pct"/>
          </w:tcPr>
          <w:p w:rsidR="00C74066" w:rsidRDefault="00F10705">
            <w:pPr>
              <w:pStyle w:val="TableText"/>
              <w:rPr>
                <w:rFonts w:ascii="Cambria" w:hAnsi="Cambria"/>
                <w:szCs w:val="18"/>
              </w:rPr>
            </w:pPr>
            <w:r>
              <w:rPr>
                <w:rFonts w:ascii="Cambria" w:hAnsi="Cambria"/>
                <w:szCs w:val="18"/>
              </w:rPr>
              <w:t>A biological agent that can cause disease to its host.</w:t>
            </w:r>
          </w:p>
        </w:tc>
      </w:tr>
      <w:tr w:rsidR="00C74066">
        <w:tc>
          <w:tcPr>
            <w:tcW w:w="1509" w:type="pct"/>
          </w:tcPr>
          <w:p w:rsidR="00C74066" w:rsidRDefault="00F10705">
            <w:pPr>
              <w:pStyle w:val="TableText"/>
              <w:rPr>
                <w:rFonts w:ascii="Cambria" w:hAnsi="Cambria"/>
                <w:szCs w:val="18"/>
              </w:rPr>
            </w:pPr>
            <w:r>
              <w:rPr>
                <w:rFonts w:ascii="Cambria" w:hAnsi="Cambria"/>
                <w:szCs w:val="18"/>
              </w:rPr>
              <w:t>Pathway</w:t>
            </w:r>
          </w:p>
        </w:tc>
        <w:tc>
          <w:tcPr>
            <w:tcW w:w="3491" w:type="pct"/>
          </w:tcPr>
          <w:p w:rsidR="00C74066" w:rsidRDefault="00F10705">
            <w:pPr>
              <w:pStyle w:val="TableText"/>
              <w:rPr>
                <w:rFonts w:ascii="Cambria" w:hAnsi="Cambria"/>
                <w:szCs w:val="18"/>
              </w:rPr>
            </w:pPr>
            <w:r>
              <w:rPr>
                <w:rFonts w:ascii="Cambria" w:hAnsi="Cambria"/>
                <w:szCs w:val="18"/>
              </w:rPr>
              <w:t xml:space="preserve">Any means that allows the entry or spread of a pest </w:t>
            </w:r>
            <w:r w:rsidR="00C57DCF">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C57DCF">
              <w:rPr>
                <w:rFonts w:ascii="Cambria" w:hAnsi="Cambria"/>
                <w:szCs w:val="18"/>
              </w:rPr>
              <w:fldChar w:fldCharType="separate"/>
            </w:r>
            <w:r>
              <w:rPr>
                <w:rFonts w:ascii="Cambria" w:hAnsi="Cambria"/>
                <w:szCs w:val="18"/>
              </w:rPr>
              <w:t>(FAO 2015)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rPr>
                <w:rFonts w:ascii="Cambria" w:hAnsi="Cambria"/>
                <w:szCs w:val="18"/>
              </w:rPr>
            </w:pPr>
            <w:r>
              <w:rPr>
                <w:rFonts w:ascii="Cambria" w:hAnsi="Cambria"/>
                <w:szCs w:val="18"/>
              </w:rPr>
              <w:t>Pest</w:t>
            </w:r>
          </w:p>
        </w:tc>
        <w:tc>
          <w:tcPr>
            <w:tcW w:w="3491" w:type="pct"/>
          </w:tcPr>
          <w:p w:rsidR="00C74066" w:rsidRDefault="00F10705">
            <w:pPr>
              <w:pStyle w:val="TableText"/>
              <w:rPr>
                <w:rFonts w:ascii="Cambria" w:hAnsi="Cambria"/>
                <w:szCs w:val="18"/>
              </w:rPr>
            </w:pPr>
            <w:r>
              <w:rPr>
                <w:rFonts w:ascii="Cambria" w:hAnsi="Cambria"/>
                <w:szCs w:val="18"/>
              </w:rPr>
              <w:t xml:space="preserve">Any species, strain or biotype of plant, animal, or pathogenic agent injurious to plants or plant products </w:t>
            </w:r>
            <w:r w:rsidR="00C57DCF">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C57DCF">
              <w:rPr>
                <w:rFonts w:ascii="Cambria" w:hAnsi="Cambria"/>
                <w:szCs w:val="18"/>
              </w:rPr>
              <w:fldChar w:fldCharType="separate"/>
            </w:r>
            <w:r>
              <w:rPr>
                <w:rFonts w:ascii="Cambria" w:hAnsi="Cambria"/>
                <w:szCs w:val="18"/>
              </w:rPr>
              <w:t>(FAO 2015)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rPr>
                <w:rFonts w:ascii="Cambria" w:hAnsi="Cambria"/>
                <w:szCs w:val="18"/>
              </w:rPr>
            </w:pPr>
            <w:r>
              <w:rPr>
                <w:rFonts w:ascii="Cambria" w:hAnsi="Cambria"/>
                <w:szCs w:val="18"/>
              </w:rPr>
              <w:t>Pest categorisation</w:t>
            </w:r>
          </w:p>
        </w:tc>
        <w:tc>
          <w:tcPr>
            <w:tcW w:w="3491" w:type="pct"/>
          </w:tcPr>
          <w:p w:rsidR="00C74066" w:rsidRDefault="00F10705">
            <w:pPr>
              <w:pStyle w:val="TableText"/>
              <w:rPr>
                <w:rFonts w:ascii="Cambria" w:hAnsi="Cambria"/>
                <w:szCs w:val="18"/>
              </w:rPr>
            </w:pPr>
            <w:r>
              <w:rPr>
                <w:rFonts w:ascii="Cambria" w:hAnsi="Cambria"/>
                <w:szCs w:val="18"/>
              </w:rPr>
              <w:t xml:space="preserve">The process for determining whether a pest has or has not the characteristics of a quarantine pest or those of a regulated non-quarantine pest </w:t>
            </w:r>
            <w:r w:rsidR="00C57DCF">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C57DCF">
              <w:rPr>
                <w:rFonts w:ascii="Cambria" w:hAnsi="Cambria"/>
                <w:szCs w:val="18"/>
              </w:rPr>
              <w:fldChar w:fldCharType="separate"/>
            </w:r>
            <w:r>
              <w:rPr>
                <w:rFonts w:ascii="Cambria" w:hAnsi="Cambria"/>
                <w:szCs w:val="18"/>
              </w:rPr>
              <w:t>(FAO 2015)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rPr>
                <w:rFonts w:ascii="Cambria" w:hAnsi="Cambria"/>
                <w:szCs w:val="18"/>
              </w:rPr>
            </w:pPr>
            <w:r>
              <w:rPr>
                <w:rFonts w:ascii="Cambria" w:hAnsi="Cambria"/>
                <w:szCs w:val="18"/>
              </w:rPr>
              <w:t>Pest free area (PFA)</w:t>
            </w:r>
          </w:p>
        </w:tc>
        <w:tc>
          <w:tcPr>
            <w:tcW w:w="3491" w:type="pct"/>
          </w:tcPr>
          <w:p w:rsidR="00C74066" w:rsidRDefault="00F10705">
            <w:pPr>
              <w:pStyle w:val="TableText"/>
              <w:rPr>
                <w:rFonts w:ascii="Cambria" w:hAnsi="Cambria"/>
                <w:szCs w:val="18"/>
              </w:rPr>
            </w:pPr>
            <w:r>
              <w:rPr>
                <w:rFonts w:ascii="Cambria" w:hAnsi="Cambria"/>
                <w:szCs w:val="18"/>
              </w:rPr>
              <w:t xml:space="preserve">An area in which a specific pest does not occur as demonstrated by scientific evidence and in which, where appropriate, this condition is being officially maintained </w:t>
            </w:r>
            <w:r w:rsidR="00C57DCF">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C57DCF">
              <w:rPr>
                <w:rFonts w:ascii="Cambria" w:hAnsi="Cambria"/>
                <w:szCs w:val="18"/>
              </w:rPr>
              <w:fldChar w:fldCharType="separate"/>
            </w:r>
            <w:r>
              <w:rPr>
                <w:rFonts w:ascii="Cambria" w:hAnsi="Cambria"/>
                <w:szCs w:val="18"/>
              </w:rPr>
              <w:t>(FAO 2015)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rPr>
                <w:rFonts w:ascii="Cambria" w:hAnsi="Cambria"/>
                <w:szCs w:val="18"/>
              </w:rPr>
            </w:pPr>
            <w:r>
              <w:rPr>
                <w:rFonts w:ascii="Cambria" w:hAnsi="Cambria"/>
                <w:szCs w:val="18"/>
              </w:rPr>
              <w:t>Pest free place of production</w:t>
            </w:r>
          </w:p>
        </w:tc>
        <w:tc>
          <w:tcPr>
            <w:tcW w:w="3491" w:type="pct"/>
          </w:tcPr>
          <w:p w:rsidR="00C74066" w:rsidRDefault="00F10705">
            <w:pPr>
              <w:pStyle w:val="TableText"/>
              <w:rPr>
                <w:rFonts w:ascii="Cambria" w:hAnsi="Cambria"/>
                <w:szCs w:val="18"/>
              </w:rPr>
            </w:pPr>
            <w:r>
              <w:rPr>
                <w:rFonts w:ascii="Cambria" w:hAnsi="Cambria"/>
                <w:szCs w:val="18"/>
              </w:rPr>
              <w:t xml:space="preserve">Place of production in which a specific pest does not occur as demonstrated by scientific evidence and in which, where appropriate, this condition is being officially maintained for a defined period </w:t>
            </w:r>
            <w:r w:rsidR="00C57DCF">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C57DCF">
              <w:rPr>
                <w:rFonts w:ascii="Cambria" w:hAnsi="Cambria"/>
                <w:szCs w:val="18"/>
              </w:rPr>
              <w:fldChar w:fldCharType="separate"/>
            </w:r>
            <w:r>
              <w:rPr>
                <w:rFonts w:ascii="Cambria" w:hAnsi="Cambria"/>
                <w:szCs w:val="18"/>
              </w:rPr>
              <w:t>(FAO 2015)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rPr>
                <w:rFonts w:ascii="Cambria" w:hAnsi="Cambria"/>
                <w:szCs w:val="18"/>
              </w:rPr>
            </w:pPr>
            <w:r>
              <w:rPr>
                <w:rFonts w:ascii="Cambria" w:hAnsi="Cambria"/>
                <w:szCs w:val="18"/>
              </w:rPr>
              <w:t>Pest free production site</w:t>
            </w:r>
          </w:p>
        </w:tc>
        <w:tc>
          <w:tcPr>
            <w:tcW w:w="3491" w:type="pct"/>
          </w:tcPr>
          <w:p w:rsidR="00C74066" w:rsidRDefault="00F10705">
            <w:pPr>
              <w:pStyle w:val="TableText"/>
              <w:rPr>
                <w:rFonts w:ascii="Cambria" w:hAnsi="Cambria"/>
                <w:szCs w:val="18"/>
              </w:rPr>
            </w:pPr>
            <w:r>
              <w:rPr>
                <w:rFonts w:ascii="Cambria" w:hAnsi="Cambria"/>
                <w:szCs w:val="18"/>
              </w:rPr>
              <w:t xml:space="preserve">A defined portion of a place of production in which a specific pest does not occur as demonstrated by scientific evidence and in which, where appropriate, this condition is being officially maintained for a defined period and that is managed as a separate unit in the same way as a pest free place of production </w:t>
            </w:r>
            <w:r w:rsidR="00C57DCF">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C57DCF">
              <w:rPr>
                <w:rFonts w:ascii="Cambria" w:hAnsi="Cambria"/>
                <w:szCs w:val="18"/>
              </w:rPr>
              <w:fldChar w:fldCharType="separate"/>
            </w:r>
            <w:r>
              <w:rPr>
                <w:rFonts w:ascii="Cambria" w:hAnsi="Cambria"/>
                <w:szCs w:val="18"/>
              </w:rPr>
              <w:t>(FAO 2015)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rPr>
                <w:rFonts w:ascii="Cambria" w:hAnsi="Cambria"/>
                <w:szCs w:val="18"/>
              </w:rPr>
            </w:pPr>
            <w:r>
              <w:rPr>
                <w:rFonts w:ascii="Cambria" w:hAnsi="Cambria"/>
                <w:szCs w:val="18"/>
              </w:rPr>
              <w:t>Pest risk analysis (PRA)</w:t>
            </w:r>
          </w:p>
        </w:tc>
        <w:tc>
          <w:tcPr>
            <w:tcW w:w="3491" w:type="pct"/>
          </w:tcPr>
          <w:p w:rsidR="00C74066" w:rsidRDefault="00F10705">
            <w:pPr>
              <w:pStyle w:val="TableText"/>
              <w:rPr>
                <w:rFonts w:ascii="Cambria" w:hAnsi="Cambria"/>
                <w:szCs w:val="18"/>
              </w:rPr>
            </w:pPr>
            <w:r>
              <w:rPr>
                <w:rFonts w:ascii="Cambria" w:hAnsi="Cambria"/>
                <w:szCs w:val="18"/>
              </w:rPr>
              <w:t xml:space="preserve">The process of evaluating biological or other scientific and economic evidence to determine whether an organism is a pest, whether it should be regulated, and the strength of any phytosanitary measures to be taken against it </w:t>
            </w:r>
            <w:r w:rsidR="00C57DCF">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C57DCF">
              <w:rPr>
                <w:rFonts w:ascii="Cambria" w:hAnsi="Cambria"/>
                <w:szCs w:val="18"/>
              </w:rPr>
              <w:fldChar w:fldCharType="separate"/>
            </w:r>
            <w:r>
              <w:rPr>
                <w:rFonts w:ascii="Cambria" w:hAnsi="Cambria"/>
                <w:szCs w:val="18"/>
              </w:rPr>
              <w:t>(FAO 2015)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rPr>
                <w:rFonts w:ascii="Cambria" w:hAnsi="Cambria"/>
                <w:szCs w:val="18"/>
              </w:rPr>
            </w:pPr>
            <w:r>
              <w:rPr>
                <w:rFonts w:ascii="Cambria" w:hAnsi="Cambria"/>
                <w:szCs w:val="18"/>
              </w:rPr>
              <w:t>Pest risk assessment (for quarantine pests)</w:t>
            </w:r>
          </w:p>
        </w:tc>
        <w:tc>
          <w:tcPr>
            <w:tcW w:w="3491" w:type="pct"/>
          </w:tcPr>
          <w:p w:rsidR="00C74066" w:rsidRDefault="00F10705">
            <w:pPr>
              <w:pStyle w:val="TableText"/>
              <w:rPr>
                <w:rFonts w:ascii="Cambria" w:hAnsi="Cambria"/>
                <w:szCs w:val="18"/>
              </w:rPr>
            </w:pPr>
            <w:r>
              <w:rPr>
                <w:rFonts w:ascii="Cambria" w:hAnsi="Cambria"/>
                <w:szCs w:val="18"/>
              </w:rPr>
              <w:t xml:space="preserve">Evaluation of the probability of the introduction and spread of a pest and of the magnitude of the associated potential economic consequences </w:t>
            </w:r>
            <w:r w:rsidR="00C57DCF">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C57DCF">
              <w:rPr>
                <w:rFonts w:ascii="Cambria" w:hAnsi="Cambria"/>
                <w:szCs w:val="18"/>
              </w:rPr>
              <w:fldChar w:fldCharType="separate"/>
            </w:r>
            <w:r>
              <w:rPr>
                <w:rFonts w:ascii="Cambria" w:hAnsi="Cambria"/>
                <w:szCs w:val="18"/>
              </w:rPr>
              <w:t>(FAO 2015)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rPr>
                <w:rFonts w:ascii="Cambria" w:hAnsi="Cambria"/>
                <w:szCs w:val="18"/>
              </w:rPr>
            </w:pPr>
            <w:r>
              <w:rPr>
                <w:rFonts w:ascii="Cambria" w:hAnsi="Cambria"/>
                <w:szCs w:val="18"/>
              </w:rPr>
              <w:t>Pest risk assessment (for regulated non-quarantine pests)</w:t>
            </w:r>
          </w:p>
        </w:tc>
        <w:tc>
          <w:tcPr>
            <w:tcW w:w="3491" w:type="pct"/>
          </w:tcPr>
          <w:p w:rsidR="00C74066" w:rsidRDefault="00F10705" w:rsidP="00365420">
            <w:pPr>
              <w:pStyle w:val="TableText"/>
              <w:rPr>
                <w:rFonts w:ascii="Cambria" w:hAnsi="Cambria"/>
                <w:szCs w:val="18"/>
              </w:rPr>
            </w:pPr>
            <w:r>
              <w:rPr>
                <w:rFonts w:ascii="Cambria" w:hAnsi="Cambria"/>
                <w:szCs w:val="18"/>
              </w:rPr>
              <w:t>Evaluation of the probability that a pest in plants for planting affects the int</w:t>
            </w:r>
            <w:r w:rsidR="00365420">
              <w:rPr>
                <w:rFonts w:ascii="Cambria" w:hAnsi="Cambria"/>
                <w:szCs w:val="18"/>
              </w:rPr>
              <w:t>end</w:t>
            </w:r>
            <w:r>
              <w:rPr>
                <w:rFonts w:ascii="Cambria" w:hAnsi="Cambria"/>
                <w:szCs w:val="18"/>
              </w:rPr>
              <w:t xml:space="preserve">ed use of those plants with an economically unacceptable impact </w:t>
            </w:r>
            <w:r w:rsidR="00C57DCF">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C57DCF">
              <w:rPr>
                <w:rFonts w:ascii="Cambria" w:hAnsi="Cambria"/>
                <w:szCs w:val="18"/>
              </w:rPr>
              <w:fldChar w:fldCharType="separate"/>
            </w:r>
            <w:r>
              <w:rPr>
                <w:rFonts w:ascii="Cambria" w:hAnsi="Cambria"/>
                <w:szCs w:val="18"/>
              </w:rPr>
              <w:t>(FAO 2015)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rPr>
                <w:rFonts w:ascii="Cambria" w:hAnsi="Cambria"/>
                <w:szCs w:val="18"/>
              </w:rPr>
            </w:pPr>
            <w:r>
              <w:rPr>
                <w:rFonts w:ascii="Cambria" w:hAnsi="Cambria"/>
                <w:szCs w:val="18"/>
              </w:rPr>
              <w:t>Pest risk management (for quarantine pests)</w:t>
            </w:r>
          </w:p>
        </w:tc>
        <w:tc>
          <w:tcPr>
            <w:tcW w:w="3491" w:type="pct"/>
          </w:tcPr>
          <w:p w:rsidR="00C74066" w:rsidRDefault="00F10705">
            <w:pPr>
              <w:pStyle w:val="TableText"/>
              <w:rPr>
                <w:rFonts w:ascii="Cambria" w:hAnsi="Cambria"/>
                <w:szCs w:val="18"/>
              </w:rPr>
            </w:pPr>
            <w:r>
              <w:rPr>
                <w:rFonts w:ascii="Cambria" w:hAnsi="Cambria"/>
                <w:szCs w:val="18"/>
              </w:rPr>
              <w:t xml:space="preserve">Evaluation and selection of options to reduce the risk of introduction and spread of a pest </w:t>
            </w:r>
            <w:r w:rsidR="00C57DCF">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C57DCF">
              <w:rPr>
                <w:rFonts w:ascii="Cambria" w:hAnsi="Cambria"/>
                <w:szCs w:val="18"/>
              </w:rPr>
              <w:fldChar w:fldCharType="separate"/>
            </w:r>
            <w:r>
              <w:rPr>
                <w:rFonts w:ascii="Cambria" w:hAnsi="Cambria"/>
                <w:szCs w:val="18"/>
              </w:rPr>
              <w:t>(FAO 2015)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rPr>
                <w:rFonts w:ascii="Cambria" w:hAnsi="Cambria"/>
                <w:szCs w:val="18"/>
              </w:rPr>
            </w:pPr>
            <w:r>
              <w:rPr>
                <w:rFonts w:ascii="Cambria" w:hAnsi="Cambria"/>
                <w:szCs w:val="18"/>
              </w:rPr>
              <w:t>Pest risk management (for regulated non-quarantine pests)</w:t>
            </w:r>
          </w:p>
        </w:tc>
        <w:tc>
          <w:tcPr>
            <w:tcW w:w="3491" w:type="pct"/>
          </w:tcPr>
          <w:p w:rsidR="00C74066" w:rsidRDefault="00F10705">
            <w:pPr>
              <w:pStyle w:val="TableText"/>
              <w:rPr>
                <w:rFonts w:ascii="Cambria" w:hAnsi="Cambria"/>
                <w:szCs w:val="18"/>
              </w:rPr>
            </w:pPr>
            <w:r>
              <w:rPr>
                <w:rFonts w:ascii="Cambria" w:hAnsi="Cambria"/>
                <w:szCs w:val="18"/>
              </w:rPr>
              <w:t xml:space="preserve">Evaluation and selection of options to reduce the risk that a pest in plants for planting causes an economically unacceptable impact on the intended use of those plants </w:t>
            </w:r>
            <w:r w:rsidR="00C57DCF">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C57DCF">
              <w:rPr>
                <w:rFonts w:ascii="Cambria" w:hAnsi="Cambria"/>
                <w:szCs w:val="18"/>
              </w:rPr>
              <w:fldChar w:fldCharType="separate"/>
            </w:r>
            <w:r>
              <w:rPr>
                <w:rFonts w:ascii="Cambria" w:hAnsi="Cambria"/>
                <w:szCs w:val="18"/>
              </w:rPr>
              <w:t>(FAO 2015)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rPr>
                <w:rFonts w:ascii="Cambria" w:hAnsi="Cambria"/>
                <w:szCs w:val="18"/>
              </w:rPr>
            </w:pPr>
            <w:r>
              <w:rPr>
                <w:rFonts w:ascii="Cambria" w:hAnsi="Cambria"/>
                <w:szCs w:val="18"/>
              </w:rPr>
              <w:t>Pest status (in an area)</w:t>
            </w:r>
          </w:p>
        </w:tc>
        <w:tc>
          <w:tcPr>
            <w:tcW w:w="3491" w:type="pct"/>
          </w:tcPr>
          <w:p w:rsidR="00C74066" w:rsidRDefault="00F10705">
            <w:pPr>
              <w:pStyle w:val="TableText"/>
              <w:rPr>
                <w:rFonts w:ascii="Cambria" w:hAnsi="Cambria"/>
                <w:szCs w:val="18"/>
              </w:rPr>
            </w:pPr>
            <w:r>
              <w:rPr>
                <w:rFonts w:ascii="Cambria" w:hAnsi="Cambria"/>
                <w:szCs w:val="18"/>
              </w:rPr>
              <w:t xml:space="preserve">Presence or absence, at the present time, of a pest in an area, including where appropriate its distribution, as officially determined using expert judgement on the basis of current and historical pest records and other information </w:t>
            </w:r>
            <w:r w:rsidR="00C57DCF">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C57DCF">
              <w:rPr>
                <w:rFonts w:ascii="Cambria" w:hAnsi="Cambria"/>
                <w:szCs w:val="18"/>
              </w:rPr>
              <w:fldChar w:fldCharType="separate"/>
            </w:r>
            <w:r>
              <w:rPr>
                <w:rFonts w:ascii="Cambria" w:hAnsi="Cambria"/>
                <w:szCs w:val="18"/>
              </w:rPr>
              <w:t>(FAO 2015)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rPr>
                <w:rFonts w:ascii="Cambria" w:hAnsi="Cambria"/>
                <w:szCs w:val="18"/>
              </w:rPr>
            </w:pPr>
            <w:r>
              <w:rPr>
                <w:rFonts w:ascii="Cambria" w:hAnsi="Cambria"/>
                <w:szCs w:val="18"/>
              </w:rPr>
              <w:t>Phytosanitary Certificate</w:t>
            </w:r>
          </w:p>
        </w:tc>
        <w:tc>
          <w:tcPr>
            <w:tcW w:w="3491" w:type="pct"/>
          </w:tcPr>
          <w:p w:rsidR="00C74066" w:rsidRDefault="00F10705">
            <w:pPr>
              <w:pStyle w:val="TableText"/>
              <w:rPr>
                <w:rFonts w:ascii="Cambria" w:hAnsi="Cambria"/>
                <w:szCs w:val="18"/>
              </w:rPr>
            </w:pPr>
            <w:r>
              <w:rPr>
                <w:rFonts w:ascii="Cambria" w:hAnsi="Cambria"/>
                <w:szCs w:val="18"/>
              </w:rPr>
              <w:t xml:space="preserve">An official paper document or its official electronic equivalent, consistent with the model of certificates of the IPPC, attesting that a consignment meets phytosanitary import requirements </w:t>
            </w:r>
            <w:r w:rsidR="00C57DCF">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C57DCF">
              <w:rPr>
                <w:rFonts w:ascii="Cambria" w:hAnsi="Cambria"/>
                <w:szCs w:val="18"/>
              </w:rPr>
              <w:fldChar w:fldCharType="separate"/>
            </w:r>
            <w:r>
              <w:rPr>
                <w:rFonts w:ascii="Cambria" w:hAnsi="Cambria"/>
                <w:szCs w:val="18"/>
              </w:rPr>
              <w:t>(FAO 2015)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rPr>
                <w:rFonts w:ascii="Cambria" w:hAnsi="Cambria"/>
                <w:szCs w:val="18"/>
              </w:rPr>
            </w:pPr>
            <w:r>
              <w:rPr>
                <w:rFonts w:ascii="Cambria" w:hAnsi="Cambria"/>
                <w:szCs w:val="18"/>
              </w:rPr>
              <w:lastRenderedPageBreak/>
              <w:t>Phytosanitary certification</w:t>
            </w:r>
          </w:p>
        </w:tc>
        <w:tc>
          <w:tcPr>
            <w:tcW w:w="3491" w:type="pct"/>
          </w:tcPr>
          <w:p w:rsidR="00C74066" w:rsidRDefault="00F10705">
            <w:pPr>
              <w:pStyle w:val="TableText"/>
              <w:rPr>
                <w:rFonts w:ascii="Cambria" w:hAnsi="Cambria"/>
                <w:szCs w:val="18"/>
              </w:rPr>
            </w:pPr>
            <w:r>
              <w:rPr>
                <w:rFonts w:ascii="Cambria" w:hAnsi="Cambria"/>
                <w:szCs w:val="18"/>
              </w:rPr>
              <w:t xml:space="preserve">Use of phytosanitary procedures leading to the issue of a phytosanitary certificate </w:t>
            </w:r>
            <w:r w:rsidR="00C57DCF">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C57DCF">
              <w:rPr>
                <w:rFonts w:ascii="Cambria" w:hAnsi="Cambria"/>
                <w:szCs w:val="18"/>
              </w:rPr>
              <w:fldChar w:fldCharType="separate"/>
            </w:r>
            <w:r>
              <w:rPr>
                <w:rFonts w:ascii="Cambria" w:hAnsi="Cambria"/>
                <w:szCs w:val="18"/>
              </w:rPr>
              <w:t>(FAO 2015)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rPr>
                <w:rFonts w:ascii="Cambria" w:hAnsi="Cambria"/>
                <w:szCs w:val="18"/>
              </w:rPr>
            </w:pPr>
            <w:r>
              <w:rPr>
                <w:rFonts w:ascii="Cambria" w:hAnsi="Cambria"/>
                <w:szCs w:val="18"/>
              </w:rPr>
              <w:t>Phytosanitary measure</w:t>
            </w:r>
          </w:p>
        </w:tc>
        <w:tc>
          <w:tcPr>
            <w:tcW w:w="3491" w:type="pct"/>
          </w:tcPr>
          <w:p w:rsidR="00C74066" w:rsidRDefault="00F10705">
            <w:pPr>
              <w:pStyle w:val="TableText"/>
              <w:rPr>
                <w:rFonts w:ascii="Cambria" w:hAnsi="Cambria"/>
                <w:szCs w:val="18"/>
              </w:rPr>
            </w:pPr>
            <w:r>
              <w:rPr>
                <w:rFonts w:ascii="Cambria" w:hAnsi="Cambria"/>
                <w:szCs w:val="18"/>
              </w:rPr>
              <w:t xml:space="preserve">Any legislation, regulation or official procedure having the purpose to prevent the introduction and/or spread of quarantine pests, or to limit the economic impact of regulated non-quarantine pests </w:t>
            </w:r>
            <w:r w:rsidR="00C57DCF">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C57DCF">
              <w:rPr>
                <w:rFonts w:ascii="Cambria" w:hAnsi="Cambria"/>
                <w:szCs w:val="18"/>
              </w:rPr>
              <w:fldChar w:fldCharType="separate"/>
            </w:r>
            <w:r>
              <w:rPr>
                <w:rFonts w:ascii="Cambria" w:hAnsi="Cambria"/>
                <w:szCs w:val="18"/>
              </w:rPr>
              <w:t>(FAO 2015)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rPr>
                <w:rFonts w:ascii="Cambria" w:hAnsi="Cambria"/>
                <w:szCs w:val="18"/>
              </w:rPr>
            </w:pPr>
            <w:r>
              <w:rPr>
                <w:rFonts w:ascii="Cambria" w:hAnsi="Cambria"/>
                <w:szCs w:val="18"/>
              </w:rPr>
              <w:t>Phytosanitary procedure</w:t>
            </w:r>
          </w:p>
        </w:tc>
        <w:tc>
          <w:tcPr>
            <w:tcW w:w="3491" w:type="pct"/>
          </w:tcPr>
          <w:p w:rsidR="00C74066" w:rsidRDefault="00F10705">
            <w:pPr>
              <w:pStyle w:val="TableText"/>
              <w:rPr>
                <w:rFonts w:ascii="Cambria" w:hAnsi="Cambria"/>
                <w:szCs w:val="18"/>
              </w:rPr>
            </w:pPr>
            <w:r>
              <w:rPr>
                <w:rFonts w:ascii="Cambria" w:hAnsi="Cambria"/>
                <w:szCs w:val="18"/>
              </w:rPr>
              <w:t xml:space="preserve">Any official method for implementing phytosanitary measures including the performance of inspections, tests, surveillance or treatments in connection with regulated pests </w:t>
            </w:r>
            <w:r w:rsidR="00C57DCF">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C57DCF">
              <w:rPr>
                <w:rFonts w:ascii="Cambria" w:hAnsi="Cambria"/>
                <w:szCs w:val="18"/>
              </w:rPr>
              <w:fldChar w:fldCharType="separate"/>
            </w:r>
            <w:r>
              <w:rPr>
                <w:rFonts w:ascii="Cambria" w:hAnsi="Cambria"/>
                <w:szCs w:val="18"/>
              </w:rPr>
              <w:t>(FAO 2015)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rPr>
                <w:rFonts w:ascii="Cambria" w:hAnsi="Cambria"/>
                <w:szCs w:val="18"/>
              </w:rPr>
            </w:pPr>
            <w:r>
              <w:rPr>
                <w:rFonts w:ascii="Cambria" w:hAnsi="Cambria"/>
                <w:szCs w:val="18"/>
              </w:rPr>
              <w:t>Phytosanitary regulation</w:t>
            </w:r>
          </w:p>
        </w:tc>
        <w:tc>
          <w:tcPr>
            <w:tcW w:w="3491" w:type="pct"/>
          </w:tcPr>
          <w:p w:rsidR="00C74066" w:rsidRDefault="00F10705">
            <w:pPr>
              <w:pStyle w:val="TableText"/>
              <w:rPr>
                <w:rFonts w:ascii="Cambria" w:hAnsi="Cambria"/>
                <w:szCs w:val="18"/>
              </w:rPr>
            </w:pPr>
            <w:r>
              <w:rPr>
                <w:rFonts w:ascii="Cambria" w:hAnsi="Cambria"/>
                <w:szCs w:val="18"/>
              </w:rPr>
              <w:t xml:space="preserve">Official rule to prevent the introduction and/or spread of quarantine pests, or to limit the economic impact of regulated non-quarantine pests, including establishment of procedures for phytosanitary certification </w:t>
            </w:r>
            <w:r w:rsidR="00C57DCF">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C57DCF">
              <w:rPr>
                <w:rFonts w:ascii="Cambria" w:hAnsi="Cambria"/>
                <w:szCs w:val="18"/>
              </w:rPr>
              <w:fldChar w:fldCharType="separate"/>
            </w:r>
            <w:r>
              <w:rPr>
                <w:rFonts w:ascii="Cambria" w:hAnsi="Cambria"/>
                <w:szCs w:val="18"/>
              </w:rPr>
              <w:t>(FAO 2015)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rPr>
                <w:rFonts w:ascii="Cambria" w:hAnsi="Cambria"/>
                <w:szCs w:val="18"/>
              </w:rPr>
            </w:pPr>
            <w:r>
              <w:rPr>
                <w:rFonts w:ascii="Cambria" w:hAnsi="Cambria"/>
                <w:szCs w:val="18"/>
              </w:rPr>
              <w:t>Polycyclic</w:t>
            </w:r>
          </w:p>
        </w:tc>
        <w:tc>
          <w:tcPr>
            <w:tcW w:w="3491" w:type="pct"/>
          </w:tcPr>
          <w:p w:rsidR="00C74066" w:rsidRDefault="00F10705">
            <w:pPr>
              <w:pStyle w:val="TableText"/>
              <w:rPr>
                <w:rFonts w:ascii="Cambria" w:hAnsi="Cambria"/>
                <w:szCs w:val="18"/>
              </w:rPr>
            </w:pPr>
            <w:r>
              <w:rPr>
                <w:rFonts w:ascii="Cambria" w:hAnsi="Cambria"/>
                <w:szCs w:val="18"/>
              </w:rPr>
              <w:t>A disease of which many cycles occur in one growing season, resulting in many secondary infections (Shurtleff &amp; Averre 1997).</w:t>
            </w:r>
          </w:p>
        </w:tc>
      </w:tr>
      <w:tr w:rsidR="00C74066">
        <w:tc>
          <w:tcPr>
            <w:tcW w:w="1509" w:type="pct"/>
          </w:tcPr>
          <w:p w:rsidR="00C74066" w:rsidRDefault="00F10705">
            <w:pPr>
              <w:pStyle w:val="TableText"/>
              <w:rPr>
                <w:rFonts w:ascii="Cambria" w:hAnsi="Cambria"/>
                <w:szCs w:val="18"/>
              </w:rPr>
            </w:pPr>
            <w:r>
              <w:rPr>
                <w:rFonts w:ascii="Cambria" w:hAnsi="Cambria"/>
                <w:szCs w:val="18"/>
              </w:rPr>
              <w:t>Polyphagous</w:t>
            </w:r>
          </w:p>
        </w:tc>
        <w:tc>
          <w:tcPr>
            <w:tcW w:w="3491" w:type="pct"/>
          </w:tcPr>
          <w:p w:rsidR="00C74066" w:rsidRDefault="00F10705">
            <w:pPr>
              <w:pStyle w:val="TableText"/>
              <w:rPr>
                <w:rFonts w:ascii="Cambria" w:hAnsi="Cambria"/>
                <w:szCs w:val="18"/>
              </w:rPr>
            </w:pPr>
            <w:r>
              <w:rPr>
                <w:rFonts w:ascii="Cambria" w:hAnsi="Cambria"/>
                <w:szCs w:val="18"/>
              </w:rPr>
              <w:t>Feeding on a relatively large number of hosts from different plant family and/or genera.</w:t>
            </w:r>
          </w:p>
        </w:tc>
      </w:tr>
      <w:tr w:rsidR="00C74066">
        <w:tc>
          <w:tcPr>
            <w:tcW w:w="1509" w:type="pct"/>
          </w:tcPr>
          <w:p w:rsidR="00C74066" w:rsidRDefault="00F10705">
            <w:pPr>
              <w:pStyle w:val="TableText"/>
              <w:tabs>
                <w:tab w:val="left" w:pos="1174"/>
              </w:tabs>
              <w:rPr>
                <w:rFonts w:ascii="Cambria" w:hAnsi="Cambria"/>
                <w:szCs w:val="18"/>
              </w:rPr>
            </w:pPr>
            <w:r>
              <w:rPr>
                <w:rFonts w:ascii="Cambria" w:hAnsi="Cambria"/>
                <w:szCs w:val="18"/>
              </w:rPr>
              <w:t>PRA area</w:t>
            </w:r>
            <w:r>
              <w:rPr>
                <w:rFonts w:ascii="Cambria" w:hAnsi="Cambria"/>
                <w:szCs w:val="18"/>
              </w:rPr>
              <w:tab/>
            </w:r>
          </w:p>
        </w:tc>
        <w:tc>
          <w:tcPr>
            <w:tcW w:w="3491" w:type="pct"/>
          </w:tcPr>
          <w:p w:rsidR="00C74066" w:rsidRDefault="00F10705">
            <w:pPr>
              <w:pStyle w:val="TableText"/>
              <w:rPr>
                <w:rFonts w:ascii="Cambria" w:hAnsi="Cambria"/>
                <w:szCs w:val="18"/>
              </w:rPr>
            </w:pPr>
            <w:r>
              <w:rPr>
                <w:rFonts w:ascii="Cambria" w:hAnsi="Cambria"/>
                <w:szCs w:val="18"/>
              </w:rPr>
              <w:t xml:space="preserve">Area in relation to which a pest risk analysis is conducted </w:t>
            </w:r>
            <w:r w:rsidR="00C57DCF">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C57DCF">
              <w:rPr>
                <w:rFonts w:ascii="Cambria" w:hAnsi="Cambria"/>
                <w:szCs w:val="18"/>
              </w:rPr>
              <w:fldChar w:fldCharType="separate"/>
            </w:r>
            <w:r>
              <w:rPr>
                <w:rFonts w:ascii="Cambria" w:hAnsi="Cambria"/>
                <w:szCs w:val="18"/>
              </w:rPr>
              <w:t>(FAO 2015)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tabs>
                <w:tab w:val="left" w:pos="1174"/>
              </w:tabs>
              <w:rPr>
                <w:rFonts w:ascii="Cambria" w:hAnsi="Cambria"/>
                <w:szCs w:val="18"/>
              </w:rPr>
            </w:pPr>
            <w:r>
              <w:rPr>
                <w:rFonts w:ascii="Cambria" w:hAnsi="Cambria"/>
                <w:szCs w:val="18"/>
              </w:rPr>
              <w:t>Propagule</w:t>
            </w:r>
          </w:p>
        </w:tc>
        <w:tc>
          <w:tcPr>
            <w:tcW w:w="3491" w:type="pct"/>
          </w:tcPr>
          <w:p w:rsidR="00C74066" w:rsidRDefault="00F10705">
            <w:pPr>
              <w:pStyle w:val="TableText"/>
              <w:rPr>
                <w:rFonts w:ascii="Cambria" w:hAnsi="Cambria"/>
                <w:szCs w:val="18"/>
              </w:rPr>
            </w:pPr>
            <w:r>
              <w:rPr>
                <w:rFonts w:ascii="Cambria" w:hAnsi="Cambria"/>
                <w:szCs w:val="18"/>
              </w:rPr>
              <w:t>Any part of an organism capable of initiating independent growth when separated from the parent body (Shurtleff &amp; Averre 1997).</w:t>
            </w:r>
          </w:p>
        </w:tc>
      </w:tr>
      <w:tr w:rsidR="00C74066">
        <w:tc>
          <w:tcPr>
            <w:tcW w:w="1509" w:type="pct"/>
          </w:tcPr>
          <w:p w:rsidR="00C74066" w:rsidRDefault="00F10705">
            <w:pPr>
              <w:pStyle w:val="TableText"/>
              <w:rPr>
                <w:rFonts w:ascii="Cambria" w:hAnsi="Cambria"/>
                <w:szCs w:val="18"/>
              </w:rPr>
            </w:pPr>
            <w:r>
              <w:rPr>
                <w:rFonts w:ascii="Cambria" w:hAnsi="Cambria"/>
                <w:szCs w:val="18"/>
              </w:rPr>
              <w:t>Quarantine</w:t>
            </w:r>
          </w:p>
        </w:tc>
        <w:tc>
          <w:tcPr>
            <w:tcW w:w="3491" w:type="pct"/>
          </w:tcPr>
          <w:p w:rsidR="00C74066" w:rsidRDefault="00F10705">
            <w:pPr>
              <w:pStyle w:val="TableText"/>
              <w:rPr>
                <w:rFonts w:ascii="Cambria" w:hAnsi="Cambria"/>
                <w:szCs w:val="18"/>
              </w:rPr>
            </w:pPr>
            <w:r>
              <w:rPr>
                <w:rFonts w:ascii="Cambria" w:hAnsi="Cambria"/>
                <w:szCs w:val="18"/>
              </w:rPr>
              <w:t xml:space="preserve">Official confinement of regulated articles for observation and research or for further inspection, testing or treatment </w:t>
            </w:r>
            <w:r w:rsidR="00C57DCF">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C57DCF">
              <w:rPr>
                <w:rFonts w:ascii="Cambria" w:hAnsi="Cambria"/>
                <w:szCs w:val="18"/>
              </w:rPr>
              <w:fldChar w:fldCharType="separate"/>
            </w:r>
            <w:r>
              <w:rPr>
                <w:rFonts w:ascii="Cambria" w:hAnsi="Cambria"/>
                <w:szCs w:val="18"/>
              </w:rPr>
              <w:t>(FAO 2015)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rPr>
                <w:rFonts w:ascii="Cambria" w:hAnsi="Cambria"/>
                <w:szCs w:val="18"/>
              </w:rPr>
            </w:pPr>
            <w:r>
              <w:rPr>
                <w:rFonts w:ascii="Cambria" w:hAnsi="Cambria"/>
                <w:szCs w:val="18"/>
              </w:rPr>
              <w:t>Quarantine pest</w:t>
            </w:r>
          </w:p>
        </w:tc>
        <w:tc>
          <w:tcPr>
            <w:tcW w:w="3491" w:type="pct"/>
          </w:tcPr>
          <w:p w:rsidR="00C74066" w:rsidRDefault="00F10705">
            <w:pPr>
              <w:pStyle w:val="TableText"/>
              <w:rPr>
                <w:rFonts w:ascii="Cambria" w:hAnsi="Cambria"/>
                <w:szCs w:val="18"/>
              </w:rPr>
            </w:pPr>
            <w:r>
              <w:rPr>
                <w:rFonts w:ascii="Cambria" w:hAnsi="Cambria"/>
                <w:szCs w:val="18"/>
              </w:rPr>
              <w:t xml:space="preserve">A pest of potential economic importance to the area endangered thereby and not yet present there, or present but not widely distributed and being officially controlled </w:t>
            </w:r>
            <w:r w:rsidR="00C57DCF">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C57DCF">
              <w:rPr>
                <w:rFonts w:ascii="Cambria" w:hAnsi="Cambria"/>
                <w:szCs w:val="18"/>
              </w:rPr>
              <w:fldChar w:fldCharType="separate"/>
            </w:r>
            <w:r>
              <w:rPr>
                <w:rFonts w:ascii="Cambria" w:hAnsi="Cambria"/>
                <w:szCs w:val="18"/>
              </w:rPr>
              <w:t>(FAO 2015)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rPr>
                <w:rFonts w:ascii="Cambria" w:hAnsi="Cambria"/>
                <w:szCs w:val="18"/>
              </w:rPr>
            </w:pPr>
            <w:r>
              <w:rPr>
                <w:rFonts w:ascii="Cambria" w:hAnsi="Cambria"/>
                <w:szCs w:val="18"/>
              </w:rPr>
              <w:t>Regulated article</w:t>
            </w:r>
          </w:p>
        </w:tc>
        <w:tc>
          <w:tcPr>
            <w:tcW w:w="3491" w:type="pct"/>
          </w:tcPr>
          <w:p w:rsidR="00C74066" w:rsidRDefault="00F10705">
            <w:pPr>
              <w:pStyle w:val="TableText"/>
              <w:rPr>
                <w:rFonts w:ascii="Cambria" w:hAnsi="Cambria"/>
                <w:szCs w:val="18"/>
              </w:rPr>
            </w:pPr>
            <w:r>
              <w:rPr>
                <w:rFonts w:ascii="Cambria" w:hAnsi="Cambria"/>
                <w:szCs w:val="18"/>
              </w:rPr>
              <w:t xml:space="preserve">Any plant, plant product, storage place, packaging, conveyance, container, soil and any other organism, object or material capable of harbouring or spreading pests, deemed to require phytosanitary measures, particularly where international transportation is involved </w:t>
            </w:r>
            <w:r w:rsidR="00C57DCF">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C57DCF">
              <w:rPr>
                <w:rFonts w:ascii="Cambria" w:hAnsi="Cambria"/>
                <w:szCs w:val="18"/>
              </w:rPr>
              <w:fldChar w:fldCharType="separate"/>
            </w:r>
            <w:r>
              <w:rPr>
                <w:rFonts w:ascii="Cambria" w:hAnsi="Cambria"/>
                <w:szCs w:val="18"/>
              </w:rPr>
              <w:t>(FAO 2015)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rPr>
                <w:rFonts w:ascii="Cambria" w:hAnsi="Cambria"/>
                <w:szCs w:val="18"/>
              </w:rPr>
            </w:pPr>
            <w:r>
              <w:rPr>
                <w:rFonts w:ascii="Cambria" w:hAnsi="Cambria"/>
                <w:szCs w:val="18"/>
              </w:rPr>
              <w:t>Regulated non-quarantine pest</w:t>
            </w:r>
          </w:p>
        </w:tc>
        <w:tc>
          <w:tcPr>
            <w:tcW w:w="3491" w:type="pct"/>
          </w:tcPr>
          <w:p w:rsidR="00C74066" w:rsidRDefault="00F10705">
            <w:pPr>
              <w:pStyle w:val="TableText"/>
              <w:rPr>
                <w:rFonts w:ascii="Cambria" w:hAnsi="Cambria"/>
                <w:szCs w:val="18"/>
              </w:rPr>
            </w:pPr>
            <w:r>
              <w:rPr>
                <w:rFonts w:ascii="Cambria" w:hAnsi="Cambria"/>
                <w:szCs w:val="18"/>
              </w:rPr>
              <w:t xml:space="preserve">A non-quarantine pest whose presence in plants for planting affects the intended use of those plants with an economically unacceptable impact and which is therefore regulated within the territory of the importing contracting party </w:t>
            </w:r>
            <w:r w:rsidR="00C57DCF">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C57DCF">
              <w:rPr>
                <w:rFonts w:ascii="Cambria" w:hAnsi="Cambria"/>
                <w:szCs w:val="18"/>
              </w:rPr>
              <w:fldChar w:fldCharType="separate"/>
            </w:r>
            <w:r>
              <w:rPr>
                <w:rFonts w:ascii="Cambria" w:hAnsi="Cambria"/>
                <w:szCs w:val="18"/>
              </w:rPr>
              <w:t>(FAO 2015)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rPr>
                <w:rFonts w:ascii="Cambria" w:hAnsi="Cambria"/>
                <w:szCs w:val="18"/>
              </w:rPr>
            </w:pPr>
            <w:r>
              <w:rPr>
                <w:rFonts w:ascii="Cambria" w:hAnsi="Cambria"/>
                <w:szCs w:val="18"/>
              </w:rPr>
              <w:t>Restricted risk</w:t>
            </w:r>
          </w:p>
        </w:tc>
        <w:tc>
          <w:tcPr>
            <w:tcW w:w="3491" w:type="pct"/>
          </w:tcPr>
          <w:p w:rsidR="00C74066" w:rsidRDefault="00F10705">
            <w:pPr>
              <w:pStyle w:val="TableText"/>
              <w:rPr>
                <w:rFonts w:ascii="Cambria" w:hAnsi="Cambria"/>
                <w:szCs w:val="18"/>
              </w:rPr>
            </w:pPr>
            <w:r>
              <w:rPr>
                <w:rFonts w:ascii="Cambria" w:hAnsi="Cambria"/>
                <w:szCs w:val="18"/>
              </w:rPr>
              <w:t>Risk estimate with phytosanitary measure(s) applied.</w:t>
            </w:r>
          </w:p>
        </w:tc>
      </w:tr>
      <w:tr w:rsidR="00C74066">
        <w:tc>
          <w:tcPr>
            <w:tcW w:w="1509" w:type="pct"/>
          </w:tcPr>
          <w:p w:rsidR="00C74066" w:rsidRDefault="00F10705">
            <w:pPr>
              <w:pStyle w:val="TableText"/>
              <w:rPr>
                <w:rFonts w:ascii="Cambria" w:hAnsi="Cambria"/>
                <w:szCs w:val="18"/>
              </w:rPr>
            </w:pPr>
            <w:r>
              <w:rPr>
                <w:rFonts w:ascii="Cambria" w:hAnsi="Cambria"/>
                <w:szCs w:val="18"/>
              </w:rPr>
              <w:t>Soil</w:t>
            </w:r>
          </w:p>
        </w:tc>
        <w:tc>
          <w:tcPr>
            <w:tcW w:w="3491" w:type="pct"/>
          </w:tcPr>
          <w:p w:rsidR="00C74066" w:rsidRDefault="00F10705">
            <w:pPr>
              <w:pStyle w:val="TableText"/>
              <w:rPr>
                <w:rFonts w:ascii="Cambria" w:hAnsi="Cambria"/>
                <w:szCs w:val="18"/>
              </w:rPr>
            </w:pPr>
            <w:r>
              <w:rPr>
                <w:rFonts w:ascii="Cambria" w:hAnsi="Cambria"/>
                <w:szCs w:val="18"/>
              </w:rPr>
              <w:t>The loose surface material of the earth in which plants grow, in most cases consisting of disintegrated rock with an admixture of organic material (NAPPO 2003).</w:t>
            </w:r>
          </w:p>
        </w:tc>
      </w:tr>
      <w:tr w:rsidR="00C74066">
        <w:tc>
          <w:tcPr>
            <w:tcW w:w="1509" w:type="pct"/>
          </w:tcPr>
          <w:p w:rsidR="00C74066" w:rsidRDefault="00F10705">
            <w:pPr>
              <w:pStyle w:val="TableText"/>
              <w:rPr>
                <w:rFonts w:ascii="Cambria" w:hAnsi="Cambria"/>
                <w:szCs w:val="18"/>
              </w:rPr>
            </w:pPr>
            <w:r>
              <w:rPr>
                <w:rFonts w:ascii="Cambria" w:hAnsi="Cambria"/>
                <w:szCs w:val="18"/>
              </w:rPr>
              <w:t>Sporangium/sporangia</w:t>
            </w:r>
          </w:p>
        </w:tc>
        <w:tc>
          <w:tcPr>
            <w:tcW w:w="3491" w:type="pct"/>
          </w:tcPr>
          <w:p w:rsidR="00C74066" w:rsidRDefault="00F10705">
            <w:pPr>
              <w:pStyle w:val="TableText"/>
              <w:rPr>
                <w:rFonts w:ascii="Cambria" w:hAnsi="Cambria"/>
                <w:szCs w:val="18"/>
              </w:rPr>
            </w:pPr>
            <w:r>
              <w:rPr>
                <w:rFonts w:ascii="Cambria" w:hAnsi="Cambria"/>
                <w:szCs w:val="18"/>
              </w:rPr>
              <w:t>Sack within which zoospores form, especially when water is cooled to about 10 °C below ambient temperature. In solid substrates, sporangia usually germinate by germ tubes (Erwin &amp; Ribeiro 1996).</w:t>
            </w:r>
          </w:p>
        </w:tc>
      </w:tr>
      <w:tr w:rsidR="00C74066">
        <w:tc>
          <w:tcPr>
            <w:tcW w:w="1509" w:type="pct"/>
          </w:tcPr>
          <w:p w:rsidR="00C74066" w:rsidRDefault="00F10705">
            <w:pPr>
              <w:pStyle w:val="TableText"/>
              <w:rPr>
                <w:rFonts w:ascii="Cambria" w:hAnsi="Cambria"/>
                <w:szCs w:val="18"/>
              </w:rPr>
            </w:pPr>
            <w:r>
              <w:rPr>
                <w:rFonts w:ascii="Cambria" w:hAnsi="Cambria"/>
                <w:szCs w:val="18"/>
              </w:rPr>
              <w:t>Sporulate, sporulation</w:t>
            </w:r>
          </w:p>
        </w:tc>
        <w:tc>
          <w:tcPr>
            <w:tcW w:w="3491" w:type="pct"/>
          </w:tcPr>
          <w:p w:rsidR="00C74066" w:rsidRDefault="00F10705">
            <w:pPr>
              <w:pStyle w:val="TableText"/>
              <w:rPr>
                <w:rFonts w:ascii="Cambria" w:hAnsi="Cambria"/>
                <w:szCs w:val="18"/>
              </w:rPr>
            </w:pPr>
            <w:r>
              <w:rPr>
                <w:rFonts w:ascii="Cambria" w:hAnsi="Cambria"/>
                <w:szCs w:val="18"/>
              </w:rPr>
              <w:t>To form or produce spores (Shurtleff &amp; Averre 1997).</w:t>
            </w:r>
          </w:p>
        </w:tc>
      </w:tr>
      <w:tr w:rsidR="00C74066">
        <w:tc>
          <w:tcPr>
            <w:tcW w:w="1509" w:type="pct"/>
          </w:tcPr>
          <w:p w:rsidR="00C74066" w:rsidRDefault="00F10705">
            <w:pPr>
              <w:pStyle w:val="TableText"/>
              <w:rPr>
                <w:rFonts w:ascii="Cambria" w:hAnsi="Cambria"/>
                <w:szCs w:val="18"/>
              </w:rPr>
            </w:pPr>
            <w:r>
              <w:rPr>
                <w:rFonts w:ascii="Cambria" w:hAnsi="Cambria"/>
                <w:szCs w:val="18"/>
              </w:rPr>
              <w:t>Spread (of a pest)</w:t>
            </w:r>
          </w:p>
        </w:tc>
        <w:tc>
          <w:tcPr>
            <w:tcW w:w="3491" w:type="pct"/>
          </w:tcPr>
          <w:p w:rsidR="00C74066" w:rsidRDefault="00F10705">
            <w:pPr>
              <w:pStyle w:val="TableText"/>
              <w:rPr>
                <w:rFonts w:ascii="Cambria" w:hAnsi="Cambria"/>
                <w:szCs w:val="18"/>
              </w:rPr>
            </w:pPr>
            <w:r>
              <w:rPr>
                <w:rFonts w:ascii="Cambria" w:hAnsi="Cambria"/>
                <w:szCs w:val="18"/>
              </w:rPr>
              <w:t xml:space="preserve">Expansion of the geographical distribution of a pest within an area </w:t>
            </w:r>
            <w:r w:rsidR="00C57DCF">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C57DCF">
              <w:rPr>
                <w:rFonts w:ascii="Cambria" w:hAnsi="Cambria"/>
                <w:szCs w:val="18"/>
              </w:rPr>
              <w:fldChar w:fldCharType="separate"/>
            </w:r>
            <w:r>
              <w:rPr>
                <w:rFonts w:ascii="Cambria" w:hAnsi="Cambria"/>
                <w:szCs w:val="18"/>
              </w:rPr>
              <w:t>(FAO 2015)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rPr>
                <w:rFonts w:ascii="Cambria" w:hAnsi="Cambria"/>
                <w:szCs w:val="18"/>
              </w:rPr>
            </w:pPr>
            <w:r>
              <w:rPr>
                <w:rFonts w:ascii="Cambria" w:hAnsi="Cambria"/>
                <w:szCs w:val="18"/>
              </w:rPr>
              <w:t>SPS Agreement</w:t>
            </w:r>
          </w:p>
        </w:tc>
        <w:tc>
          <w:tcPr>
            <w:tcW w:w="3491" w:type="pct"/>
          </w:tcPr>
          <w:p w:rsidR="00C74066" w:rsidRDefault="00F10705">
            <w:pPr>
              <w:pStyle w:val="TableText"/>
              <w:rPr>
                <w:rFonts w:ascii="Cambria" w:hAnsi="Cambria"/>
                <w:szCs w:val="18"/>
              </w:rPr>
            </w:pPr>
            <w:r>
              <w:rPr>
                <w:rFonts w:ascii="Cambria" w:hAnsi="Cambria"/>
                <w:szCs w:val="18"/>
              </w:rPr>
              <w:t>WTO Agreement on the Application of Sanitary and Phytosanitary Measures.</w:t>
            </w:r>
          </w:p>
        </w:tc>
      </w:tr>
      <w:tr w:rsidR="00C74066">
        <w:tc>
          <w:tcPr>
            <w:tcW w:w="1509" w:type="pct"/>
          </w:tcPr>
          <w:p w:rsidR="00C74066" w:rsidRDefault="00F10705">
            <w:pPr>
              <w:pStyle w:val="TableText"/>
              <w:rPr>
                <w:rFonts w:ascii="Cambria" w:hAnsi="Cambria"/>
                <w:szCs w:val="18"/>
              </w:rPr>
            </w:pPr>
            <w:r>
              <w:rPr>
                <w:rFonts w:ascii="Cambria" w:hAnsi="Cambria"/>
                <w:szCs w:val="18"/>
              </w:rPr>
              <w:t>Stakeholders</w:t>
            </w:r>
          </w:p>
        </w:tc>
        <w:tc>
          <w:tcPr>
            <w:tcW w:w="3491" w:type="pct"/>
          </w:tcPr>
          <w:p w:rsidR="00C74066" w:rsidRDefault="00F10705">
            <w:pPr>
              <w:pStyle w:val="TableText"/>
              <w:rPr>
                <w:rFonts w:ascii="Cambria" w:hAnsi="Cambria"/>
                <w:szCs w:val="18"/>
              </w:rPr>
            </w:pPr>
            <w:r>
              <w:rPr>
                <w:rFonts w:ascii="Cambria" w:hAnsi="Cambria"/>
                <w:szCs w:val="18"/>
              </w:rPr>
              <w:t>Government agencies, individuals, community or industry groups or organizations, whether in Australia or overseas, including the proponent/applicant for a specific proposal, who have an interest in the policy issues.</w:t>
            </w:r>
          </w:p>
        </w:tc>
      </w:tr>
      <w:tr w:rsidR="00C74066">
        <w:tc>
          <w:tcPr>
            <w:tcW w:w="1509" w:type="pct"/>
          </w:tcPr>
          <w:p w:rsidR="00C74066" w:rsidRDefault="00F10705">
            <w:pPr>
              <w:pStyle w:val="TableText"/>
              <w:rPr>
                <w:rFonts w:ascii="Cambria" w:hAnsi="Cambria"/>
                <w:szCs w:val="18"/>
              </w:rPr>
            </w:pPr>
            <w:r>
              <w:rPr>
                <w:rFonts w:ascii="Cambria" w:hAnsi="Cambria"/>
                <w:szCs w:val="18"/>
              </w:rPr>
              <w:t>Surveillance</w:t>
            </w:r>
          </w:p>
        </w:tc>
        <w:tc>
          <w:tcPr>
            <w:tcW w:w="3491" w:type="pct"/>
          </w:tcPr>
          <w:p w:rsidR="00C74066" w:rsidRDefault="00F10705">
            <w:pPr>
              <w:pStyle w:val="TableText"/>
              <w:rPr>
                <w:rFonts w:ascii="Cambria" w:hAnsi="Cambria"/>
                <w:szCs w:val="18"/>
              </w:rPr>
            </w:pPr>
            <w:r>
              <w:rPr>
                <w:rFonts w:ascii="Cambria" w:hAnsi="Cambria"/>
                <w:szCs w:val="18"/>
              </w:rPr>
              <w:t xml:space="preserve">An official process which collects and records data on pest occurrence or absence by surveying, monitoring or other procedures </w:t>
            </w:r>
            <w:r w:rsidR="00C57DCF">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C57DCF">
              <w:rPr>
                <w:rFonts w:ascii="Cambria" w:hAnsi="Cambria"/>
                <w:szCs w:val="18"/>
              </w:rPr>
              <w:fldChar w:fldCharType="separate"/>
            </w:r>
            <w:r>
              <w:rPr>
                <w:rFonts w:ascii="Cambria" w:hAnsi="Cambria"/>
                <w:szCs w:val="18"/>
              </w:rPr>
              <w:t>(FAO 2015)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rPr>
                <w:rFonts w:ascii="Cambria" w:hAnsi="Cambria"/>
                <w:szCs w:val="18"/>
              </w:rPr>
            </w:pPr>
            <w:r>
              <w:rPr>
                <w:rFonts w:ascii="Cambria" w:hAnsi="Cambria"/>
                <w:szCs w:val="18"/>
              </w:rPr>
              <w:lastRenderedPageBreak/>
              <w:t>Systems approach(es)</w:t>
            </w:r>
          </w:p>
        </w:tc>
        <w:tc>
          <w:tcPr>
            <w:tcW w:w="3491" w:type="pct"/>
          </w:tcPr>
          <w:p w:rsidR="00C74066" w:rsidRDefault="00F10705">
            <w:pPr>
              <w:pStyle w:val="TableText"/>
              <w:rPr>
                <w:rFonts w:ascii="Cambria" w:hAnsi="Cambria"/>
                <w:szCs w:val="18"/>
              </w:rPr>
            </w:pPr>
            <w:r>
              <w:rPr>
                <w:rFonts w:ascii="Cambria" w:hAnsi="Cambria"/>
                <w:szCs w:val="18"/>
              </w:rPr>
              <w:t>The integration of different risk management measures, at least two of which act independently, and which cumulatively achieve the appropriate level of protection against regulated pests.</w:t>
            </w:r>
          </w:p>
        </w:tc>
      </w:tr>
      <w:tr w:rsidR="00C74066">
        <w:tc>
          <w:tcPr>
            <w:tcW w:w="1509" w:type="pct"/>
          </w:tcPr>
          <w:p w:rsidR="00C74066" w:rsidRDefault="00F10705">
            <w:pPr>
              <w:pStyle w:val="TableText"/>
              <w:rPr>
                <w:rFonts w:ascii="Cambria" w:hAnsi="Cambria"/>
                <w:szCs w:val="18"/>
              </w:rPr>
            </w:pPr>
            <w:r>
              <w:rPr>
                <w:rFonts w:ascii="Cambria" w:hAnsi="Cambria"/>
                <w:szCs w:val="18"/>
              </w:rPr>
              <w:t>Tissue culture</w:t>
            </w:r>
          </w:p>
        </w:tc>
        <w:tc>
          <w:tcPr>
            <w:tcW w:w="3491" w:type="pct"/>
          </w:tcPr>
          <w:p w:rsidR="00C74066" w:rsidRDefault="00F10705">
            <w:pPr>
              <w:pStyle w:val="TableText"/>
              <w:rPr>
                <w:rFonts w:ascii="Cambria" w:hAnsi="Cambria"/>
                <w:szCs w:val="18"/>
              </w:rPr>
            </w:pPr>
            <w:r>
              <w:rPr>
                <w:rFonts w:ascii="Cambria" w:hAnsi="Cambria"/>
                <w:szCs w:val="18"/>
              </w:rPr>
              <w:t>The products of ‘an in vitro technique of cultivating (propagating) cells, tissues, or organs in a sterile synthetic medium’ (Shurtleff &amp; Averre 1997); comprising plant cells, tissues or organs, sterile synthetic medium, and the vessel in which cells have been propagated.</w:t>
            </w:r>
          </w:p>
        </w:tc>
      </w:tr>
      <w:tr w:rsidR="00C74066">
        <w:tc>
          <w:tcPr>
            <w:tcW w:w="1509" w:type="pct"/>
          </w:tcPr>
          <w:p w:rsidR="00C74066" w:rsidRDefault="00F10705">
            <w:pPr>
              <w:pStyle w:val="TableText"/>
              <w:rPr>
                <w:rFonts w:ascii="Cambria" w:hAnsi="Cambria"/>
                <w:szCs w:val="18"/>
              </w:rPr>
            </w:pPr>
            <w:r>
              <w:rPr>
                <w:rFonts w:ascii="Cambria" w:hAnsi="Cambria"/>
                <w:szCs w:val="18"/>
              </w:rPr>
              <w:t>Trash</w:t>
            </w:r>
          </w:p>
        </w:tc>
        <w:tc>
          <w:tcPr>
            <w:tcW w:w="3491" w:type="pct"/>
          </w:tcPr>
          <w:p w:rsidR="00C74066" w:rsidRDefault="00F10705">
            <w:pPr>
              <w:pStyle w:val="TableText"/>
              <w:rPr>
                <w:rFonts w:ascii="Cambria" w:hAnsi="Cambria"/>
                <w:szCs w:val="18"/>
              </w:rPr>
            </w:pPr>
            <w:r>
              <w:rPr>
                <w:rFonts w:ascii="Cambria" w:hAnsi="Cambria"/>
                <w:szCs w:val="18"/>
              </w:rPr>
              <w:t>Soil, splinters, twigs, leaves, and other plant material, other than fruit stalks.</w:t>
            </w:r>
          </w:p>
        </w:tc>
      </w:tr>
      <w:tr w:rsidR="00C74066">
        <w:tc>
          <w:tcPr>
            <w:tcW w:w="1509" w:type="pct"/>
          </w:tcPr>
          <w:p w:rsidR="00C74066" w:rsidRDefault="00F10705">
            <w:pPr>
              <w:pStyle w:val="TableText"/>
              <w:rPr>
                <w:rFonts w:ascii="Cambria" w:hAnsi="Cambria"/>
                <w:szCs w:val="18"/>
              </w:rPr>
            </w:pPr>
            <w:r>
              <w:rPr>
                <w:rFonts w:ascii="Cambria" w:hAnsi="Cambria"/>
                <w:szCs w:val="18"/>
              </w:rPr>
              <w:t>Treatment</w:t>
            </w:r>
          </w:p>
        </w:tc>
        <w:tc>
          <w:tcPr>
            <w:tcW w:w="3491" w:type="pct"/>
          </w:tcPr>
          <w:p w:rsidR="00C74066" w:rsidRDefault="00F10705">
            <w:pPr>
              <w:pStyle w:val="TableText"/>
              <w:rPr>
                <w:rFonts w:ascii="Cambria" w:hAnsi="Cambria"/>
                <w:szCs w:val="18"/>
              </w:rPr>
            </w:pPr>
            <w:r>
              <w:rPr>
                <w:rFonts w:ascii="Cambria" w:hAnsi="Cambria"/>
                <w:szCs w:val="18"/>
              </w:rPr>
              <w:t xml:space="preserve">Official procedure for the killing, inactivation or removal of pests, or for rendering pests infertile or for devitalisation </w:t>
            </w:r>
            <w:r w:rsidR="00C57DCF">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C57DCF">
              <w:rPr>
                <w:rFonts w:ascii="Cambria" w:hAnsi="Cambria"/>
                <w:szCs w:val="18"/>
              </w:rPr>
              <w:fldChar w:fldCharType="separate"/>
            </w:r>
            <w:r>
              <w:rPr>
                <w:rFonts w:ascii="Cambria" w:hAnsi="Cambria"/>
                <w:szCs w:val="18"/>
              </w:rPr>
              <w:t>(FAO 2015)</w:t>
            </w:r>
            <w:r w:rsidR="00C57DCF">
              <w:rPr>
                <w:rFonts w:ascii="Cambria" w:hAnsi="Cambria"/>
                <w:szCs w:val="18"/>
              </w:rPr>
              <w:fldChar w:fldCharType="end"/>
            </w:r>
            <w:r>
              <w:rPr>
                <w:rFonts w:ascii="Cambria" w:hAnsi="Cambria"/>
                <w:szCs w:val="18"/>
              </w:rPr>
              <w:t>.</w:t>
            </w:r>
          </w:p>
        </w:tc>
      </w:tr>
      <w:tr w:rsidR="00C74066">
        <w:tc>
          <w:tcPr>
            <w:tcW w:w="1509" w:type="pct"/>
          </w:tcPr>
          <w:p w:rsidR="00C74066" w:rsidRDefault="00F10705">
            <w:pPr>
              <w:pStyle w:val="TableText"/>
              <w:rPr>
                <w:rFonts w:ascii="Cambria" w:hAnsi="Cambria"/>
                <w:szCs w:val="18"/>
              </w:rPr>
            </w:pPr>
            <w:r>
              <w:rPr>
                <w:rFonts w:ascii="Cambria" w:hAnsi="Cambria"/>
                <w:szCs w:val="18"/>
              </w:rPr>
              <w:t>Unrestricted risk</w:t>
            </w:r>
          </w:p>
        </w:tc>
        <w:tc>
          <w:tcPr>
            <w:tcW w:w="3491" w:type="pct"/>
          </w:tcPr>
          <w:p w:rsidR="00C74066" w:rsidRDefault="00F10705">
            <w:pPr>
              <w:pStyle w:val="TableText"/>
              <w:rPr>
                <w:rFonts w:ascii="Cambria" w:hAnsi="Cambria"/>
                <w:szCs w:val="18"/>
              </w:rPr>
            </w:pPr>
            <w:r>
              <w:rPr>
                <w:rFonts w:ascii="Cambria" w:hAnsi="Cambria"/>
                <w:szCs w:val="18"/>
              </w:rPr>
              <w:t>Unrestricted risk estimates apply in the absence of risk mitigation measures.</w:t>
            </w:r>
          </w:p>
        </w:tc>
      </w:tr>
      <w:tr w:rsidR="00C74066">
        <w:tc>
          <w:tcPr>
            <w:tcW w:w="1509" w:type="pct"/>
          </w:tcPr>
          <w:p w:rsidR="00C74066" w:rsidRDefault="00F10705">
            <w:pPr>
              <w:pStyle w:val="TableText"/>
              <w:tabs>
                <w:tab w:val="center" w:pos="1286"/>
              </w:tabs>
              <w:rPr>
                <w:rFonts w:ascii="Cambria" w:hAnsi="Cambria"/>
                <w:szCs w:val="18"/>
              </w:rPr>
            </w:pPr>
            <w:r>
              <w:rPr>
                <w:rFonts w:ascii="Cambria" w:hAnsi="Cambria"/>
                <w:szCs w:val="18"/>
              </w:rPr>
              <w:t>Viable</w:t>
            </w:r>
            <w:r>
              <w:rPr>
                <w:rFonts w:ascii="Cambria" w:hAnsi="Cambria"/>
                <w:szCs w:val="18"/>
              </w:rPr>
              <w:tab/>
            </w:r>
          </w:p>
        </w:tc>
        <w:tc>
          <w:tcPr>
            <w:tcW w:w="3491" w:type="pct"/>
          </w:tcPr>
          <w:p w:rsidR="00C74066" w:rsidRDefault="00F10705">
            <w:pPr>
              <w:pStyle w:val="TableText"/>
              <w:rPr>
                <w:rFonts w:ascii="Cambria" w:hAnsi="Cambria"/>
                <w:szCs w:val="18"/>
              </w:rPr>
            </w:pPr>
            <w:r>
              <w:rPr>
                <w:rFonts w:ascii="Cambria" w:hAnsi="Cambria"/>
                <w:szCs w:val="18"/>
              </w:rPr>
              <w:t>Alive, able to germinate or capable of growth.</w:t>
            </w:r>
          </w:p>
        </w:tc>
      </w:tr>
      <w:tr w:rsidR="00C74066">
        <w:tc>
          <w:tcPr>
            <w:tcW w:w="1509" w:type="pct"/>
          </w:tcPr>
          <w:p w:rsidR="00C74066" w:rsidRDefault="00F10705">
            <w:pPr>
              <w:pStyle w:val="TableText"/>
              <w:tabs>
                <w:tab w:val="center" w:pos="1286"/>
              </w:tabs>
              <w:rPr>
                <w:rFonts w:ascii="Cambria" w:hAnsi="Cambria"/>
                <w:szCs w:val="18"/>
              </w:rPr>
            </w:pPr>
            <w:r>
              <w:rPr>
                <w:rFonts w:ascii="Cambria" w:hAnsi="Cambria"/>
                <w:szCs w:val="18"/>
              </w:rPr>
              <w:t>Zoospore</w:t>
            </w:r>
          </w:p>
        </w:tc>
        <w:tc>
          <w:tcPr>
            <w:tcW w:w="3491" w:type="pct"/>
          </w:tcPr>
          <w:p w:rsidR="00C74066" w:rsidRDefault="00F10705">
            <w:pPr>
              <w:pStyle w:val="TableText"/>
              <w:rPr>
                <w:rFonts w:ascii="Cambria" w:hAnsi="Cambria"/>
                <w:szCs w:val="18"/>
              </w:rPr>
            </w:pPr>
            <w:r>
              <w:rPr>
                <w:rFonts w:ascii="Cambria" w:hAnsi="Cambria"/>
                <w:szCs w:val="18"/>
              </w:rPr>
              <w:t>Spore that forms within the sporangium and exits through the terminal pore, has a tinsel and a whiplash flagellum, and is capable of swimming for several hours (Erwin &amp; Ribeiro 1996).</w:t>
            </w:r>
          </w:p>
        </w:tc>
      </w:tr>
    </w:tbl>
    <w:p w:rsidR="00C74066" w:rsidRDefault="00C74066">
      <w:pPr>
        <w:pStyle w:val="Heading1"/>
        <w:sectPr w:rsidR="00C74066">
          <w:headerReference w:type="default" r:id="rId48"/>
          <w:pgSz w:w="11906" w:h="16838"/>
          <w:pgMar w:top="1418" w:right="1418" w:bottom="1418" w:left="1418" w:header="567" w:footer="283" w:gutter="0"/>
          <w:cols w:space="708"/>
          <w:docGrid w:linePitch="360"/>
        </w:sectPr>
      </w:pPr>
    </w:p>
    <w:p w:rsidR="00C74066" w:rsidRDefault="00F10705">
      <w:pPr>
        <w:pStyle w:val="Heading1nonumbers"/>
        <w:rPr>
          <w:lang w:val="en-AU"/>
        </w:rPr>
      </w:pPr>
      <w:bookmarkStart w:id="216" w:name="_Toc392488739"/>
      <w:bookmarkStart w:id="217" w:name="_Toc434247484"/>
      <w:r>
        <w:rPr>
          <w:lang w:val="en-AU"/>
        </w:rPr>
        <w:lastRenderedPageBreak/>
        <w:t>References</w:t>
      </w:r>
      <w:bookmarkEnd w:id="216"/>
      <w:bookmarkEnd w:id="217"/>
    </w:p>
    <w:p w:rsidR="00C74066" w:rsidRDefault="00F10705">
      <w:pPr>
        <w:autoSpaceDE w:val="0"/>
        <w:autoSpaceDN w:val="0"/>
        <w:adjustRightInd w:val="0"/>
        <w:spacing w:before="120" w:after="120" w:line="271" w:lineRule="auto"/>
        <w:rPr>
          <w:rFonts w:asciiTheme="majorHAnsi" w:hAnsiTheme="majorHAnsi"/>
          <w:color w:val="000000" w:themeColor="text1"/>
        </w:rPr>
      </w:pPr>
      <w:r>
        <w:rPr>
          <w:rFonts w:asciiTheme="majorHAnsi" w:hAnsiTheme="majorHAnsi"/>
          <w:color w:val="000000" w:themeColor="text1"/>
        </w:rPr>
        <w:t xml:space="preserve">Alexander, J 2012, ‘The past, present and future of sudden oak death’. </w:t>
      </w:r>
      <w:r>
        <w:rPr>
          <w:rFonts w:asciiTheme="majorHAnsi" w:hAnsiTheme="majorHAnsi"/>
          <w:i/>
          <w:iCs/>
          <w:color w:val="000000" w:themeColor="text1"/>
        </w:rPr>
        <w:t xml:space="preserve">Outlooks on pest management </w:t>
      </w:r>
      <w:r>
        <w:rPr>
          <w:rFonts w:asciiTheme="majorHAnsi" w:hAnsiTheme="majorHAnsi"/>
          <w:color w:val="000000" w:themeColor="text1"/>
        </w:rPr>
        <w:t xml:space="preserve">23: 72–76.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APHIS (Animal and Plant Health Inspection Service, United States Department of Agriculture) ‘Federal Order Jan 25, 2012: Domestic quarantine for </w:t>
      </w:r>
      <w:r>
        <w:rPr>
          <w:rFonts w:asciiTheme="majorHAnsi" w:hAnsiTheme="majorHAnsi"/>
          <w:i/>
        </w:rPr>
        <w:t>Phytophthora ramorum</w:t>
      </w:r>
      <w:r w:rsidR="007B1790">
        <w:rPr>
          <w:rFonts w:asciiTheme="majorHAnsi" w:hAnsiTheme="majorHAnsi"/>
        </w:rPr>
        <w:t xml:space="preserve">’, DA-2012-03, </w:t>
      </w:r>
      <w:r>
        <w:rPr>
          <w:rFonts w:asciiTheme="majorHAnsi" w:hAnsiTheme="majorHAnsi"/>
        </w:rPr>
        <w:t xml:space="preserve">aphis.usda.gov/plant_health/plant_pest_info/pram/downloads/pdf_files/SPRO_ percent20DA-2012-03.pdf.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APHIS (Animal and Plant Health Inspection Service, USA Department of Agriculture) 2008a, ‘Federal Order May 15, Federal domestic quarantine order </w:t>
      </w:r>
      <w:r>
        <w:rPr>
          <w:rFonts w:asciiTheme="majorHAnsi" w:hAnsiTheme="majorHAnsi"/>
          <w:i/>
        </w:rPr>
        <w:t>Phytophthora ramorum</w:t>
      </w:r>
      <w:r w:rsidR="007B1790">
        <w:rPr>
          <w:rFonts w:asciiTheme="majorHAnsi" w:hAnsiTheme="majorHAnsi"/>
        </w:rPr>
        <w:t xml:space="preserve">’, DA-2008-20, </w:t>
      </w:r>
      <w:r>
        <w:rPr>
          <w:rFonts w:asciiTheme="majorHAnsi" w:hAnsiTheme="majorHAnsi"/>
        </w:rPr>
        <w:t xml:space="preserve">nationalplantboard.org/docs/spro/spro_pr_2008_05_16.pdf.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APHIS (Animal and Plant Health Inspection Service, USA Department of Agriculture) 2008b, ‘Federal Order March 03, Federal domestic quarantine order </w:t>
      </w:r>
      <w:r>
        <w:rPr>
          <w:rFonts w:asciiTheme="majorHAnsi" w:hAnsiTheme="majorHAnsi"/>
          <w:i/>
        </w:rPr>
        <w:t>Phytophthora ramorum</w:t>
      </w:r>
      <w:r>
        <w:rPr>
          <w:rFonts w:asciiTheme="majorHAnsi" w:hAnsiTheme="majorHAnsi"/>
        </w:rPr>
        <w:t xml:space="preserve">’, DA-2008-11, nationalplantboard.org/docs/spro/spro_pr_2008_03_05.pdf.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Australia’s Virtual Herbarium (AVH), 2014, ‘Council of Heads of Austra</w:t>
      </w:r>
      <w:r w:rsidR="007B1790">
        <w:rPr>
          <w:rFonts w:asciiTheme="majorHAnsi" w:hAnsiTheme="majorHAnsi"/>
        </w:rPr>
        <w:t xml:space="preserve">lasian Herbaria (CHAH)’, </w:t>
      </w:r>
      <w:r>
        <w:rPr>
          <w:rFonts w:asciiTheme="majorHAnsi" w:hAnsiTheme="majorHAnsi"/>
        </w:rPr>
        <w:t>avh.chah.org.au/.</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Aveskamp, MM &amp; Wingelaar, GJ 2005, ‘Elimination of </w:t>
      </w:r>
      <w:r>
        <w:rPr>
          <w:rFonts w:asciiTheme="majorHAnsi" w:hAnsiTheme="majorHAnsi"/>
          <w:i/>
        </w:rPr>
        <w:t>Phytophthora ramorum</w:t>
      </w:r>
      <w:r>
        <w:rPr>
          <w:rFonts w:asciiTheme="majorHAnsi" w:hAnsiTheme="majorHAnsi"/>
        </w:rPr>
        <w:t xml:space="preserve"> in the tunnel composting process’, </w:t>
      </w:r>
      <w:r>
        <w:rPr>
          <w:rFonts w:asciiTheme="majorHAnsi" w:hAnsiTheme="majorHAnsi"/>
          <w:i/>
        </w:rPr>
        <w:t>Sudden Oak Death Science Symposium II</w:t>
      </w:r>
      <w:r w:rsidR="007B1790">
        <w:rPr>
          <w:rFonts w:asciiTheme="majorHAnsi" w:hAnsiTheme="majorHAnsi"/>
        </w:rPr>
        <w:t xml:space="preserve">, Monterey, CA, </w:t>
      </w:r>
      <w:r>
        <w:rPr>
          <w:rFonts w:asciiTheme="majorHAnsi" w:hAnsiTheme="majorHAnsi"/>
        </w:rPr>
        <w:t>nature.berkeley.edu/comtf/pdf/Bibliography/47Aveskamp.pdf, accessed May 2012.</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Beales, PA, Brokenshire, T, Barnes, AV, Barton, VC &amp; Hughes, KJD 2004a, ‘First report of ramorum leaf blight and dieback (</w:t>
      </w:r>
      <w:r>
        <w:rPr>
          <w:rFonts w:asciiTheme="majorHAnsi" w:hAnsiTheme="majorHAnsi"/>
          <w:i/>
        </w:rPr>
        <w:t>Phytophthora ramorum</w:t>
      </w:r>
      <w:r>
        <w:rPr>
          <w:rFonts w:asciiTheme="majorHAnsi" w:hAnsiTheme="majorHAnsi"/>
        </w:rPr>
        <w:t xml:space="preserve">) on </w:t>
      </w:r>
      <w:r>
        <w:rPr>
          <w:rFonts w:asciiTheme="majorHAnsi" w:hAnsiTheme="majorHAnsi"/>
          <w:i/>
        </w:rPr>
        <w:t>Camellia</w:t>
      </w:r>
      <w:r>
        <w:rPr>
          <w:rFonts w:asciiTheme="majorHAnsi" w:hAnsiTheme="majorHAnsi"/>
        </w:rPr>
        <w:t xml:space="preserve"> species in the UK’, </w:t>
      </w:r>
      <w:r>
        <w:rPr>
          <w:rFonts w:asciiTheme="majorHAnsi" w:hAnsiTheme="majorHAnsi"/>
          <w:i/>
        </w:rPr>
        <w:t>Plant Pathology</w:t>
      </w:r>
      <w:r>
        <w:rPr>
          <w:rFonts w:asciiTheme="majorHAnsi" w:hAnsiTheme="majorHAnsi"/>
        </w:rPr>
        <w:t>, 53: 524.</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Beales, PA, Giltrap, PM, Webb, KM &amp; Ozolina, A 2009, ‘A further threat to UK health and bilberry (</w:t>
      </w:r>
      <w:r>
        <w:rPr>
          <w:rFonts w:asciiTheme="majorHAnsi" w:hAnsiTheme="majorHAnsi"/>
          <w:i/>
        </w:rPr>
        <w:t>Vaccinium myrtillus</w:t>
      </w:r>
      <w:r>
        <w:rPr>
          <w:rFonts w:asciiTheme="majorHAnsi" w:hAnsiTheme="majorHAnsi"/>
        </w:rPr>
        <w:t xml:space="preserve">) by </w:t>
      </w:r>
      <w:r>
        <w:rPr>
          <w:rFonts w:asciiTheme="majorHAnsi" w:hAnsiTheme="majorHAnsi"/>
          <w:i/>
        </w:rPr>
        <w:t>Phytophthora pseudosyringae</w:t>
      </w:r>
      <w:r>
        <w:rPr>
          <w:rFonts w:asciiTheme="majorHAnsi" w:hAnsiTheme="majorHAnsi"/>
        </w:rPr>
        <w:t>’,</w:t>
      </w:r>
      <w:r>
        <w:rPr>
          <w:rFonts w:asciiTheme="majorHAnsi" w:hAnsiTheme="majorHAnsi"/>
          <w:i/>
        </w:rPr>
        <w:t xml:space="preserve"> Plant Pathology</w:t>
      </w:r>
      <w:r>
        <w:rPr>
          <w:rFonts w:asciiTheme="majorHAnsi" w:hAnsiTheme="majorHAnsi"/>
        </w:rPr>
        <w:t>,</w:t>
      </w:r>
      <w:r>
        <w:rPr>
          <w:rFonts w:asciiTheme="majorHAnsi" w:hAnsiTheme="majorHAnsi"/>
          <w:i/>
        </w:rPr>
        <w:t xml:space="preserve"> New Disease Reports</w:t>
      </w:r>
      <w:r>
        <w:rPr>
          <w:rFonts w:asciiTheme="majorHAnsi" w:hAnsiTheme="majorHAnsi"/>
        </w:rPr>
        <w:t xml:space="preserve">.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Beales, PA, Schlenzig, A &amp; Inman, AJ 2004b, ‘First report of ramorum bud and leaf blight (</w:t>
      </w:r>
      <w:r>
        <w:rPr>
          <w:rFonts w:asciiTheme="majorHAnsi" w:hAnsiTheme="majorHAnsi"/>
          <w:i/>
        </w:rPr>
        <w:t>Phytophthora ramorum</w:t>
      </w:r>
      <w:r>
        <w:rPr>
          <w:rFonts w:asciiTheme="majorHAnsi" w:hAnsiTheme="majorHAnsi"/>
        </w:rPr>
        <w:t xml:space="preserve">) on </w:t>
      </w:r>
      <w:r>
        <w:rPr>
          <w:rFonts w:asciiTheme="majorHAnsi" w:hAnsiTheme="majorHAnsi"/>
          <w:i/>
        </w:rPr>
        <w:t>Syringa vulgaris</w:t>
      </w:r>
      <w:r>
        <w:rPr>
          <w:rFonts w:asciiTheme="majorHAnsi" w:hAnsiTheme="majorHAnsi"/>
        </w:rPr>
        <w:t xml:space="preserve"> in the UK’, </w:t>
      </w:r>
      <w:r>
        <w:rPr>
          <w:rFonts w:asciiTheme="majorHAnsi" w:hAnsiTheme="majorHAnsi"/>
          <w:i/>
        </w:rPr>
        <w:t>Plant Pathology</w:t>
      </w:r>
      <w:r>
        <w:rPr>
          <w:rFonts w:asciiTheme="majorHAnsi" w:hAnsiTheme="majorHAnsi"/>
        </w:rPr>
        <w:t>, 53: 525.</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Birch, PR &amp; Whisson, SC 2001, ‘</w:t>
      </w:r>
      <w:r>
        <w:rPr>
          <w:rFonts w:asciiTheme="majorHAnsi" w:hAnsiTheme="majorHAnsi"/>
          <w:i/>
        </w:rPr>
        <w:t>Phytophthora infestans</w:t>
      </w:r>
      <w:r>
        <w:rPr>
          <w:rFonts w:asciiTheme="majorHAnsi" w:hAnsiTheme="majorHAnsi"/>
        </w:rPr>
        <w:t xml:space="preserve"> enters the genomics era’, </w:t>
      </w:r>
      <w:r>
        <w:rPr>
          <w:rFonts w:asciiTheme="majorHAnsi" w:hAnsiTheme="majorHAnsi"/>
          <w:i/>
        </w:rPr>
        <w:t>Molecular Plant Pathology</w:t>
      </w:r>
      <w:r>
        <w:rPr>
          <w:rFonts w:asciiTheme="majorHAnsi" w:hAnsiTheme="majorHAnsi"/>
        </w:rPr>
        <w:t>, 2: 257–263.</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Blair, JE, Coffey, MD, Park, SY, Geiser, DM &amp; Kang, S 2008, ‘A multi-locus phylogeny for </w:t>
      </w:r>
      <w:r>
        <w:rPr>
          <w:rFonts w:asciiTheme="majorHAnsi" w:hAnsiTheme="majorHAnsi"/>
          <w:i/>
        </w:rPr>
        <w:t>Phytophthora</w:t>
      </w:r>
      <w:r>
        <w:rPr>
          <w:rFonts w:asciiTheme="majorHAnsi" w:hAnsiTheme="majorHAnsi"/>
        </w:rPr>
        <w:t xml:space="preserve"> utilizing markers derived from complete genome sequences’, </w:t>
      </w:r>
      <w:r>
        <w:rPr>
          <w:rFonts w:asciiTheme="majorHAnsi" w:hAnsiTheme="majorHAnsi"/>
          <w:i/>
        </w:rPr>
        <w:t>Fungal Genetics and Biology</w:t>
      </w:r>
      <w:r>
        <w:rPr>
          <w:rFonts w:asciiTheme="majorHAnsi" w:hAnsiTheme="majorHAnsi"/>
        </w:rPr>
        <w:t>, 45: 266–277.</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Blanco, FA &amp; Judelson, HS (2005) ‘A bZIP transcription factor from </w:t>
      </w:r>
      <w:r>
        <w:rPr>
          <w:rFonts w:asciiTheme="majorHAnsi" w:hAnsiTheme="majorHAnsi"/>
          <w:i/>
        </w:rPr>
        <w:t>Phytophthora</w:t>
      </w:r>
      <w:r>
        <w:rPr>
          <w:rFonts w:asciiTheme="majorHAnsi" w:hAnsiTheme="majorHAnsi"/>
        </w:rPr>
        <w:t xml:space="preserve"> interacts with a protein kinase and is required for zoospore motility and plant infection’, </w:t>
      </w:r>
      <w:r>
        <w:rPr>
          <w:rFonts w:asciiTheme="majorHAnsi" w:hAnsiTheme="majorHAnsi"/>
          <w:i/>
        </w:rPr>
        <w:t>Molecular Microbiology</w:t>
      </w:r>
      <w:r>
        <w:rPr>
          <w:rFonts w:asciiTheme="majorHAnsi" w:hAnsiTheme="majorHAnsi"/>
        </w:rPr>
        <w:t>, 56: 638–648.</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Blomquist, C, Irving, T, Osterbauer, N &amp; Reeser, P 2005, ‘</w:t>
      </w:r>
      <w:r>
        <w:rPr>
          <w:rFonts w:asciiTheme="majorHAnsi" w:hAnsiTheme="majorHAnsi"/>
          <w:i/>
        </w:rPr>
        <w:t>Phytophthora hibernalis</w:t>
      </w:r>
      <w:r>
        <w:rPr>
          <w:rFonts w:asciiTheme="majorHAnsi" w:hAnsiTheme="majorHAnsi"/>
        </w:rPr>
        <w:t xml:space="preserve">: a new pathogen of </w:t>
      </w:r>
      <w:r>
        <w:rPr>
          <w:rFonts w:asciiTheme="majorHAnsi" w:hAnsiTheme="majorHAnsi"/>
          <w:i/>
        </w:rPr>
        <w:t>Rhododendron</w:t>
      </w:r>
      <w:r>
        <w:rPr>
          <w:rFonts w:asciiTheme="majorHAnsi" w:hAnsiTheme="majorHAnsi"/>
        </w:rPr>
        <w:t xml:space="preserve"> and evidence of cross amplification with two PCR detection assays for </w:t>
      </w:r>
      <w:r>
        <w:rPr>
          <w:rFonts w:asciiTheme="majorHAnsi" w:hAnsiTheme="majorHAnsi"/>
          <w:i/>
        </w:rPr>
        <w:t>Phytophthora ramorum</w:t>
      </w:r>
      <w:r>
        <w:rPr>
          <w:rFonts w:asciiTheme="majorHAnsi" w:hAnsiTheme="majorHAnsi"/>
        </w:rPr>
        <w:t xml:space="preserve">’, </w:t>
      </w:r>
      <w:r>
        <w:rPr>
          <w:rFonts w:asciiTheme="majorHAnsi" w:hAnsiTheme="majorHAnsi"/>
          <w:i/>
        </w:rPr>
        <w:t>Plant Health Progress</w:t>
      </w:r>
      <w:r>
        <w:rPr>
          <w:rFonts w:asciiTheme="majorHAnsi" w:hAnsiTheme="majorHAnsi"/>
        </w:rPr>
        <w:t>, doi: 10.1094/PHP-2005-0728-01-</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Blomquist, CL, Rooney-Latham, S &amp; Soriano, MC 2012, ‘First report of </w:t>
      </w:r>
      <w:r>
        <w:rPr>
          <w:rFonts w:asciiTheme="majorHAnsi" w:hAnsiTheme="majorHAnsi"/>
          <w:i/>
        </w:rPr>
        <w:t>Phytophthora ramorum</w:t>
      </w:r>
      <w:r>
        <w:rPr>
          <w:rFonts w:asciiTheme="majorHAnsi" w:hAnsiTheme="majorHAnsi"/>
        </w:rPr>
        <w:t xml:space="preserve"> causing a leaf spot on </w:t>
      </w:r>
      <w:r>
        <w:rPr>
          <w:rFonts w:asciiTheme="majorHAnsi" w:hAnsiTheme="majorHAnsi"/>
          <w:i/>
        </w:rPr>
        <w:t>Loropetalum chinense</w:t>
      </w:r>
      <w:r>
        <w:rPr>
          <w:rFonts w:asciiTheme="majorHAnsi" w:hAnsiTheme="majorHAnsi"/>
        </w:rPr>
        <w:t xml:space="preserve">, Chinese fringe flower in California’, </w:t>
      </w:r>
      <w:r>
        <w:rPr>
          <w:rFonts w:asciiTheme="majorHAnsi" w:hAnsiTheme="majorHAnsi"/>
          <w:i/>
        </w:rPr>
        <w:t>Plant Disease</w:t>
      </w:r>
      <w:r>
        <w:rPr>
          <w:rFonts w:asciiTheme="majorHAnsi" w:hAnsiTheme="majorHAnsi"/>
        </w:rPr>
        <w:t xml:space="preserve">, 96: 1829.2. </w:t>
      </w:r>
    </w:p>
    <w:p w:rsidR="00805EA8" w:rsidRPr="00EB3AE2" w:rsidRDefault="00805EA8" w:rsidP="00805EA8">
      <w:pPr>
        <w:overflowPunct w:val="0"/>
        <w:autoSpaceDE w:val="0"/>
        <w:autoSpaceDN w:val="0"/>
        <w:adjustRightInd w:val="0"/>
        <w:spacing w:before="120" w:after="120"/>
        <w:textAlignment w:val="baseline"/>
        <w:rPr>
          <w:rFonts w:ascii="Cambria" w:hAnsi="Cambria" w:cs="Times New Roman"/>
        </w:rPr>
      </w:pPr>
      <w:r w:rsidRPr="00EB3AE2">
        <w:rPr>
          <w:rFonts w:ascii="Cambria" w:hAnsi="Cambria" w:cs="Times New Roman"/>
        </w:rPr>
        <w:lastRenderedPageBreak/>
        <w:t>Blomquist, CL, Yakabe, LE, Rooney-Latham, S, McRoberts, N &amp; Thomas, CS 2015</w:t>
      </w:r>
      <w:r>
        <w:rPr>
          <w:rFonts w:ascii="Cambria" w:hAnsi="Cambria"/>
        </w:rPr>
        <w:t>, ‘</w:t>
      </w:r>
      <w:r w:rsidRPr="00EB3AE2">
        <w:rPr>
          <w:rFonts w:ascii="Cambria" w:hAnsi="Cambria" w:cs="Times New Roman"/>
        </w:rPr>
        <w:t xml:space="preserve">Detection of </w:t>
      </w:r>
      <w:r w:rsidRPr="00EB3AE2">
        <w:rPr>
          <w:rFonts w:ascii="Cambria" w:hAnsi="Cambria" w:cs="Times New Roman"/>
          <w:i/>
        </w:rPr>
        <w:t>Phytophthora ramorum</w:t>
      </w:r>
      <w:r w:rsidRPr="00EB3AE2">
        <w:rPr>
          <w:rFonts w:ascii="Cambria" w:hAnsi="Cambria" w:cs="Times New Roman"/>
        </w:rPr>
        <w:t xml:space="preserve"> in Nurseries and Forest Lands in California 2004</w:t>
      </w:r>
      <w:r>
        <w:rPr>
          <w:rFonts w:ascii="Cambria" w:hAnsi="Cambria"/>
        </w:rPr>
        <w:t>–</w:t>
      </w:r>
      <w:r w:rsidRPr="00EB3AE2">
        <w:rPr>
          <w:rFonts w:ascii="Cambria" w:hAnsi="Cambria" w:cs="Times New Roman"/>
        </w:rPr>
        <w:t>2009</w:t>
      </w:r>
      <w:r>
        <w:rPr>
          <w:rFonts w:ascii="Cambria" w:hAnsi="Cambria"/>
        </w:rPr>
        <w:t xml:space="preserve">’, </w:t>
      </w:r>
      <w:r w:rsidRPr="00EB3AE2">
        <w:rPr>
          <w:rFonts w:ascii="Cambria" w:hAnsi="Cambria" w:cs="Times New Roman"/>
          <w:i/>
        </w:rPr>
        <w:t>Plant Disease</w:t>
      </w:r>
      <w:r w:rsidRPr="00EB3AE2">
        <w:rPr>
          <w:rFonts w:ascii="Cambria" w:hAnsi="Cambria" w:cs="Times New Roman"/>
        </w:rPr>
        <w:t xml:space="preserve"> (</w:t>
      </w:r>
      <w:r>
        <w:rPr>
          <w:rFonts w:ascii="Cambria" w:hAnsi="Cambria"/>
        </w:rPr>
        <w:t>In Press</w:t>
      </w:r>
      <w:r w:rsidRPr="00EB3AE2">
        <w:rPr>
          <w:rFonts w:ascii="Cambria" w:hAnsi="Cambria" w:cs="Times New Roman"/>
        </w:rPr>
        <w:t>)</w:t>
      </w:r>
      <w:r>
        <w:rPr>
          <w:rFonts w:ascii="Cambria" w:hAnsi="Cambria"/>
        </w:rPr>
        <w:t xml:space="preserve">, </w:t>
      </w:r>
      <w:r w:rsidRPr="00EB3AE2">
        <w:rPr>
          <w:rFonts w:ascii="Cambria" w:hAnsi="Cambria"/>
        </w:rPr>
        <w:t>apsjournals.apsnet.org/doi/pdfplus/10.1094/PDIS-12-14-1302-RE</w:t>
      </w:r>
      <w:r w:rsidRPr="00EB3AE2">
        <w:rPr>
          <w:rFonts w:ascii="Cambria" w:hAnsi="Cambria" w:cs="Times New Roman"/>
        </w:rPr>
        <w:t>.</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Brasier, C &amp; Webber, J 2012, ‘Natural stem infection of Lawson cypress (</w:t>
      </w:r>
      <w:r>
        <w:rPr>
          <w:rFonts w:asciiTheme="majorHAnsi" w:hAnsiTheme="majorHAnsi"/>
          <w:i/>
        </w:rPr>
        <w:t>Chamaecyparis lawsoniana</w:t>
      </w:r>
      <w:r>
        <w:rPr>
          <w:rFonts w:asciiTheme="majorHAnsi" w:hAnsiTheme="majorHAnsi"/>
        </w:rPr>
        <w:t xml:space="preserve">) caused by </w:t>
      </w:r>
      <w:r>
        <w:rPr>
          <w:rFonts w:asciiTheme="majorHAnsi" w:hAnsiTheme="majorHAnsi"/>
          <w:i/>
        </w:rPr>
        <w:t>Phytophthora ramorum</w:t>
      </w:r>
      <w:r>
        <w:rPr>
          <w:rFonts w:asciiTheme="majorHAnsi" w:hAnsiTheme="majorHAnsi"/>
        </w:rPr>
        <w:t>’,</w:t>
      </w:r>
      <w:r>
        <w:rPr>
          <w:rFonts w:asciiTheme="majorHAnsi" w:hAnsiTheme="majorHAnsi"/>
          <w:i/>
        </w:rPr>
        <w:t xml:space="preserve"> New Disease Reports</w:t>
      </w:r>
      <w:r>
        <w:rPr>
          <w:rFonts w:asciiTheme="majorHAnsi" w:hAnsiTheme="majorHAnsi"/>
        </w:rPr>
        <w:t xml:space="preserve">, 25–26.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Brasier, C 2007, ‘</w:t>
      </w:r>
      <w:r>
        <w:rPr>
          <w:rFonts w:asciiTheme="majorHAnsi" w:hAnsiTheme="majorHAnsi"/>
          <w:i/>
        </w:rPr>
        <w:t>Phytophthora ramorum</w:t>
      </w:r>
      <w:r>
        <w:rPr>
          <w:rFonts w:asciiTheme="majorHAnsi" w:hAnsiTheme="majorHAnsi"/>
        </w:rPr>
        <w:t xml:space="preserve"> + </w:t>
      </w:r>
      <w:r>
        <w:rPr>
          <w:rFonts w:asciiTheme="majorHAnsi" w:hAnsiTheme="majorHAnsi"/>
          <w:i/>
        </w:rPr>
        <w:t>P. kernoviae</w:t>
      </w:r>
      <w:r>
        <w:rPr>
          <w:rFonts w:asciiTheme="majorHAnsi" w:hAnsiTheme="majorHAnsi"/>
        </w:rPr>
        <w:t xml:space="preserve"> = International Biosecurity Failure’, </w:t>
      </w:r>
      <w:r>
        <w:rPr>
          <w:rFonts w:asciiTheme="majorHAnsi" w:hAnsiTheme="majorHAnsi"/>
          <w:i/>
        </w:rPr>
        <w:t>Proceedings of the Sudden Oak Death Third Science Symposium</w:t>
      </w:r>
      <w:r>
        <w:rPr>
          <w:rFonts w:asciiTheme="majorHAnsi" w:hAnsiTheme="majorHAnsi"/>
        </w:rPr>
        <w:t xml:space="preserve">, General technical report PSW-GTR-214, 133–139.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Brasier, C, Beales, P, Kirk, S, Barton, V, Giltrap, P, Griffin, R, Hughes, K, Lane, C, Rose, J, Denham, S &amp; Webber, J 2004c, ‘A new </w:t>
      </w:r>
      <w:r>
        <w:rPr>
          <w:rFonts w:asciiTheme="majorHAnsi" w:hAnsiTheme="majorHAnsi"/>
          <w:i/>
        </w:rPr>
        <w:t>Phytophthora</w:t>
      </w:r>
      <w:r>
        <w:rPr>
          <w:rFonts w:asciiTheme="majorHAnsi" w:hAnsiTheme="majorHAnsi"/>
        </w:rPr>
        <w:t xml:space="preserve"> species affecting European Beech (</w:t>
      </w:r>
      <w:r>
        <w:rPr>
          <w:rFonts w:asciiTheme="majorHAnsi" w:hAnsiTheme="majorHAnsi"/>
          <w:i/>
        </w:rPr>
        <w:t>Fagus sylvatica</w:t>
      </w:r>
      <w:r>
        <w:rPr>
          <w:rFonts w:asciiTheme="majorHAnsi" w:hAnsiTheme="majorHAnsi"/>
        </w:rPr>
        <w:t xml:space="preserve">) and </w:t>
      </w:r>
      <w:r>
        <w:rPr>
          <w:rFonts w:asciiTheme="majorHAnsi" w:hAnsiTheme="majorHAnsi"/>
          <w:i/>
        </w:rPr>
        <w:t>Rhododendron</w:t>
      </w:r>
      <w:r>
        <w:rPr>
          <w:rFonts w:asciiTheme="majorHAnsi" w:hAnsiTheme="majorHAnsi"/>
        </w:rPr>
        <w:t xml:space="preserve"> in the UK’ [Poster], </w:t>
      </w:r>
      <w:r>
        <w:rPr>
          <w:rFonts w:asciiTheme="majorHAnsi" w:hAnsiTheme="majorHAnsi"/>
          <w:i/>
        </w:rPr>
        <w:t>Phytophthora ramorum</w:t>
      </w:r>
      <w:r>
        <w:rPr>
          <w:rFonts w:asciiTheme="majorHAnsi" w:hAnsiTheme="majorHAnsi"/>
        </w:rPr>
        <w:t>: A Review of North American and European Activity, California Oak Mortality Task Force Annual Meeting, March 10, 2004.</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Brasier, C, Brown, A, Rose, J &amp; Kirk, S 2007, ‘Infection of tree stems by zoospores of </w:t>
      </w:r>
      <w:r>
        <w:rPr>
          <w:rFonts w:asciiTheme="majorHAnsi" w:hAnsiTheme="majorHAnsi"/>
          <w:i/>
        </w:rPr>
        <w:t>Phytophthora ramorum</w:t>
      </w:r>
      <w:r>
        <w:rPr>
          <w:rFonts w:asciiTheme="majorHAnsi" w:hAnsiTheme="majorHAnsi"/>
        </w:rPr>
        <w:t xml:space="preserve"> and </w:t>
      </w:r>
      <w:r>
        <w:rPr>
          <w:rFonts w:asciiTheme="majorHAnsi" w:hAnsiTheme="majorHAnsi"/>
          <w:i/>
        </w:rPr>
        <w:t>P. kernoviae</w:t>
      </w:r>
      <w:r>
        <w:rPr>
          <w:rFonts w:asciiTheme="majorHAnsi" w:hAnsiTheme="majorHAnsi"/>
        </w:rPr>
        <w:t xml:space="preserve">’ [Abstract], </w:t>
      </w:r>
      <w:r>
        <w:rPr>
          <w:rFonts w:asciiTheme="majorHAnsi" w:hAnsiTheme="majorHAnsi"/>
          <w:i/>
        </w:rPr>
        <w:t>Sudden Oak Death Science Symposium III,</w:t>
      </w:r>
      <w:r w:rsidR="007B1790">
        <w:rPr>
          <w:rFonts w:asciiTheme="majorHAnsi" w:hAnsiTheme="majorHAnsi"/>
        </w:rPr>
        <w:t xml:space="preserve"> </w:t>
      </w:r>
      <w:r>
        <w:rPr>
          <w:rFonts w:asciiTheme="majorHAnsi" w:hAnsiTheme="majorHAnsi"/>
        </w:rPr>
        <w:t>nature.berkeley.edu/comtf/sodsymposium/PDF/Abstracts/ Infection percent20of percent20Tree percent20Stems percent20by percent20Zoospores-Brasier.pdf.</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Brasier, C, Rose, J, Kirk, S, Denman, S &amp; Webber, J 2006, ‘Comparative host range and aggressiveness of </w:t>
      </w:r>
      <w:r>
        <w:rPr>
          <w:rFonts w:asciiTheme="majorHAnsi" w:hAnsiTheme="majorHAnsi"/>
          <w:i/>
        </w:rPr>
        <w:t>Phytophthora ramorum</w:t>
      </w:r>
      <w:r>
        <w:rPr>
          <w:rFonts w:asciiTheme="majorHAnsi" w:hAnsiTheme="majorHAnsi"/>
        </w:rPr>
        <w:t xml:space="preserve"> and </w:t>
      </w:r>
      <w:r>
        <w:rPr>
          <w:rFonts w:asciiTheme="majorHAnsi" w:hAnsiTheme="majorHAnsi"/>
          <w:i/>
        </w:rPr>
        <w:t>Phytophthora kernoviae</w:t>
      </w:r>
      <w:r>
        <w:rPr>
          <w:rFonts w:asciiTheme="majorHAnsi" w:hAnsiTheme="majorHAnsi"/>
        </w:rPr>
        <w:t xml:space="preserve"> sp. </w:t>
      </w:r>
      <w:r>
        <w:rPr>
          <w:rFonts w:asciiTheme="majorHAnsi" w:hAnsiTheme="majorHAnsi"/>
          <w:i/>
        </w:rPr>
        <w:t>nov</w:t>
      </w:r>
      <w:r>
        <w:rPr>
          <w:rFonts w:asciiTheme="majorHAnsi" w:hAnsiTheme="majorHAnsi"/>
        </w:rPr>
        <w:t xml:space="preserve">. on North American and European trees’, </w:t>
      </w:r>
      <w:r>
        <w:rPr>
          <w:rFonts w:asciiTheme="majorHAnsi" w:hAnsiTheme="majorHAnsi"/>
          <w:i/>
        </w:rPr>
        <w:t>Proceedings of the Sudden Oak Death Second Science Symposium: the State of Our Knowledge,</w:t>
      </w:r>
      <w:r>
        <w:rPr>
          <w:rFonts w:asciiTheme="majorHAnsi" w:hAnsiTheme="majorHAnsi"/>
        </w:rPr>
        <w:t xml:space="preserve"> General technical report PSW-GTR-196, 109–111.</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Brasier, CM &amp; Webber, J 2010, ‘Sudden larch death’, </w:t>
      </w:r>
      <w:r>
        <w:rPr>
          <w:rFonts w:asciiTheme="majorHAnsi" w:hAnsiTheme="majorHAnsi"/>
          <w:i/>
        </w:rPr>
        <w:t>Nature</w:t>
      </w:r>
      <w:r>
        <w:rPr>
          <w:rFonts w:asciiTheme="majorHAnsi" w:hAnsiTheme="majorHAnsi"/>
        </w:rPr>
        <w:t>, 466: 824–825.</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Brasier, CM 2008, ‘The biosecurity threat to the UK and global environment from international trade in plants’, </w:t>
      </w:r>
      <w:r>
        <w:rPr>
          <w:rFonts w:asciiTheme="majorHAnsi" w:hAnsiTheme="majorHAnsi"/>
          <w:i/>
        </w:rPr>
        <w:t>Plant Pathology</w:t>
      </w:r>
      <w:r>
        <w:rPr>
          <w:rFonts w:asciiTheme="majorHAnsi" w:hAnsiTheme="majorHAnsi"/>
        </w:rPr>
        <w:t>, 57: 792–808.</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Brasier, CM, Beales, PA, Kirk, SA, Denman, S &amp; Rose, J 2005, ‘</w:t>
      </w:r>
      <w:r>
        <w:rPr>
          <w:rFonts w:asciiTheme="majorHAnsi" w:hAnsiTheme="majorHAnsi"/>
          <w:i/>
        </w:rPr>
        <w:t>Phytophthora kernoviae</w:t>
      </w:r>
      <w:r>
        <w:rPr>
          <w:rFonts w:asciiTheme="majorHAnsi" w:hAnsiTheme="majorHAnsi"/>
        </w:rPr>
        <w:t xml:space="preserve"> sp. </w:t>
      </w:r>
      <w:r>
        <w:rPr>
          <w:rFonts w:asciiTheme="majorHAnsi" w:hAnsiTheme="majorHAnsi"/>
          <w:i/>
        </w:rPr>
        <w:t>nov</w:t>
      </w:r>
      <w:r>
        <w:rPr>
          <w:rFonts w:asciiTheme="majorHAnsi" w:hAnsiTheme="majorHAnsi"/>
        </w:rPr>
        <w:t xml:space="preserve">., an invasive pathogen causing bleeding stem lesions on forest trees and foliar necrosis of ornamentals in the UK’, </w:t>
      </w:r>
      <w:r>
        <w:rPr>
          <w:rFonts w:asciiTheme="majorHAnsi" w:hAnsiTheme="majorHAnsi"/>
          <w:i/>
        </w:rPr>
        <w:t>Mycological Research</w:t>
      </w:r>
      <w:r>
        <w:rPr>
          <w:rFonts w:asciiTheme="majorHAnsi" w:hAnsiTheme="majorHAnsi"/>
        </w:rPr>
        <w:t>, 109: 853–859.</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Brasier, CM, Denman, S, Brown, A &amp; Webber, JA 2004a, ‘Sudden oak death (</w:t>
      </w:r>
      <w:r>
        <w:rPr>
          <w:rFonts w:asciiTheme="majorHAnsi" w:hAnsiTheme="majorHAnsi"/>
          <w:i/>
        </w:rPr>
        <w:t>Phytophthora ramorum</w:t>
      </w:r>
      <w:r>
        <w:rPr>
          <w:rFonts w:asciiTheme="majorHAnsi" w:hAnsiTheme="majorHAnsi"/>
        </w:rPr>
        <w:t xml:space="preserve">) discovered on trees in Europe’, </w:t>
      </w:r>
      <w:r>
        <w:rPr>
          <w:rFonts w:asciiTheme="majorHAnsi" w:hAnsiTheme="majorHAnsi"/>
          <w:i/>
        </w:rPr>
        <w:t>Mycological Research</w:t>
      </w:r>
      <w:r>
        <w:rPr>
          <w:rFonts w:asciiTheme="majorHAnsi" w:hAnsiTheme="majorHAnsi"/>
        </w:rPr>
        <w:t>, 108: 1107–1110.</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Brasier, CM, Denman, S, Rose, J, Kirk, SA, Hughes, KJD, Griffin, RL, Lane, CR, Inman, JA &amp; Webber, JF 2004b, ‘First report of ramorum bleeding canker on </w:t>
      </w:r>
      <w:r>
        <w:rPr>
          <w:rFonts w:asciiTheme="majorHAnsi" w:hAnsiTheme="majorHAnsi"/>
          <w:i/>
        </w:rPr>
        <w:t>Quercus falcata</w:t>
      </w:r>
      <w:r>
        <w:rPr>
          <w:rFonts w:asciiTheme="majorHAnsi" w:hAnsiTheme="majorHAnsi"/>
        </w:rPr>
        <w:t xml:space="preserve"> caused by </w:t>
      </w:r>
      <w:r>
        <w:rPr>
          <w:rFonts w:asciiTheme="majorHAnsi" w:hAnsiTheme="majorHAnsi"/>
          <w:i/>
        </w:rPr>
        <w:t>Phytophthora ramorum</w:t>
      </w:r>
      <w:r>
        <w:rPr>
          <w:rFonts w:asciiTheme="majorHAnsi" w:hAnsiTheme="majorHAnsi"/>
        </w:rPr>
        <w:t xml:space="preserve">’, </w:t>
      </w:r>
      <w:r>
        <w:rPr>
          <w:rFonts w:asciiTheme="majorHAnsi" w:hAnsiTheme="majorHAnsi"/>
          <w:i/>
        </w:rPr>
        <w:t>Plant Pathology</w:t>
      </w:r>
      <w:r>
        <w:rPr>
          <w:rFonts w:asciiTheme="majorHAnsi" w:hAnsiTheme="majorHAnsi"/>
        </w:rPr>
        <w:t>, 53: 804.</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Brasier, CM, Vettraino, AM, Chang, TT &amp; Vannini, A 2010, ‘</w:t>
      </w:r>
      <w:r>
        <w:rPr>
          <w:rFonts w:asciiTheme="majorHAnsi" w:hAnsiTheme="majorHAnsi"/>
          <w:i/>
        </w:rPr>
        <w:t>Phytophthora lateralis</w:t>
      </w:r>
      <w:r>
        <w:rPr>
          <w:rFonts w:asciiTheme="majorHAnsi" w:hAnsiTheme="majorHAnsi"/>
        </w:rPr>
        <w:t xml:space="preserve"> discovered in an old growth </w:t>
      </w:r>
      <w:r>
        <w:rPr>
          <w:rFonts w:asciiTheme="majorHAnsi" w:hAnsiTheme="majorHAnsi"/>
          <w:i/>
        </w:rPr>
        <w:t>Chamaecyparis</w:t>
      </w:r>
      <w:r>
        <w:rPr>
          <w:rFonts w:asciiTheme="majorHAnsi" w:hAnsiTheme="majorHAnsi"/>
        </w:rPr>
        <w:t xml:space="preserve"> forest in Taiwan’, </w:t>
      </w:r>
      <w:r>
        <w:rPr>
          <w:rFonts w:asciiTheme="majorHAnsi" w:hAnsiTheme="majorHAnsi"/>
          <w:i/>
        </w:rPr>
        <w:t>Plant Pathology</w:t>
      </w:r>
      <w:r>
        <w:rPr>
          <w:rFonts w:asciiTheme="majorHAnsi" w:hAnsiTheme="majorHAnsi"/>
        </w:rPr>
        <w:t>, 59: 595–603.</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Briere, SC, Llewellyn, S &amp; Kristjansson, G 2005, ‘First report of </w:t>
      </w:r>
      <w:r>
        <w:rPr>
          <w:rFonts w:asciiTheme="majorHAnsi" w:hAnsiTheme="majorHAnsi"/>
          <w:i/>
        </w:rPr>
        <w:t>Pyracantha koidzumii</w:t>
      </w:r>
      <w:r>
        <w:rPr>
          <w:rFonts w:asciiTheme="majorHAnsi" w:hAnsiTheme="majorHAnsi"/>
        </w:rPr>
        <w:t xml:space="preserve"> as a new host for sudden oak death caused by </w:t>
      </w:r>
      <w:r>
        <w:rPr>
          <w:rFonts w:asciiTheme="majorHAnsi" w:hAnsiTheme="majorHAnsi"/>
          <w:i/>
        </w:rPr>
        <w:t>Phytophthora ramorum</w:t>
      </w:r>
      <w:r>
        <w:rPr>
          <w:rFonts w:asciiTheme="majorHAnsi" w:hAnsiTheme="majorHAnsi"/>
        </w:rPr>
        <w:t xml:space="preserve">’, </w:t>
      </w:r>
      <w:r>
        <w:rPr>
          <w:rFonts w:asciiTheme="majorHAnsi" w:hAnsiTheme="majorHAnsi"/>
          <w:i/>
        </w:rPr>
        <w:t>Sudden Oak Death Science Symposium II</w:t>
      </w:r>
      <w:r>
        <w:rPr>
          <w:rFonts w:asciiTheme="majorHAnsi" w:hAnsiTheme="majorHAnsi"/>
        </w:rPr>
        <w:t xml:space="preserve">, Monterey, CA.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Browning, M, Englander, L, Tooley, PW &amp; Berner, D 2008, ‘Survival of </w:t>
      </w:r>
      <w:r>
        <w:rPr>
          <w:rFonts w:asciiTheme="majorHAnsi" w:hAnsiTheme="majorHAnsi"/>
          <w:i/>
        </w:rPr>
        <w:t>Phytophthora ramorum</w:t>
      </w:r>
      <w:r>
        <w:rPr>
          <w:rFonts w:asciiTheme="majorHAnsi" w:hAnsiTheme="majorHAnsi"/>
        </w:rPr>
        <w:t xml:space="preserve"> hyphae after exposure to temperature extremes and various humidities’, </w:t>
      </w:r>
      <w:r>
        <w:rPr>
          <w:rFonts w:asciiTheme="majorHAnsi" w:hAnsiTheme="majorHAnsi"/>
          <w:i/>
        </w:rPr>
        <w:t>Mycologia</w:t>
      </w:r>
      <w:r>
        <w:rPr>
          <w:rFonts w:asciiTheme="majorHAnsi" w:hAnsiTheme="majorHAnsi"/>
        </w:rPr>
        <w:t>, 100: 236–245.</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CABI 2014, ‘</w:t>
      </w:r>
      <w:r>
        <w:rPr>
          <w:rFonts w:asciiTheme="majorHAnsi" w:hAnsiTheme="majorHAnsi"/>
          <w:i/>
        </w:rPr>
        <w:t xml:space="preserve">Phytophthora ramorum </w:t>
      </w:r>
      <w:r>
        <w:rPr>
          <w:rFonts w:asciiTheme="majorHAnsi" w:hAnsiTheme="majorHAnsi"/>
        </w:rPr>
        <w:t>Datasheet’, Invasive species compendium</w:t>
      </w:r>
      <w:r w:rsidR="007B1790">
        <w:rPr>
          <w:rFonts w:asciiTheme="majorHAnsi" w:hAnsiTheme="majorHAnsi"/>
        </w:rPr>
        <w:t xml:space="preserve">, CAB International, </w:t>
      </w:r>
      <w:r>
        <w:rPr>
          <w:rFonts w:asciiTheme="majorHAnsi" w:hAnsiTheme="majorHAnsi"/>
        </w:rPr>
        <w:t xml:space="preserve">cabi.org/isc/datasheet/40991#20063115680.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lastRenderedPageBreak/>
        <w:t xml:space="preserve">Cave, GL, Randall-Schadel, B &amp; Redlin, S 2008, ‘Risk Analysis for </w:t>
      </w:r>
      <w:r>
        <w:rPr>
          <w:rFonts w:asciiTheme="majorHAnsi" w:hAnsiTheme="majorHAnsi"/>
          <w:i/>
        </w:rPr>
        <w:t>Phytophthora ramorum</w:t>
      </w:r>
      <w:r>
        <w:rPr>
          <w:rFonts w:asciiTheme="majorHAnsi" w:hAnsiTheme="majorHAnsi"/>
        </w:rPr>
        <w:t xml:space="preserve">’ </w:t>
      </w:r>
      <w:r>
        <w:rPr>
          <w:rFonts w:asciiTheme="majorHAnsi" w:hAnsiTheme="majorHAnsi"/>
          <w:i/>
        </w:rPr>
        <w:t>Causal agent of sudden oak death, ramorum leaf blight, and ramorum dieback</w:t>
      </w:r>
      <w:r>
        <w:rPr>
          <w:rFonts w:asciiTheme="majorHAnsi" w:hAnsiTheme="majorHAnsi"/>
        </w:rPr>
        <w:t>. United States Department of Agriculture Animal and Plant Health Inspection Service Plant Protec</w:t>
      </w:r>
      <w:r w:rsidR="007B1790">
        <w:rPr>
          <w:rFonts w:asciiTheme="majorHAnsi" w:hAnsiTheme="majorHAnsi"/>
        </w:rPr>
        <w:t xml:space="preserve">tion and Quarantine. </w:t>
      </w:r>
      <w:r>
        <w:rPr>
          <w:rFonts w:asciiTheme="majorHAnsi" w:hAnsiTheme="majorHAnsi"/>
        </w:rPr>
        <w:t xml:space="preserve">dpm.ifas.ufl.edu/plant_pest_risk_assessment/ALS6942_docs/pra-cphst-081.pdf.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Cave, GL, Randall-Schadel, BL &amp; Redlin, SC 2005, ‘Risk analysis for </w:t>
      </w:r>
      <w:r>
        <w:rPr>
          <w:rFonts w:asciiTheme="majorHAnsi" w:hAnsiTheme="majorHAnsi"/>
          <w:i/>
        </w:rPr>
        <w:t>Phytophthora ramorum</w:t>
      </w:r>
      <w:r>
        <w:rPr>
          <w:rFonts w:asciiTheme="majorHAnsi" w:hAnsiTheme="majorHAnsi"/>
        </w:rPr>
        <w:t xml:space="preserve">, causal agent of </w:t>
      </w:r>
      <w:r>
        <w:rPr>
          <w:rFonts w:asciiTheme="majorHAnsi" w:hAnsiTheme="majorHAnsi"/>
          <w:i/>
        </w:rPr>
        <w:t>phytophthora</w:t>
      </w:r>
      <w:r>
        <w:rPr>
          <w:rFonts w:asciiTheme="majorHAnsi" w:hAnsiTheme="majorHAnsi"/>
        </w:rPr>
        <w:t xml:space="preserve"> canker (sudden oak death), ramorum leaf blight, and ramorum dieback’, USDA, APHIS, PPQ, Center for Plant Health Science and Technology, Plant Epidemiology and Risk Analysis Laboratory.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Chastagner, GA &amp; Riley, KL 2010, ‘First report of </w:t>
      </w:r>
      <w:r>
        <w:rPr>
          <w:rFonts w:asciiTheme="majorHAnsi" w:hAnsiTheme="majorHAnsi"/>
          <w:i/>
        </w:rPr>
        <w:t>Phytophthora ramorum</w:t>
      </w:r>
      <w:r>
        <w:rPr>
          <w:rFonts w:asciiTheme="majorHAnsi" w:hAnsiTheme="majorHAnsi"/>
        </w:rPr>
        <w:t xml:space="preserve"> infecting California red fir in California’, </w:t>
      </w:r>
      <w:r>
        <w:rPr>
          <w:rFonts w:asciiTheme="majorHAnsi" w:hAnsiTheme="majorHAnsi"/>
          <w:i/>
        </w:rPr>
        <w:t>Plant Disease</w:t>
      </w:r>
      <w:r>
        <w:rPr>
          <w:rFonts w:asciiTheme="majorHAnsi" w:hAnsiTheme="majorHAnsi"/>
        </w:rPr>
        <w:t xml:space="preserve">, 94: 1170.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Chastagner, GA, Riley, K &amp; Dart, N 2008, ‘Recovery of </w:t>
      </w:r>
      <w:r>
        <w:rPr>
          <w:rFonts w:asciiTheme="majorHAnsi" w:hAnsiTheme="majorHAnsi"/>
          <w:i/>
        </w:rPr>
        <w:t>Phytophthora ramorum</w:t>
      </w:r>
      <w:r>
        <w:rPr>
          <w:rFonts w:asciiTheme="majorHAnsi" w:hAnsiTheme="majorHAnsi"/>
        </w:rPr>
        <w:t xml:space="preserve"> from mistletoe and California bay inflorescences and possible implications relating to disease spread’, </w:t>
      </w:r>
      <w:r>
        <w:rPr>
          <w:rFonts w:asciiTheme="majorHAnsi" w:hAnsiTheme="majorHAnsi"/>
          <w:i/>
        </w:rPr>
        <w:t>Proceedings of the Sudden Oak Death Symposium III</w:t>
      </w:r>
      <w:r>
        <w:rPr>
          <w:rFonts w:asciiTheme="majorHAnsi" w:hAnsiTheme="majorHAnsi"/>
        </w:rPr>
        <w:t>, Santa Rosa, California.</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Chimento, A, Cacciola, SO &amp; Garbelotto, M 2012, ‘Detection of mRNA by reverse-transcription PCR as an indicator of viability in </w:t>
      </w:r>
      <w:r>
        <w:rPr>
          <w:rFonts w:asciiTheme="majorHAnsi" w:hAnsiTheme="majorHAnsi"/>
          <w:i/>
        </w:rPr>
        <w:t>Phytophthora ramorum</w:t>
      </w:r>
      <w:r>
        <w:rPr>
          <w:rFonts w:asciiTheme="majorHAnsi" w:hAnsiTheme="majorHAnsi"/>
        </w:rPr>
        <w:t xml:space="preserve">’, </w:t>
      </w:r>
      <w:r>
        <w:rPr>
          <w:rFonts w:asciiTheme="majorHAnsi" w:hAnsiTheme="majorHAnsi"/>
          <w:i/>
        </w:rPr>
        <w:t>Forest Pathology</w:t>
      </w:r>
      <w:r>
        <w:rPr>
          <w:rFonts w:asciiTheme="majorHAnsi" w:hAnsiTheme="majorHAnsi"/>
        </w:rPr>
        <w:t>, 42: 14–21.</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t>Cobb</w:t>
      </w:r>
      <w:r>
        <w:rPr>
          <w:rFonts w:asciiTheme="majorHAnsi" w:hAnsiTheme="majorHAnsi"/>
        </w:rPr>
        <w:t>,</w:t>
      </w:r>
      <w:r>
        <w:rPr>
          <w:rFonts w:asciiTheme="majorHAnsi" w:hAnsiTheme="majorHAnsi"/>
          <w:color w:val="000000"/>
        </w:rPr>
        <w:t xml:space="preserve"> RC, Meentemeyer</w:t>
      </w:r>
      <w:r>
        <w:rPr>
          <w:rFonts w:asciiTheme="majorHAnsi" w:hAnsiTheme="majorHAnsi"/>
        </w:rPr>
        <w:t>,</w:t>
      </w:r>
      <w:r>
        <w:rPr>
          <w:rFonts w:asciiTheme="majorHAnsi" w:hAnsiTheme="majorHAnsi"/>
          <w:color w:val="000000"/>
        </w:rPr>
        <w:t xml:space="preserve"> RK</w:t>
      </w:r>
      <w:r>
        <w:rPr>
          <w:rFonts w:asciiTheme="majorHAnsi" w:hAnsiTheme="majorHAnsi"/>
        </w:rPr>
        <w:t xml:space="preserve"> &amp;</w:t>
      </w:r>
      <w:r>
        <w:rPr>
          <w:rFonts w:asciiTheme="majorHAnsi" w:hAnsiTheme="majorHAnsi"/>
          <w:color w:val="000000"/>
        </w:rPr>
        <w:t xml:space="preserve"> Rizzo</w:t>
      </w:r>
      <w:r>
        <w:rPr>
          <w:rFonts w:asciiTheme="majorHAnsi" w:hAnsiTheme="majorHAnsi"/>
        </w:rPr>
        <w:t>,</w:t>
      </w:r>
      <w:r>
        <w:rPr>
          <w:rFonts w:asciiTheme="majorHAnsi" w:hAnsiTheme="majorHAnsi"/>
          <w:color w:val="000000"/>
        </w:rPr>
        <w:t xml:space="preserve"> DM 2010</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Apparent competition in canopy trees determined by pathogen transmission rather than susceptibility</w:t>
      </w:r>
      <w:r>
        <w:rPr>
          <w:rFonts w:asciiTheme="majorHAnsi" w:hAnsiTheme="majorHAnsi"/>
        </w:rPr>
        <w:t xml:space="preserve">’, </w:t>
      </w:r>
      <w:r>
        <w:rPr>
          <w:rFonts w:asciiTheme="majorHAnsi" w:hAnsiTheme="majorHAnsi"/>
          <w:i/>
          <w:color w:val="000000"/>
        </w:rPr>
        <w:t>Ecology</w:t>
      </w:r>
      <w:r>
        <w:rPr>
          <w:rFonts w:asciiTheme="majorHAnsi" w:hAnsiTheme="majorHAnsi"/>
        </w:rPr>
        <w:t xml:space="preserve">, </w:t>
      </w:r>
      <w:r>
        <w:rPr>
          <w:rFonts w:asciiTheme="majorHAnsi" w:hAnsiTheme="majorHAnsi"/>
          <w:color w:val="000000"/>
        </w:rPr>
        <w:t>91: 327–333.</w:t>
      </w:r>
    </w:p>
    <w:p w:rsidR="00C74066" w:rsidRDefault="00F10705">
      <w:pPr>
        <w:autoSpaceDE w:val="0"/>
        <w:autoSpaceDN w:val="0"/>
        <w:adjustRightInd w:val="0"/>
        <w:spacing w:before="120" w:after="120" w:line="271" w:lineRule="auto"/>
        <w:rPr>
          <w:rFonts w:asciiTheme="majorHAnsi" w:hAnsiTheme="majorHAnsi"/>
          <w:color w:val="000000"/>
        </w:rPr>
      </w:pPr>
      <w:r>
        <w:rPr>
          <w:rFonts w:asciiTheme="majorHAnsi" w:hAnsiTheme="majorHAnsi"/>
          <w:color w:val="000000"/>
        </w:rPr>
        <w:t>Colburn</w:t>
      </w:r>
      <w:r>
        <w:rPr>
          <w:rFonts w:asciiTheme="majorHAnsi" w:hAnsiTheme="majorHAnsi"/>
        </w:rPr>
        <w:t>,</w:t>
      </w:r>
      <w:r>
        <w:rPr>
          <w:rFonts w:asciiTheme="majorHAnsi" w:hAnsiTheme="majorHAnsi"/>
          <w:color w:val="000000"/>
        </w:rPr>
        <w:t xml:space="preserve"> GC, Sechler</w:t>
      </w:r>
      <w:r>
        <w:rPr>
          <w:rFonts w:asciiTheme="majorHAnsi" w:hAnsiTheme="majorHAnsi"/>
        </w:rPr>
        <w:t>,</w:t>
      </w:r>
      <w:r>
        <w:rPr>
          <w:rFonts w:asciiTheme="majorHAnsi" w:hAnsiTheme="majorHAnsi"/>
          <w:color w:val="000000"/>
        </w:rPr>
        <w:t xml:space="preserve"> KE</w:t>
      </w:r>
      <w:r>
        <w:rPr>
          <w:rFonts w:asciiTheme="majorHAnsi" w:hAnsiTheme="majorHAnsi"/>
        </w:rPr>
        <w:t xml:space="preserve"> &amp;</w:t>
      </w:r>
      <w:r>
        <w:rPr>
          <w:rFonts w:asciiTheme="majorHAnsi" w:hAnsiTheme="majorHAnsi"/>
          <w:color w:val="000000"/>
        </w:rPr>
        <w:t xml:space="preserve"> Shiskoff</w:t>
      </w:r>
      <w:r>
        <w:rPr>
          <w:rFonts w:asciiTheme="majorHAnsi" w:hAnsiTheme="majorHAnsi"/>
        </w:rPr>
        <w:t>,</w:t>
      </w:r>
      <w:r>
        <w:rPr>
          <w:rFonts w:asciiTheme="majorHAnsi" w:hAnsiTheme="majorHAnsi"/>
          <w:color w:val="000000"/>
        </w:rPr>
        <w:t xml:space="preserve"> N 2005</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 xml:space="preserve">Survivability and pathogenicity of </w:t>
      </w:r>
      <w:r>
        <w:rPr>
          <w:rFonts w:asciiTheme="majorHAnsi" w:hAnsiTheme="majorHAnsi"/>
          <w:i/>
        </w:rPr>
        <w:t>Phytophthora ramorum</w:t>
      </w:r>
      <w:r>
        <w:rPr>
          <w:rFonts w:asciiTheme="majorHAnsi" w:hAnsiTheme="majorHAnsi"/>
          <w:color w:val="000000"/>
        </w:rPr>
        <w:t xml:space="preserve"> chlamydospores in soil</w:t>
      </w:r>
      <w:r>
        <w:rPr>
          <w:rFonts w:asciiTheme="majorHAnsi" w:hAnsiTheme="majorHAnsi"/>
        </w:rPr>
        <w:t xml:space="preserve">’, </w:t>
      </w:r>
      <w:r>
        <w:rPr>
          <w:rFonts w:asciiTheme="majorHAnsi" w:hAnsiTheme="majorHAnsi"/>
          <w:i/>
          <w:color w:val="000000"/>
        </w:rPr>
        <w:t>Phytopathology</w:t>
      </w:r>
      <w:r>
        <w:rPr>
          <w:rFonts w:asciiTheme="majorHAnsi" w:hAnsiTheme="majorHAnsi"/>
        </w:rPr>
        <w:t xml:space="preserve">, </w:t>
      </w:r>
      <w:r>
        <w:rPr>
          <w:rFonts w:asciiTheme="majorHAnsi" w:hAnsiTheme="majorHAnsi"/>
          <w:color w:val="000000"/>
        </w:rPr>
        <w:t>95:S20.</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Commonwealth of Australia 2001, Australian Natural Resou</w:t>
      </w:r>
      <w:r w:rsidR="007B1790">
        <w:rPr>
          <w:rFonts w:asciiTheme="majorHAnsi" w:hAnsiTheme="majorHAnsi"/>
        </w:rPr>
        <w:t xml:space="preserve">rces Atlas and Data Library, </w:t>
      </w:r>
      <w:r>
        <w:rPr>
          <w:rFonts w:asciiTheme="majorHAnsi" w:hAnsiTheme="majorHAnsi"/>
        </w:rPr>
        <w:t>environment.gov.au/atlas.</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COMTF 2015, California Oak Mortality Task Force, acce</w:t>
      </w:r>
      <w:r w:rsidR="007B1790">
        <w:rPr>
          <w:rFonts w:asciiTheme="majorHAnsi" w:hAnsiTheme="majorHAnsi"/>
        </w:rPr>
        <w:t xml:space="preserve">ssed September 2015, </w:t>
      </w:r>
      <w:r>
        <w:rPr>
          <w:rFonts w:asciiTheme="majorHAnsi" w:hAnsiTheme="majorHAnsi"/>
        </w:rPr>
        <w:t xml:space="preserve">suddenoakdeath.org/.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t>Cooke, DEL, Drenth, A, Duncan, JM, Wagels, G</w:t>
      </w:r>
      <w:r>
        <w:rPr>
          <w:rFonts w:asciiTheme="majorHAnsi" w:hAnsiTheme="majorHAnsi"/>
        </w:rPr>
        <w:t xml:space="preserve"> &amp;</w:t>
      </w:r>
      <w:r>
        <w:rPr>
          <w:rFonts w:asciiTheme="majorHAnsi" w:hAnsiTheme="majorHAnsi"/>
          <w:color w:val="000000"/>
        </w:rPr>
        <w:t xml:space="preserve"> Brasier, CM 2000, ‘A molecular phylogeny of </w:t>
      </w:r>
      <w:r>
        <w:rPr>
          <w:rFonts w:asciiTheme="majorHAnsi" w:hAnsiTheme="majorHAnsi"/>
          <w:i/>
          <w:color w:val="000000"/>
        </w:rPr>
        <w:t>Phytophthora</w:t>
      </w:r>
      <w:r>
        <w:rPr>
          <w:rFonts w:asciiTheme="majorHAnsi" w:hAnsiTheme="majorHAnsi"/>
        </w:rPr>
        <w:t xml:space="preserve"> and related oomycetes</w:t>
      </w:r>
      <w:r>
        <w:rPr>
          <w:rFonts w:asciiTheme="majorHAnsi" w:hAnsiTheme="majorHAnsi"/>
          <w:color w:val="000000"/>
        </w:rPr>
        <w:t xml:space="preserve">’, </w:t>
      </w:r>
      <w:r>
        <w:rPr>
          <w:rFonts w:asciiTheme="majorHAnsi" w:hAnsiTheme="majorHAnsi"/>
          <w:i/>
          <w:color w:val="000000"/>
        </w:rPr>
        <w:t>Fungal Genetics and Biology</w:t>
      </w:r>
      <w:r>
        <w:rPr>
          <w:rFonts w:asciiTheme="majorHAnsi" w:hAnsiTheme="majorHAnsi"/>
        </w:rPr>
        <w:t>, 30: 17–32.</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t>Cushman</w:t>
      </w:r>
      <w:r>
        <w:rPr>
          <w:rFonts w:asciiTheme="majorHAnsi" w:hAnsiTheme="majorHAnsi"/>
        </w:rPr>
        <w:t>,</w:t>
      </w:r>
      <w:r>
        <w:rPr>
          <w:rFonts w:asciiTheme="majorHAnsi" w:hAnsiTheme="majorHAnsi"/>
          <w:color w:val="000000"/>
        </w:rPr>
        <w:t xml:space="preserve"> JH</w:t>
      </w:r>
      <w:r>
        <w:rPr>
          <w:rFonts w:asciiTheme="majorHAnsi" w:hAnsiTheme="majorHAnsi"/>
        </w:rPr>
        <w:t xml:space="preserve"> &amp;</w:t>
      </w:r>
      <w:r>
        <w:rPr>
          <w:rFonts w:asciiTheme="majorHAnsi" w:hAnsiTheme="majorHAnsi"/>
          <w:color w:val="000000"/>
        </w:rPr>
        <w:t xml:space="preserve"> Meentemeyer</w:t>
      </w:r>
      <w:r>
        <w:rPr>
          <w:rFonts w:asciiTheme="majorHAnsi" w:hAnsiTheme="majorHAnsi"/>
        </w:rPr>
        <w:t>,</w:t>
      </w:r>
      <w:r>
        <w:rPr>
          <w:rFonts w:asciiTheme="majorHAnsi" w:hAnsiTheme="majorHAnsi"/>
          <w:color w:val="000000"/>
        </w:rPr>
        <w:t xml:space="preserve"> RK 2008</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Multi-scale patterns of human activity and the incidence of an exotic forest pathogen</w:t>
      </w:r>
      <w:r>
        <w:rPr>
          <w:rFonts w:asciiTheme="majorHAnsi" w:hAnsiTheme="majorHAnsi"/>
        </w:rPr>
        <w:t xml:space="preserve">’, </w:t>
      </w:r>
      <w:r>
        <w:rPr>
          <w:rFonts w:asciiTheme="majorHAnsi" w:hAnsiTheme="majorHAnsi"/>
          <w:i/>
          <w:color w:val="000000"/>
        </w:rPr>
        <w:t>Journal of Ecology</w:t>
      </w:r>
      <w:r>
        <w:rPr>
          <w:rFonts w:asciiTheme="majorHAnsi" w:hAnsiTheme="majorHAnsi"/>
        </w:rPr>
        <w:t xml:space="preserve">, </w:t>
      </w:r>
      <w:r>
        <w:rPr>
          <w:rFonts w:asciiTheme="majorHAnsi" w:hAnsiTheme="majorHAnsi"/>
          <w:color w:val="000000"/>
        </w:rPr>
        <w:t>96: 766–776.</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t>Dart</w:t>
      </w:r>
      <w:r>
        <w:rPr>
          <w:rFonts w:asciiTheme="majorHAnsi" w:hAnsiTheme="majorHAnsi"/>
        </w:rPr>
        <w:t>,</w:t>
      </w:r>
      <w:r>
        <w:rPr>
          <w:rFonts w:asciiTheme="majorHAnsi" w:hAnsiTheme="majorHAnsi"/>
          <w:color w:val="000000"/>
        </w:rPr>
        <w:t xml:space="preserve"> NL, Chastagner</w:t>
      </w:r>
      <w:r>
        <w:rPr>
          <w:rFonts w:asciiTheme="majorHAnsi" w:hAnsiTheme="majorHAnsi"/>
        </w:rPr>
        <w:t>,</w:t>
      </w:r>
      <w:r>
        <w:rPr>
          <w:rFonts w:asciiTheme="majorHAnsi" w:hAnsiTheme="majorHAnsi"/>
          <w:color w:val="000000"/>
        </w:rPr>
        <w:t xml:space="preserve"> GA 2007</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 xml:space="preserve">Estimated economic losses associated with the destruction of plants due to </w:t>
      </w:r>
      <w:r>
        <w:rPr>
          <w:rFonts w:asciiTheme="majorHAnsi" w:hAnsiTheme="majorHAnsi"/>
          <w:i/>
          <w:color w:val="000000"/>
        </w:rPr>
        <w:t>Phytophthora ramorum</w:t>
      </w:r>
      <w:r>
        <w:rPr>
          <w:rFonts w:asciiTheme="majorHAnsi" w:hAnsiTheme="majorHAnsi"/>
          <w:color w:val="000000"/>
        </w:rPr>
        <w:t xml:space="preserve"> quarantine efforts in Washington State</w:t>
      </w:r>
      <w:r>
        <w:rPr>
          <w:rFonts w:asciiTheme="majorHAnsi" w:hAnsiTheme="majorHAnsi"/>
        </w:rPr>
        <w:t xml:space="preserve">’, </w:t>
      </w:r>
      <w:r>
        <w:rPr>
          <w:rFonts w:asciiTheme="majorHAnsi" w:hAnsiTheme="majorHAnsi"/>
          <w:i/>
          <w:color w:val="000000"/>
        </w:rPr>
        <w:t xml:space="preserve">Plant Management </w:t>
      </w:r>
      <w:r>
        <w:rPr>
          <w:rFonts w:asciiTheme="majorHAnsi" w:hAnsiTheme="majorHAnsi"/>
          <w:color w:val="000000"/>
        </w:rPr>
        <w:t>Network</w:t>
      </w:r>
      <w:r>
        <w:rPr>
          <w:rFonts w:asciiTheme="majorHAnsi" w:hAnsiTheme="majorHAnsi"/>
          <w:i/>
        </w:rPr>
        <w:t>,</w:t>
      </w:r>
      <w:r>
        <w:rPr>
          <w:rFonts w:asciiTheme="majorHAnsi" w:hAnsiTheme="majorHAnsi"/>
          <w:i/>
          <w:color w:val="000000"/>
        </w:rPr>
        <w:t xml:space="preserve"> Plant Health Progress</w:t>
      </w:r>
      <w:r>
        <w:rPr>
          <w:rFonts w:asciiTheme="majorHAnsi" w:hAnsiTheme="majorHAnsi"/>
        </w:rPr>
        <w:t>, accessed August 2007</w:t>
      </w:r>
      <w:r>
        <w:rPr>
          <w:rFonts w:asciiTheme="majorHAnsi" w:hAnsiTheme="majorHAnsi"/>
          <w:color w:val="000000"/>
        </w:rPr>
        <w:t xml:space="preserve">, </w:t>
      </w:r>
      <w:r>
        <w:rPr>
          <w:rFonts w:asciiTheme="majorHAnsi" w:hAnsiTheme="majorHAnsi"/>
        </w:rPr>
        <w:t xml:space="preserve">doi:10.1094/PHP-2007-0508-02-RS.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t>Dart, NL, Chastagner, GA, Rugarber, EF</w:t>
      </w:r>
      <w:r>
        <w:rPr>
          <w:rFonts w:asciiTheme="majorHAnsi" w:hAnsiTheme="majorHAnsi"/>
        </w:rPr>
        <w:t xml:space="preserve"> &amp;</w:t>
      </w:r>
      <w:r>
        <w:rPr>
          <w:rFonts w:asciiTheme="majorHAnsi" w:hAnsiTheme="majorHAnsi"/>
          <w:color w:val="000000"/>
        </w:rPr>
        <w:t xml:space="preserve"> Riley, KL 2007</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 xml:space="preserve">Recovery frequency of </w:t>
      </w:r>
      <w:r>
        <w:rPr>
          <w:rFonts w:asciiTheme="majorHAnsi" w:hAnsiTheme="majorHAnsi"/>
          <w:i/>
        </w:rPr>
        <w:t>Phytophthora ramorum</w:t>
      </w:r>
      <w:r>
        <w:rPr>
          <w:rFonts w:asciiTheme="majorHAnsi" w:hAnsiTheme="majorHAnsi"/>
          <w:color w:val="000000"/>
        </w:rPr>
        <w:t xml:space="preserve"> and other </w:t>
      </w:r>
      <w:r>
        <w:rPr>
          <w:rFonts w:asciiTheme="majorHAnsi" w:hAnsiTheme="majorHAnsi"/>
          <w:i/>
          <w:color w:val="000000"/>
        </w:rPr>
        <w:t>Phytophthora</w:t>
      </w:r>
      <w:r>
        <w:rPr>
          <w:rFonts w:asciiTheme="majorHAnsi" w:hAnsiTheme="majorHAnsi"/>
          <w:color w:val="000000"/>
        </w:rPr>
        <w:t xml:space="preserve"> </w:t>
      </w:r>
      <w:r>
        <w:rPr>
          <w:rFonts w:asciiTheme="majorHAnsi" w:hAnsiTheme="majorHAnsi"/>
        </w:rPr>
        <w:t>species</w:t>
      </w:r>
      <w:r>
        <w:rPr>
          <w:rFonts w:asciiTheme="majorHAnsi" w:hAnsiTheme="majorHAnsi"/>
          <w:color w:val="000000"/>
        </w:rPr>
        <w:t xml:space="preserve"> in the soil profile of ornamental retail nurseries</w:t>
      </w:r>
      <w:r>
        <w:rPr>
          <w:rFonts w:asciiTheme="majorHAnsi" w:hAnsiTheme="majorHAnsi"/>
        </w:rPr>
        <w:t xml:space="preserve">’, </w:t>
      </w:r>
      <w:r>
        <w:rPr>
          <w:rFonts w:asciiTheme="majorHAnsi" w:hAnsiTheme="majorHAnsi"/>
          <w:i/>
          <w:color w:val="000000"/>
        </w:rPr>
        <w:t>Plant Disease</w:t>
      </w:r>
      <w:r>
        <w:rPr>
          <w:rFonts w:asciiTheme="majorHAnsi" w:hAnsiTheme="majorHAnsi"/>
        </w:rPr>
        <w:t>,</w:t>
      </w:r>
      <w:r>
        <w:rPr>
          <w:rFonts w:asciiTheme="majorHAnsi" w:hAnsiTheme="majorHAnsi"/>
          <w:color w:val="000000"/>
        </w:rPr>
        <w:t xml:space="preserve"> 91: 1419</w:t>
      </w:r>
      <w:r>
        <w:rPr>
          <w:rFonts w:asciiTheme="majorHAnsi" w:hAnsiTheme="majorHAnsi"/>
        </w:rPr>
        <w:t>–</w:t>
      </w:r>
      <w:r>
        <w:rPr>
          <w:rFonts w:asciiTheme="majorHAnsi" w:hAnsiTheme="majorHAnsi"/>
          <w:color w:val="000000"/>
        </w:rPr>
        <w:t>1422.</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Davidson, JM &amp; Shaw, CG 2003, ‘Pathways of movement for </w:t>
      </w:r>
      <w:r>
        <w:rPr>
          <w:rFonts w:asciiTheme="majorHAnsi" w:hAnsiTheme="majorHAnsi"/>
          <w:i/>
        </w:rPr>
        <w:t>Phytophthora ramorum</w:t>
      </w:r>
      <w:r>
        <w:rPr>
          <w:rFonts w:asciiTheme="majorHAnsi" w:hAnsiTheme="majorHAnsi"/>
        </w:rPr>
        <w:t xml:space="preserve">, the causal agent of Sudden Oak Death’, </w:t>
      </w:r>
      <w:r>
        <w:rPr>
          <w:rFonts w:asciiTheme="majorHAnsi" w:hAnsiTheme="majorHAnsi"/>
          <w:i/>
          <w:color w:val="000000"/>
        </w:rPr>
        <w:t>Sudden Oak Death Online Symposium</w:t>
      </w:r>
      <w:r w:rsidR="007B1790">
        <w:rPr>
          <w:rFonts w:asciiTheme="majorHAnsi" w:hAnsiTheme="majorHAnsi"/>
        </w:rPr>
        <w:t xml:space="preserve">, doi:10.1094/SOD-2003-TS, </w:t>
      </w:r>
      <w:r>
        <w:rPr>
          <w:rFonts w:asciiTheme="majorHAnsi" w:hAnsiTheme="majorHAnsi"/>
        </w:rPr>
        <w:t xml:space="preserve">apsnet.org/online/SOD.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t>Davidson</w:t>
      </w:r>
      <w:r>
        <w:rPr>
          <w:rFonts w:asciiTheme="majorHAnsi" w:hAnsiTheme="majorHAnsi"/>
        </w:rPr>
        <w:t>,</w:t>
      </w:r>
      <w:r>
        <w:rPr>
          <w:rFonts w:asciiTheme="majorHAnsi" w:hAnsiTheme="majorHAnsi"/>
          <w:color w:val="000000"/>
        </w:rPr>
        <w:t xml:space="preserve"> JM, Garbelotto</w:t>
      </w:r>
      <w:r>
        <w:rPr>
          <w:rFonts w:asciiTheme="majorHAnsi" w:hAnsiTheme="majorHAnsi"/>
        </w:rPr>
        <w:t>,</w:t>
      </w:r>
      <w:r>
        <w:rPr>
          <w:rFonts w:asciiTheme="majorHAnsi" w:hAnsiTheme="majorHAnsi"/>
          <w:color w:val="000000"/>
        </w:rPr>
        <w:t xml:space="preserve"> M, Koike</w:t>
      </w:r>
      <w:r>
        <w:rPr>
          <w:rFonts w:asciiTheme="majorHAnsi" w:hAnsiTheme="majorHAnsi"/>
        </w:rPr>
        <w:t>,</w:t>
      </w:r>
      <w:r>
        <w:rPr>
          <w:rFonts w:asciiTheme="majorHAnsi" w:hAnsiTheme="majorHAnsi"/>
          <w:color w:val="000000"/>
        </w:rPr>
        <w:t xml:space="preserve"> ST</w:t>
      </w:r>
      <w:r>
        <w:rPr>
          <w:rFonts w:asciiTheme="majorHAnsi" w:hAnsiTheme="majorHAnsi"/>
        </w:rPr>
        <w:t xml:space="preserve"> &amp;</w:t>
      </w:r>
      <w:r>
        <w:rPr>
          <w:rFonts w:asciiTheme="majorHAnsi" w:hAnsiTheme="majorHAnsi"/>
          <w:color w:val="000000"/>
        </w:rPr>
        <w:t xml:space="preserve"> Rizzo</w:t>
      </w:r>
      <w:r>
        <w:rPr>
          <w:rFonts w:asciiTheme="majorHAnsi" w:hAnsiTheme="majorHAnsi"/>
        </w:rPr>
        <w:t>,</w:t>
      </w:r>
      <w:r>
        <w:rPr>
          <w:rFonts w:asciiTheme="majorHAnsi" w:hAnsiTheme="majorHAnsi"/>
          <w:color w:val="000000"/>
        </w:rPr>
        <w:t xml:space="preserve"> DM 2002c</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 xml:space="preserve">First report of </w:t>
      </w:r>
      <w:r>
        <w:rPr>
          <w:rFonts w:asciiTheme="majorHAnsi" w:hAnsiTheme="majorHAnsi"/>
          <w:i/>
        </w:rPr>
        <w:t>Phytophthora ramorum</w:t>
      </w:r>
      <w:r>
        <w:rPr>
          <w:rFonts w:asciiTheme="majorHAnsi" w:hAnsiTheme="majorHAnsi"/>
          <w:color w:val="000000"/>
        </w:rPr>
        <w:t xml:space="preserve"> on Douglas fir in California</w:t>
      </w:r>
      <w:r>
        <w:rPr>
          <w:rFonts w:asciiTheme="majorHAnsi" w:hAnsiTheme="majorHAnsi"/>
        </w:rPr>
        <w:t xml:space="preserve">’, </w:t>
      </w:r>
      <w:r>
        <w:rPr>
          <w:rFonts w:asciiTheme="majorHAnsi" w:hAnsiTheme="majorHAnsi"/>
          <w:i/>
          <w:color w:val="000000"/>
        </w:rPr>
        <w:t>Plant Disease</w:t>
      </w:r>
      <w:r>
        <w:rPr>
          <w:rFonts w:asciiTheme="majorHAnsi" w:hAnsiTheme="majorHAnsi"/>
        </w:rPr>
        <w:t>,</w:t>
      </w:r>
      <w:r>
        <w:rPr>
          <w:rFonts w:asciiTheme="majorHAnsi" w:hAnsiTheme="majorHAnsi"/>
          <w:color w:val="000000"/>
        </w:rPr>
        <w:t xml:space="preserve"> 86: 1274.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Davidson, JM, Maloney, PE, Wickland, AC, Morse, AC, Jensen, CE &amp; Rizzo, DM 2002b, ‘Transmission of </w:t>
      </w:r>
      <w:r>
        <w:rPr>
          <w:rFonts w:asciiTheme="majorHAnsi" w:hAnsiTheme="majorHAnsi"/>
          <w:i/>
        </w:rPr>
        <w:t>Phytophthora ramorum</w:t>
      </w:r>
      <w:r>
        <w:rPr>
          <w:rFonts w:asciiTheme="majorHAnsi" w:hAnsiTheme="majorHAnsi"/>
        </w:rPr>
        <w:t xml:space="preserve"> via </w:t>
      </w:r>
      <w:r>
        <w:rPr>
          <w:rFonts w:asciiTheme="majorHAnsi" w:hAnsiTheme="majorHAnsi"/>
          <w:i/>
          <w:color w:val="000000"/>
        </w:rPr>
        <w:t>Umbellularia californica</w:t>
      </w:r>
      <w:r>
        <w:rPr>
          <w:rFonts w:asciiTheme="majorHAnsi" w:hAnsiTheme="majorHAnsi"/>
        </w:rPr>
        <w:t xml:space="preserve"> (California bay) leaves in California oak woodlands’ [Abstract], </w:t>
      </w:r>
      <w:r>
        <w:rPr>
          <w:rFonts w:asciiTheme="majorHAnsi" w:hAnsiTheme="majorHAnsi"/>
          <w:i/>
          <w:color w:val="000000"/>
        </w:rPr>
        <w:t>Proceedings of the Sudden Oak Death, A Science Symposium</w:t>
      </w:r>
      <w:r>
        <w:rPr>
          <w:rFonts w:asciiTheme="majorHAnsi" w:hAnsiTheme="majorHAnsi"/>
        </w:rPr>
        <w:t xml:space="preserve">, 9.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lastRenderedPageBreak/>
        <w:t>Davidson</w:t>
      </w:r>
      <w:r>
        <w:rPr>
          <w:rFonts w:asciiTheme="majorHAnsi" w:hAnsiTheme="majorHAnsi"/>
        </w:rPr>
        <w:t>,</w:t>
      </w:r>
      <w:r>
        <w:rPr>
          <w:rFonts w:asciiTheme="majorHAnsi" w:hAnsiTheme="majorHAnsi"/>
          <w:color w:val="000000"/>
        </w:rPr>
        <w:t xml:space="preserve"> JM, Patterson</w:t>
      </w:r>
      <w:r>
        <w:rPr>
          <w:rFonts w:asciiTheme="majorHAnsi" w:hAnsiTheme="majorHAnsi"/>
        </w:rPr>
        <w:t>,</w:t>
      </w:r>
      <w:r>
        <w:rPr>
          <w:rFonts w:asciiTheme="majorHAnsi" w:hAnsiTheme="majorHAnsi"/>
          <w:color w:val="000000"/>
        </w:rPr>
        <w:t xml:space="preserve"> HA</w:t>
      </w:r>
      <w:r>
        <w:rPr>
          <w:rFonts w:asciiTheme="majorHAnsi" w:hAnsiTheme="majorHAnsi"/>
        </w:rPr>
        <w:t xml:space="preserve"> &amp;</w:t>
      </w:r>
      <w:r>
        <w:rPr>
          <w:rFonts w:asciiTheme="majorHAnsi" w:hAnsiTheme="majorHAnsi"/>
          <w:color w:val="000000"/>
        </w:rPr>
        <w:t xml:space="preserve"> Rizzo</w:t>
      </w:r>
      <w:r>
        <w:rPr>
          <w:rFonts w:asciiTheme="majorHAnsi" w:hAnsiTheme="majorHAnsi"/>
        </w:rPr>
        <w:t>,</w:t>
      </w:r>
      <w:r>
        <w:rPr>
          <w:rFonts w:asciiTheme="majorHAnsi" w:hAnsiTheme="majorHAnsi"/>
          <w:color w:val="000000"/>
        </w:rPr>
        <w:t xml:space="preserve"> DM 2008</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 xml:space="preserve">Sources of inoculum for </w:t>
      </w:r>
      <w:r>
        <w:rPr>
          <w:rFonts w:asciiTheme="majorHAnsi" w:hAnsiTheme="majorHAnsi"/>
          <w:i/>
        </w:rPr>
        <w:t>Phytophthora ramorum</w:t>
      </w:r>
      <w:r>
        <w:rPr>
          <w:rFonts w:asciiTheme="majorHAnsi" w:hAnsiTheme="majorHAnsi"/>
          <w:color w:val="000000"/>
        </w:rPr>
        <w:t xml:space="preserve"> in a redwood forest</w:t>
      </w:r>
      <w:r>
        <w:rPr>
          <w:rFonts w:asciiTheme="majorHAnsi" w:hAnsiTheme="majorHAnsi"/>
        </w:rPr>
        <w:t xml:space="preserve">’, </w:t>
      </w:r>
      <w:r>
        <w:rPr>
          <w:rFonts w:asciiTheme="majorHAnsi" w:hAnsiTheme="majorHAnsi"/>
          <w:i/>
          <w:color w:val="000000"/>
        </w:rPr>
        <w:t>Phytopathology</w:t>
      </w:r>
      <w:r>
        <w:rPr>
          <w:rFonts w:asciiTheme="majorHAnsi" w:hAnsiTheme="majorHAnsi"/>
        </w:rPr>
        <w:t>,</w:t>
      </w:r>
      <w:r>
        <w:rPr>
          <w:rFonts w:asciiTheme="majorHAnsi" w:hAnsiTheme="majorHAnsi"/>
          <w:color w:val="000000"/>
        </w:rPr>
        <w:t xml:space="preserve"> 98: 860–866.</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Davidson, JM, Patterson, HA, Wickland, AC, Fichtner, EJ &amp; Rizzo, DM 2011, ‘Forest type influences transmission of </w:t>
      </w:r>
      <w:r>
        <w:rPr>
          <w:rFonts w:asciiTheme="majorHAnsi" w:hAnsiTheme="majorHAnsi"/>
          <w:i/>
        </w:rPr>
        <w:t>Phytophthora ramorum</w:t>
      </w:r>
      <w:r>
        <w:rPr>
          <w:rFonts w:asciiTheme="majorHAnsi" w:hAnsiTheme="majorHAnsi"/>
        </w:rPr>
        <w:t xml:space="preserve"> in California oak woodlands’, </w:t>
      </w:r>
      <w:r>
        <w:rPr>
          <w:rFonts w:asciiTheme="majorHAnsi" w:hAnsiTheme="majorHAnsi"/>
          <w:i/>
          <w:color w:val="000000"/>
        </w:rPr>
        <w:t>Phytopathology</w:t>
      </w:r>
      <w:r>
        <w:rPr>
          <w:rFonts w:asciiTheme="majorHAnsi" w:hAnsiTheme="majorHAnsi"/>
        </w:rPr>
        <w:t xml:space="preserve">, 101: 492–501.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Davidson, JM, Rizzo, DM, Garbelotto, M, Tjosvold, S &amp; Slaughter, GW 2002a, ‘</w:t>
      </w:r>
      <w:r>
        <w:rPr>
          <w:rFonts w:asciiTheme="majorHAnsi" w:hAnsiTheme="majorHAnsi"/>
          <w:i/>
        </w:rPr>
        <w:t>Phytophthora ramorum</w:t>
      </w:r>
      <w:r>
        <w:rPr>
          <w:rFonts w:asciiTheme="majorHAnsi" w:hAnsiTheme="majorHAnsi"/>
          <w:color w:val="000000"/>
        </w:rPr>
        <w:t xml:space="preserve"> </w:t>
      </w:r>
      <w:r>
        <w:rPr>
          <w:rFonts w:asciiTheme="majorHAnsi" w:hAnsiTheme="majorHAnsi"/>
        </w:rPr>
        <w:t xml:space="preserve">and sudden oak death in California: II Transmission and survival’, </w:t>
      </w:r>
      <w:r>
        <w:rPr>
          <w:rFonts w:asciiTheme="majorHAnsi" w:hAnsiTheme="majorHAnsi"/>
          <w:i/>
          <w:color w:val="000000"/>
        </w:rPr>
        <w:t>Fifth Symposium on California Oak Woodlands</w:t>
      </w:r>
      <w:r>
        <w:rPr>
          <w:rFonts w:asciiTheme="majorHAnsi" w:hAnsiTheme="majorHAnsi"/>
          <w:i/>
        </w:rPr>
        <w:t>,</w:t>
      </w:r>
      <w:r>
        <w:rPr>
          <w:rFonts w:asciiTheme="majorHAnsi" w:hAnsiTheme="majorHAnsi"/>
        </w:rPr>
        <w:t xml:space="preserve"> General Technical Report PSW-GTR-184, 741–749.</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Davidson, JM, Rizzo, DM, Garbelotto, M, Tjosvold, S, Slaughter, GW &amp; Wickland, C 2003a, ‘Evidence for aerial transmission of </w:t>
      </w:r>
      <w:r>
        <w:rPr>
          <w:rFonts w:asciiTheme="majorHAnsi" w:hAnsiTheme="majorHAnsi"/>
          <w:i/>
        </w:rPr>
        <w:t>Phytophthora ramorum</w:t>
      </w:r>
      <w:r>
        <w:rPr>
          <w:rFonts w:asciiTheme="majorHAnsi" w:hAnsiTheme="majorHAnsi"/>
        </w:rPr>
        <w:t xml:space="preserve"> among </w:t>
      </w:r>
      <w:r>
        <w:rPr>
          <w:rFonts w:asciiTheme="majorHAnsi" w:hAnsiTheme="majorHAnsi"/>
          <w:i/>
          <w:color w:val="000000"/>
        </w:rPr>
        <w:t>Quercus</w:t>
      </w:r>
      <w:r>
        <w:rPr>
          <w:rFonts w:asciiTheme="majorHAnsi" w:hAnsiTheme="majorHAnsi"/>
        </w:rPr>
        <w:t xml:space="preserve"> and </w:t>
      </w:r>
      <w:r>
        <w:rPr>
          <w:rFonts w:asciiTheme="majorHAnsi" w:hAnsiTheme="majorHAnsi"/>
          <w:i/>
          <w:color w:val="000000"/>
        </w:rPr>
        <w:t>Lithocarpus</w:t>
      </w:r>
      <w:r>
        <w:rPr>
          <w:rFonts w:asciiTheme="majorHAnsi" w:hAnsiTheme="majorHAnsi"/>
        </w:rPr>
        <w:t xml:space="preserve"> in California woodlands’, In: '</w:t>
      </w:r>
      <w:r>
        <w:rPr>
          <w:rFonts w:asciiTheme="majorHAnsi" w:hAnsiTheme="majorHAnsi"/>
          <w:i/>
          <w:color w:val="000000"/>
        </w:rPr>
        <w:t>Phytophthora</w:t>
      </w:r>
      <w:r>
        <w:rPr>
          <w:rFonts w:asciiTheme="majorHAnsi" w:hAnsiTheme="majorHAnsi"/>
        </w:rPr>
        <w:t xml:space="preserve"> in Forests and Natural Ecosystems'. 2nd International IUFRO Meeting on </w:t>
      </w:r>
      <w:r>
        <w:rPr>
          <w:rFonts w:asciiTheme="majorHAnsi" w:hAnsiTheme="majorHAnsi"/>
          <w:i/>
          <w:color w:val="000000"/>
        </w:rPr>
        <w:t>Phytophthora</w:t>
      </w:r>
      <w:r>
        <w:rPr>
          <w:rFonts w:asciiTheme="majorHAnsi" w:hAnsiTheme="majorHAnsi"/>
        </w:rPr>
        <w:t xml:space="preserve"> in Forests and Natural Ecosystems, Albany, Western Australia. McComb, JA, Hardy, GEJ &amp;Tommerup, IC (eds.), Murdoch University Print, Perth, Australia, 108–114.</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Davidson, JM, Werres, S, Garbelotto, M, Hansen, EM &amp; Rizzo, DM 2003b, ‘Sudden oak death and associated diseases caused by </w:t>
      </w:r>
      <w:r>
        <w:rPr>
          <w:rFonts w:asciiTheme="majorHAnsi" w:hAnsiTheme="majorHAnsi"/>
          <w:i/>
        </w:rPr>
        <w:t>Phytophthora ramorum</w:t>
      </w:r>
      <w:r>
        <w:rPr>
          <w:rFonts w:asciiTheme="majorHAnsi" w:hAnsiTheme="majorHAnsi"/>
        </w:rPr>
        <w:t xml:space="preserve">’, </w:t>
      </w:r>
      <w:r>
        <w:rPr>
          <w:rFonts w:asciiTheme="majorHAnsi" w:hAnsiTheme="majorHAnsi"/>
          <w:i/>
          <w:color w:val="000000"/>
        </w:rPr>
        <w:t>Plant Health Progress</w:t>
      </w:r>
      <w:r>
        <w:rPr>
          <w:rFonts w:asciiTheme="majorHAnsi" w:hAnsiTheme="majorHAnsi"/>
        </w:rPr>
        <w:t>, doi:10.1094/PHP-2003-0707-01-DG.</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Davidson, JM, Wickland, AC, Patterson, HA, Falk, KR &amp; Rizzo, DM 2005, ‘Transmission of </w:t>
      </w:r>
      <w:r>
        <w:rPr>
          <w:rFonts w:asciiTheme="majorHAnsi" w:hAnsiTheme="majorHAnsi"/>
          <w:i/>
        </w:rPr>
        <w:t>Phytophthora ramorum</w:t>
      </w:r>
      <w:r>
        <w:rPr>
          <w:rFonts w:asciiTheme="majorHAnsi" w:hAnsiTheme="majorHAnsi"/>
        </w:rPr>
        <w:t xml:space="preserve"> in mixed-evergreen forest in California’, </w:t>
      </w:r>
      <w:r>
        <w:rPr>
          <w:rFonts w:asciiTheme="majorHAnsi" w:hAnsiTheme="majorHAnsi"/>
          <w:i/>
          <w:color w:val="000000"/>
        </w:rPr>
        <w:t>Phytopathology</w:t>
      </w:r>
      <w:r>
        <w:rPr>
          <w:rFonts w:asciiTheme="majorHAnsi" w:hAnsiTheme="majorHAnsi"/>
        </w:rPr>
        <w:t>, 95: 587–596.</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D</w:t>
      </w:r>
      <w:r>
        <w:rPr>
          <w:rFonts w:asciiTheme="majorHAnsi" w:hAnsiTheme="majorHAnsi"/>
          <w:color w:val="000000"/>
        </w:rPr>
        <w:t>avis</w:t>
      </w:r>
      <w:r>
        <w:rPr>
          <w:rFonts w:asciiTheme="majorHAnsi" w:hAnsiTheme="majorHAnsi"/>
        </w:rPr>
        <w:t>,</w:t>
      </w:r>
      <w:r>
        <w:rPr>
          <w:rFonts w:asciiTheme="majorHAnsi" w:hAnsiTheme="majorHAnsi"/>
          <w:color w:val="000000"/>
        </w:rPr>
        <w:t xml:space="preserve"> FW, Borchert</w:t>
      </w:r>
      <w:r>
        <w:rPr>
          <w:rFonts w:asciiTheme="majorHAnsi" w:hAnsiTheme="majorHAnsi"/>
        </w:rPr>
        <w:t>,</w:t>
      </w:r>
      <w:r>
        <w:rPr>
          <w:rFonts w:asciiTheme="majorHAnsi" w:hAnsiTheme="majorHAnsi"/>
          <w:color w:val="000000"/>
        </w:rPr>
        <w:t xml:space="preserve"> M, Meentemeyer</w:t>
      </w:r>
      <w:r>
        <w:rPr>
          <w:rFonts w:asciiTheme="majorHAnsi" w:hAnsiTheme="majorHAnsi"/>
        </w:rPr>
        <w:t>,</w:t>
      </w:r>
      <w:r>
        <w:rPr>
          <w:rFonts w:asciiTheme="majorHAnsi" w:hAnsiTheme="majorHAnsi"/>
          <w:color w:val="000000"/>
        </w:rPr>
        <w:t xml:space="preserve"> RK, Flint</w:t>
      </w:r>
      <w:r>
        <w:rPr>
          <w:rFonts w:asciiTheme="majorHAnsi" w:hAnsiTheme="majorHAnsi"/>
        </w:rPr>
        <w:t>,</w:t>
      </w:r>
      <w:r>
        <w:rPr>
          <w:rFonts w:asciiTheme="majorHAnsi" w:hAnsiTheme="majorHAnsi"/>
          <w:color w:val="000000"/>
        </w:rPr>
        <w:t xml:space="preserve"> A</w:t>
      </w:r>
      <w:r>
        <w:rPr>
          <w:rFonts w:asciiTheme="majorHAnsi" w:hAnsiTheme="majorHAnsi"/>
        </w:rPr>
        <w:t xml:space="preserve"> &amp;</w:t>
      </w:r>
      <w:r>
        <w:rPr>
          <w:rFonts w:asciiTheme="majorHAnsi" w:hAnsiTheme="majorHAnsi"/>
          <w:color w:val="000000"/>
        </w:rPr>
        <w:t xml:space="preserve"> Rizzo</w:t>
      </w:r>
      <w:r>
        <w:rPr>
          <w:rFonts w:asciiTheme="majorHAnsi" w:hAnsiTheme="majorHAnsi"/>
        </w:rPr>
        <w:t>,</w:t>
      </w:r>
      <w:r>
        <w:rPr>
          <w:rFonts w:asciiTheme="majorHAnsi" w:hAnsiTheme="majorHAnsi"/>
          <w:color w:val="000000"/>
        </w:rPr>
        <w:t xml:space="preserve"> DM 2010</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Pre-impact forest composition and ongoing tree mortality associated with sudden oak death in the Big Sur region; California</w:t>
      </w:r>
      <w:r>
        <w:rPr>
          <w:rFonts w:asciiTheme="majorHAnsi" w:hAnsiTheme="majorHAnsi"/>
        </w:rPr>
        <w:t xml:space="preserve">’, </w:t>
      </w:r>
      <w:r>
        <w:rPr>
          <w:rFonts w:asciiTheme="majorHAnsi" w:hAnsiTheme="majorHAnsi"/>
          <w:i/>
          <w:color w:val="000000"/>
        </w:rPr>
        <w:t>Forest Ecology and Management</w:t>
      </w:r>
      <w:r>
        <w:rPr>
          <w:rFonts w:asciiTheme="majorHAnsi" w:hAnsiTheme="majorHAnsi"/>
        </w:rPr>
        <w:t>,</w:t>
      </w:r>
      <w:r>
        <w:rPr>
          <w:rFonts w:asciiTheme="majorHAnsi" w:hAnsiTheme="majorHAnsi"/>
          <w:color w:val="000000"/>
        </w:rPr>
        <w:t xml:space="preserve"> 259: 2342–2354.</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t>de Hoop</w:t>
      </w:r>
      <w:r>
        <w:rPr>
          <w:rFonts w:asciiTheme="majorHAnsi" w:hAnsiTheme="majorHAnsi"/>
        </w:rPr>
        <w:t>,</w:t>
      </w:r>
      <w:r>
        <w:rPr>
          <w:rFonts w:asciiTheme="majorHAnsi" w:hAnsiTheme="majorHAnsi"/>
          <w:color w:val="000000"/>
        </w:rPr>
        <w:t xml:space="preserve"> B, de Gruyter</w:t>
      </w:r>
      <w:r>
        <w:rPr>
          <w:rFonts w:asciiTheme="majorHAnsi" w:hAnsiTheme="majorHAnsi"/>
        </w:rPr>
        <w:t>,</w:t>
      </w:r>
      <w:r>
        <w:rPr>
          <w:rFonts w:asciiTheme="majorHAnsi" w:hAnsiTheme="majorHAnsi"/>
          <w:color w:val="000000"/>
        </w:rPr>
        <w:t xml:space="preserve"> H, de Haas</w:t>
      </w:r>
      <w:r>
        <w:rPr>
          <w:rFonts w:asciiTheme="majorHAnsi" w:hAnsiTheme="majorHAnsi"/>
        </w:rPr>
        <w:t>,</w:t>
      </w:r>
      <w:r>
        <w:rPr>
          <w:rFonts w:asciiTheme="majorHAnsi" w:hAnsiTheme="majorHAnsi"/>
          <w:color w:val="000000"/>
        </w:rPr>
        <w:t xml:space="preserve"> A, Horn</w:t>
      </w:r>
      <w:r>
        <w:rPr>
          <w:rFonts w:asciiTheme="majorHAnsi" w:hAnsiTheme="majorHAnsi"/>
        </w:rPr>
        <w:t>,</w:t>
      </w:r>
      <w:r>
        <w:rPr>
          <w:rFonts w:asciiTheme="majorHAnsi" w:hAnsiTheme="majorHAnsi"/>
          <w:color w:val="000000"/>
        </w:rPr>
        <w:t xml:space="preserve"> N, Wingelaar</w:t>
      </w:r>
      <w:r>
        <w:rPr>
          <w:rFonts w:asciiTheme="majorHAnsi" w:hAnsiTheme="majorHAnsi"/>
        </w:rPr>
        <w:t>,</w:t>
      </w:r>
      <w:r>
        <w:rPr>
          <w:rFonts w:asciiTheme="majorHAnsi" w:hAnsiTheme="majorHAnsi"/>
          <w:color w:val="000000"/>
        </w:rPr>
        <w:t xml:space="preserve"> J, Steeghs</w:t>
      </w:r>
      <w:r>
        <w:rPr>
          <w:rFonts w:asciiTheme="majorHAnsi" w:hAnsiTheme="majorHAnsi"/>
        </w:rPr>
        <w:t>,</w:t>
      </w:r>
      <w:r>
        <w:rPr>
          <w:rFonts w:asciiTheme="majorHAnsi" w:hAnsiTheme="majorHAnsi"/>
          <w:color w:val="000000"/>
        </w:rPr>
        <w:t xml:space="preserve"> M 2002</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Report of a</w:t>
      </w:r>
      <w:r>
        <w:rPr>
          <w:rFonts w:asciiTheme="majorHAnsi" w:hAnsiTheme="majorHAnsi"/>
        </w:rPr>
        <w:t xml:space="preserve"> </w:t>
      </w:r>
      <w:r>
        <w:rPr>
          <w:rFonts w:asciiTheme="majorHAnsi" w:hAnsiTheme="majorHAnsi"/>
          <w:color w:val="000000"/>
        </w:rPr>
        <w:t xml:space="preserve">PRA for </w:t>
      </w:r>
      <w:r>
        <w:rPr>
          <w:rFonts w:asciiTheme="majorHAnsi" w:hAnsiTheme="majorHAnsi"/>
          <w:i/>
          <w:color w:val="000000"/>
        </w:rPr>
        <w:t>Phytophthora ramorum</w:t>
      </w:r>
      <w:r>
        <w:rPr>
          <w:rFonts w:asciiTheme="majorHAnsi" w:hAnsiTheme="majorHAnsi"/>
        </w:rPr>
        <w:t xml:space="preserve">’, </w:t>
      </w:r>
      <w:r>
        <w:rPr>
          <w:rFonts w:asciiTheme="majorHAnsi" w:hAnsiTheme="majorHAnsi"/>
          <w:color w:val="000000"/>
        </w:rPr>
        <w:t>19pp.</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t>De Merlier</w:t>
      </w:r>
      <w:r>
        <w:rPr>
          <w:rFonts w:asciiTheme="majorHAnsi" w:hAnsiTheme="majorHAnsi"/>
        </w:rPr>
        <w:t>,</w:t>
      </w:r>
      <w:r>
        <w:rPr>
          <w:rFonts w:asciiTheme="majorHAnsi" w:hAnsiTheme="majorHAnsi"/>
          <w:color w:val="000000"/>
        </w:rPr>
        <w:t xml:space="preserve"> D, Chandelier</w:t>
      </w:r>
      <w:r>
        <w:rPr>
          <w:rFonts w:asciiTheme="majorHAnsi" w:hAnsiTheme="majorHAnsi"/>
        </w:rPr>
        <w:t>,</w:t>
      </w:r>
      <w:r>
        <w:rPr>
          <w:rFonts w:asciiTheme="majorHAnsi" w:hAnsiTheme="majorHAnsi"/>
          <w:color w:val="000000"/>
        </w:rPr>
        <w:t xml:space="preserve"> A</w:t>
      </w:r>
      <w:r>
        <w:rPr>
          <w:rFonts w:asciiTheme="majorHAnsi" w:hAnsiTheme="majorHAnsi"/>
        </w:rPr>
        <w:t xml:space="preserve"> &amp;</w:t>
      </w:r>
      <w:r>
        <w:rPr>
          <w:rFonts w:asciiTheme="majorHAnsi" w:hAnsiTheme="majorHAnsi"/>
          <w:color w:val="000000"/>
        </w:rPr>
        <w:t xml:space="preserve"> Cavelier</w:t>
      </w:r>
      <w:r>
        <w:rPr>
          <w:rFonts w:asciiTheme="majorHAnsi" w:hAnsiTheme="majorHAnsi"/>
        </w:rPr>
        <w:t>,</w:t>
      </w:r>
      <w:r>
        <w:rPr>
          <w:rFonts w:asciiTheme="majorHAnsi" w:hAnsiTheme="majorHAnsi"/>
          <w:color w:val="000000"/>
        </w:rPr>
        <w:t xml:space="preserve"> M 2003</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 xml:space="preserve">First Report of </w:t>
      </w:r>
      <w:r>
        <w:rPr>
          <w:rFonts w:asciiTheme="majorHAnsi" w:hAnsiTheme="majorHAnsi"/>
          <w:i/>
        </w:rPr>
        <w:t>Phytophthora ramorum</w:t>
      </w:r>
      <w:r>
        <w:rPr>
          <w:rFonts w:asciiTheme="majorHAnsi" w:hAnsiTheme="majorHAnsi"/>
          <w:color w:val="000000"/>
        </w:rPr>
        <w:t xml:space="preserve"> on </w:t>
      </w:r>
      <w:r>
        <w:rPr>
          <w:rFonts w:asciiTheme="majorHAnsi" w:hAnsiTheme="majorHAnsi"/>
          <w:i/>
          <w:color w:val="000000"/>
        </w:rPr>
        <w:t>Viburnum bodnantense</w:t>
      </w:r>
      <w:r>
        <w:rPr>
          <w:rFonts w:asciiTheme="majorHAnsi" w:hAnsiTheme="majorHAnsi"/>
          <w:color w:val="000000"/>
        </w:rPr>
        <w:t xml:space="preserve"> in Belgium</w:t>
      </w:r>
      <w:r>
        <w:rPr>
          <w:rFonts w:asciiTheme="majorHAnsi" w:hAnsiTheme="majorHAnsi"/>
        </w:rPr>
        <w:t xml:space="preserve">’, </w:t>
      </w:r>
      <w:r>
        <w:rPr>
          <w:rFonts w:asciiTheme="majorHAnsi" w:hAnsiTheme="majorHAnsi"/>
          <w:i/>
        </w:rPr>
        <w:t>Plant Disease</w:t>
      </w:r>
      <w:r>
        <w:rPr>
          <w:rFonts w:asciiTheme="majorHAnsi" w:hAnsiTheme="majorHAnsi"/>
        </w:rPr>
        <w:t xml:space="preserve">, </w:t>
      </w:r>
      <w:r>
        <w:rPr>
          <w:rFonts w:asciiTheme="majorHAnsi" w:hAnsiTheme="majorHAnsi"/>
          <w:color w:val="000000"/>
        </w:rPr>
        <w:t>87: 203.</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DEFRA </w:t>
      </w:r>
      <w:r>
        <w:rPr>
          <w:rFonts w:asciiTheme="majorHAnsi" w:hAnsiTheme="majorHAnsi"/>
          <w:color w:val="000000"/>
        </w:rPr>
        <w:t xml:space="preserve">(Department for Environment, Forestry and Rural Affairs) </w:t>
      </w:r>
      <w:r>
        <w:rPr>
          <w:rFonts w:asciiTheme="majorHAnsi" w:hAnsiTheme="majorHAnsi"/>
        </w:rPr>
        <w:t>2004</w:t>
      </w:r>
      <w:r>
        <w:rPr>
          <w:rFonts w:asciiTheme="majorHAnsi" w:hAnsiTheme="majorHAnsi"/>
          <w:color w:val="000000"/>
        </w:rPr>
        <w:t>,</w:t>
      </w:r>
      <w:r>
        <w:rPr>
          <w:rFonts w:asciiTheme="majorHAnsi" w:hAnsiTheme="majorHAnsi"/>
        </w:rPr>
        <w:t xml:space="preserve"> </w:t>
      </w:r>
      <w:r>
        <w:rPr>
          <w:rFonts w:asciiTheme="majorHAnsi" w:hAnsiTheme="majorHAnsi"/>
          <w:color w:val="000000"/>
        </w:rPr>
        <w:t>‘</w:t>
      </w:r>
      <w:r>
        <w:rPr>
          <w:rFonts w:asciiTheme="majorHAnsi" w:hAnsiTheme="majorHAnsi"/>
          <w:i/>
        </w:rPr>
        <w:t>Phytophthora ramorum</w:t>
      </w:r>
      <w:r>
        <w:rPr>
          <w:rFonts w:asciiTheme="majorHAnsi" w:hAnsiTheme="majorHAnsi"/>
        </w:rPr>
        <w:t xml:space="preserve"> epidemiology: sporulation potential, dispersal, infection, latency and survival</w:t>
      </w:r>
      <w:r>
        <w:rPr>
          <w:rFonts w:asciiTheme="majorHAnsi" w:hAnsiTheme="majorHAnsi"/>
          <w:color w:val="000000"/>
        </w:rPr>
        <w:t xml:space="preserve">’, </w:t>
      </w:r>
      <w:r>
        <w:rPr>
          <w:rFonts w:asciiTheme="majorHAnsi" w:hAnsiTheme="majorHAnsi"/>
        </w:rPr>
        <w:t>Final Project Report PH0194, acc</w:t>
      </w:r>
      <w:r w:rsidR="007B1790">
        <w:rPr>
          <w:rFonts w:asciiTheme="majorHAnsi" w:hAnsiTheme="majorHAnsi"/>
        </w:rPr>
        <w:t xml:space="preserve">essed December 2004, </w:t>
      </w:r>
      <w:r>
        <w:rPr>
          <w:rFonts w:asciiTheme="majorHAnsi" w:hAnsiTheme="majorHAnsi"/>
        </w:rPr>
        <w:t>defra.gov.uk/science/project_data/DocumentLibrary/PH0194/ PH0194_2004_FRP.pdf.</w:t>
      </w:r>
    </w:p>
    <w:p w:rsidR="00C74066" w:rsidRDefault="00F10705">
      <w:pPr>
        <w:autoSpaceDE w:val="0"/>
        <w:autoSpaceDN w:val="0"/>
        <w:adjustRightInd w:val="0"/>
        <w:spacing w:before="120" w:after="120" w:line="271" w:lineRule="auto"/>
        <w:rPr>
          <w:rFonts w:asciiTheme="majorHAnsi" w:hAnsiTheme="majorHAnsi"/>
          <w:color w:val="000000"/>
        </w:rPr>
      </w:pPr>
      <w:r>
        <w:rPr>
          <w:rFonts w:asciiTheme="majorHAnsi" w:hAnsiTheme="majorHAnsi"/>
          <w:color w:val="000000"/>
        </w:rPr>
        <w:t>DEFRA (Department for Environment, Forestry and Rural Affairs) 2008, ‘</w:t>
      </w:r>
      <w:r>
        <w:rPr>
          <w:rFonts w:asciiTheme="majorHAnsi" w:hAnsiTheme="majorHAnsi"/>
          <w:i/>
          <w:color w:val="000000"/>
        </w:rPr>
        <w:t>Phytophthora ramorum</w:t>
      </w:r>
      <w:r>
        <w:rPr>
          <w:rFonts w:asciiTheme="majorHAnsi" w:hAnsiTheme="majorHAnsi"/>
          <w:color w:val="000000"/>
        </w:rPr>
        <w:t>. A practical guide for established parks and gardens, amenity landscape and woodland gardens’, DEFRA, London UK</w:t>
      </w:r>
      <w:r>
        <w:rPr>
          <w:rFonts w:asciiTheme="majorHAnsi" w:hAnsiTheme="majorHAnsi"/>
        </w:rPr>
        <w:t>, accessed May 2011</w:t>
      </w:r>
      <w:r>
        <w:rPr>
          <w:rFonts w:asciiTheme="majorHAnsi" w:hAnsiTheme="majorHAnsi"/>
          <w:color w:val="000000"/>
        </w:rPr>
        <w:t xml:space="preserve">, </w:t>
      </w:r>
      <w:r>
        <w:rPr>
          <w:rFonts w:asciiTheme="majorHAnsi" w:hAnsiTheme="majorHAnsi"/>
        </w:rPr>
        <w:t>fera.defra.gov.uk/plants/publications/documents/factsheets/pramparks.pdf</w:t>
      </w:r>
      <w:r>
        <w:rPr>
          <w:rFonts w:asciiTheme="majorHAnsi" w:hAnsiTheme="majorHAnsi"/>
          <w:color w:val="000000"/>
        </w:rPr>
        <w:t>.</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t>Dehnen-Schmutz</w:t>
      </w:r>
      <w:r>
        <w:rPr>
          <w:rFonts w:asciiTheme="majorHAnsi" w:hAnsiTheme="majorHAnsi"/>
        </w:rPr>
        <w:t>,</w:t>
      </w:r>
      <w:r>
        <w:rPr>
          <w:rFonts w:asciiTheme="majorHAnsi" w:hAnsiTheme="majorHAnsi"/>
          <w:color w:val="000000"/>
        </w:rPr>
        <w:t xml:space="preserve"> K, Holdenrieder</w:t>
      </w:r>
      <w:r>
        <w:rPr>
          <w:rFonts w:asciiTheme="majorHAnsi" w:hAnsiTheme="majorHAnsi"/>
        </w:rPr>
        <w:t>,</w:t>
      </w:r>
      <w:r>
        <w:rPr>
          <w:rFonts w:asciiTheme="majorHAnsi" w:hAnsiTheme="majorHAnsi"/>
          <w:color w:val="000000"/>
        </w:rPr>
        <w:t xml:space="preserve"> O, Jeger</w:t>
      </w:r>
      <w:r>
        <w:rPr>
          <w:rFonts w:asciiTheme="majorHAnsi" w:hAnsiTheme="majorHAnsi"/>
        </w:rPr>
        <w:t>,</w:t>
      </w:r>
      <w:r>
        <w:rPr>
          <w:rFonts w:asciiTheme="majorHAnsi" w:hAnsiTheme="majorHAnsi"/>
          <w:color w:val="000000"/>
        </w:rPr>
        <w:t xml:space="preserve"> MJ</w:t>
      </w:r>
      <w:r>
        <w:rPr>
          <w:rFonts w:asciiTheme="majorHAnsi" w:hAnsiTheme="majorHAnsi"/>
        </w:rPr>
        <w:t xml:space="preserve"> &amp;</w:t>
      </w:r>
      <w:r>
        <w:rPr>
          <w:rFonts w:asciiTheme="majorHAnsi" w:hAnsiTheme="majorHAnsi"/>
          <w:color w:val="000000"/>
        </w:rPr>
        <w:t xml:space="preserve"> Pautasso</w:t>
      </w:r>
      <w:r>
        <w:rPr>
          <w:rFonts w:asciiTheme="majorHAnsi" w:hAnsiTheme="majorHAnsi"/>
        </w:rPr>
        <w:t>,</w:t>
      </w:r>
      <w:r>
        <w:rPr>
          <w:rFonts w:asciiTheme="majorHAnsi" w:hAnsiTheme="majorHAnsi"/>
          <w:color w:val="000000"/>
        </w:rPr>
        <w:t xml:space="preserve"> M 2010</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Structural change in the international horticultural industry: some implications for plant health</w:t>
      </w:r>
      <w:r>
        <w:rPr>
          <w:rFonts w:asciiTheme="majorHAnsi" w:hAnsiTheme="majorHAnsi"/>
        </w:rPr>
        <w:t xml:space="preserve">’, </w:t>
      </w:r>
      <w:r>
        <w:rPr>
          <w:rFonts w:asciiTheme="majorHAnsi" w:hAnsiTheme="majorHAnsi"/>
          <w:i/>
          <w:color w:val="000000"/>
        </w:rPr>
        <w:t>Scientia Horticulturae</w:t>
      </w:r>
      <w:r>
        <w:rPr>
          <w:rFonts w:asciiTheme="majorHAnsi" w:hAnsiTheme="majorHAnsi"/>
        </w:rPr>
        <w:t>,</w:t>
      </w:r>
      <w:r>
        <w:rPr>
          <w:rFonts w:asciiTheme="majorHAnsi" w:hAnsiTheme="majorHAnsi"/>
          <w:color w:val="000000"/>
        </w:rPr>
        <w:t xml:space="preserve"> 125: 1–15.</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Denman, S, Kirk, S, Whybrow, A, Orton, E &amp; Webber, JF 2006, ‘</w:t>
      </w:r>
      <w:r>
        <w:rPr>
          <w:rFonts w:asciiTheme="majorHAnsi" w:hAnsiTheme="majorHAnsi"/>
          <w:i/>
        </w:rPr>
        <w:t>Phytophthora kernoviae</w:t>
      </w:r>
      <w:r>
        <w:rPr>
          <w:rFonts w:asciiTheme="majorHAnsi" w:hAnsiTheme="majorHAnsi"/>
        </w:rPr>
        <w:t xml:space="preserve"> and </w:t>
      </w:r>
      <w:r>
        <w:rPr>
          <w:rFonts w:asciiTheme="majorHAnsi" w:hAnsiTheme="majorHAnsi"/>
          <w:i/>
        </w:rPr>
        <w:t>P. ramorum</w:t>
      </w:r>
      <w:r>
        <w:rPr>
          <w:rFonts w:asciiTheme="majorHAnsi" w:hAnsiTheme="majorHAnsi"/>
        </w:rPr>
        <w:t>: host susceptibility and sporulation potential on foliage of susceptible trees’,</w:t>
      </w:r>
      <w:r>
        <w:rPr>
          <w:rFonts w:asciiTheme="majorHAnsi" w:hAnsiTheme="majorHAnsi"/>
          <w:i/>
        </w:rPr>
        <w:t xml:space="preserve"> EPPO Bulletin</w:t>
      </w:r>
      <w:r>
        <w:rPr>
          <w:rFonts w:asciiTheme="majorHAnsi" w:hAnsiTheme="majorHAnsi"/>
        </w:rPr>
        <w:t>, 36: 373–376.</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Denman, S, Kirk, SA, Brasier, CM, Barton, VC, Hughes, KJD &amp; Webber, JF 2005, ‘</w:t>
      </w:r>
      <w:r>
        <w:rPr>
          <w:rFonts w:asciiTheme="majorHAnsi" w:hAnsiTheme="majorHAnsi"/>
          <w:i/>
        </w:rPr>
        <w:t>Phytophthora ramorum</w:t>
      </w:r>
      <w:r>
        <w:rPr>
          <w:rFonts w:asciiTheme="majorHAnsi" w:hAnsiTheme="majorHAnsi"/>
        </w:rPr>
        <w:t xml:space="preserve"> on </w:t>
      </w:r>
      <w:r>
        <w:rPr>
          <w:rFonts w:asciiTheme="majorHAnsi" w:hAnsiTheme="majorHAnsi"/>
          <w:i/>
        </w:rPr>
        <w:t>Quercus ilex</w:t>
      </w:r>
      <w:r>
        <w:rPr>
          <w:rFonts w:asciiTheme="majorHAnsi" w:hAnsiTheme="majorHAnsi"/>
        </w:rPr>
        <w:t xml:space="preserve"> in the United Kingdom’, </w:t>
      </w:r>
      <w:r>
        <w:rPr>
          <w:rFonts w:asciiTheme="majorHAnsi" w:hAnsiTheme="majorHAnsi"/>
          <w:i/>
        </w:rPr>
        <w:t>Plant Disease</w:t>
      </w:r>
      <w:r>
        <w:rPr>
          <w:rFonts w:asciiTheme="majorHAnsi" w:hAnsiTheme="majorHAnsi"/>
        </w:rPr>
        <w:t>, 89: 241.</w:t>
      </w:r>
    </w:p>
    <w:p w:rsidR="00C74066" w:rsidRDefault="00F10705">
      <w:pPr>
        <w:pStyle w:val="NormalWeb"/>
        <w:shd w:val="clear" w:color="auto" w:fill="FFFFFF"/>
        <w:spacing w:before="120" w:after="120" w:line="271" w:lineRule="auto"/>
        <w:jc w:val="left"/>
        <w:rPr>
          <w:rFonts w:asciiTheme="majorHAnsi" w:hAnsiTheme="majorHAnsi"/>
          <w:color w:val="000000"/>
          <w:sz w:val="22"/>
          <w:szCs w:val="22"/>
        </w:rPr>
      </w:pPr>
      <w:r>
        <w:rPr>
          <w:rFonts w:asciiTheme="majorHAnsi" w:hAnsiTheme="majorHAnsi"/>
          <w:color w:val="000000"/>
          <w:sz w:val="22"/>
          <w:szCs w:val="22"/>
        </w:rPr>
        <w:lastRenderedPageBreak/>
        <w:t>Denman</w:t>
      </w:r>
      <w:r>
        <w:rPr>
          <w:rFonts w:asciiTheme="majorHAnsi" w:hAnsiTheme="majorHAnsi"/>
          <w:sz w:val="22"/>
          <w:szCs w:val="22"/>
        </w:rPr>
        <w:t>,</w:t>
      </w:r>
      <w:r>
        <w:rPr>
          <w:rFonts w:asciiTheme="majorHAnsi" w:hAnsiTheme="majorHAnsi"/>
          <w:color w:val="000000"/>
          <w:sz w:val="22"/>
          <w:szCs w:val="22"/>
        </w:rPr>
        <w:t xml:space="preserve"> S, Kirk</w:t>
      </w:r>
      <w:r>
        <w:rPr>
          <w:rFonts w:asciiTheme="majorHAnsi" w:hAnsiTheme="majorHAnsi"/>
          <w:sz w:val="22"/>
          <w:szCs w:val="22"/>
        </w:rPr>
        <w:t>,</w:t>
      </w:r>
      <w:r>
        <w:rPr>
          <w:rFonts w:asciiTheme="majorHAnsi" w:hAnsiTheme="majorHAnsi"/>
          <w:color w:val="000000"/>
          <w:sz w:val="22"/>
          <w:szCs w:val="22"/>
        </w:rPr>
        <w:t xml:space="preserve"> SA, Moralejo</w:t>
      </w:r>
      <w:r>
        <w:rPr>
          <w:rFonts w:asciiTheme="majorHAnsi" w:hAnsiTheme="majorHAnsi"/>
          <w:sz w:val="22"/>
          <w:szCs w:val="22"/>
        </w:rPr>
        <w:t>,</w:t>
      </w:r>
      <w:r>
        <w:rPr>
          <w:rFonts w:asciiTheme="majorHAnsi" w:hAnsiTheme="majorHAnsi"/>
          <w:color w:val="000000"/>
          <w:sz w:val="22"/>
          <w:szCs w:val="22"/>
        </w:rPr>
        <w:t xml:space="preserve"> E</w:t>
      </w:r>
      <w:r>
        <w:rPr>
          <w:rFonts w:asciiTheme="majorHAnsi" w:hAnsiTheme="majorHAnsi"/>
          <w:sz w:val="22"/>
          <w:szCs w:val="22"/>
        </w:rPr>
        <w:t xml:space="preserve"> &amp;</w:t>
      </w:r>
      <w:r>
        <w:rPr>
          <w:rFonts w:asciiTheme="majorHAnsi" w:hAnsiTheme="majorHAnsi"/>
          <w:color w:val="000000"/>
          <w:sz w:val="22"/>
          <w:szCs w:val="22"/>
        </w:rPr>
        <w:t xml:space="preserve"> Webber</w:t>
      </w:r>
      <w:r>
        <w:rPr>
          <w:rFonts w:asciiTheme="majorHAnsi" w:hAnsiTheme="majorHAnsi"/>
          <w:sz w:val="22"/>
          <w:szCs w:val="22"/>
        </w:rPr>
        <w:t>,</w:t>
      </w:r>
      <w:r>
        <w:rPr>
          <w:rFonts w:asciiTheme="majorHAnsi" w:hAnsiTheme="majorHAnsi"/>
          <w:color w:val="000000"/>
          <w:sz w:val="22"/>
          <w:szCs w:val="22"/>
        </w:rPr>
        <w:t xml:space="preserve"> JF 2009</w:t>
      </w:r>
      <w:r>
        <w:rPr>
          <w:rFonts w:asciiTheme="majorHAnsi" w:hAnsiTheme="majorHAnsi"/>
          <w:sz w:val="22"/>
          <w:szCs w:val="22"/>
        </w:rPr>
        <w:t>,</w:t>
      </w:r>
      <w:r>
        <w:rPr>
          <w:rFonts w:asciiTheme="majorHAnsi" w:hAnsiTheme="majorHAnsi"/>
          <w:color w:val="000000"/>
          <w:sz w:val="22"/>
          <w:szCs w:val="22"/>
        </w:rPr>
        <w:t xml:space="preserve"> </w:t>
      </w:r>
      <w:r>
        <w:rPr>
          <w:rFonts w:asciiTheme="majorHAnsi" w:hAnsiTheme="majorHAnsi"/>
          <w:sz w:val="22"/>
          <w:szCs w:val="22"/>
        </w:rPr>
        <w:t>‘</w:t>
      </w:r>
      <w:r>
        <w:rPr>
          <w:rFonts w:asciiTheme="majorHAnsi" w:hAnsiTheme="majorHAnsi"/>
          <w:i/>
          <w:sz w:val="22"/>
          <w:szCs w:val="22"/>
        </w:rPr>
        <w:t>Phytophthora ramorum</w:t>
      </w:r>
      <w:r>
        <w:rPr>
          <w:rFonts w:asciiTheme="majorHAnsi" w:hAnsiTheme="majorHAnsi"/>
          <w:color w:val="000000"/>
          <w:sz w:val="22"/>
          <w:szCs w:val="22"/>
        </w:rPr>
        <w:t xml:space="preserve"> and </w:t>
      </w:r>
      <w:r>
        <w:rPr>
          <w:rFonts w:asciiTheme="majorHAnsi" w:hAnsiTheme="majorHAnsi"/>
          <w:i/>
          <w:color w:val="000000"/>
          <w:sz w:val="22"/>
          <w:szCs w:val="22"/>
        </w:rPr>
        <w:t>Phytophthora kernoviae</w:t>
      </w:r>
      <w:r>
        <w:rPr>
          <w:rFonts w:asciiTheme="majorHAnsi" w:hAnsiTheme="majorHAnsi"/>
          <w:color w:val="000000"/>
          <w:sz w:val="22"/>
          <w:szCs w:val="22"/>
        </w:rPr>
        <w:t xml:space="preserve"> on naturally infected asymptomatic foliage</w:t>
      </w:r>
      <w:r>
        <w:rPr>
          <w:rFonts w:asciiTheme="majorHAnsi" w:hAnsiTheme="majorHAnsi"/>
          <w:sz w:val="22"/>
          <w:szCs w:val="22"/>
        </w:rPr>
        <w:t xml:space="preserve">’, </w:t>
      </w:r>
      <w:r>
        <w:rPr>
          <w:rFonts w:asciiTheme="majorHAnsi" w:hAnsiTheme="majorHAnsi"/>
          <w:i/>
          <w:color w:val="000000"/>
          <w:sz w:val="22"/>
          <w:szCs w:val="22"/>
        </w:rPr>
        <w:t>OEPP/EPPO Bull</w:t>
      </w:r>
      <w:r>
        <w:rPr>
          <w:rFonts w:asciiTheme="majorHAnsi" w:hAnsiTheme="majorHAnsi"/>
          <w:color w:val="000000"/>
          <w:sz w:val="22"/>
          <w:szCs w:val="22"/>
        </w:rPr>
        <w:t>et</w:t>
      </w:r>
      <w:r>
        <w:rPr>
          <w:rFonts w:asciiTheme="majorHAnsi" w:hAnsiTheme="majorHAnsi"/>
          <w:i/>
          <w:color w:val="000000"/>
          <w:sz w:val="22"/>
          <w:szCs w:val="22"/>
        </w:rPr>
        <w:t>in</w:t>
      </w:r>
      <w:r>
        <w:rPr>
          <w:rFonts w:asciiTheme="majorHAnsi" w:hAnsiTheme="majorHAnsi"/>
          <w:sz w:val="22"/>
          <w:szCs w:val="22"/>
        </w:rPr>
        <w:t>,</w:t>
      </w:r>
      <w:r>
        <w:rPr>
          <w:rFonts w:asciiTheme="majorHAnsi" w:hAnsiTheme="majorHAnsi"/>
          <w:color w:val="000000"/>
          <w:sz w:val="22"/>
          <w:szCs w:val="22"/>
        </w:rPr>
        <w:t xml:space="preserve"> 39: 105–111.</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Denman, S, Moralejo, E, Kirk, SA, Orton, E &amp; Whybrow, A 2008, ‘Sporulation of </w:t>
      </w:r>
      <w:r>
        <w:rPr>
          <w:rFonts w:asciiTheme="majorHAnsi" w:hAnsiTheme="majorHAnsi"/>
          <w:i/>
        </w:rPr>
        <w:t>Phytophthora ramorum</w:t>
      </w:r>
      <w:r>
        <w:rPr>
          <w:rFonts w:asciiTheme="majorHAnsi" w:hAnsiTheme="majorHAnsi"/>
        </w:rPr>
        <w:t xml:space="preserve"> and </w:t>
      </w:r>
      <w:r>
        <w:rPr>
          <w:rFonts w:asciiTheme="majorHAnsi" w:hAnsiTheme="majorHAnsi"/>
          <w:i/>
        </w:rPr>
        <w:t>P. kernoviae</w:t>
      </w:r>
      <w:r>
        <w:rPr>
          <w:rFonts w:asciiTheme="majorHAnsi" w:hAnsiTheme="majorHAnsi"/>
        </w:rPr>
        <w:t xml:space="preserve"> on asymptomatic foliage and fruit’, </w:t>
      </w:r>
      <w:r>
        <w:rPr>
          <w:rFonts w:asciiTheme="majorHAnsi" w:hAnsiTheme="majorHAnsi"/>
          <w:i/>
        </w:rPr>
        <w:t>Proceedings of the Sudden Oak Death 3rd Science Symposium</w:t>
      </w:r>
      <w:r>
        <w:rPr>
          <w:rFonts w:asciiTheme="majorHAnsi" w:hAnsiTheme="majorHAnsi"/>
        </w:rPr>
        <w:t>, General technical report PSW-GTR-214, 201–208.</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Denman, S, Rose, J &amp; Slippers, B 2007, ‘</w:t>
      </w:r>
      <w:r>
        <w:rPr>
          <w:rFonts w:asciiTheme="majorHAnsi" w:hAnsiTheme="majorHAnsi"/>
          <w:i/>
        </w:rPr>
        <w:t>Phytophthora pseudosyringae</w:t>
      </w:r>
      <w:r>
        <w:rPr>
          <w:rFonts w:asciiTheme="majorHAnsi" w:hAnsiTheme="majorHAnsi"/>
        </w:rPr>
        <w:t xml:space="preserve"> on European beech and hornbeam in the UK’ [Poster], The Fourth IUFRO Working Party Meeting: ‘</w:t>
      </w:r>
      <w:r>
        <w:rPr>
          <w:rFonts w:asciiTheme="majorHAnsi" w:hAnsiTheme="majorHAnsi"/>
          <w:i/>
        </w:rPr>
        <w:t>Phytophthoras in Forests and Natural Ecosystems</w:t>
      </w:r>
      <w:r>
        <w:rPr>
          <w:rFonts w:asciiTheme="majorHAnsi" w:hAnsiTheme="majorHAnsi"/>
        </w:rPr>
        <w:t>’, Mo</w:t>
      </w:r>
      <w:r w:rsidR="007B1790">
        <w:rPr>
          <w:rFonts w:asciiTheme="majorHAnsi" w:hAnsiTheme="majorHAnsi"/>
        </w:rPr>
        <w:t xml:space="preserve">nterey, California, USA, </w:t>
      </w:r>
      <w:r>
        <w:rPr>
          <w:rFonts w:asciiTheme="majorHAnsi" w:hAnsiTheme="majorHAnsi"/>
        </w:rPr>
        <w:t>nature.berkeley.edu/IUFRO2007/phytophthora/tnp/denman_poster.pdf.</w:t>
      </w:r>
    </w:p>
    <w:p w:rsidR="00C74066" w:rsidRDefault="00F10705">
      <w:pPr>
        <w:pStyle w:val="NormalWeb"/>
        <w:shd w:val="clear" w:color="auto" w:fill="FFFFFF"/>
        <w:spacing w:before="120" w:after="120" w:line="271" w:lineRule="auto"/>
        <w:jc w:val="left"/>
        <w:rPr>
          <w:rFonts w:asciiTheme="majorHAnsi" w:hAnsiTheme="majorHAnsi"/>
          <w:sz w:val="22"/>
          <w:szCs w:val="22"/>
        </w:rPr>
      </w:pPr>
      <w:r>
        <w:rPr>
          <w:rFonts w:asciiTheme="majorHAnsi" w:hAnsiTheme="majorHAnsi"/>
          <w:sz w:val="22"/>
          <w:szCs w:val="22"/>
        </w:rPr>
        <w:t xml:space="preserve">Department of Agriculture 2006, </w:t>
      </w:r>
      <w:r>
        <w:rPr>
          <w:rFonts w:asciiTheme="majorHAnsi" w:hAnsiTheme="majorHAnsi"/>
          <w:i/>
          <w:color w:val="000000"/>
          <w:sz w:val="22"/>
          <w:szCs w:val="22"/>
        </w:rPr>
        <w:t xml:space="preserve">Industry Advice Notice no. 2006/19: Advanced Nursery Stock Mature Trees </w:t>
      </w:r>
      <w:r>
        <w:rPr>
          <w:rFonts w:asciiTheme="majorHAnsi" w:hAnsiTheme="majorHAnsi"/>
          <w:i/>
          <w:sz w:val="22"/>
          <w:szCs w:val="22"/>
        </w:rPr>
        <w:t>–</w:t>
      </w:r>
      <w:r>
        <w:rPr>
          <w:rFonts w:asciiTheme="majorHAnsi" w:hAnsiTheme="majorHAnsi"/>
          <w:i/>
          <w:color w:val="000000"/>
          <w:sz w:val="22"/>
          <w:szCs w:val="22"/>
        </w:rPr>
        <w:t xml:space="preserve"> Singapore</w:t>
      </w:r>
      <w:r>
        <w:rPr>
          <w:rFonts w:asciiTheme="majorHAnsi" w:hAnsiTheme="majorHAnsi"/>
          <w:sz w:val="22"/>
          <w:szCs w:val="22"/>
        </w:rPr>
        <w:t xml:space="preserve">, </w:t>
      </w:r>
      <w:r>
        <w:rPr>
          <w:rFonts w:asciiTheme="majorHAnsi" w:hAnsiTheme="majorHAnsi"/>
          <w:color w:val="000000"/>
          <w:sz w:val="22"/>
          <w:szCs w:val="22"/>
        </w:rPr>
        <w:t xml:space="preserve">AQIS Horticulture Exports Program, </w:t>
      </w:r>
      <w:r>
        <w:rPr>
          <w:rFonts w:asciiTheme="majorHAnsi" w:hAnsiTheme="majorHAnsi"/>
          <w:sz w:val="22"/>
          <w:szCs w:val="22"/>
        </w:rPr>
        <w:t>Departme</w:t>
      </w:r>
      <w:r w:rsidR="007B1790">
        <w:rPr>
          <w:rFonts w:asciiTheme="majorHAnsi" w:hAnsiTheme="majorHAnsi"/>
          <w:sz w:val="22"/>
          <w:szCs w:val="22"/>
        </w:rPr>
        <w:t xml:space="preserve">nt of Agriculture website, </w:t>
      </w:r>
      <w:r>
        <w:rPr>
          <w:rFonts w:asciiTheme="majorHAnsi" w:hAnsiTheme="majorHAnsi"/>
          <w:sz w:val="22"/>
          <w:szCs w:val="22"/>
        </w:rPr>
        <w:t>daff.gov.au/biosecurity/export/plants-plant-products/ian/06/19.</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Diana, G, Pane, A, Raudino, F, Cooke, DEL, Cacciola, SO, Magnano di San Lio, G 2006, ‘A decline of beech trees caused by </w:t>
      </w:r>
      <w:r>
        <w:rPr>
          <w:rFonts w:asciiTheme="majorHAnsi" w:hAnsiTheme="majorHAnsi"/>
          <w:i/>
        </w:rPr>
        <w:t>Phytophthora pseudosyringae</w:t>
      </w:r>
      <w:r>
        <w:rPr>
          <w:rFonts w:asciiTheme="majorHAnsi" w:hAnsiTheme="majorHAnsi"/>
        </w:rPr>
        <w:t xml:space="preserve"> in Central Italy’, In: ‘</w:t>
      </w:r>
      <w:r>
        <w:rPr>
          <w:rFonts w:asciiTheme="majorHAnsi" w:hAnsiTheme="majorHAnsi"/>
          <w:i/>
        </w:rPr>
        <w:t>Progress in Research on Phytophthora Diseases of Forest Trees</w:t>
      </w:r>
      <w:r>
        <w:rPr>
          <w:rFonts w:asciiTheme="majorHAnsi" w:hAnsiTheme="majorHAnsi"/>
        </w:rPr>
        <w:t>’, Brasier, C, Jung, T &amp; Oßwald, W (eds), HMSO, Norwich, 142–144.</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Dick, M &amp; Parke, JL 2012, ‘</w:t>
      </w:r>
      <w:r>
        <w:rPr>
          <w:rFonts w:asciiTheme="majorHAnsi" w:hAnsiTheme="majorHAnsi"/>
          <w:i/>
        </w:rPr>
        <w:t>Phythophthora kernoviae</w:t>
      </w:r>
      <w:r>
        <w:rPr>
          <w:rFonts w:asciiTheme="majorHAnsi" w:hAnsiTheme="majorHAnsi"/>
        </w:rPr>
        <w:t xml:space="preserve">’, </w:t>
      </w:r>
      <w:r>
        <w:rPr>
          <w:rFonts w:asciiTheme="majorHAnsi" w:hAnsiTheme="majorHAnsi"/>
          <w:i/>
        </w:rPr>
        <w:t>forest Phytophthoras</w:t>
      </w:r>
      <w:r>
        <w:rPr>
          <w:rFonts w:asciiTheme="majorHAnsi" w:hAnsiTheme="majorHAnsi"/>
        </w:rPr>
        <w:t>, 2 (1), doi: 10.5399/osu/fp.2.1.3051.</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Dick, MA, Williams, NM, Bader, MKF, Gardner, JF &amp; Bulman, LS 2014, ‘Pathogenicity of </w:t>
      </w:r>
      <w:r>
        <w:rPr>
          <w:rFonts w:asciiTheme="majorHAnsi" w:hAnsiTheme="majorHAnsi"/>
          <w:i/>
        </w:rPr>
        <w:t xml:space="preserve">Phytophthora pluvialis </w:t>
      </w:r>
      <w:r>
        <w:rPr>
          <w:rFonts w:asciiTheme="majorHAnsi" w:hAnsiTheme="majorHAnsi"/>
        </w:rPr>
        <w:t xml:space="preserve">to </w:t>
      </w:r>
      <w:r>
        <w:rPr>
          <w:rFonts w:asciiTheme="majorHAnsi" w:hAnsiTheme="majorHAnsi"/>
          <w:i/>
        </w:rPr>
        <w:t xml:space="preserve">Pinus radiata </w:t>
      </w:r>
      <w:r>
        <w:rPr>
          <w:rFonts w:asciiTheme="majorHAnsi" w:hAnsiTheme="majorHAnsi"/>
        </w:rPr>
        <w:t xml:space="preserve">and its relation with red needle cast disease in New Zealand’, </w:t>
      </w:r>
      <w:r>
        <w:rPr>
          <w:rFonts w:asciiTheme="majorHAnsi" w:hAnsiTheme="majorHAnsi"/>
          <w:i/>
        </w:rPr>
        <w:t xml:space="preserve">New Zealand Journal of Forestry Science </w:t>
      </w:r>
      <w:r>
        <w:rPr>
          <w:rFonts w:asciiTheme="majorHAnsi" w:hAnsiTheme="majorHAnsi"/>
        </w:rPr>
        <w:t>44 (6): 1–12.</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Dick, MW 2001, ‘</w:t>
      </w:r>
      <w:r>
        <w:rPr>
          <w:rFonts w:asciiTheme="majorHAnsi" w:hAnsiTheme="majorHAnsi"/>
          <w:i/>
        </w:rPr>
        <w:t>Straminipilous fungi: Systematics of the Peronosporomycetes including accounts of the marine straminipilous protists, the plasmodiophorids and similar organisms</w:t>
      </w:r>
      <w:r>
        <w:rPr>
          <w:rFonts w:asciiTheme="majorHAnsi" w:hAnsiTheme="majorHAnsi"/>
        </w:rPr>
        <w:t>’, Kluwer Academic Publishers, Dordrecht.</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DiLeo, MV, Bostock, RM &amp; Rizzo, DM 2009, ‘</w:t>
      </w:r>
      <w:r>
        <w:rPr>
          <w:rFonts w:asciiTheme="majorHAnsi" w:hAnsiTheme="majorHAnsi"/>
          <w:i/>
        </w:rPr>
        <w:t>Phytophthora ramorum</w:t>
      </w:r>
      <w:r>
        <w:rPr>
          <w:rFonts w:asciiTheme="majorHAnsi" w:hAnsiTheme="majorHAnsi"/>
        </w:rPr>
        <w:t xml:space="preserve"> does not cause physiologically significant systemic injury to California bay laurel, its primary reservoir host’, </w:t>
      </w:r>
      <w:r>
        <w:rPr>
          <w:rFonts w:asciiTheme="majorHAnsi" w:hAnsiTheme="majorHAnsi"/>
          <w:i/>
        </w:rPr>
        <w:t>Phytopathology</w:t>
      </w:r>
      <w:r>
        <w:rPr>
          <w:rFonts w:asciiTheme="majorHAnsi" w:hAnsiTheme="majorHAnsi"/>
        </w:rPr>
        <w:t>, 99: 1307–1311.</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Donahoo, R, Blomquist, CL, Thomas, SL, Moulton, JK, Cooke, DEL &amp; Lamour, KH 2006, ‘</w:t>
      </w:r>
      <w:r>
        <w:rPr>
          <w:rFonts w:asciiTheme="majorHAnsi" w:hAnsiTheme="majorHAnsi"/>
          <w:i/>
        </w:rPr>
        <w:t>Phytophthora foliorum</w:t>
      </w:r>
      <w:r>
        <w:rPr>
          <w:rFonts w:asciiTheme="majorHAnsi" w:hAnsiTheme="majorHAnsi"/>
        </w:rPr>
        <w:t xml:space="preserve"> sp nov., a new species causing leaf blight of azalea’, </w:t>
      </w:r>
      <w:r>
        <w:rPr>
          <w:rFonts w:asciiTheme="majorHAnsi" w:hAnsiTheme="majorHAnsi"/>
          <w:i/>
        </w:rPr>
        <w:t>Mycological Research</w:t>
      </w:r>
      <w:r>
        <w:rPr>
          <w:rFonts w:asciiTheme="majorHAnsi" w:hAnsiTheme="majorHAnsi"/>
        </w:rPr>
        <w:t>, 110: 1309–1322.</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Durán, A, Gryzenhout, M, Slippers, B, Ahumada, R, Rotella, A, Flores, F, Wingfield, BD &amp; Wingfield, MJ 2008, ‘</w:t>
      </w:r>
      <w:r>
        <w:rPr>
          <w:rFonts w:asciiTheme="majorHAnsi" w:hAnsiTheme="majorHAnsi"/>
          <w:i/>
        </w:rPr>
        <w:t>Phytophthora pinifolia</w:t>
      </w:r>
      <w:r>
        <w:rPr>
          <w:rFonts w:asciiTheme="majorHAnsi" w:hAnsiTheme="majorHAnsi"/>
        </w:rPr>
        <w:t xml:space="preserve"> sp. </w:t>
      </w:r>
      <w:r>
        <w:rPr>
          <w:rFonts w:asciiTheme="majorHAnsi" w:hAnsiTheme="majorHAnsi"/>
          <w:i/>
        </w:rPr>
        <w:t>nov</w:t>
      </w:r>
      <w:r>
        <w:rPr>
          <w:rFonts w:asciiTheme="majorHAnsi" w:hAnsiTheme="majorHAnsi"/>
        </w:rPr>
        <w:t xml:space="preserve"> associated with a serious needle disease of </w:t>
      </w:r>
      <w:r>
        <w:rPr>
          <w:rFonts w:asciiTheme="majorHAnsi" w:hAnsiTheme="majorHAnsi"/>
          <w:i/>
        </w:rPr>
        <w:t>Pinus radiata</w:t>
      </w:r>
      <w:r>
        <w:rPr>
          <w:rFonts w:asciiTheme="majorHAnsi" w:hAnsiTheme="majorHAnsi"/>
        </w:rPr>
        <w:t xml:space="preserve"> in Chile’, </w:t>
      </w:r>
      <w:r>
        <w:rPr>
          <w:rFonts w:asciiTheme="majorHAnsi" w:hAnsiTheme="majorHAnsi"/>
          <w:i/>
        </w:rPr>
        <w:t>Plant Pathology</w:t>
      </w:r>
      <w:r>
        <w:rPr>
          <w:rFonts w:asciiTheme="majorHAnsi" w:hAnsiTheme="majorHAnsi"/>
        </w:rPr>
        <w:t>, 57: 715–727.</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EFSA (European Food Safety Authority) 2011, ‘Scientific Opinion on the Pest Risk Analysis on </w:t>
      </w:r>
      <w:r>
        <w:rPr>
          <w:rFonts w:asciiTheme="majorHAnsi" w:hAnsiTheme="majorHAnsi"/>
          <w:i/>
        </w:rPr>
        <w:t>Phytophthora ramorum</w:t>
      </w:r>
      <w:r>
        <w:rPr>
          <w:rFonts w:asciiTheme="majorHAnsi" w:hAnsiTheme="majorHAnsi"/>
        </w:rPr>
        <w:t xml:space="preserve"> prepared by the FP6 project RAPRA’, </w:t>
      </w:r>
      <w:r>
        <w:rPr>
          <w:rFonts w:asciiTheme="majorHAnsi" w:hAnsiTheme="majorHAnsi"/>
          <w:i/>
        </w:rPr>
        <w:t>The EFSA Journ</w:t>
      </w:r>
      <w:r>
        <w:rPr>
          <w:rFonts w:asciiTheme="majorHAnsi" w:hAnsiTheme="majorHAnsi"/>
        </w:rPr>
        <w:t xml:space="preserve">al, 19 (6): 2186–186EF, doi:10.2903/j.efsa.2011.2186.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EPPO (European and Mediterranean Plant Protection Organization) 2009, ‘First report of </w:t>
      </w:r>
      <w:r>
        <w:rPr>
          <w:rFonts w:asciiTheme="majorHAnsi" w:hAnsiTheme="majorHAnsi"/>
          <w:i/>
        </w:rPr>
        <w:t>Phytophthora psuedosyringae</w:t>
      </w:r>
      <w:r>
        <w:rPr>
          <w:rFonts w:asciiTheme="majorHAnsi" w:hAnsiTheme="majorHAnsi"/>
        </w:rPr>
        <w:t xml:space="preserve"> on </w:t>
      </w:r>
      <w:r>
        <w:rPr>
          <w:rFonts w:asciiTheme="majorHAnsi" w:hAnsiTheme="majorHAnsi"/>
          <w:i/>
        </w:rPr>
        <w:t>Vaccinium myrtillus</w:t>
      </w:r>
      <w:r>
        <w:rPr>
          <w:rFonts w:asciiTheme="majorHAnsi" w:hAnsiTheme="majorHAnsi"/>
        </w:rPr>
        <w:t xml:space="preserve"> in the United Kingdom’, EPPO Reporting Service No. 2009/162.</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EPPO (European and Mediterranean Plant Protection Organization) 2011, ‘</w:t>
      </w:r>
      <w:r>
        <w:rPr>
          <w:rFonts w:asciiTheme="majorHAnsi" w:hAnsiTheme="majorHAnsi"/>
          <w:i/>
        </w:rPr>
        <w:t>Phytophthora ramorum</w:t>
      </w:r>
      <w:r>
        <w:rPr>
          <w:rFonts w:asciiTheme="majorHAnsi" w:hAnsiTheme="majorHAnsi"/>
        </w:rPr>
        <w:t xml:space="preserve"> on </w:t>
      </w:r>
      <w:r>
        <w:rPr>
          <w:rFonts w:asciiTheme="majorHAnsi" w:hAnsiTheme="majorHAnsi"/>
          <w:i/>
        </w:rPr>
        <w:t>Larix</w:t>
      </w:r>
      <w:r>
        <w:rPr>
          <w:rFonts w:asciiTheme="majorHAnsi" w:hAnsiTheme="majorHAnsi"/>
        </w:rPr>
        <w:t xml:space="preserve"> species in the United Kingdom’ Reporting Servi</w:t>
      </w:r>
      <w:r w:rsidR="007B1790">
        <w:rPr>
          <w:rFonts w:asciiTheme="majorHAnsi" w:hAnsiTheme="majorHAnsi"/>
        </w:rPr>
        <w:t xml:space="preserve">ce 2011, no. 5 2011/113, </w:t>
      </w:r>
      <w:r>
        <w:rPr>
          <w:rFonts w:asciiTheme="majorHAnsi" w:hAnsiTheme="majorHAnsi"/>
        </w:rPr>
        <w:t xml:space="preserve">archives.eppo.int/EPPOReporting/2011/Rse-1105.pdf.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lastRenderedPageBreak/>
        <w:t xml:space="preserve">EPPO (European and Mediterranean Plant Protection Organization) 2012. ‘European and Mediterranean Plant Protection Organisation Alert List – </w:t>
      </w:r>
      <w:r>
        <w:rPr>
          <w:rFonts w:asciiTheme="majorHAnsi" w:hAnsiTheme="majorHAnsi"/>
          <w:i/>
        </w:rPr>
        <w:t>Phytophthora ramorum</w:t>
      </w:r>
      <w:r>
        <w:rPr>
          <w:rFonts w:asciiTheme="majorHAnsi" w:hAnsiTheme="majorHAnsi"/>
        </w:rPr>
        <w:t>’,</w:t>
      </w:r>
      <w:r w:rsidR="007B1790">
        <w:rPr>
          <w:rFonts w:asciiTheme="majorHAnsi" w:hAnsiTheme="majorHAnsi"/>
        </w:rPr>
        <w:t xml:space="preserve"> accessed July 2012, </w:t>
      </w:r>
      <w:r>
        <w:rPr>
          <w:rFonts w:asciiTheme="majorHAnsi" w:hAnsiTheme="majorHAnsi"/>
        </w:rPr>
        <w:t>eppo.int/QUARANTINE/Alert_List/alert_list.htm.</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EPPO (European and Mediterranean Plant Protection Organization) 2013, ‘Diagnostics: PM 7/112 (1) </w:t>
      </w:r>
      <w:r>
        <w:rPr>
          <w:rFonts w:asciiTheme="majorHAnsi" w:hAnsiTheme="majorHAnsi"/>
          <w:i/>
        </w:rPr>
        <w:t>Phytophthora kernoviae</w:t>
      </w:r>
      <w:r>
        <w:rPr>
          <w:rFonts w:asciiTheme="majorHAnsi" w:hAnsiTheme="majorHAnsi"/>
        </w:rPr>
        <w:t xml:space="preserve">’, </w:t>
      </w:r>
      <w:r>
        <w:rPr>
          <w:rFonts w:asciiTheme="majorHAnsi" w:hAnsiTheme="majorHAnsi"/>
          <w:i/>
        </w:rPr>
        <w:t>EPPO Bulletin</w:t>
      </w:r>
      <w:r>
        <w:rPr>
          <w:rFonts w:asciiTheme="majorHAnsi" w:hAnsiTheme="majorHAnsi"/>
        </w:rPr>
        <w:t>, 43: 81–93.</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Erwin, DC &amp; Ribeiro, OK 1996, ‘</w:t>
      </w:r>
      <w:r>
        <w:rPr>
          <w:rFonts w:asciiTheme="majorHAnsi" w:hAnsiTheme="majorHAnsi"/>
          <w:i/>
        </w:rPr>
        <w:t>Phytophthora</w:t>
      </w:r>
      <w:r>
        <w:rPr>
          <w:rFonts w:asciiTheme="majorHAnsi" w:hAnsiTheme="majorHAnsi"/>
        </w:rPr>
        <w:t xml:space="preserve"> </w:t>
      </w:r>
      <w:r>
        <w:rPr>
          <w:rFonts w:asciiTheme="majorHAnsi" w:hAnsiTheme="majorHAnsi"/>
          <w:i/>
        </w:rPr>
        <w:t>diseases worldwide</w:t>
      </w:r>
      <w:r>
        <w:rPr>
          <w:rFonts w:asciiTheme="majorHAnsi" w:hAnsiTheme="majorHAnsi"/>
        </w:rPr>
        <w:t>’, American Phytopathological Society Press, St. Paul, MN 562.</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FAO (Food and Agricultural Organization of the United Nations) 1995, ‘</w:t>
      </w:r>
      <w:r>
        <w:rPr>
          <w:rFonts w:asciiTheme="majorHAnsi" w:hAnsiTheme="majorHAnsi"/>
          <w:i/>
        </w:rPr>
        <w:t>International Standards for Phytosanitary Measures (ISPM) No. 4: Requirements for the establishment of pest free areas</w:t>
      </w:r>
      <w:r>
        <w:rPr>
          <w:rFonts w:asciiTheme="majorHAnsi" w:hAnsiTheme="majorHAnsi"/>
        </w:rPr>
        <w:t xml:space="preserve">’, Secretariat of the International Plant Protection Convention, Rome, Italy.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FAO (Food and Agricultural Organization of the United Nations) 1999, ‘</w:t>
      </w:r>
      <w:r>
        <w:rPr>
          <w:rFonts w:asciiTheme="majorHAnsi" w:hAnsiTheme="majorHAnsi"/>
          <w:i/>
        </w:rPr>
        <w:t>International Standards for Phytosanitary Measures (ISPM) No. 10: Requirements for the establishment of pest free places of production and pest free production sites</w:t>
      </w:r>
      <w:r>
        <w:rPr>
          <w:rFonts w:asciiTheme="majorHAnsi" w:hAnsiTheme="majorHAnsi"/>
        </w:rPr>
        <w:t xml:space="preserve">’, Secretariat of the International Plant Protection Convention, Rome, Italy.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FAO (Food and Agricultural Organization of the United Nations) 2007, ‘</w:t>
      </w:r>
      <w:r>
        <w:rPr>
          <w:rFonts w:asciiTheme="majorHAnsi" w:hAnsiTheme="majorHAnsi"/>
          <w:i/>
        </w:rPr>
        <w:t>International Standards for Phytosanitary Measures (ISPM) No. 2: Framework for pest risk analysis</w:t>
      </w:r>
      <w:r>
        <w:rPr>
          <w:rFonts w:asciiTheme="majorHAnsi" w:hAnsiTheme="majorHAnsi"/>
        </w:rPr>
        <w:t xml:space="preserve">’, Secretariat of the International Plant Protection Convention, Rome, Italy.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FAO (Food and Agricultural Organization of the United Nations) 2013, ‘</w:t>
      </w:r>
      <w:r>
        <w:rPr>
          <w:rFonts w:asciiTheme="majorHAnsi" w:hAnsiTheme="majorHAnsi"/>
          <w:i/>
        </w:rPr>
        <w:t>International Standards for Phytosanitary Measures (ISPM) No. 11: Pest risk analysis for quarantine pests including analysis of environmental risks and living modified organisms</w:t>
      </w:r>
      <w:r>
        <w:rPr>
          <w:rFonts w:asciiTheme="majorHAnsi" w:hAnsiTheme="majorHAnsi"/>
        </w:rPr>
        <w:t>’, Secretariat of the International Plant Protection Convention, Rome, Italy.</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FAO (Food and Agricultural Organization of the United Nations) 2015, ‘</w:t>
      </w:r>
      <w:r>
        <w:rPr>
          <w:rFonts w:asciiTheme="majorHAnsi" w:hAnsiTheme="majorHAnsi"/>
          <w:i/>
        </w:rPr>
        <w:t>International Standards for Phytosanitary Measures (ISPM) No. 5: Glossary of phytosanitary terms</w:t>
      </w:r>
      <w:r>
        <w:rPr>
          <w:rFonts w:asciiTheme="majorHAnsi" w:hAnsiTheme="majorHAnsi"/>
        </w:rPr>
        <w:t>’, Secretariat of the International Plant Protection Convention, Rome, Italy.</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FERA (The Food and Environment Research Agency) 2012, ‘FERA list of natural hosts for </w:t>
      </w:r>
      <w:r>
        <w:rPr>
          <w:rFonts w:asciiTheme="majorHAnsi" w:hAnsiTheme="majorHAnsi"/>
          <w:i/>
        </w:rPr>
        <w:t>Phytophthora ramorum</w:t>
      </w:r>
      <w:r>
        <w:rPr>
          <w:rFonts w:asciiTheme="majorHAnsi" w:hAnsiTheme="majorHAnsi"/>
        </w:rPr>
        <w:t xml:space="preserve"> with symptom and location’, updated July 2012, accessed S</w:t>
      </w:r>
      <w:r w:rsidR="007B1790">
        <w:rPr>
          <w:rFonts w:asciiTheme="majorHAnsi" w:hAnsiTheme="majorHAnsi"/>
        </w:rPr>
        <w:t xml:space="preserve">eptember 2012, </w:t>
      </w:r>
      <w:r>
        <w:rPr>
          <w:rFonts w:asciiTheme="majorHAnsi" w:hAnsiTheme="majorHAnsi"/>
        </w:rPr>
        <w:t>fera.defra.gov.uk/plants/plantHealth/pestsDiseases/phytophthora/documents/pRamorumHost.pdf.</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t>Fichtner</w:t>
      </w:r>
      <w:r>
        <w:rPr>
          <w:rFonts w:asciiTheme="majorHAnsi" w:hAnsiTheme="majorHAnsi"/>
        </w:rPr>
        <w:t>,</w:t>
      </w:r>
      <w:r>
        <w:rPr>
          <w:rFonts w:asciiTheme="majorHAnsi" w:hAnsiTheme="majorHAnsi"/>
          <w:color w:val="000000"/>
        </w:rPr>
        <w:t xml:space="preserve"> EJ, Lynch</w:t>
      </w:r>
      <w:r>
        <w:rPr>
          <w:rFonts w:asciiTheme="majorHAnsi" w:hAnsiTheme="majorHAnsi"/>
        </w:rPr>
        <w:t>,</w:t>
      </w:r>
      <w:r>
        <w:rPr>
          <w:rFonts w:asciiTheme="majorHAnsi" w:hAnsiTheme="majorHAnsi"/>
          <w:color w:val="000000"/>
        </w:rPr>
        <w:t xml:space="preserve"> SC</w:t>
      </w:r>
      <w:r>
        <w:rPr>
          <w:rFonts w:asciiTheme="majorHAnsi" w:hAnsiTheme="majorHAnsi"/>
        </w:rPr>
        <w:t xml:space="preserve"> &amp;</w:t>
      </w:r>
      <w:r>
        <w:rPr>
          <w:rFonts w:asciiTheme="majorHAnsi" w:hAnsiTheme="majorHAnsi"/>
          <w:color w:val="000000"/>
        </w:rPr>
        <w:t xml:space="preserve"> Rizzo</w:t>
      </w:r>
      <w:r>
        <w:rPr>
          <w:rFonts w:asciiTheme="majorHAnsi" w:hAnsiTheme="majorHAnsi"/>
        </w:rPr>
        <w:t>,</w:t>
      </w:r>
      <w:r>
        <w:rPr>
          <w:rFonts w:asciiTheme="majorHAnsi" w:hAnsiTheme="majorHAnsi"/>
          <w:color w:val="000000"/>
        </w:rPr>
        <w:t xml:space="preserve"> DM 2007a</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 xml:space="preserve">Detection, distribution, sporulation, and survival of </w:t>
      </w:r>
      <w:r>
        <w:rPr>
          <w:rFonts w:asciiTheme="majorHAnsi" w:hAnsiTheme="majorHAnsi"/>
          <w:i/>
        </w:rPr>
        <w:t>Phytophthora ramorum</w:t>
      </w:r>
      <w:r>
        <w:rPr>
          <w:rFonts w:asciiTheme="majorHAnsi" w:hAnsiTheme="majorHAnsi"/>
          <w:color w:val="000000"/>
        </w:rPr>
        <w:t xml:space="preserve"> in a California redwood-tanoak forest soil</w:t>
      </w:r>
      <w:r>
        <w:rPr>
          <w:rFonts w:asciiTheme="majorHAnsi" w:hAnsiTheme="majorHAnsi"/>
        </w:rPr>
        <w:t xml:space="preserve">’, </w:t>
      </w:r>
      <w:r>
        <w:rPr>
          <w:rFonts w:asciiTheme="majorHAnsi" w:hAnsiTheme="majorHAnsi"/>
          <w:i/>
          <w:color w:val="000000"/>
        </w:rPr>
        <w:t>Phytopathology</w:t>
      </w:r>
      <w:r>
        <w:rPr>
          <w:rFonts w:asciiTheme="majorHAnsi" w:hAnsiTheme="majorHAnsi"/>
        </w:rPr>
        <w:t xml:space="preserve">, </w:t>
      </w:r>
      <w:r>
        <w:rPr>
          <w:rFonts w:asciiTheme="majorHAnsi" w:hAnsiTheme="majorHAnsi"/>
          <w:color w:val="000000"/>
        </w:rPr>
        <w:t>97: 1366–1375.</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t>Fichtner</w:t>
      </w:r>
      <w:r>
        <w:rPr>
          <w:rFonts w:asciiTheme="majorHAnsi" w:hAnsiTheme="majorHAnsi"/>
        </w:rPr>
        <w:t>,</w:t>
      </w:r>
      <w:r>
        <w:rPr>
          <w:rFonts w:asciiTheme="majorHAnsi" w:hAnsiTheme="majorHAnsi"/>
          <w:color w:val="000000"/>
        </w:rPr>
        <w:t xml:space="preserve"> EJ, Lynch</w:t>
      </w:r>
      <w:r>
        <w:rPr>
          <w:rFonts w:asciiTheme="majorHAnsi" w:hAnsiTheme="majorHAnsi"/>
        </w:rPr>
        <w:t>,</w:t>
      </w:r>
      <w:r>
        <w:rPr>
          <w:rFonts w:asciiTheme="majorHAnsi" w:hAnsiTheme="majorHAnsi"/>
          <w:color w:val="000000"/>
        </w:rPr>
        <w:t xml:space="preserve"> SC</w:t>
      </w:r>
      <w:r>
        <w:rPr>
          <w:rFonts w:asciiTheme="majorHAnsi" w:hAnsiTheme="majorHAnsi"/>
        </w:rPr>
        <w:t xml:space="preserve"> &amp;</w:t>
      </w:r>
      <w:r>
        <w:rPr>
          <w:rFonts w:asciiTheme="majorHAnsi" w:hAnsiTheme="majorHAnsi"/>
          <w:color w:val="000000"/>
        </w:rPr>
        <w:t xml:space="preserve"> Rizzo</w:t>
      </w:r>
      <w:r>
        <w:rPr>
          <w:rFonts w:asciiTheme="majorHAnsi" w:hAnsiTheme="majorHAnsi"/>
        </w:rPr>
        <w:t>,</w:t>
      </w:r>
      <w:r>
        <w:rPr>
          <w:rFonts w:asciiTheme="majorHAnsi" w:hAnsiTheme="majorHAnsi"/>
          <w:color w:val="000000"/>
        </w:rPr>
        <w:t xml:space="preserve"> DM 2009</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 xml:space="preserve">Survival, dispersal, and potential soil-mediated suppression of </w:t>
      </w:r>
      <w:r>
        <w:rPr>
          <w:rFonts w:asciiTheme="majorHAnsi" w:hAnsiTheme="majorHAnsi"/>
          <w:i/>
        </w:rPr>
        <w:t>Phytophthora ramorum</w:t>
      </w:r>
      <w:r>
        <w:rPr>
          <w:rFonts w:asciiTheme="majorHAnsi" w:hAnsiTheme="majorHAnsi"/>
          <w:color w:val="000000"/>
        </w:rPr>
        <w:t xml:space="preserve"> in a California redwood-tanoak forest</w:t>
      </w:r>
      <w:r>
        <w:rPr>
          <w:rFonts w:asciiTheme="majorHAnsi" w:hAnsiTheme="majorHAnsi"/>
        </w:rPr>
        <w:t xml:space="preserve">’, </w:t>
      </w:r>
      <w:r>
        <w:rPr>
          <w:rFonts w:asciiTheme="majorHAnsi" w:hAnsiTheme="majorHAnsi"/>
          <w:i/>
          <w:color w:val="000000"/>
        </w:rPr>
        <w:t>Phytopathology</w:t>
      </w:r>
      <w:r>
        <w:rPr>
          <w:rFonts w:asciiTheme="majorHAnsi" w:hAnsiTheme="majorHAnsi"/>
        </w:rPr>
        <w:t xml:space="preserve">, </w:t>
      </w:r>
      <w:r>
        <w:rPr>
          <w:rFonts w:asciiTheme="majorHAnsi" w:hAnsiTheme="majorHAnsi"/>
          <w:color w:val="000000"/>
        </w:rPr>
        <w:t>99: 608–619.</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Fichtner, EJ, Rizzo, DM, Kirk, SA &amp; Webber, JF 2011, ‘Root infections may challenge management of invasive </w:t>
      </w:r>
      <w:r>
        <w:rPr>
          <w:rFonts w:asciiTheme="majorHAnsi" w:hAnsiTheme="majorHAnsi"/>
          <w:i/>
          <w:color w:val="000000"/>
        </w:rPr>
        <w:t xml:space="preserve">Phytophthora </w:t>
      </w:r>
      <w:r>
        <w:rPr>
          <w:rFonts w:asciiTheme="majorHAnsi" w:hAnsiTheme="majorHAnsi"/>
        </w:rPr>
        <w:t xml:space="preserve">species in UK woodlands’, </w:t>
      </w:r>
      <w:r>
        <w:rPr>
          <w:rFonts w:asciiTheme="majorHAnsi" w:hAnsiTheme="majorHAnsi"/>
          <w:i/>
        </w:rPr>
        <w:t>Plant Disease</w:t>
      </w:r>
      <w:r>
        <w:rPr>
          <w:rFonts w:asciiTheme="majorHAnsi" w:hAnsiTheme="majorHAnsi"/>
        </w:rPr>
        <w:t>, 95: 13–8.</w:t>
      </w:r>
    </w:p>
    <w:p w:rsidR="00C74066" w:rsidRDefault="00F10705">
      <w:pPr>
        <w:autoSpaceDE w:val="0"/>
        <w:autoSpaceDN w:val="0"/>
        <w:adjustRightInd w:val="0"/>
        <w:spacing w:before="120" w:after="120" w:line="271" w:lineRule="auto"/>
        <w:rPr>
          <w:rFonts w:asciiTheme="majorHAnsi" w:hAnsiTheme="majorHAnsi"/>
          <w:color w:val="000000"/>
        </w:rPr>
      </w:pPr>
      <w:r>
        <w:rPr>
          <w:rFonts w:asciiTheme="majorHAnsi" w:hAnsiTheme="majorHAnsi"/>
          <w:color w:val="000000"/>
        </w:rPr>
        <w:t>Fichtner</w:t>
      </w:r>
      <w:r>
        <w:rPr>
          <w:rFonts w:asciiTheme="majorHAnsi" w:hAnsiTheme="majorHAnsi"/>
        </w:rPr>
        <w:t>,</w:t>
      </w:r>
      <w:r>
        <w:rPr>
          <w:rFonts w:asciiTheme="majorHAnsi" w:hAnsiTheme="majorHAnsi"/>
          <w:color w:val="000000"/>
        </w:rPr>
        <w:t xml:space="preserve"> EJ, Rizzo</w:t>
      </w:r>
      <w:r>
        <w:rPr>
          <w:rFonts w:asciiTheme="majorHAnsi" w:hAnsiTheme="majorHAnsi"/>
        </w:rPr>
        <w:t>,</w:t>
      </w:r>
      <w:r>
        <w:rPr>
          <w:rFonts w:asciiTheme="majorHAnsi" w:hAnsiTheme="majorHAnsi"/>
          <w:color w:val="000000"/>
        </w:rPr>
        <w:t xml:space="preserve"> DM, Kirk</w:t>
      </w:r>
      <w:r>
        <w:rPr>
          <w:rFonts w:asciiTheme="majorHAnsi" w:hAnsiTheme="majorHAnsi"/>
        </w:rPr>
        <w:t>,</w:t>
      </w:r>
      <w:r>
        <w:rPr>
          <w:rFonts w:asciiTheme="majorHAnsi" w:hAnsiTheme="majorHAnsi"/>
          <w:color w:val="000000"/>
        </w:rPr>
        <w:t xml:space="preserve"> SA</w:t>
      </w:r>
      <w:r>
        <w:rPr>
          <w:rFonts w:asciiTheme="majorHAnsi" w:hAnsiTheme="majorHAnsi"/>
        </w:rPr>
        <w:t xml:space="preserve"> &amp;</w:t>
      </w:r>
      <w:r>
        <w:rPr>
          <w:rFonts w:asciiTheme="majorHAnsi" w:hAnsiTheme="majorHAnsi"/>
          <w:color w:val="000000"/>
        </w:rPr>
        <w:t xml:space="preserve"> Webber</w:t>
      </w:r>
      <w:r>
        <w:rPr>
          <w:rFonts w:asciiTheme="majorHAnsi" w:hAnsiTheme="majorHAnsi"/>
        </w:rPr>
        <w:t>,</w:t>
      </w:r>
      <w:r>
        <w:rPr>
          <w:rFonts w:asciiTheme="majorHAnsi" w:hAnsiTheme="majorHAnsi"/>
          <w:color w:val="000000"/>
        </w:rPr>
        <w:t xml:space="preserve"> JF 2012</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 xml:space="preserve">Infectivity and sporulation potential of </w:t>
      </w:r>
      <w:r>
        <w:rPr>
          <w:rFonts w:asciiTheme="majorHAnsi" w:hAnsiTheme="majorHAnsi"/>
          <w:i/>
          <w:color w:val="000000"/>
        </w:rPr>
        <w:t>Phytophthora kernoviae</w:t>
      </w:r>
      <w:r>
        <w:rPr>
          <w:rFonts w:asciiTheme="majorHAnsi" w:hAnsiTheme="majorHAnsi"/>
          <w:color w:val="000000"/>
        </w:rPr>
        <w:t xml:space="preserve"> to select North American native plants</w:t>
      </w:r>
      <w:r>
        <w:rPr>
          <w:rFonts w:asciiTheme="majorHAnsi" w:hAnsiTheme="majorHAnsi"/>
        </w:rPr>
        <w:t xml:space="preserve">’, </w:t>
      </w:r>
      <w:r>
        <w:rPr>
          <w:rFonts w:asciiTheme="majorHAnsi" w:hAnsiTheme="majorHAnsi"/>
          <w:i/>
          <w:color w:val="000000"/>
        </w:rPr>
        <w:t>Plant Pathology</w:t>
      </w:r>
      <w:r>
        <w:rPr>
          <w:rFonts w:asciiTheme="majorHAnsi" w:hAnsiTheme="majorHAnsi"/>
        </w:rPr>
        <w:t>,</w:t>
      </w:r>
      <w:r>
        <w:rPr>
          <w:rFonts w:asciiTheme="majorHAnsi" w:hAnsiTheme="majorHAnsi"/>
          <w:color w:val="000000"/>
        </w:rPr>
        <w:t xml:space="preserve"> 61: 224–233.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Fichtner, EJ, Rizzo, DM, Kirk, SA, Whybrow, A &amp; Webber, J 2007b, ‘Root associations of </w:t>
      </w:r>
      <w:r>
        <w:rPr>
          <w:rFonts w:asciiTheme="majorHAnsi" w:hAnsiTheme="majorHAnsi"/>
          <w:i/>
        </w:rPr>
        <w:t>Phytophthora ramorum</w:t>
      </w:r>
      <w:r>
        <w:rPr>
          <w:rFonts w:asciiTheme="majorHAnsi" w:hAnsiTheme="majorHAnsi"/>
        </w:rPr>
        <w:t xml:space="preserve"> and </w:t>
      </w:r>
      <w:r>
        <w:rPr>
          <w:rFonts w:asciiTheme="majorHAnsi" w:hAnsiTheme="majorHAnsi"/>
          <w:i/>
          <w:color w:val="000000"/>
        </w:rPr>
        <w:t>Phytophthora kernoviae</w:t>
      </w:r>
      <w:r>
        <w:rPr>
          <w:rFonts w:asciiTheme="majorHAnsi" w:hAnsiTheme="majorHAnsi"/>
        </w:rPr>
        <w:t xml:space="preserve"> in UK woodlands’ [Abstract], In: 4th IUFRO </w:t>
      </w:r>
      <w:r>
        <w:rPr>
          <w:rFonts w:asciiTheme="majorHAnsi" w:hAnsiTheme="majorHAnsi"/>
          <w:i/>
          <w:color w:val="000000"/>
        </w:rPr>
        <w:t>Phytophthora</w:t>
      </w:r>
      <w:r>
        <w:rPr>
          <w:rFonts w:asciiTheme="majorHAnsi" w:hAnsiTheme="majorHAnsi"/>
        </w:rPr>
        <w:t>s in Forests &amp; Natural Ecosystems 2007, Meeting Abstracts, 54–55.</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lastRenderedPageBreak/>
        <w:t xml:space="preserve">Frankel, SJ 2008, ‘Sudden oak death and </w:t>
      </w:r>
      <w:r>
        <w:rPr>
          <w:rFonts w:asciiTheme="majorHAnsi" w:hAnsiTheme="majorHAnsi"/>
          <w:i/>
        </w:rPr>
        <w:t>Phytophthora ramorum</w:t>
      </w:r>
      <w:r>
        <w:rPr>
          <w:rFonts w:asciiTheme="majorHAnsi" w:hAnsiTheme="majorHAnsi"/>
        </w:rPr>
        <w:t xml:space="preserve"> in the USA: A management challenge’, </w:t>
      </w:r>
      <w:r>
        <w:rPr>
          <w:rFonts w:asciiTheme="majorHAnsi" w:hAnsiTheme="majorHAnsi"/>
          <w:i/>
          <w:color w:val="000000"/>
        </w:rPr>
        <w:t>Australasian Plant Pathology</w:t>
      </w:r>
      <w:r>
        <w:rPr>
          <w:rFonts w:asciiTheme="majorHAnsi" w:hAnsiTheme="majorHAnsi"/>
        </w:rPr>
        <w:t>, 37: 19–25.</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Garbelotto, M &amp; Rizzo, DM 2005, ‘A California-based chronological review (1995–2004) of research on </w:t>
      </w:r>
      <w:r>
        <w:rPr>
          <w:rFonts w:asciiTheme="majorHAnsi" w:hAnsiTheme="majorHAnsi"/>
          <w:i/>
        </w:rPr>
        <w:t>Phytophthora ramorum</w:t>
      </w:r>
      <w:r>
        <w:rPr>
          <w:rFonts w:asciiTheme="majorHAnsi" w:hAnsiTheme="majorHAnsi"/>
        </w:rPr>
        <w:t xml:space="preserve">, the causal agent of sudden oak death’, </w:t>
      </w:r>
      <w:r>
        <w:rPr>
          <w:rFonts w:asciiTheme="majorHAnsi" w:hAnsiTheme="majorHAnsi"/>
          <w:i/>
        </w:rPr>
        <w:t>Phytopathologia Mediterranea</w:t>
      </w:r>
      <w:r>
        <w:rPr>
          <w:rFonts w:asciiTheme="majorHAnsi" w:hAnsiTheme="majorHAnsi"/>
        </w:rPr>
        <w:t>, 44: 127–143.</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t>Garbelotto</w:t>
      </w:r>
      <w:r>
        <w:rPr>
          <w:rFonts w:asciiTheme="majorHAnsi" w:hAnsiTheme="majorHAnsi"/>
        </w:rPr>
        <w:t>,</w:t>
      </w:r>
      <w:r>
        <w:rPr>
          <w:rFonts w:asciiTheme="majorHAnsi" w:hAnsiTheme="majorHAnsi"/>
          <w:color w:val="000000"/>
        </w:rPr>
        <w:t xml:space="preserve"> M 2003</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Providing a solution composting as a control for sudden oak death disease</w:t>
      </w:r>
      <w:r>
        <w:rPr>
          <w:rFonts w:asciiTheme="majorHAnsi" w:hAnsiTheme="majorHAnsi"/>
        </w:rPr>
        <w:t xml:space="preserve">’, </w:t>
      </w:r>
      <w:r>
        <w:rPr>
          <w:rFonts w:asciiTheme="majorHAnsi" w:hAnsiTheme="majorHAnsi"/>
          <w:i/>
          <w:color w:val="000000"/>
        </w:rPr>
        <w:t>Biocycle</w:t>
      </w:r>
      <w:r>
        <w:rPr>
          <w:rFonts w:asciiTheme="majorHAnsi" w:hAnsiTheme="majorHAnsi"/>
        </w:rPr>
        <w:t>,</w:t>
      </w:r>
      <w:r>
        <w:rPr>
          <w:rFonts w:asciiTheme="majorHAnsi" w:hAnsiTheme="majorHAnsi"/>
          <w:color w:val="000000"/>
        </w:rPr>
        <w:t xml:space="preserve"> 44: 53–56.</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t>Garbelotto</w:t>
      </w:r>
      <w:r>
        <w:rPr>
          <w:rFonts w:asciiTheme="majorHAnsi" w:hAnsiTheme="majorHAnsi"/>
        </w:rPr>
        <w:t>,</w:t>
      </w:r>
      <w:r>
        <w:rPr>
          <w:rFonts w:asciiTheme="majorHAnsi" w:hAnsiTheme="majorHAnsi"/>
          <w:color w:val="000000"/>
        </w:rPr>
        <w:t xml:space="preserve"> M, Davidson</w:t>
      </w:r>
      <w:r>
        <w:rPr>
          <w:rFonts w:asciiTheme="majorHAnsi" w:hAnsiTheme="majorHAnsi"/>
        </w:rPr>
        <w:t>,</w:t>
      </w:r>
      <w:r>
        <w:rPr>
          <w:rFonts w:asciiTheme="majorHAnsi" w:hAnsiTheme="majorHAnsi"/>
          <w:color w:val="000000"/>
        </w:rPr>
        <w:t xml:space="preserve"> JM, Ivors</w:t>
      </w:r>
      <w:r>
        <w:rPr>
          <w:rFonts w:asciiTheme="majorHAnsi" w:hAnsiTheme="majorHAnsi"/>
        </w:rPr>
        <w:t>,</w:t>
      </w:r>
      <w:r>
        <w:rPr>
          <w:rFonts w:asciiTheme="majorHAnsi" w:hAnsiTheme="majorHAnsi"/>
          <w:color w:val="000000"/>
        </w:rPr>
        <w:t xml:space="preserve"> K, Maloney</w:t>
      </w:r>
      <w:r>
        <w:rPr>
          <w:rFonts w:asciiTheme="majorHAnsi" w:hAnsiTheme="majorHAnsi"/>
        </w:rPr>
        <w:t>,</w:t>
      </w:r>
      <w:r>
        <w:rPr>
          <w:rFonts w:asciiTheme="majorHAnsi" w:hAnsiTheme="majorHAnsi"/>
          <w:color w:val="000000"/>
        </w:rPr>
        <w:t xml:space="preserve"> PE, Hüberli</w:t>
      </w:r>
      <w:r>
        <w:rPr>
          <w:rFonts w:asciiTheme="majorHAnsi" w:hAnsiTheme="majorHAnsi"/>
        </w:rPr>
        <w:t>,</w:t>
      </w:r>
      <w:r>
        <w:rPr>
          <w:rFonts w:asciiTheme="majorHAnsi" w:hAnsiTheme="majorHAnsi"/>
          <w:color w:val="000000"/>
        </w:rPr>
        <w:t xml:space="preserve"> D, Koike</w:t>
      </w:r>
      <w:r>
        <w:rPr>
          <w:rFonts w:asciiTheme="majorHAnsi" w:hAnsiTheme="majorHAnsi"/>
        </w:rPr>
        <w:t>,</w:t>
      </w:r>
      <w:r>
        <w:rPr>
          <w:rFonts w:asciiTheme="majorHAnsi" w:hAnsiTheme="majorHAnsi"/>
          <w:color w:val="000000"/>
        </w:rPr>
        <w:t xml:space="preserve"> ST</w:t>
      </w:r>
      <w:r>
        <w:rPr>
          <w:rFonts w:asciiTheme="majorHAnsi" w:hAnsiTheme="majorHAnsi"/>
        </w:rPr>
        <w:t xml:space="preserve"> &amp;</w:t>
      </w:r>
      <w:r>
        <w:rPr>
          <w:rFonts w:asciiTheme="majorHAnsi" w:hAnsiTheme="majorHAnsi"/>
          <w:color w:val="000000"/>
        </w:rPr>
        <w:t xml:space="preserve"> Rizzo</w:t>
      </w:r>
      <w:r>
        <w:rPr>
          <w:rFonts w:asciiTheme="majorHAnsi" w:hAnsiTheme="majorHAnsi"/>
        </w:rPr>
        <w:t>,</w:t>
      </w:r>
      <w:r>
        <w:rPr>
          <w:rFonts w:asciiTheme="majorHAnsi" w:hAnsiTheme="majorHAnsi"/>
          <w:color w:val="000000"/>
        </w:rPr>
        <w:t xml:space="preserve"> DM 2003</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Non-oak native plants are main hosts for sudden oak death pathogen in California</w:t>
      </w:r>
      <w:r>
        <w:rPr>
          <w:rFonts w:asciiTheme="majorHAnsi" w:hAnsiTheme="majorHAnsi"/>
        </w:rPr>
        <w:t xml:space="preserve">’, </w:t>
      </w:r>
      <w:r>
        <w:rPr>
          <w:rFonts w:asciiTheme="majorHAnsi" w:hAnsiTheme="majorHAnsi"/>
          <w:i/>
          <w:color w:val="000000"/>
        </w:rPr>
        <w:t xml:space="preserve">California Agriculture </w:t>
      </w:r>
      <w:r>
        <w:rPr>
          <w:rFonts w:asciiTheme="majorHAnsi" w:hAnsiTheme="majorHAnsi"/>
          <w:color w:val="000000"/>
        </w:rPr>
        <w:t>57: 18–23.</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Garbelotto, M, Rizzo, DM &amp; Davidson, JM 2001, ‘Studies in the genetics of a new </w:t>
      </w:r>
      <w:r>
        <w:rPr>
          <w:rFonts w:asciiTheme="majorHAnsi" w:hAnsiTheme="majorHAnsi"/>
          <w:i/>
        </w:rPr>
        <w:t xml:space="preserve">Phytophthora </w:t>
      </w:r>
      <w:r>
        <w:rPr>
          <w:rFonts w:asciiTheme="majorHAnsi" w:hAnsiTheme="majorHAnsi"/>
        </w:rPr>
        <w:t xml:space="preserve">species associated with sudden oak death in California’, </w:t>
      </w:r>
      <w:r>
        <w:rPr>
          <w:rFonts w:asciiTheme="majorHAnsi" w:hAnsiTheme="majorHAnsi"/>
          <w:i/>
        </w:rPr>
        <w:t>Phytopathology</w:t>
      </w:r>
      <w:r>
        <w:rPr>
          <w:rFonts w:asciiTheme="majorHAnsi" w:hAnsiTheme="majorHAnsi"/>
        </w:rPr>
        <w:t>, 91: S110.</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Giltrap, PM, Hughes, KJD, Barton, VC, Hobden, E, Barber, P &amp; Izzard, K 2007, ‘</w:t>
      </w:r>
      <w:r>
        <w:rPr>
          <w:rFonts w:asciiTheme="majorHAnsi" w:hAnsiTheme="majorHAnsi"/>
          <w:i/>
        </w:rPr>
        <w:t>Phytophthora ramorum</w:t>
      </w:r>
      <w:r>
        <w:rPr>
          <w:rFonts w:asciiTheme="majorHAnsi" w:hAnsiTheme="majorHAnsi"/>
        </w:rPr>
        <w:t xml:space="preserve"> on three new hosts detected using on-site diagnostics’, </w:t>
      </w:r>
      <w:r>
        <w:rPr>
          <w:rFonts w:asciiTheme="majorHAnsi" w:hAnsiTheme="majorHAnsi"/>
          <w:i/>
          <w:color w:val="000000"/>
        </w:rPr>
        <w:t>Plant Pathology</w:t>
      </w:r>
      <w:r>
        <w:rPr>
          <w:rFonts w:asciiTheme="majorHAnsi" w:hAnsiTheme="majorHAnsi"/>
        </w:rPr>
        <w:t>, 56: 728.</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Giltrap, PM, Inman, AJ, Barton, VC, Barnes, AV, Lane, CR, Hughes, KJD, Tomlinson, J, Dean, ML &amp; Izzard, K 2004, ‘First report of ramorum dieback (</w:t>
      </w:r>
      <w:r>
        <w:rPr>
          <w:rFonts w:asciiTheme="majorHAnsi" w:hAnsiTheme="majorHAnsi"/>
          <w:i/>
        </w:rPr>
        <w:t>Phytophthora ramorum</w:t>
      </w:r>
      <w:r>
        <w:rPr>
          <w:rFonts w:asciiTheme="majorHAnsi" w:hAnsiTheme="majorHAnsi"/>
        </w:rPr>
        <w:t xml:space="preserve">) on </w:t>
      </w:r>
      <w:r>
        <w:rPr>
          <w:rFonts w:asciiTheme="majorHAnsi" w:hAnsiTheme="majorHAnsi"/>
          <w:i/>
        </w:rPr>
        <w:t>Hamamelis virginiana</w:t>
      </w:r>
      <w:r>
        <w:rPr>
          <w:rFonts w:asciiTheme="majorHAnsi" w:hAnsiTheme="majorHAnsi"/>
        </w:rPr>
        <w:t xml:space="preserve"> in the UK’, </w:t>
      </w:r>
      <w:r>
        <w:rPr>
          <w:rFonts w:asciiTheme="majorHAnsi" w:hAnsiTheme="majorHAnsi"/>
          <w:i/>
        </w:rPr>
        <w:t>New Disease Reports</w:t>
      </w:r>
      <w:r>
        <w:rPr>
          <w:rFonts w:asciiTheme="majorHAnsi" w:hAnsiTheme="majorHAnsi"/>
        </w:rPr>
        <w:t>, 9: 11.</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Goheen, EM &amp; Frankel, SJ 2009, ‘</w:t>
      </w:r>
      <w:r>
        <w:rPr>
          <w:rFonts w:asciiTheme="majorHAnsi" w:hAnsiTheme="majorHAnsi"/>
          <w:i/>
        </w:rPr>
        <w:t>Phytophthora</w:t>
      </w:r>
      <w:r>
        <w:rPr>
          <w:rFonts w:asciiTheme="majorHAnsi" w:hAnsiTheme="majorHAnsi"/>
        </w:rPr>
        <w:t xml:space="preserve">s in forests and natural ecosystems’, </w:t>
      </w:r>
      <w:r>
        <w:rPr>
          <w:rFonts w:asciiTheme="majorHAnsi" w:hAnsiTheme="majorHAnsi"/>
          <w:i/>
        </w:rPr>
        <w:t>Proceedings of the 4th Meeting of the International Union of Forest Research Organizations</w:t>
      </w:r>
      <w:r>
        <w:rPr>
          <w:rFonts w:asciiTheme="majorHAnsi" w:hAnsiTheme="majorHAnsi"/>
        </w:rPr>
        <w:t xml:space="preserve"> (IUFRO) Working Party S07.02.09, Monterey, California, USA, General Technical Report</w:t>
      </w:r>
      <w:r w:rsidR="007B1790">
        <w:rPr>
          <w:rFonts w:asciiTheme="majorHAnsi" w:hAnsiTheme="majorHAnsi"/>
        </w:rPr>
        <w:t xml:space="preserve"> PSW-GTR-221, 47–53. </w:t>
      </w:r>
      <w:r>
        <w:rPr>
          <w:rFonts w:asciiTheme="majorHAnsi" w:hAnsiTheme="majorHAnsi"/>
        </w:rPr>
        <w:t>fs.fed.us/psw/publications/documents/psw_gtr221/psw_gtr221.pdf.</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t>Goheen</w:t>
      </w:r>
      <w:r>
        <w:rPr>
          <w:rFonts w:asciiTheme="majorHAnsi" w:hAnsiTheme="majorHAnsi"/>
        </w:rPr>
        <w:t>,</w:t>
      </w:r>
      <w:r>
        <w:rPr>
          <w:rFonts w:asciiTheme="majorHAnsi" w:hAnsiTheme="majorHAnsi"/>
          <w:color w:val="000000"/>
        </w:rPr>
        <w:t xml:space="preserve"> EM, Hansen</w:t>
      </w:r>
      <w:r>
        <w:rPr>
          <w:rFonts w:asciiTheme="majorHAnsi" w:hAnsiTheme="majorHAnsi"/>
        </w:rPr>
        <w:t>,</w:t>
      </w:r>
      <w:r>
        <w:rPr>
          <w:rFonts w:asciiTheme="majorHAnsi" w:hAnsiTheme="majorHAnsi"/>
          <w:color w:val="000000"/>
        </w:rPr>
        <w:t xml:space="preserve"> E, Kanaskie</w:t>
      </w:r>
      <w:r>
        <w:rPr>
          <w:rFonts w:asciiTheme="majorHAnsi" w:hAnsiTheme="majorHAnsi"/>
        </w:rPr>
        <w:t>,</w:t>
      </w:r>
      <w:r>
        <w:rPr>
          <w:rFonts w:asciiTheme="majorHAnsi" w:hAnsiTheme="majorHAnsi"/>
          <w:color w:val="000000"/>
        </w:rPr>
        <w:t xml:space="preserve"> A, Osterbauer</w:t>
      </w:r>
      <w:r>
        <w:rPr>
          <w:rFonts w:asciiTheme="majorHAnsi" w:hAnsiTheme="majorHAnsi"/>
        </w:rPr>
        <w:t>,</w:t>
      </w:r>
      <w:r>
        <w:rPr>
          <w:rFonts w:asciiTheme="majorHAnsi" w:hAnsiTheme="majorHAnsi"/>
          <w:color w:val="000000"/>
        </w:rPr>
        <w:t xml:space="preserve"> N, Parke</w:t>
      </w:r>
      <w:r>
        <w:rPr>
          <w:rFonts w:asciiTheme="majorHAnsi" w:hAnsiTheme="majorHAnsi"/>
        </w:rPr>
        <w:t>,</w:t>
      </w:r>
      <w:r>
        <w:rPr>
          <w:rFonts w:asciiTheme="majorHAnsi" w:hAnsiTheme="majorHAnsi"/>
          <w:color w:val="000000"/>
        </w:rPr>
        <w:t xml:space="preserve"> J, Pscheidt</w:t>
      </w:r>
      <w:r>
        <w:rPr>
          <w:rFonts w:asciiTheme="majorHAnsi" w:hAnsiTheme="majorHAnsi"/>
        </w:rPr>
        <w:t>,</w:t>
      </w:r>
      <w:r>
        <w:rPr>
          <w:rFonts w:asciiTheme="majorHAnsi" w:hAnsiTheme="majorHAnsi"/>
          <w:color w:val="000000"/>
        </w:rPr>
        <w:t xml:space="preserve"> J</w:t>
      </w:r>
      <w:r>
        <w:rPr>
          <w:rFonts w:asciiTheme="majorHAnsi" w:hAnsiTheme="majorHAnsi"/>
        </w:rPr>
        <w:t xml:space="preserve"> &amp;</w:t>
      </w:r>
      <w:r>
        <w:rPr>
          <w:rFonts w:asciiTheme="majorHAnsi" w:hAnsiTheme="majorHAnsi"/>
          <w:color w:val="000000"/>
        </w:rPr>
        <w:t xml:space="preserve"> Chastagner</w:t>
      </w:r>
      <w:r>
        <w:rPr>
          <w:rFonts w:asciiTheme="majorHAnsi" w:hAnsiTheme="majorHAnsi"/>
        </w:rPr>
        <w:t>,</w:t>
      </w:r>
      <w:r>
        <w:rPr>
          <w:rFonts w:asciiTheme="majorHAnsi" w:hAnsiTheme="majorHAnsi"/>
          <w:color w:val="000000"/>
        </w:rPr>
        <w:t xml:space="preserve"> G 2006</w:t>
      </w:r>
      <w:r>
        <w:rPr>
          <w:rFonts w:asciiTheme="majorHAnsi" w:hAnsiTheme="majorHAnsi"/>
        </w:rPr>
        <w:t>a,</w:t>
      </w:r>
      <w:r>
        <w:rPr>
          <w:rFonts w:asciiTheme="majorHAnsi" w:hAnsiTheme="majorHAnsi"/>
          <w:color w:val="000000"/>
        </w:rPr>
        <w:t xml:space="preserve"> </w:t>
      </w:r>
      <w:r>
        <w:rPr>
          <w:rFonts w:asciiTheme="majorHAnsi" w:hAnsiTheme="majorHAnsi"/>
        </w:rPr>
        <w:t>‘</w:t>
      </w:r>
      <w:r>
        <w:rPr>
          <w:rFonts w:asciiTheme="majorHAnsi" w:hAnsiTheme="majorHAnsi"/>
          <w:color w:val="000000"/>
        </w:rPr>
        <w:t xml:space="preserve">Sudden Oak Death and </w:t>
      </w:r>
      <w:r>
        <w:rPr>
          <w:rFonts w:asciiTheme="majorHAnsi" w:hAnsiTheme="majorHAnsi"/>
          <w:i/>
          <w:color w:val="000000"/>
        </w:rPr>
        <w:t>Phytophthora ramorum</w:t>
      </w:r>
      <w:r>
        <w:rPr>
          <w:rFonts w:asciiTheme="majorHAnsi" w:hAnsiTheme="majorHAnsi"/>
          <w:color w:val="000000"/>
        </w:rPr>
        <w:t xml:space="preserve">’, </w:t>
      </w:r>
      <w:r>
        <w:rPr>
          <w:rFonts w:asciiTheme="majorHAnsi" w:hAnsiTheme="majorHAnsi"/>
        </w:rPr>
        <w:t xml:space="preserve">In: </w:t>
      </w:r>
      <w:r>
        <w:rPr>
          <w:rFonts w:asciiTheme="majorHAnsi" w:hAnsiTheme="majorHAnsi"/>
          <w:i/>
          <w:color w:val="000000"/>
        </w:rPr>
        <w:t>A guide for forest managers, Christmas tree growers, and forest-tree nursery operators in Oregon and Washington</w:t>
      </w:r>
      <w:r>
        <w:rPr>
          <w:rFonts w:asciiTheme="majorHAnsi" w:hAnsiTheme="majorHAnsi"/>
          <w:i/>
        </w:rPr>
        <w:t xml:space="preserve">, </w:t>
      </w:r>
      <w:r>
        <w:rPr>
          <w:rFonts w:asciiTheme="majorHAnsi" w:hAnsiTheme="majorHAnsi"/>
        </w:rPr>
        <w:t xml:space="preserve">EM 8877.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Goheen, EM, Hansen, EM, Kanaskie, A, McWilliams, MG, Osterbauer, N &amp; Sutton, W 2002, ‘Sudden oak death caused by </w:t>
      </w:r>
      <w:r>
        <w:rPr>
          <w:rFonts w:asciiTheme="majorHAnsi" w:hAnsiTheme="majorHAnsi"/>
          <w:i/>
        </w:rPr>
        <w:t>Phytophthora ramorum</w:t>
      </w:r>
      <w:r>
        <w:rPr>
          <w:rFonts w:asciiTheme="majorHAnsi" w:hAnsiTheme="majorHAnsi"/>
        </w:rPr>
        <w:t xml:space="preserve"> in Oregon’, </w:t>
      </w:r>
      <w:r>
        <w:rPr>
          <w:rFonts w:asciiTheme="majorHAnsi" w:hAnsiTheme="majorHAnsi"/>
          <w:i/>
        </w:rPr>
        <w:t>Plant Disease</w:t>
      </w:r>
      <w:r>
        <w:rPr>
          <w:rFonts w:asciiTheme="majorHAnsi" w:hAnsiTheme="majorHAnsi"/>
        </w:rPr>
        <w:t>, 86: 441.</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Goheen, EM, Kanaskie, A, Parke, J, Roth, M, Osterbauer, N &amp; Trippe, A 2006b, ‘Applications of fungicides to protect four hosts from foliar infection by </w:t>
      </w:r>
      <w:r>
        <w:rPr>
          <w:rFonts w:asciiTheme="majorHAnsi" w:hAnsiTheme="majorHAnsi"/>
          <w:i/>
        </w:rPr>
        <w:t>Phytophthora ramorum</w:t>
      </w:r>
      <w:r>
        <w:rPr>
          <w:rFonts w:asciiTheme="majorHAnsi" w:hAnsiTheme="majorHAnsi"/>
        </w:rPr>
        <w:t xml:space="preserve"> in Curry County, Oregon’, </w:t>
      </w:r>
      <w:r>
        <w:rPr>
          <w:rFonts w:asciiTheme="majorHAnsi" w:hAnsiTheme="majorHAnsi"/>
          <w:i/>
        </w:rPr>
        <w:t>Proceedings of the Sudden Oak Death Second Science Symposium: The State of Our Knowledge</w:t>
      </w:r>
      <w:r>
        <w:rPr>
          <w:rFonts w:asciiTheme="majorHAnsi" w:hAnsiTheme="majorHAnsi"/>
        </w:rPr>
        <w:t>, General technical report PSWGTR-196, 513–514.</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Gomes, MJ &amp; Amaro, PT 2009, ‘Occurrence of </w:t>
      </w:r>
      <w:r>
        <w:rPr>
          <w:rFonts w:asciiTheme="majorHAnsi" w:hAnsiTheme="majorHAnsi"/>
          <w:i/>
        </w:rPr>
        <w:t>Phytophthora ramorum</w:t>
      </w:r>
      <w:r>
        <w:rPr>
          <w:rFonts w:asciiTheme="majorHAnsi" w:hAnsiTheme="majorHAnsi"/>
        </w:rPr>
        <w:t xml:space="preserve"> in Portugal on </w:t>
      </w:r>
      <w:r>
        <w:rPr>
          <w:rFonts w:asciiTheme="majorHAnsi" w:hAnsiTheme="majorHAnsi"/>
          <w:i/>
        </w:rPr>
        <w:t>Viburnum</w:t>
      </w:r>
      <w:r>
        <w:rPr>
          <w:rFonts w:asciiTheme="majorHAnsi" w:hAnsiTheme="majorHAnsi"/>
        </w:rPr>
        <w:t xml:space="preserve"> spp’, </w:t>
      </w:r>
      <w:r>
        <w:rPr>
          <w:rFonts w:asciiTheme="majorHAnsi" w:hAnsiTheme="majorHAnsi"/>
          <w:i/>
        </w:rPr>
        <w:t>Revista de Ciências Agrárias</w:t>
      </w:r>
      <w:r>
        <w:rPr>
          <w:rFonts w:asciiTheme="majorHAnsi" w:hAnsiTheme="majorHAnsi"/>
        </w:rPr>
        <w:t xml:space="preserve">, 31(2): 105–111.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t>Goss</w:t>
      </w:r>
      <w:r>
        <w:rPr>
          <w:rFonts w:asciiTheme="majorHAnsi" w:hAnsiTheme="majorHAnsi"/>
        </w:rPr>
        <w:t>,</w:t>
      </w:r>
      <w:r>
        <w:rPr>
          <w:rFonts w:asciiTheme="majorHAnsi" w:hAnsiTheme="majorHAnsi"/>
          <w:color w:val="000000"/>
        </w:rPr>
        <w:t xml:space="preserve"> EM, Carbone</w:t>
      </w:r>
      <w:r>
        <w:rPr>
          <w:rFonts w:asciiTheme="majorHAnsi" w:hAnsiTheme="majorHAnsi"/>
        </w:rPr>
        <w:t>,</w:t>
      </w:r>
      <w:r>
        <w:rPr>
          <w:rFonts w:asciiTheme="majorHAnsi" w:hAnsiTheme="majorHAnsi"/>
          <w:color w:val="000000"/>
        </w:rPr>
        <w:t xml:space="preserve"> I</w:t>
      </w:r>
      <w:r>
        <w:rPr>
          <w:rFonts w:asciiTheme="majorHAnsi" w:hAnsiTheme="majorHAnsi"/>
        </w:rPr>
        <w:t xml:space="preserve"> &amp;</w:t>
      </w:r>
      <w:r>
        <w:rPr>
          <w:rFonts w:asciiTheme="majorHAnsi" w:hAnsiTheme="majorHAnsi"/>
          <w:color w:val="000000"/>
        </w:rPr>
        <w:t xml:space="preserve"> Gr</w:t>
      </w:r>
      <w:r>
        <w:rPr>
          <w:rFonts w:asciiTheme="majorHAnsi" w:hAnsiTheme="majorHAnsi"/>
        </w:rPr>
        <w:t>ü</w:t>
      </w:r>
      <w:r>
        <w:rPr>
          <w:rFonts w:asciiTheme="majorHAnsi" w:hAnsiTheme="majorHAnsi"/>
          <w:color w:val="000000"/>
        </w:rPr>
        <w:t>nwald</w:t>
      </w:r>
      <w:r>
        <w:rPr>
          <w:rFonts w:asciiTheme="majorHAnsi" w:hAnsiTheme="majorHAnsi"/>
        </w:rPr>
        <w:t>,</w:t>
      </w:r>
      <w:r>
        <w:rPr>
          <w:rFonts w:asciiTheme="majorHAnsi" w:hAnsiTheme="majorHAnsi"/>
          <w:color w:val="000000"/>
        </w:rPr>
        <w:t xml:space="preserve"> NJ 2009a</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 xml:space="preserve">Ancient isolation and independent evolution of the three clonal lineages of the exotic sudden oak death pathogen </w:t>
      </w:r>
      <w:r>
        <w:rPr>
          <w:rFonts w:asciiTheme="majorHAnsi" w:hAnsiTheme="majorHAnsi"/>
          <w:i/>
        </w:rPr>
        <w:t>Phytophthora ramorum</w:t>
      </w:r>
      <w:r>
        <w:rPr>
          <w:rFonts w:asciiTheme="majorHAnsi" w:hAnsiTheme="majorHAnsi"/>
        </w:rPr>
        <w:t xml:space="preserve">’, </w:t>
      </w:r>
      <w:r>
        <w:rPr>
          <w:rFonts w:asciiTheme="majorHAnsi" w:hAnsiTheme="majorHAnsi"/>
          <w:i/>
          <w:color w:val="000000"/>
        </w:rPr>
        <w:t>Molecular Ecology</w:t>
      </w:r>
      <w:r>
        <w:rPr>
          <w:rFonts w:asciiTheme="majorHAnsi" w:hAnsiTheme="majorHAnsi"/>
        </w:rPr>
        <w:t>,</w:t>
      </w:r>
      <w:r>
        <w:rPr>
          <w:rFonts w:asciiTheme="majorHAnsi" w:hAnsiTheme="majorHAnsi"/>
          <w:color w:val="000000"/>
        </w:rPr>
        <w:t xml:space="preserve"> 18: 1161–1174.</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t>Goss</w:t>
      </w:r>
      <w:r>
        <w:rPr>
          <w:rFonts w:asciiTheme="majorHAnsi" w:hAnsiTheme="majorHAnsi"/>
        </w:rPr>
        <w:t>,</w:t>
      </w:r>
      <w:r>
        <w:rPr>
          <w:rFonts w:asciiTheme="majorHAnsi" w:hAnsiTheme="majorHAnsi"/>
          <w:color w:val="000000"/>
        </w:rPr>
        <w:t xml:space="preserve"> EM, Larsen</w:t>
      </w:r>
      <w:r>
        <w:rPr>
          <w:rFonts w:asciiTheme="majorHAnsi" w:hAnsiTheme="majorHAnsi"/>
        </w:rPr>
        <w:t>,</w:t>
      </w:r>
      <w:r>
        <w:rPr>
          <w:rFonts w:asciiTheme="majorHAnsi" w:hAnsiTheme="majorHAnsi"/>
          <w:color w:val="000000"/>
        </w:rPr>
        <w:t xml:space="preserve"> M, Chastagner</w:t>
      </w:r>
      <w:r>
        <w:rPr>
          <w:rFonts w:asciiTheme="majorHAnsi" w:hAnsiTheme="majorHAnsi"/>
        </w:rPr>
        <w:t>,</w:t>
      </w:r>
      <w:r>
        <w:rPr>
          <w:rFonts w:asciiTheme="majorHAnsi" w:hAnsiTheme="majorHAnsi"/>
          <w:color w:val="000000"/>
        </w:rPr>
        <w:t xml:space="preserve"> GA, Givens</w:t>
      </w:r>
      <w:r>
        <w:rPr>
          <w:rFonts w:asciiTheme="majorHAnsi" w:hAnsiTheme="majorHAnsi"/>
        </w:rPr>
        <w:t>,</w:t>
      </w:r>
      <w:r>
        <w:rPr>
          <w:rFonts w:asciiTheme="majorHAnsi" w:hAnsiTheme="majorHAnsi"/>
          <w:color w:val="000000"/>
        </w:rPr>
        <w:t xml:space="preserve"> DR</w:t>
      </w:r>
      <w:r>
        <w:rPr>
          <w:rFonts w:asciiTheme="majorHAnsi" w:hAnsiTheme="majorHAnsi"/>
        </w:rPr>
        <w:t xml:space="preserve"> &amp;</w:t>
      </w:r>
      <w:r>
        <w:rPr>
          <w:rFonts w:asciiTheme="majorHAnsi" w:hAnsiTheme="majorHAnsi"/>
          <w:color w:val="000000"/>
        </w:rPr>
        <w:t xml:space="preserve"> Grünwald</w:t>
      </w:r>
      <w:r>
        <w:rPr>
          <w:rFonts w:asciiTheme="majorHAnsi" w:hAnsiTheme="majorHAnsi"/>
        </w:rPr>
        <w:t>,</w:t>
      </w:r>
      <w:r>
        <w:rPr>
          <w:rFonts w:asciiTheme="majorHAnsi" w:hAnsiTheme="majorHAnsi"/>
          <w:color w:val="000000"/>
        </w:rPr>
        <w:t xml:space="preserve"> NJ 2009b</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 xml:space="preserve">Population genetic analysis infers migration pathways of </w:t>
      </w:r>
      <w:r>
        <w:rPr>
          <w:rFonts w:asciiTheme="majorHAnsi" w:hAnsiTheme="majorHAnsi"/>
          <w:i/>
        </w:rPr>
        <w:t>Phytophthora ramorum</w:t>
      </w:r>
      <w:r>
        <w:rPr>
          <w:rFonts w:asciiTheme="majorHAnsi" w:hAnsiTheme="majorHAnsi"/>
          <w:color w:val="000000"/>
        </w:rPr>
        <w:t xml:space="preserve"> in US nurseries</w:t>
      </w:r>
      <w:r>
        <w:rPr>
          <w:rFonts w:asciiTheme="majorHAnsi" w:hAnsiTheme="majorHAnsi"/>
        </w:rPr>
        <w:t xml:space="preserve">’, </w:t>
      </w:r>
      <w:r>
        <w:rPr>
          <w:rFonts w:asciiTheme="majorHAnsi" w:hAnsiTheme="majorHAnsi"/>
          <w:i/>
          <w:color w:val="000000"/>
        </w:rPr>
        <w:t>PLoS Pathogens</w:t>
      </w:r>
      <w:r>
        <w:rPr>
          <w:rFonts w:asciiTheme="majorHAnsi" w:hAnsiTheme="majorHAnsi"/>
        </w:rPr>
        <w:t xml:space="preserve">, </w:t>
      </w:r>
      <w:r>
        <w:rPr>
          <w:rFonts w:asciiTheme="majorHAnsi" w:hAnsiTheme="majorHAnsi"/>
          <w:color w:val="000000"/>
        </w:rPr>
        <w:t>5: 1–12.</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t>Goss</w:t>
      </w:r>
      <w:r>
        <w:rPr>
          <w:rFonts w:asciiTheme="majorHAnsi" w:hAnsiTheme="majorHAnsi"/>
        </w:rPr>
        <w:t>,</w:t>
      </w:r>
      <w:r>
        <w:rPr>
          <w:rFonts w:asciiTheme="majorHAnsi" w:hAnsiTheme="majorHAnsi"/>
          <w:color w:val="000000"/>
        </w:rPr>
        <w:t xml:space="preserve"> EM, Larsen</w:t>
      </w:r>
      <w:r>
        <w:rPr>
          <w:rFonts w:asciiTheme="majorHAnsi" w:hAnsiTheme="majorHAnsi"/>
        </w:rPr>
        <w:t>,</w:t>
      </w:r>
      <w:r>
        <w:rPr>
          <w:rFonts w:asciiTheme="majorHAnsi" w:hAnsiTheme="majorHAnsi"/>
          <w:color w:val="000000"/>
        </w:rPr>
        <w:t xml:space="preserve"> M, Vercauteren</w:t>
      </w:r>
      <w:r>
        <w:rPr>
          <w:rFonts w:asciiTheme="majorHAnsi" w:hAnsiTheme="majorHAnsi"/>
        </w:rPr>
        <w:t>,</w:t>
      </w:r>
      <w:r>
        <w:rPr>
          <w:rFonts w:asciiTheme="majorHAnsi" w:hAnsiTheme="majorHAnsi"/>
          <w:color w:val="000000"/>
        </w:rPr>
        <w:t xml:space="preserve"> A, Werres</w:t>
      </w:r>
      <w:r>
        <w:rPr>
          <w:rFonts w:asciiTheme="majorHAnsi" w:hAnsiTheme="majorHAnsi"/>
        </w:rPr>
        <w:t>,</w:t>
      </w:r>
      <w:r>
        <w:rPr>
          <w:rFonts w:asciiTheme="majorHAnsi" w:hAnsiTheme="majorHAnsi"/>
          <w:color w:val="000000"/>
        </w:rPr>
        <w:t xml:space="preserve"> S, Heungens</w:t>
      </w:r>
      <w:r>
        <w:rPr>
          <w:rFonts w:asciiTheme="majorHAnsi" w:hAnsiTheme="majorHAnsi"/>
        </w:rPr>
        <w:t>,</w:t>
      </w:r>
      <w:r>
        <w:rPr>
          <w:rFonts w:asciiTheme="majorHAnsi" w:hAnsiTheme="majorHAnsi"/>
          <w:color w:val="000000"/>
        </w:rPr>
        <w:t xml:space="preserve"> K</w:t>
      </w:r>
      <w:r>
        <w:rPr>
          <w:rFonts w:asciiTheme="majorHAnsi" w:hAnsiTheme="majorHAnsi"/>
        </w:rPr>
        <w:t xml:space="preserve"> &amp;</w:t>
      </w:r>
      <w:r>
        <w:rPr>
          <w:rFonts w:asciiTheme="majorHAnsi" w:hAnsiTheme="majorHAnsi"/>
          <w:color w:val="000000"/>
        </w:rPr>
        <w:t xml:space="preserve"> Gr</w:t>
      </w:r>
      <w:r>
        <w:rPr>
          <w:rFonts w:asciiTheme="majorHAnsi" w:hAnsiTheme="majorHAnsi"/>
        </w:rPr>
        <w:t>ü</w:t>
      </w:r>
      <w:r>
        <w:rPr>
          <w:rFonts w:asciiTheme="majorHAnsi" w:hAnsiTheme="majorHAnsi"/>
          <w:color w:val="000000"/>
        </w:rPr>
        <w:t>nwald</w:t>
      </w:r>
      <w:r>
        <w:rPr>
          <w:rFonts w:asciiTheme="majorHAnsi" w:hAnsiTheme="majorHAnsi"/>
        </w:rPr>
        <w:t>,</w:t>
      </w:r>
      <w:r>
        <w:rPr>
          <w:rFonts w:asciiTheme="majorHAnsi" w:hAnsiTheme="majorHAnsi"/>
          <w:color w:val="000000"/>
        </w:rPr>
        <w:t xml:space="preserve"> NJ 2011</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i/>
        </w:rPr>
        <w:t>Phytophthora ramorum</w:t>
      </w:r>
      <w:r>
        <w:rPr>
          <w:rFonts w:asciiTheme="majorHAnsi" w:hAnsiTheme="majorHAnsi"/>
          <w:color w:val="000000"/>
        </w:rPr>
        <w:t xml:space="preserve"> in Canada: evidence for migration within North America and from Europe</w:t>
      </w:r>
      <w:r>
        <w:rPr>
          <w:rFonts w:asciiTheme="majorHAnsi" w:hAnsiTheme="majorHAnsi"/>
        </w:rPr>
        <w:t xml:space="preserve">’, </w:t>
      </w:r>
      <w:r>
        <w:rPr>
          <w:rFonts w:asciiTheme="majorHAnsi" w:hAnsiTheme="majorHAnsi"/>
          <w:i/>
          <w:color w:val="000000"/>
        </w:rPr>
        <w:t>Phytopathology</w:t>
      </w:r>
      <w:r>
        <w:rPr>
          <w:rFonts w:asciiTheme="majorHAnsi" w:hAnsiTheme="majorHAnsi"/>
        </w:rPr>
        <w:t xml:space="preserve">, </w:t>
      </w:r>
      <w:r>
        <w:rPr>
          <w:rFonts w:asciiTheme="majorHAnsi" w:hAnsiTheme="majorHAnsi"/>
          <w:color w:val="000000"/>
        </w:rPr>
        <w:t>101: 166–171.</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lastRenderedPageBreak/>
        <w:t xml:space="preserve">Grünwald NJ, Goss EM, Press CM (2008c) </w:t>
      </w:r>
      <w:r>
        <w:rPr>
          <w:rFonts w:asciiTheme="majorHAnsi" w:hAnsiTheme="majorHAnsi"/>
          <w:i/>
        </w:rPr>
        <w:t>Phytophthora ramorum</w:t>
      </w:r>
      <w:r>
        <w:rPr>
          <w:rFonts w:asciiTheme="majorHAnsi" w:hAnsiTheme="majorHAnsi"/>
        </w:rPr>
        <w:t xml:space="preserve">: a pathogen with a remarkably wide host-range causing sudden oak death on oaks and ramorum blight on woody ornamentals. </w:t>
      </w:r>
      <w:r>
        <w:rPr>
          <w:rFonts w:asciiTheme="majorHAnsi" w:hAnsiTheme="majorHAnsi"/>
          <w:i/>
        </w:rPr>
        <w:t>Molecular Plant Pathology</w:t>
      </w:r>
      <w:r>
        <w:rPr>
          <w:rFonts w:asciiTheme="majorHAnsi" w:hAnsiTheme="majorHAnsi"/>
        </w:rPr>
        <w:t xml:space="preserve"> 9: 729–740.</w:t>
      </w:r>
    </w:p>
    <w:p w:rsidR="00C74066" w:rsidRDefault="00F10705">
      <w:pPr>
        <w:spacing w:before="120" w:after="120" w:line="271" w:lineRule="auto"/>
        <w:rPr>
          <w:rFonts w:asciiTheme="majorHAnsi" w:eastAsiaTheme="minorEastAsia" w:hAnsiTheme="majorHAnsi"/>
          <w:lang w:bidi="en-US"/>
        </w:rPr>
      </w:pPr>
      <w:r>
        <w:rPr>
          <w:rFonts w:asciiTheme="majorHAnsi" w:eastAsiaTheme="minorEastAsia" w:hAnsiTheme="majorHAnsi"/>
          <w:lang w:bidi="en-US"/>
        </w:rPr>
        <w:t>Grünwald, NJ, Garbelotto, M, Goss, EM, Heungens, K &amp; Prospero, S 2012</w:t>
      </w:r>
      <w:r>
        <w:rPr>
          <w:rFonts w:asciiTheme="majorHAnsi" w:hAnsiTheme="majorHAnsi"/>
        </w:rPr>
        <w:t xml:space="preserve">, </w:t>
      </w:r>
      <w:r>
        <w:rPr>
          <w:rFonts w:asciiTheme="majorHAnsi" w:eastAsiaTheme="minorEastAsia" w:hAnsiTheme="majorHAnsi"/>
          <w:lang w:bidi="en-US"/>
        </w:rPr>
        <w:t>Emergence of the sudden oak death pathogen</w:t>
      </w:r>
      <w:r>
        <w:rPr>
          <w:rFonts w:asciiTheme="majorHAnsi" w:hAnsiTheme="majorHAnsi"/>
        </w:rPr>
        <w:t xml:space="preserve"> </w:t>
      </w:r>
      <w:r>
        <w:rPr>
          <w:rFonts w:asciiTheme="majorHAnsi" w:eastAsiaTheme="minorEastAsia" w:hAnsiTheme="majorHAnsi"/>
          <w:i/>
          <w:lang w:bidi="en-US"/>
        </w:rPr>
        <w:t>Phytophthora ramorum</w:t>
      </w:r>
      <w:r>
        <w:rPr>
          <w:rFonts w:asciiTheme="majorHAnsi" w:hAnsiTheme="majorHAnsi"/>
        </w:rPr>
        <w:t xml:space="preserve">, </w:t>
      </w:r>
      <w:r>
        <w:rPr>
          <w:rFonts w:asciiTheme="majorHAnsi" w:eastAsiaTheme="minorEastAsia" w:hAnsiTheme="majorHAnsi"/>
          <w:i/>
          <w:lang w:bidi="en-US"/>
        </w:rPr>
        <w:t>Trends in microbiology</w:t>
      </w:r>
      <w:r>
        <w:rPr>
          <w:rFonts w:asciiTheme="majorHAnsi" w:eastAsiaTheme="minorEastAsia" w:hAnsiTheme="majorHAnsi"/>
          <w:lang w:bidi="en-US"/>
        </w:rPr>
        <w:t>, 20</w:t>
      </w:r>
      <w:r>
        <w:rPr>
          <w:rFonts w:asciiTheme="majorHAnsi" w:hAnsiTheme="majorHAnsi"/>
        </w:rPr>
        <w:t xml:space="preserve">: </w:t>
      </w:r>
      <w:r>
        <w:rPr>
          <w:rFonts w:asciiTheme="majorHAnsi" w:eastAsiaTheme="minorEastAsia" w:hAnsiTheme="majorHAnsi"/>
          <w:lang w:bidi="en-US"/>
        </w:rPr>
        <w:t>3</w:t>
      </w:r>
      <w:r>
        <w:rPr>
          <w:rFonts w:asciiTheme="majorHAnsi" w:hAnsiTheme="majorHAnsi"/>
        </w:rPr>
        <w:t xml:space="preserve">: </w:t>
      </w:r>
      <w:r>
        <w:rPr>
          <w:rFonts w:asciiTheme="majorHAnsi" w:eastAsiaTheme="minorEastAsia" w:hAnsiTheme="majorHAnsi"/>
          <w:lang w:bidi="en-US"/>
        </w:rPr>
        <w:t>131–138.</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Grünwald, NJ, Goss, E, Ivors, K, Garbelotto, M, Martin, FN, Prospero, S, Hansen, E, Bonants, PJM, Hamelin, RC, Chastagner, G, Werres, S, Rizzo, DM, Abad, G, Beales, P, Bilodeau, GJ, Blomquist, CL, Brasier, C, Brière, SC, Chandelier, A, Davidson, JM, Denman, S, Elliott, M, Frankel, SJ, Goheen, EM, de Gruyter, H, Heungens, K, Kanaskie, A, McWilliams, MG, Man in ‘t Veld, W, Moralejo, E, Osterbauer, NK, Palm, ME, Parke, JL, Perez Sierra, AM, Shamoun, SF, Shishkoff, N, Tooley, PW, Vettraino, AM, Webber, J, Widmer, TL &amp; James, D 2009, ‘Standardizing the nomenclature for clonal lineages of the sudden oak death pathogen, </w:t>
      </w:r>
      <w:r>
        <w:rPr>
          <w:rFonts w:asciiTheme="majorHAnsi" w:hAnsiTheme="majorHAnsi"/>
          <w:i/>
        </w:rPr>
        <w:t>Phytophthora ramorum</w:t>
      </w:r>
      <w:r>
        <w:rPr>
          <w:rFonts w:asciiTheme="majorHAnsi" w:hAnsiTheme="majorHAnsi"/>
        </w:rPr>
        <w:t xml:space="preserve">’, </w:t>
      </w:r>
      <w:r>
        <w:rPr>
          <w:rFonts w:asciiTheme="majorHAnsi" w:hAnsiTheme="majorHAnsi"/>
          <w:i/>
        </w:rPr>
        <w:t>Phytopathology</w:t>
      </w:r>
      <w:r>
        <w:rPr>
          <w:rFonts w:asciiTheme="majorHAnsi" w:hAnsiTheme="majorHAnsi"/>
        </w:rPr>
        <w:t>, 99: 792–795.</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Grünwald, NJ, Goss, EM, Larsen, MM, Press, CM, McDonald, VT, Blomquist, CL &amp; Thomas, SL 2008a, ‘First report of the European lineage of </w:t>
      </w:r>
      <w:r>
        <w:rPr>
          <w:rFonts w:asciiTheme="majorHAnsi" w:hAnsiTheme="majorHAnsi"/>
          <w:i/>
        </w:rPr>
        <w:t>Phytophthora ramorum</w:t>
      </w:r>
      <w:r>
        <w:rPr>
          <w:rFonts w:asciiTheme="majorHAnsi" w:hAnsiTheme="majorHAnsi"/>
        </w:rPr>
        <w:t xml:space="preserve"> on </w:t>
      </w:r>
      <w:r>
        <w:rPr>
          <w:rFonts w:asciiTheme="majorHAnsi" w:hAnsiTheme="majorHAnsi"/>
          <w:i/>
          <w:color w:val="000000"/>
        </w:rPr>
        <w:t>Viburnum</w:t>
      </w:r>
      <w:r>
        <w:rPr>
          <w:rFonts w:asciiTheme="majorHAnsi" w:hAnsiTheme="majorHAnsi"/>
        </w:rPr>
        <w:t xml:space="preserve"> and </w:t>
      </w:r>
      <w:r>
        <w:rPr>
          <w:rFonts w:asciiTheme="majorHAnsi" w:hAnsiTheme="majorHAnsi"/>
          <w:i/>
          <w:color w:val="000000"/>
        </w:rPr>
        <w:t>Osmanthus</w:t>
      </w:r>
      <w:r>
        <w:rPr>
          <w:rFonts w:asciiTheme="majorHAnsi" w:hAnsiTheme="majorHAnsi"/>
        </w:rPr>
        <w:t xml:space="preserve"> species in a California Nursery’, </w:t>
      </w:r>
      <w:r>
        <w:rPr>
          <w:rFonts w:asciiTheme="majorHAnsi" w:hAnsiTheme="majorHAnsi"/>
          <w:i/>
        </w:rPr>
        <w:t>Plant Disease</w:t>
      </w:r>
      <w:r>
        <w:rPr>
          <w:rFonts w:asciiTheme="majorHAnsi" w:hAnsiTheme="majorHAnsi"/>
        </w:rPr>
        <w:t xml:space="preserve">, 92: 314.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Grünwald, NJ, Kitner, M, McDonald, V &amp; Goss, E 2008b, ‘Susceptibility in </w:t>
      </w:r>
      <w:r>
        <w:rPr>
          <w:rFonts w:asciiTheme="majorHAnsi" w:hAnsiTheme="majorHAnsi"/>
          <w:i/>
          <w:color w:val="000000"/>
        </w:rPr>
        <w:t xml:space="preserve">Viburnum </w:t>
      </w:r>
      <w:r>
        <w:rPr>
          <w:rFonts w:asciiTheme="majorHAnsi" w:hAnsiTheme="majorHAnsi"/>
        </w:rPr>
        <w:t xml:space="preserve">to </w:t>
      </w:r>
      <w:r>
        <w:rPr>
          <w:rFonts w:asciiTheme="majorHAnsi" w:hAnsiTheme="majorHAnsi"/>
          <w:i/>
        </w:rPr>
        <w:t>Phytophthora ramorum</w:t>
      </w:r>
      <w:r>
        <w:rPr>
          <w:rFonts w:asciiTheme="majorHAnsi" w:hAnsiTheme="majorHAnsi"/>
        </w:rPr>
        <w:t xml:space="preserve">’, </w:t>
      </w:r>
      <w:r>
        <w:rPr>
          <w:rFonts w:asciiTheme="majorHAnsi" w:hAnsiTheme="majorHAnsi"/>
          <w:i/>
        </w:rPr>
        <w:t>Plant Disease</w:t>
      </w:r>
      <w:r>
        <w:rPr>
          <w:rFonts w:asciiTheme="majorHAnsi" w:hAnsiTheme="majorHAnsi"/>
        </w:rPr>
        <w:t>, 92: 210–214.</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Grünwald, NJ, Martin, FN, Larsen, MM, Sullivan, CM, Press, CM, Coffey, MD, Hansen, EM &amp; Parke, JL 2011, ‘Phytophthora-ID.org: a sequence-based </w:t>
      </w:r>
      <w:r>
        <w:rPr>
          <w:rFonts w:asciiTheme="majorHAnsi" w:hAnsiTheme="majorHAnsi"/>
          <w:i/>
        </w:rPr>
        <w:t>Phytophthora</w:t>
      </w:r>
      <w:r>
        <w:rPr>
          <w:rFonts w:asciiTheme="majorHAnsi" w:hAnsiTheme="majorHAnsi"/>
        </w:rPr>
        <w:t xml:space="preserve"> identification tool’, </w:t>
      </w:r>
      <w:r>
        <w:rPr>
          <w:rFonts w:asciiTheme="majorHAnsi" w:hAnsiTheme="majorHAnsi"/>
          <w:i/>
        </w:rPr>
        <w:t>Plant Disease</w:t>
      </w:r>
      <w:r>
        <w:rPr>
          <w:rFonts w:asciiTheme="majorHAnsi" w:hAnsiTheme="majorHAnsi"/>
        </w:rPr>
        <w:t>, 95: 337–342.</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Hansen, E, Reeser, P, Davidson, JN, Garbelotto, M, Ivors, K, Douhan, L &amp; Rizzo, DM 2003a, ‘</w:t>
      </w:r>
      <w:r>
        <w:rPr>
          <w:rFonts w:asciiTheme="majorHAnsi" w:hAnsiTheme="majorHAnsi"/>
          <w:i/>
        </w:rPr>
        <w:t>Phytophthora nemorosa</w:t>
      </w:r>
      <w:r>
        <w:rPr>
          <w:rFonts w:asciiTheme="majorHAnsi" w:hAnsiTheme="majorHAnsi"/>
        </w:rPr>
        <w:t xml:space="preserve">, a new species causing cankers and leaf blight of forest trees in California and Oregon, USA’, </w:t>
      </w:r>
      <w:r>
        <w:rPr>
          <w:rFonts w:asciiTheme="majorHAnsi" w:hAnsiTheme="majorHAnsi"/>
          <w:i/>
        </w:rPr>
        <w:t>Mycotaxon</w:t>
      </w:r>
      <w:r>
        <w:rPr>
          <w:rFonts w:asciiTheme="majorHAnsi" w:hAnsiTheme="majorHAnsi"/>
        </w:rPr>
        <w:t>, 88: 129–138.</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t>Hansen</w:t>
      </w:r>
      <w:r>
        <w:rPr>
          <w:rFonts w:asciiTheme="majorHAnsi" w:hAnsiTheme="majorHAnsi"/>
        </w:rPr>
        <w:t>,</w:t>
      </w:r>
      <w:r>
        <w:rPr>
          <w:rFonts w:asciiTheme="majorHAnsi" w:hAnsiTheme="majorHAnsi"/>
          <w:color w:val="000000"/>
        </w:rPr>
        <w:t xml:space="preserve"> EM 2008</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 xml:space="preserve">Alien forest pathogens: </w:t>
      </w:r>
      <w:r>
        <w:rPr>
          <w:rFonts w:asciiTheme="majorHAnsi" w:hAnsiTheme="majorHAnsi"/>
          <w:i/>
          <w:color w:val="000000"/>
        </w:rPr>
        <w:t>Phytophthora</w:t>
      </w:r>
      <w:r>
        <w:rPr>
          <w:rFonts w:asciiTheme="majorHAnsi" w:hAnsiTheme="majorHAnsi"/>
          <w:color w:val="000000"/>
        </w:rPr>
        <w:t xml:space="preserve"> species are changing world forests</w:t>
      </w:r>
      <w:r>
        <w:rPr>
          <w:rFonts w:asciiTheme="majorHAnsi" w:hAnsiTheme="majorHAnsi"/>
        </w:rPr>
        <w:t xml:space="preserve">’, </w:t>
      </w:r>
      <w:r>
        <w:rPr>
          <w:rFonts w:asciiTheme="majorHAnsi" w:hAnsiTheme="majorHAnsi"/>
          <w:i/>
          <w:color w:val="000000"/>
        </w:rPr>
        <w:t>Boreal Environment Research</w:t>
      </w:r>
      <w:r>
        <w:rPr>
          <w:rFonts w:asciiTheme="majorHAnsi" w:hAnsiTheme="majorHAnsi"/>
        </w:rPr>
        <w:t>,</w:t>
      </w:r>
      <w:r>
        <w:rPr>
          <w:rFonts w:asciiTheme="majorHAnsi" w:hAnsiTheme="majorHAnsi"/>
          <w:color w:val="000000"/>
        </w:rPr>
        <w:t xml:space="preserve"> 13 (Supplement A): 33–41.</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Hansen, EM, Goheen, DJ, Jules, ES &amp; Ullian, B 2000, ‘Managing Port-Orford cedar and the introduced pathogen </w:t>
      </w:r>
      <w:r>
        <w:rPr>
          <w:rFonts w:asciiTheme="majorHAnsi" w:hAnsiTheme="majorHAnsi"/>
          <w:i/>
        </w:rPr>
        <w:t>Phytophthora lateralis</w:t>
      </w:r>
      <w:r>
        <w:rPr>
          <w:rFonts w:asciiTheme="majorHAnsi" w:hAnsiTheme="majorHAnsi"/>
        </w:rPr>
        <w:t xml:space="preserve">’, </w:t>
      </w:r>
      <w:r>
        <w:rPr>
          <w:rFonts w:asciiTheme="majorHAnsi" w:hAnsiTheme="majorHAnsi"/>
          <w:i/>
        </w:rPr>
        <w:t>Plant Disease</w:t>
      </w:r>
      <w:r>
        <w:rPr>
          <w:rFonts w:asciiTheme="majorHAnsi" w:hAnsiTheme="majorHAnsi"/>
        </w:rPr>
        <w:t>, 84: 4–13.</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Hansen, EM, Kanaskie, A, Prospero, S, McWilliams, M, Goheen, EM, Osterbauer, N, Reeser, P &amp; Sutton, W 2008, ‘Epidemiology of </w:t>
      </w:r>
      <w:r>
        <w:rPr>
          <w:rFonts w:asciiTheme="majorHAnsi" w:hAnsiTheme="majorHAnsi"/>
          <w:i/>
        </w:rPr>
        <w:t>Phytophthora ramorum</w:t>
      </w:r>
      <w:r>
        <w:rPr>
          <w:rFonts w:asciiTheme="majorHAnsi" w:hAnsiTheme="majorHAnsi"/>
        </w:rPr>
        <w:t xml:space="preserve"> in Oregon tanoak forests’, </w:t>
      </w:r>
      <w:r>
        <w:rPr>
          <w:rFonts w:asciiTheme="majorHAnsi" w:hAnsiTheme="majorHAnsi"/>
          <w:i/>
          <w:color w:val="000000"/>
        </w:rPr>
        <w:t>Canadian Journal of Forest Research</w:t>
      </w:r>
      <w:r>
        <w:rPr>
          <w:rFonts w:asciiTheme="majorHAnsi" w:hAnsiTheme="majorHAnsi"/>
        </w:rPr>
        <w:t xml:space="preserve">, 38: 1133–1143.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Hansen, EM, Parke, JL &amp; Sutton, W 2005, ‘Susceptibility of Oregon forests trees and shrubs to </w:t>
      </w:r>
      <w:r>
        <w:rPr>
          <w:rFonts w:asciiTheme="majorHAnsi" w:hAnsiTheme="majorHAnsi"/>
          <w:i/>
        </w:rPr>
        <w:t>Phytophthora ramorum</w:t>
      </w:r>
      <w:r>
        <w:rPr>
          <w:rFonts w:asciiTheme="majorHAnsi" w:hAnsiTheme="majorHAnsi"/>
        </w:rPr>
        <w:t xml:space="preserve">: a comparison of artificial inoculation and natural infections’, </w:t>
      </w:r>
      <w:r>
        <w:rPr>
          <w:rFonts w:asciiTheme="majorHAnsi" w:hAnsiTheme="majorHAnsi"/>
          <w:i/>
        </w:rPr>
        <w:t>Plant Disease</w:t>
      </w:r>
      <w:r>
        <w:rPr>
          <w:rFonts w:asciiTheme="majorHAnsi" w:hAnsiTheme="majorHAnsi"/>
        </w:rPr>
        <w:t>, 89: 63–70.</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Hansen, EM, Reeser, PW, Sutton, W, Winton, LM &amp; Osterbauer, N 2003b, ‘First record of A1 mating type of </w:t>
      </w:r>
      <w:r>
        <w:rPr>
          <w:rFonts w:asciiTheme="majorHAnsi" w:hAnsiTheme="majorHAnsi"/>
          <w:i/>
        </w:rPr>
        <w:t>Phytophthora ramorum</w:t>
      </w:r>
      <w:r>
        <w:rPr>
          <w:rFonts w:asciiTheme="majorHAnsi" w:hAnsiTheme="majorHAnsi"/>
        </w:rPr>
        <w:t xml:space="preserve"> in North America’, </w:t>
      </w:r>
      <w:r>
        <w:rPr>
          <w:rFonts w:asciiTheme="majorHAnsi" w:hAnsiTheme="majorHAnsi"/>
          <w:i/>
        </w:rPr>
        <w:t>Plant Disease</w:t>
      </w:r>
      <w:r>
        <w:rPr>
          <w:rFonts w:asciiTheme="majorHAnsi" w:hAnsiTheme="majorHAnsi"/>
        </w:rPr>
        <w:t>, 87: 1267.</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Hansen, EM, Sutton, W, Parke, J &amp; Linderman, R 2002, ‘</w:t>
      </w:r>
      <w:r>
        <w:rPr>
          <w:rFonts w:asciiTheme="majorHAnsi" w:hAnsiTheme="majorHAnsi"/>
          <w:i/>
        </w:rPr>
        <w:t>Phytophthora ramorum</w:t>
      </w:r>
      <w:r>
        <w:rPr>
          <w:rFonts w:asciiTheme="majorHAnsi" w:hAnsiTheme="majorHAnsi"/>
        </w:rPr>
        <w:t xml:space="preserve"> and Oregon forest trees—one pathogen, three diseases’ [Abstract], </w:t>
      </w:r>
      <w:r>
        <w:rPr>
          <w:rFonts w:asciiTheme="majorHAnsi" w:hAnsiTheme="majorHAnsi"/>
          <w:i/>
        </w:rPr>
        <w:t>Proceedings of the Sudden Oak Death, A Science Symposium</w:t>
      </w:r>
      <w:r>
        <w:rPr>
          <w:rFonts w:asciiTheme="majorHAnsi" w:hAnsiTheme="majorHAnsi"/>
        </w:rPr>
        <w:t>, USDA Forest Service and University of California, Berkeley 78–79.</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Harnik, TY, Mejia-Chang, M, Lewis, J &amp; Garbelotto, M 2004, ‘Efficacy of heat-based treatments in eliminating the recovery of the sudden oak death pathogen (</w:t>
      </w:r>
      <w:r>
        <w:rPr>
          <w:rFonts w:asciiTheme="majorHAnsi" w:hAnsiTheme="majorHAnsi"/>
          <w:i/>
        </w:rPr>
        <w:t>Phytophthora ramorum</w:t>
      </w:r>
      <w:r>
        <w:rPr>
          <w:rFonts w:asciiTheme="majorHAnsi" w:hAnsiTheme="majorHAnsi"/>
        </w:rPr>
        <w:t xml:space="preserve">) from infected California bay laurel leaves’, </w:t>
      </w:r>
      <w:r>
        <w:rPr>
          <w:rFonts w:asciiTheme="majorHAnsi" w:hAnsiTheme="majorHAnsi"/>
          <w:i/>
          <w:color w:val="000000"/>
        </w:rPr>
        <w:t>HortScience</w:t>
      </w:r>
      <w:r>
        <w:rPr>
          <w:rFonts w:asciiTheme="majorHAnsi" w:hAnsiTheme="majorHAnsi"/>
        </w:rPr>
        <w:t>, 39: 1677–1680.</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lastRenderedPageBreak/>
        <w:t>Hayden</w:t>
      </w:r>
      <w:r>
        <w:rPr>
          <w:rFonts w:asciiTheme="majorHAnsi" w:hAnsiTheme="majorHAnsi"/>
        </w:rPr>
        <w:t>,</w:t>
      </w:r>
      <w:r>
        <w:rPr>
          <w:rFonts w:asciiTheme="majorHAnsi" w:hAnsiTheme="majorHAnsi"/>
          <w:color w:val="000000"/>
        </w:rPr>
        <w:t xml:space="preserve"> K, Rickard</w:t>
      </w:r>
      <w:r>
        <w:rPr>
          <w:rFonts w:asciiTheme="majorHAnsi" w:hAnsiTheme="majorHAnsi"/>
        </w:rPr>
        <w:t>,</w:t>
      </w:r>
      <w:r>
        <w:rPr>
          <w:rFonts w:asciiTheme="majorHAnsi" w:hAnsiTheme="majorHAnsi"/>
          <w:color w:val="000000"/>
        </w:rPr>
        <w:t xml:space="preserve"> H</w:t>
      </w:r>
      <w:r>
        <w:rPr>
          <w:rFonts w:asciiTheme="majorHAnsi" w:hAnsiTheme="majorHAnsi"/>
        </w:rPr>
        <w:t xml:space="preserve"> &amp;</w:t>
      </w:r>
      <w:r>
        <w:rPr>
          <w:rFonts w:asciiTheme="majorHAnsi" w:hAnsiTheme="majorHAnsi"/>
          <w:color w:val="000000"/>
        </w:rPr>
        <w:t xml:space="preserve"> Garbelotto</w:t>
      </w:r>
      <w:r>
        <w:rPr>
          <w:rFonts w:asciiTheme="majorHAnsi" w:hAnsiTheme="majorHAnsi"/>
        </w:rPr>
        <w:t>,</w:t>
      </w:r>
      <w:r>
        <w:rPr>
          <w:rFonts w:asciiTheme="majorHAnsi" w:hAnsiTheme="majorHAnsi"/>
          <w:color w:val="000000"/>
        </w:rPr>
        <w:t xml:space="preserve"> M 2008</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 xml:space="preserve">Correlating </w:t>
      </w:r>
      <w:r>
        <w:rPr>
          <w:rFonts w:asciiTheme="majorHAnsi" w:hAnsiTheme="majorHAnsi"/>
          <w:i/>
        </w:rPr>
        <w:t>Phytophthora ramorum</w:t>
      </w:r>
      <w:r>
        <w:rPr>
          <w:rFonts w:asciiTheme="majorHAnsi" w:hAnsiTheme="majorHAnsi"/>
          <w:color w:val="000000"/>
        </w:rPr>
        <w:t xml:space="preserve"> infection rate and lesion expansion in tanoak</w:t>
      </w:r>
      <w:r>
        <w:rPr>
          <w:rFonts w:asciiTheme="majorHAnsi" w:hAnsiTheme="majorHAnsi"/>
        </w:rPr>
        <w:t xml:space="preserve">’, </w:t>
      </w:r>
      <w:r>
        <w:rPr>
          <w:rFonts w:asciiTheme="majorHAnsi" w:hAnsiTheme="majorHAnsi"/>
          <w:i/>
          <w:color w:val="000000"/>
        </w:rPr>
        <w:t>Proceedings of the 3rd Sudden Oak Death Science Symposium</w:t>
      </w:r>
      <w:r>
        <w:rPr>
          <w:rFonts w:asciiTheme="majorHAnsi" w:hAnsiTheme="majorHAnsi"/>
          <w:color w:val="000000"/>
        </w:rPr>
        <w:t>, USDA Forest Service, Albany, CA, USA, 371–372.</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t>Henricot</w:t>
      </w:r>
      <w:r>
        <w:rPr>
          <w:rFonts w:asciiTheme="majorHAnsi" w:hAnsiTheme="majorHAnsi"/>
        </w:rPr>
        <w:t>,</w:t>
      </w:r>
      <w:r>
        <w:rPr>
          <w:rFonts w:asciiTheme="majorHAnsi" w:hAnsiTheme="majorHAnsi"/>
          <w:color w:val="000000"/>
        </w:rPr>
        <w:t xml:space="preserve"> B</w:t>
      </w:r>
      <w:r>
        <w:rPr>
          <w:rFonts w:asciiTheme="majorHAnsi" w:hAnsiTheme="majorHAnsi"/>
        </w:rPr>
        <w:t xml:space="preserve"> &amp;</w:t>
      </w:r>
      <w:r>
        <w:rPr>
          <w:rFonts w:asciiTheme="majorHAnsi" w:hAnsiTheme="majorHAnsi"/>
          <w:color w:val="000000"/>
        </w:rPr>
        <w:t xml:space="preserve"> Prior</w:t>
      </w:r>
      <w:r>
        <w:rPr>
          <w:rFonts w:asciiTheme="majorHAnsi" w:hAnsiTheme="majorHAnsi"/>
        </w:rPr>
        <w:t>,</w:t>
      </w:r>
      <w:r>
        <w:rPr>
          <w:rFonts w:asciiTheme="majorHAnsi" w:hAnsiTheme="majorHAnsi"/>
          <w:color w:val="000000"/>
        </w:rPr>
        <w:t xml:space="preserve"> C 2004</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i/>
        </w:rPr>
        <w:t>Phytophthora ramorum</w:t>
      </w:r>
      <w:r>
        <w:rPr>
          <w:rFonts w:asciiTheme="majorHAnsi" w:hAnsiTheme="majorHAnsi"/>
          <w:color w:val="000000"/>
        </w:rPr>
        <w:t>, the cause of sudden oak death or ramorum leaf blight and dieback</w:t>
      </w:r>
      <w:r>
        <w:rPr>
          <w:rFonts w:asciiTheme="majorHAnsi" w:hAnsiTheme="majorHAnsi"/>
        </w:rPr>
        <w:t xml:space="preserve">’, </w:t>
      </w:r>
      <w:r>
        <w:rPr>
          <w:rFonts w:asciiTheme="majorHAnsi" w:hAnsiTheme="majorHAnsi"/>
          <w:i/>
          <w:color w:val="000000"/>
        </w:rPr>
        <w:t>Mycologist</w:t>
      </w:r>
      <w:r>
        <w:rPr>
          <w:rFonts w:asciiTheme="majorHAnsi" w:hAnsiTheme="majorHAnsi"/>
        </w:rPr>
        <w:t>,</w:t>
      </w:r>
      <w:r>
        <w:rPr>
          <w:rFonts w:asciiTheme="majorHAnsi" w:hAnsiTheme="majorHAnsi"/>
          <w:color w:val="000000"/>
        </w:rPr>
        <w:t xml:space="preserve"> 18: 151</w:t>
      </w:r>
      <w:r>
        <w:rPr>
          <w:rFonts w:asciiTheme="majorHAnsi" w:hAnsiTheme="majorHAnsi"/>
        </w:rPr>
        <w:t>–</w:t>
      </w:r>
      <w:r>
        <w:rPr>
          <w:rFonts w:asciiTheme="majorHAnsi" w:hAnsiTheme="majorHAnsi"/>
          <w:color w:val="000000"/>
        </w:rPr>
        <w:t>156.</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Herrero, ML, Toppe, B &amp; Brurberg, MB 2011, ‘First Report of </w:t>
      </w:r>
      <w:r>
        <w:rPr>
          <w:rFonts w:asciiTheme="majorHAnsi" w:hAnsiTheme="majorHAnsi"/>
          <w:i/>
        </w:rPr>
        <w:t>Phytophthora ramorum</w:t>
      </w:r>
      <w:r>
        <w:rPr>
          <w:rFonts w:asciiTheme="majorHAnsi" w:hAnsiTheme="majorHAnsi"/>
        </w:rPr>
        <w:t xml:space="preserve"> causing shoot dieback on bilberry (</w:t>
      </w:r>
      <w:r>
        <w:rPr>
          <w:rFonts w:asciiTheme="majorHAnsi" w:hAnsiTheme="majorHAnsi"/>
          <w:i/>
        </w:rPr>
        <w:t>Vaccinium myrtillus</w:t>
      </w:r>
      <w:r>
        <w:rPr>
          <w:rFonts w:asciiTheme="majorHAnsi" w:hAnsiTheme="majorHAnsi"/>
        </w:rPr>
        <w:t xml:space="preserve">) in Norway’, </w:t>
      </w:r>
      <w:r>
        <w:rPr>
          <w:rFonts w:asciiTheme="majorHAnsi" w:hAnsiTheme="majorHAnsi"/>
          <w:i/>
        </w:rPr>
        <w:t>Plant Disease</w:t>
      </w:r>
      <w:r>
        <w:rPr>
          <w:rFonts w:asciiTheme="majorHAnsi" w:hAnsiTheme="majorHAnsi"/>
        </w:rPr>
        <w:t xml:space="preserve">, 95: 355.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Herrero, ML, Toppe, B, Klemsdal, SS &amp; Stensvand, A 2006, ‘First report of </w:t>
      </w:r>
      <w:r>
        <w:rPr>
          <w:rFonts w:asciiTheme="majorHAnsi" w:hAnsiTheme="majorHAnsi"/>
          <w:i/>
        </w:rPr>
        <w:t>Phytophthora ramorum</w:t>
      </w:r>
      <w:r>
        <w:rPr>
          <w:rFonts w:asciiTheme="majorHAnsi" w:hAnsiTheme="majorHAnsi"/>
        </w:rPr>
        <w:t xml:space="preserve"> in ornamental plants in Norway’, </w:t>
      </w:r>
      <w:r>
        <w:rPr>
          <w:rFonts w:asciiTheme="majorHAnsi" w:hAnsiTheme="majorHAnsi"/>
          <w:i/>
        </w:rPr>
        <w:t>Plant Disease</w:t>
      </w:r>
      <w:r>
        <w:rPr>
          <w:rFonts w:asciiTheme="majorHAnsi" w:hAnsiTheme="majorHAnsi"/>
        </w:rPr>
        <w:t>, 90: 1458.</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Hong, C, Richardson, PA &amp; Kong, P 2008, ‘Pathogenicity to ornamental plants of some existing species and new taxa of </w:t>
      </w:r>
      <w:r>
        <w:rPr>
          <w:rFonts w:asciiTheme="majorHAnsi" w:hAnsiTheme="majorHAnsi"/>
          <w:i/>
        </w:rPr>
        <w:t>Phytophthora</w:t>
      </w:r>
      <w:r>
        <w:rPr>
          <w:rFonts w:asciiTheme="majorHAnsi" w:hAnsiTheme="majorHAnsi"/>
        </w:rPr>
        <w:t xml:space="preserve"> from irrigation water’, </w:t>
      </w:r>
      <w:r>
        <w:rPr>
          <w:rFonts w:asciiTheme="majorHAnsi" w:hAnsiTheme="majorHAnsi"/>
          <w:i/>
        </w:rPr>
        <w:t>Plant Disease</w:t>
      </w:r>
      <w:r>
        <w:rPr>
          <w:rFonts w:asciiTheme="majorHAnsi" w:hAnsiTheme="majorHAnsi"/>
        </w:rPr>
        <w:t>, 92: 1201–1207.</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bCs/>
        </w:rPr>
        <w:t>Hood IA, Williams NM</w:t>
      </w:r>
      <w:r>
        <w:rPr>
          <w:rFonts w:asciiTheme="majorHAnsi" w:hAnsiTheme="majorHAnsi"/>
        </w:rPr>
        <w:t xml:space="preserve">, </w:t>
      </w:r>
      <w:r>
        <w:rPr>
          <w:rFonts w:asciiTheme="majorHAnsi" w:hAnsiTheme="majorHAnsi"/>
          <w:bCs/>
        </w:rPr>
        <w:t>Dick MA</w:t>
      </w:r>
      <w:r>
        <w:rPr>
          <w:rFonts w:asciiTheme="majorHAnsi" w:hAnsiTheme="majorHAnsi"/>
        </w:rPr>
        <w:t xml:space="preserve">, </w:t>
      </w:r>
      <w:r>
        <w:rPr>
          <w:rFonts w:asciiTheme="majorHAnsi" w:hAnsiTheme="majorHAnsi"/>
          <w:bCs/>
        </w:rPr>
        <w:t>Arhipova N</w:t>
      </w:r>
      <w:r>
        <w:rPr>
          <w:rFonts w:asciiTheme="majorHAnsi" w:hAnsiTheme="majorHAnsi"/>
        </w:rPr>
        <w:t xml:space="preserve">, </w:t>
      </w:r>
      <w:r>
        <w:rPr>
          <w:rFonts w:asciiTheme="majorHAnsi" w:hAnsiTheme="majorHAnsi"/>
          <w:bCs/>
        </w:rPr>
        <w:t>Kimberley MO</w:t>
      </w:r>
      <w:r>
        <w:rPr>
          <w:rFonts w:asciiTheme="majorHAnsi" w:hAnsiTheme="majorHAnsi"/>
        </w:rPr>
        <w:t xml:space="preserve">, </w:t>
      </w:r>
      <w:r>
        <w:rPr>
          <w:rFonts w:asciiTheme="majorHAnsi" w:hAnsiTheme="majorHAnsi"/>
          <w:bCs/>
        </w:rPr>
        <w:t>Scott</w:t>
      </w:r>
      <w:r>
        <w:rPr>
          <w:rFonts w:asciiTheme="majorHAnsi" w:hAnsiTheme="majorHAnsi"/>
        </w:rPr>
        <w:t xml:space="preserve"> </w:t>
      </w:r>
      <w:r>
        <w:rPr>
          <w:rFonts w:asciiTheme="majorHAnsi" w:hAnsiTheme="majorHAnsi"/>
          <w:bCs/>
        </w:rPr>
        <w:t>PM, Gardner</w:t>
      </w:r>
      <w:r>
        <w:rPr>
          <w:rFonts w:asciiTheme="majorHAnsi" w:hAnsiTheme="majorHAnsi"/>
        </w:rPr>
        <w:t xml:space="preserve"> </w:t>
      </w:r>
      <w:r>
        <w:rPr>
          <w:rFonts w:asciiTheme="majorHAnsi" w:hAnsiTheme="majorHAnsi"/>
          <w:bCs/>
        </w:rPr>
        <w:t>Judy F, 2014, ‘</w:t>
      </w:r>
      <w:r>
        <w:rPr>
          <w:rFonts w:asciiTheme="majorHAnsi" w:hAnsiTheme="majorHAnsi"/>
        </w:rPr>
        <w:t xml:space="preserve">Decline in vitality of propagules of </w:t>
      </w:r>
      <w:r>
        <w:rPr>
          <w:rFonts w:asciiTheme="majorHAnsi" w:hAnsiTheme="majorHAnsi"/>
          <w:i/>
          <w:iCs/>
        </w:rPr>
        <w:t>Phytophthora pluvialis</w:t>
      </w:r>
      <w:r>
        <w:rPr>
          <w:rFonts w:asciiTheme="majorHAnsi" w:hAnsiTheme="majorHAnsi"/>
        </w:rPr>
        <w:t xml:space="preserve"> and </w:t>
      </w:r>
      <w:r>
        <w:rPr>
          <w:rFonts w:asciiTheme="majorHAnsi" w:hAnsiTheme="majorHAnsi"/>
          <w:i/>
          <w:iCs/>
        </w:rPr>
        <w:t>Phytophthora kernoviae</w:t>
      </w:r>
      <w:r>
        <w:rPr>
          <w:rFonts w:asciiTheme="majorHAnsi" w:hAnsiTheme="majorHAnsi"/>
        </w:rPr>
        <w:t xml:space="preserve"> and their inability to contaminate or colonise bark and sapwood in </w:t>
      </w:r>
      <w:r>
        <w:rPr>
          <w:rFonts w:asciiTheme="majorHAnsi" w:hAnsiTheme="majorHAnsi"/>
          <w:i/>
          <w:iCs/>
        </w:rPr>
        <w:t>Pinus radiata</w:t>
      </w:r>
      <w:r>
        <w:rPr>
          <w:rFonts w:asciiTheme="majorHAnsi" w:hAnsiTheme="majorHAnsi"/>
        </w:rPr>
        <w:t xml:space="preserve"> export log simulation studies’, </w:t>
      </w:r>
      <w:r>
        <w:rPr>
          <w:rFonts w:asciiTheme="majorHAnsi" w:hAnsiTheme="majorHAnsi"/>
          <w:i/>
          <w:iCs/>
        </w:rPr>
        <w:t>New Zealand Journal of Forestry Science</w:t>
      </w:r>
      <w:r>
        <w:rPr>
          <w:rFonts w:asciiTheme="majorHAnsi" w:hAnsiTheme="majorHAnsi"/>
        </w:rPr>
        <w:t xml:space="preserve">, </w:t>
      </w:r>
      <w:r>
        <w:rPr>
          <w:rFonts w:asciiTheme="majorHAnsi" w:hAnsiTheme="majorHAnsi"/>
          <w:bCs/>
        </w:rPr>
        <w:t>44</w:t>
      </w:r>
      <w:r>
        <w:rPr>
          <w:rFonts w:asciiTheme="majorHAnsi" w:hAnsiTheme="majorHAnsi"/>
        </w:rPr>
        <w:t>: 7.</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Hüberli, D &amp; Garbelotto, M 2012, ‘</w:t>
      </w:r>
      <w:r>
        <w:rPr>
          <w:rFonts w:asciiTheme="majorHAnsi" w:hAnsiTheme="majorHAnsi"/>
          <w:i/>
        </w:rPr>
        <w:t>Phytophthora ramorum</w:t>
      </w:r>
      <w:r>
        <w:rPr>
          <w:rFonts w:asciiTheme="majorHAnsi" w:hAnsiTheme="majorHAnsi"/>
        </w:rPr>
        <w:t xml:space="preserve"> is a generalist plant pathogen with differences in virulence between isolates from infectious and dead-end hosts’, </w:t>
      </w:r>
      <w:r>
        <w:rPr>
          <w:rFonts w:asciiTheme="majorHAnsi" w:hAnsiTheme="majorHAnsi"/>
          <w:i/>
        </w:rPr>
        <w:t>Forest Pathology</w:t>
      </w:r>
      <w:r>
        <w:rPr>
          <w:rFonts w:asciiTheme="majorHAnsi" w:hAnsiTheme="majorHAnsi"/>
        </w:rPr>
        <w:t>,</w:t>
      </w:r>
      <w:r>
        <w:rPr>
          <w:rFonts w:asciiTheme="majorHAnsi" w:hAnsiTheme="majorHAnsi"/>
          <w:i/>
        </w:rPr>
        <w:t xml:space="preserve"> </w:t>
      </w:r>
      <w:r>
        <w:rPr>
          <w:rFonts w:asciiTheme="majorHAnsi" w:hAnsiTheme="majorHAnsi"/>
        </w:rPr>
        <w:t>41: 1–6.</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Hüberli, D, Ivors, KL, Smith, A, Tse, JG &amp; Garbelotto, M 2005, ‘First report of foliar infection of </w:t>
      </w:r>
      <w:r>
        <w:rPr>
          <w:rFonts w:asciiTheme="majorHAnsi" w:hAnsiTheme="majorHAnsi"/>
          <w:i/>
        </w:rPr>
        <w:t>Maianthemum racemosum</w:t>
      </w:r>
      <w:r>
        <w:rPr>
          <w:rFonts w:asciiTheme="majorHAnsi" w:hAnsiTheme="majorHAnsi"/>
        </w:rPr>
        <w:t xml:space="preserve"> by </w:t>
      </w:r>
      <w:r>
        <w:rPr>
          <w:rFonts w:asciiTheme="majorHAnsi" w:hAnsiTheme="majorHAnsi"/>
          <w:i/>
        </w:rPr>
        <w:t>Phytophthora ramorum</w:t>
      </w:r>
      <w:r>
        <w:rPr>
          <w:rFonts w:asciiTheme="majorHAnsi" w:hAnsiTheme="majorHAnsi"/>
        </w:rPr>
        <w:t xml:space="preserve">’, </w:t>
      </w:r>
      <w:r>
        <w:rPr>
          <w:rFonts w:asciiTheme="majorHAnsi" w:hAnsiTheme="majorHAnsi"/>
          <w:i/>
        </w:rPr>
        <w:t>Plant Disease</w:t>
      </w:r>
      <w:r>
        <w:rPr>
          <w:rFonts w:asciiTheme="majorHAnsi" w:hAnsiTheme="majorHAnsi"/>
        </w:rPr>
        <w:t>, 89: 204.</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Hüberli, D, Reuther, KD, Smith, A, Swain, S &amp; Tse, JG 2004, ‘First report of foliar infection of </w:t>
      </w:r>
      <w:r>
        <w:rPr>
          <w:rFonts w:asciiTheme="majorHAnsi" w:hAnsiTheme="majorHAnsi"/>
          <w:i/>
        </w:rPr>
        <w:t>Rosa gymnocarpa</w:t>
      </w:r>
      <w:r>
        <w:rPr>
          <w:rFonts w:asciiTheme="majorHAnsi" w:hAnsiTheme="majorHAnsi"/>
        </w:rPr>
        <w:t xml:space="preserve"> by </w:t>
      </w:r>
      <w:r>
        <w:rPr>
          <w:rFonts w:asciiTheme="majorHAnsi" w:hAnsiTheme="majorHAnsi"/>
          <w:i/>
        </w:rPr>
        <w:t>Phytophthora ramorum</w:t>
      </w:r>
      <w:r>
        <w:rPr>
          <w:rFonts w:asciiTheme="majorHAnsi" w:hAnsiTheme="majorHAnsi"/>
        </w:rPr>
        <w:t xml:space="preserve">’, </w:t>
      </w:r>
      <w:r>
        <w:rPr>
          <w:rFonts w:asciiTheme="majorHAnsi" w:hAnsiTheme="majorHAnsi"/>
          <w:i/>
        </w:rPr>
        <w:t>Plant Disease</w:t>
      </w:r>
      <w:r>
        <w:rPr>
          <w:rFonts w:asciiTheme="majorHAnsi" w:hAnsiTheme="majorHAnsi"/>
        </w:rPr>
        <w:t>, 88: 430.</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Hüberli, D, Van Sant, W, Swain, S, Davidson, J &amp; Garbelotto, M 2003a, ‘Susceptibility of </w:t>
      </w:r>
      <w:r>
        <w:rPr>
          <w:rFonts w:asciiTheme="majorHAnsi" w:hAnsiTheme="majorHAnsi"/>
          <w:i/>
        </w:rPr>
        <w:t>Umbellularia californica</w:t>
      </w:r>
      <w:r>
        <w:rPr>
          <w:rFonts w:asciiTheme="majorHAnsi" w:hAnsiTheme="majorHAnsi"/>
        </w:rPr>
        <w:t xml:space="preserve"> to </w:t>
      </w:r>
      <w:r>
        <w:rPr>
          <w:rFonts w:asciiTheme="majorHAnsi" w:hAnsiTheme="majorHAnsi"/>
          <w:i/>
        </w:rPr>
        <w:t>Phytophthora ramorum</w:t>
      </w:r>
      <w:r>
        <w:rPr>
          <w:rFonts w:asciiTheme="majorHAnsi" w:hAnsiTheme="majorHAnsi"/>
        </w:rPr>
        <w:t xml:space="preserve">’ [Abstract], </w:t>
      </w:r>
      <w:r>
        <w:rPr>
          <w:rFonts w:asciiTheme="majorHAnsi" w:hAnsiTheme="majorHAnsi"/>
          <w:i/>
        </w:rPr>
        <w:t>Eighth International Congress of Plant Pathology</w:t>
      </w:r>
      <w:r>
        <w:rPr>
          <w:rFonts w:asciiTheme="majorHAnsi" w:hAnsiTheme="majorHAnsi"/>
        </w:rPr>
        <w:t>, Christchurch, New Zealand 268.</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Hüberli, D, Van Sant-Glass, W, Tse, JG &amp; Garbelotto, M 2003b, ‘First report of foliar infection of starflower by </w:t>
      </w:r>
      <w:r>
        <w:rPr>
          <w:rFonts w:asciiTheme="majorHAnsi" w:hAnsiTheme="majorHAnsi"/>
          <w:i/>
        </w:rPr>
        <w:t>Phytophthora ramorum</w:t>
      </w:r>
      <w:r>
        <w:rPr>
          <w:rFonts w:asciiTheme="majorHAnsi" w:hAnsiTheme="majorHAnsi"/>
        </w:rPr>
        <w:t xml:space="preserve">’, </w:t>
      </w:r>
      <w:r>
        <w:rPr>
          <w:rFonts w:asciiTheme="majorHAnsi" w:hAnsiTheme="majorHAnsi"/>
          <w:i/>
        </w:rPr>
        <w:t>Plant Disease</w:t>
      </w:r>
      <w:r>
        <w:rPr>
          <w:rFonts w:asciiTheme="majorHAnsi" w:hAnsiTheme="majorHAnsi"/>
        </w:rPr>
        <w:t>, 87: 599.</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Hüberli, D, Wilkinson, C, Smith, MA, Meshriy, M, Harnik, TY &amp; Garbelotto, M 2006, ‘</w:t>
      </w:r>
      <w:r>
        <w:rPr>
          <w:rFonts w:asciiTheme="majorHAnsi" w:hAnsiTheme="majorHAnsi"/>
          <w:i/>
        </w:rPr>
        <w:t>Pittosporum undulatum</w:t>
      </w:r>
      <w:r>
        <w:rPr>
          <w:rFonts w:asciiTheme="majorHAnsi" w:hAnsiTheme="majorHAnsi"/>
        </w:rPr>
        <w:t xml:space="preserve"> is a potential Australian host of </w:t>
      </w:r>
      <w:r>
        <w:rPr>
          <w:rFonts w:asciiTheme="majorHAnsi" w:hAnsiTheme="majorHAnsi"/>
          <w:i/>
        </w:rPr>
        <w:t>Phytophthora ramorum</w:t>
      </w:r>
      <w:r>
        <w:rPr>
          <w:rFonts w:asciiTheme="majorHAnsi" w:hAnsiTheme="majorHAnsi"/>
        </w:rPr>
        <w:t xml:space="preserve">’, </w:t>
      </w:r>
      <w:r>
        <w:rPr>
          <w:rFonts w:asciiTheme="majorHAnsi" w:hAnsiTheme="majorHAnsi"/>
          <w:i/>
        </w:rPr>
        <w:t>Australasian Plant Disease Notes</w:t>
      </w:r>
      <w:r>
        <w:rPr>
          <w:rFonts w:asciiTheme="majorHAnsi" w:hAnsiTheme="majorHAnsi"/>
        </w:rPr>
        <w:t>, 1: 19–21.</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Hughes, K, Griffin, R, Boonham, N &amp; Inman, A 2005, ‘Development of molecular diagnostics for </w:t>
      </w:r>
      <w:r>
        <w:rPr>
          <w:rFonts w:asciiTheme="majorHAnsi" w:hAnsiTheme="majorHAnsi"/>
          <w:i/>
        </w:rPr>
        <w:t>Phytophthora kernoviae</w:t>
      </w:r>
      <w:r>
        <w:rPr>
          <w:rFonts w:asciiTheme="majorHAnsi" w:hAnsiTheme="majorHAnsi"/>
        </w:rPr>
        <w:t xml:space="preserve"> a new </w:t>
      </w:r>
      <w:r>
        <w:rPr>
          <w:rFonts w:asciiTheme="majorHAnsi" w:hAnsiTheme="majorHAnsi"/>
          <w:i/>
        </w:rPr>
        <w:t>Phytophthora</w:t>
      </w:r>
      <w:r>
        <w:rPr>
          <w:rFonts w:asciiTheme="majorHAnsi" w:hAnsiTheme="majorHAnsi"/>
        </w:rPr>
        <w:t xml:space="preserve"> threatening U.K. trees, woodlands, and ornamental plants’, </w:t>
      </w:r>
      <w:r>
        <w:rPr>
          <w:rFonts w:asciiTheme="majorHAnsi" w:hAnsiTheme="majorHAnsi"/>
          <w:i/>
        </w:rPr>
        <w:t>The proceedings of the Sudden Oak Death Second Science Symposium: The State of Our Knowledge</w:t>
      </w:r>
      <w:r>
        <w:rPr>
          <w:rFonts w:asciiTheme="majorHAnsi" w:hAnsiTheme="majorHAnsi"/>
        </w:rPr>
        <w:t>, General Technical Report PSW-GTR-196, 556–557.</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Hughes, KJD, Giltrap, PM, Barton, VC, Hobden, E, Tomlinson, JA &amp; Barber, P 2006, ‘On-site real-time PCR detection of </w:t>
      </w:r>
      <w:r>
        <w:rPr>
          <w:rFonts w:asciiTheme="majorHAnsi" w:hAnsiTheme="majorHAnsi"/>
          <w:i/>
        </w:rPr>
        <w:t>Phytophthora ramorum</w:t>
      </w:r>
      <w:r>
        <w:rPr>
          <w:rFonts w:asciiTheme="majorHAnsi" w:hAnsiTheme="majorHAnsi"/>
        </w:rPr>
        <w:t xml:space="preserve"> causing dieback of </w:t>
      </w:r>
      <w:r>
        <w:rPr>
          <w:rFonts w:asciiTheme="majorHAnsi" w:hAnsiTheme="majorHAnsi"/>
          <w:i/>
        </w:rPr>
        <w:t>Parrotia persica</w:t>
      </w:r>
      <w:r>
        <w:rPr>
          <w:rFonts w:asciiTheme="majorHAnsi" w:hAnsiTheme="majorHAnsi"/>
        </w:rPr>
        <w:t xml:space="preserve"> in the UK’, </w:t>
      </w:r>
      <w:r>
        <w:rPr>
          <w:rFonts w:asciiTheme="majorHAnsi" w:hAnsiTheme="majorHAnsi"/>
          <w:i/>
        </w:rPr>
        <w:t>New Disease Reports</w:t>
      </w:r>
      <w:r>
        <w:rPr>
          <w:rFonts w:asciiTheme="majorHAnsi" w:hAnsiTheme="majorHAnsi"/>
        </w:rPr>
        <w:t>, 13: 11.</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Husson, C, Delatour, C, Frey, P, Marçais, B, Saurat, C &amp; Schenck, N 2007, ‘First report of </w:t>
      </w:r>
      <w:r>
        <w:rPr>
          <w:rFonts w:asciiTheme="majorHAnsi" w:hAnsiTheme="majorHAnsi"/>
          <w:i/>
        </w:rPr>
        <w:t>Phytophthora ramorum</w:t>
      </w:r>
      <w:r>
        <w:rPr>
          <w:rFonts w:asciiTheme="majorHAnsi" w:hAnsiTheme="majorHAnsi"/>
        </w:rPr>
        <w:t xml:space="preserve"> on ornamental plants in France’, </w:t>
      </w:r>
      <w:r>
        <w:rPr>
          <w:rFonts w:asciiTheme="majorHAnsi" w:hAnsiTheme="majorHAnsi"/>
          <w:i/>
        </w:rPr>
        <w:t>Plant Disease</w:t>
      </w:r>
      <w:r>
        <w:rPr>
          <w:rFonts w:asciiTheme="majorHAnsi" w:hAnsiTheme="majorHAnsi"/>
        </w:rPr>
        <w:t>, 91: 1359.</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Hwang, J, Jeffers, SN &amp; Oak, SW 2007, ‘Occurrence and distribution of </w:t>
      </w:r>
      <w:r>
        <w:rPr>
          <w:rFonts w:asciiTheme="majorHAnsi" w:hAnsiTheme="majorHAnsi"/>
          <w:i/>
        </w:rPr>
        <w:t>Phytophthora pseudosyringae</w:t>
      </w:r>
      <w:r>
        <w:rPr>
          <w:rFonts w:asciiTheme="majorHAnsi" w:hAnsiTheme="majorHAnsi"/>
        </w:rPr>
        <w:t xml:space="preserve"> in forest streams of North Carolina’, </w:t>
      </w:r>
      <w:r>
        <w:rPr>
          <w:rFonts w:asciiTheme="majorHAnsi" w:hAnsiTheme="majorHAnsi"/>
          <w:i/>
        </w:rPr>
        <w:t>Phytopathology</w:t>
      </w:r>
      <w:r>
        <w:rPr>
          <w:rFonts w:asciiTheme="majorHAnsi" w:hAnsiTheme="majorHAnsi"/>
        </w:rPr>
        <w:t>,</w:t>
      </w:r>
      <w:r>
        <w:rPr>
          <w:rFonts w:asciiTheme="majorHAnsi" w:hAnsiTheme="majorHAnsi"/>
          <w:i/>
        </w:rPr>
        <w:t xml:space="preserve"> </w:t>
      </w:r>
      <w:r>
        <w:rPr>
          <w:rFonts w:asciiTheme="majorHAnsi" w:hAnsiTheme="majorHAnsi"/>
        </w:rPr>
        <w:t>97: S49.</w:t>
      </w:r>
    </w:p>
    <w:p w:rsidR="00C74066" w:rsidRDefault="00F10705">
      <w:pPr>
        <w:autoSpaceDE w:val="0"/>
        <w:autoSpaceDN w:val="0"/>
        <w:adjustRightInd w:val="0"/>
        <w:spacing w:before="120" w:after="120" w:line="271" w:lineRule="auto"/>
        <w:rPr>
          <w:rFonts w:asciiTheme="majorHAnsi" w:hAnsiTheme="majorHAnsi"/>
          <w:color w:val="000000"/>
        </w:rPr>
      </w:pPr>
      <w:r>
        <w:rPr>
          <w:rFonts w:asciiTheme="majorHAnsi" w:hAnsiTheme="majorHAnsi"/>
          <w:color w:val="000000"/>
        </w:rPr>
        <w:lastRenderedPageBreak/>
        <w:t>Hyder</w:t>
      </w:r>
      <w:r>
        <w:rPr>
          <w:rFonts w:asciiTheme="majorHAnsi" w:hAnsiTheme="majorHAnsi"/>
        </w:rPr>
        <w:t>,</w:t>
      </w:r>
      <w:r>
        <w:rPr>
          <w:rFonts w:asciiTheme="majorHAnsi" w:hAnsiTheme="majorHAnsi"/>
          <w:color w:val="000000"/>
        </w:rPr>
        <w:t xml:space="preserve"> N, Coffey</w:t>
      </w:r>
      <w:r>
        <w:rPr>
          <w:rFonts w:asciiTheme="majorHAnsi" w:hAnsiTheme="majorHAnsi"/>
        </w:rPr>
        <w:t>,</w:t>
      </w:r>
      <w:r>
        <w:rPr>
          <w:rFonts w:asciiTheme="majorHAnsi" w:hAnsiTheme="majorHAnsi"/>
          <w:color w:val="000000"/>
        </w:rPr>
        <w:t xml:space="preserve"> MD</w:t>
      </w:r>
      <w:r>
        <w:rPr>
          <w:rFonts w:asciiTheme="majorHAnsi" w:hAnsiTheme="majorHAnsi"/>
        </w:rPr>
        <w:t xml:space="preserve"> &amp;</w:t>
      </w:r>
      <w:r>
        <w:rPr>
          <w:rFonts w:asciiTheme="majorHAnsi" w:hAnsiTheme="majorHAnsi"/>
          <w:color w:val="000000"/>
        </w:rPr>
        <w:t xml:space="preserve"> Stanghellini</w:t>
      </w:r>
      <w:r>
        <w:rPr>
          <w:rFonts w:asciiTheme="majorHAnsi" w:hAnsiTheme="majorHAnsi"/>
        </w:rPr>
        <w:t>,</w:t>
      </w:r>
      <w:r>
        <w:rPr>
          <w:rFonts w:asciiTheme="majorHAnsi" w:hAnsiTheme="majorHAnsi"/>
          <w:color w:val="000000"/>
        </w:rPr>
        <w:t xml:space="preserve"> ME 2009</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Viability of oomycetes propagules following ingestion and excretion by fungus gnats, shore flies, and snails</w:t>
      </w:r>
      <w:r>
        <w:rPr>
          <w:rFonts w:asciiTheme="majorHAnsi" w:hAnsiTheme="majorHAnsi"/>
        </w:rPr>
        <w:t xml:space="preserve">’, </w:t>
      </w:r>
      <w:r>
        <w:rPr>
          <w:rFonts w:asciiTheme="majorHAnsi" w:hAnsiTheme="majorHAnsi"/>
          <w:i/>
        </w:rPr>
        <w:t>Plant Disease</w:t>
      </w:r>
      <w:r>
        <w:rPr>
          <w:rFonts w:asciiTheme="majorHAnsi" w:hAnsiTheme="majorHAnsi"/>
        </w:rPr>
        <w:t>,</w:t>
      </w:r>
      <w:r>
        <w:rPr>
          <w:rFonts w:asciiTheme="majorHAnsi" w:hAnsiTheme="majorHAnsi"/>
          <w:color w:val="000000"/>
        </w:rPr>
        <w:t xml:space="preserve"> 93:720–726.</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IBIS World 2008, </w:t>
      </w:r>
      <w:r>
        <w:rPr>
          <w:rFonts w:asciiTheme="majorHAnsi" w:hAnsiTheme="majorHAnsi"/>
          <w:i/>
        </w:rPr>
        <w:t>Plant nurseries in Australia</w:t>
      </w:r>
      <w:r>
        <w:rPr>
          <w:rFonts w:asciiTheme="majorHAnsi" w:hAnsiTheme="majorHAnsi"/>
        </w:rPr>
        <w:t>, IBISWorld Industry Report A01</w:t>
      </w:r>
      <w:r w:rsidR="007B1790">
        <w:rPr>
          <w:rFonts w:asciiTheme="majorHAnsi" w:hAnsiTheme="majorHAnsi"/>
        </w:rPr>
        <w:t xml:space="preserve">11, accessed April 2014, </w:t>
      </w:r>
      <w:r>
        <w:rPr>
          <w:rFonts w:asciiTheme="majorHAnsi" w:hAnsiTheme="majorHAnsi"/>
        </w:rPr>
        <w:t>tools.afr.com/search/_files percent5Cpdf percent5Csamplereport.pdf.</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Inman, AJ, Townend, VC, Barnes, AV, Lane, CR, Hughes, KJD, Griffin, RL &amp; Eales, SJ 2003, ‘First report of ramorum dieback (</w:t>
      </w:r>
      <w:r>
        <w:rPr>
          <w:rFonts w:asciiTheme="majorHAnsi" w:hAnsiTheme="majorHAnsi"/>
          <w:i/>
        </w:rPr>
        <w:t>Phytophthora ramorum</w:t>
      </w:r>
      <w:r>
        <w:rPr>
          <w:rFonts w:asciiTheme="majorHAnsi" w:hAnsiTheme="majorHAnsi"/>
        </w:rPr>
        <w:t xml:space="preserve">) on </w:t>
      </w:r>
      <w:r>
        <w:rPr>
          <w:rFonts w:asciiTheme="majorHAnsi" w:hAnsiTheme="majorHAnsi"/>
          <w:i/>
        </w:rPr>
        <w:t xml:space="preserve">Pieris </w:t>
      </w:r>
      <w:r>
        <w:rPr>
          <w:rFonts w:asciiTheme="majorHAnsi" w:hAnsiTheme="majorHAnsi"/>
        </w:rPr>
        <w:t xml:space="preserve">in England’, </w:t>
      </w:r>
      <w:r>
        <w:rPr>
          <w:rFonts w:asciiTheme="majorHAnsi" w:hAnsiTheme="majorHAnsi"/>
          <w:i/>
        </w:rPr>
        <w:t>New Disease Reports</w:t>
      </w:r>
      <w:r>
        <w:rPr>
          <w:rFonts w:asciiTheme="majorHAnsi" w:hAnsiTheme="majorHAnsi"/>
        </w:rPr>
        <w:t>, 7: 7.</w:t>
      </w:r>
    </w:p>
    <w:p w:rsidR="00C74066" w:rsidRDefault="00F10705">
      <w:pPr>
        <w:spacing w:before="120" w:after="120" w:line="271" w:lineRule="auto"/>
        <w:rPr>
          <w:rFonts w:asciiTheme="majorHAnsi" w:hAnsiTheme="majorHAnsi"/>
        </w:rPr>
      </w:pPr>
      <w:r>
        <w:rPr>
          <w:rFonts w:asciiTheme="majorHAnsi" w:eastAsiaTheme="minorEastAsia" w:hAnsiTheme="majorHAnsi"/>
          <w:lang w:bidi="en-US"/>
        </w:rPr>
        <w:t>Ireland, KB, Hardy, GESJ &amp; Kriticos</w:t>
      </w:r>
      <w:r>
        <w:rPr>
          <w:rFonts w:asciiTheme="majorHAnsi" w:hAnsiTheme="majorHAnsi"/>
        </w:rPr>
        <w:t>, DJ 2013,</w:t>
      </w:r>
      <w:r>
        <w:rPr>
          <w:rFonts w:asciiTheme="majorHAnsi" w:eastAsiaTheme="minorEastAsia" w:hAnsiTheme="majorHAnsi"/>
          <w:lang w:bidi="en-US"/>
        </w:rPr>
        <w:t xml:space="preserve"> Combining Inferential and Deductive</w:t>
      </w:r>
      <w:r>
        <w:rPr>
          <w:rFonts w:asciiTheme="majorHAnsi" w:hAnsiTheme="majorHAnsi"/>
        </w:rPr>
        <w:t xml:space="preserve"> </w:t>
      </w:r>
      <w:r>
        <w:rPr>
          <w:rFonts w:asciiTheme="majorHAnsi" w:eastAsiaTheme="minorEastAsia" w:hAnsiTheme="majorHAnsi"/>
          <w:lang w:bidi="en-US"/>
        </w:rPr>
        <w:t>Approaches to Estimate the Potential Geographical Range of the Invasive Plant Pathogen,</w:t>
      </w:r>
      <w:r>
        <w:rPr>
          <w:rFonts w:asciiTheme="majorHAnsi" w:hAnsiTheme="majorHAnsi"/>
        </w:rPr>
        <w:t xml:space="preserve"> </w:t>
      </w:r>
      <w:r>
        <w:rPr>
          <w:rFonts w:asciiTheme="majorHAnsi" w:eastAsiaTheme="minorEastAsia" w:hAnsiTheme="majorHAnsi"/>
          <w:i/>
          <w:lang w:bidi="en-US"/>
        </w:rPr>
        <w:t>Phytophthora ramorum</w:t>
      </w:r>
      <w:r>
        <w:rPr>
          <w:rFonts w:asciiTheme="majorHAnsi" w:eastAsiaTheme="minorEastAsia" w:hAnsiTheme="majorHAnsi"/>
          <w:lang w:bidi="en-US"/>
        </w:rPr>
        <w:t xml:space="preserve">. </w:t>
      </w:r>
      <w:r>
        <w:rPr>
          <w:rFonts w:asciiTheme="majorHAnsi" w:eastAsiaTheme="minorEastAsia" w:hAnsiTheme="majorHAnsi"/>
          <w:i/>
          <w:lang w:bidi="en-US"/>
        </w:rPr>
        <w:t>PloS one</w:t>
      </w:r>
      <w:r>
        <w:rPr>
          <w:rFonts w:asciiTheme="majorHAnsi" w:eastAsiaTheme="minorEastAsia" w:hAnsiTheme="majorHAnsi"/>
          <w:lang w:bidi="en-US"/>
        </w:rPr>
        <w:t>, 8</w:t>
      </w:r>
      <w:r>
        <w:rPr>
          <w:rFonts w:asciiTheme="majorHAnsi" w:hAnsiTheme="majorHAnsi"/>
        </w:rPr>
        <w:t xml:space="preserve">: </w:t>
      </w:r>
      <w:r>
        <w:rPr>
          <w:rFonts w:asciiTheme="majorHAnsi" w:eastAsiaTheme="minorEastAsia" w:hAnsiTheme="majorHAnsi"/>
          <w:lang w:bidi="en-US"/>
        </w:rPr>
        <w:t>5</w:t>
      </w:r>
      <w:r>
        <w:rPr>
          <w:rFonts w:asciiTheme="majorHAnsi" w:hAnsiTheme="majorHAnsi"/>
        </w:rPr>
        <w:t xml:space="preserve">: </w:t>
      </w:r>
      <w:r>
        <w:rPr>
          <w:rFonts w:asciiTheme="majorHAnsi" w:eastAsiaTheme="minorEastAsia" w:hAnsiTheme="majorHAnsi"/>
          <w:lang w:bidi="en-US"/>
        </w:rPr>
        <w:t>e63508.</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t>Ivors</w:t>
      </w:r>
      <w:r>
        <w:rPr>
          <w:rFonts w:asciiTheme="majorHAnsi" w:hAnsiTheme="majorHAnsi"/>
        </w:rPr>
        <w:t>,</w:t>
      </w:r>
      <w:r>
        <w:rPr>
          <w:rFonts w:asciiTheme="majorHAnsi" w:hAnsiTheme="majorHAnsi"/>
          <w:color w:val="000000"/>
        </w:rPr>
        <w:t xml:space="preserve"> K, Garbelotto</w:t>
      </w:r>
      <w:r>
        <w:rPr>
          <w:rFonts w:asciiTheme="majorHAnsi" w:hAnsiTheme="majorHAnsi"/>
        </w:rPr>
        <w:t>,</w:t>
      </w:r>
      <w:r>
        <w:rPr>
          <w:rFonts w:asciiTheme="majorHAnsi" w:hAnsiTheme="majorHAnsi"/>
          <w:color w:val="000000"/>
        </w:rPr>
        <w:t xml:space="preserve"> M, Vries</w:t>
      </w:r>
      <w:r>
        <w:rPr>
          <w:rFonts w:asciiTheme="majorHAnsi" w:hAnsiTheme="majorHAnsi"/>
        </w:rPr>
        <w:t>,</w:t>
      </w:r>
      <w:r>
        <w:rPr>
          <w:rFonts w:asciiTheme="majorHAnsi" w:hAnsiTheme="majorHAnsi"/>
          <w:color w:val="000000"/>
        </w:rPr>
        <w:t xml:space="preserve"> IDE, Ruyter-Spira</w:t>
      </w:r>
      <w:r>
        <w:rPr>
          <w:rFonts w:asciiTheme="majorHAnsi" w:hAnsiTheme="majorHAnsi"/>
        </w:rPr>
        <w:t>,</w:t>
      </w:r>
      <w:r>
        <w:rPr>
          <w:rFonts w:asciiTheme="majorHAnsi" w:hAnsiTheme="majorHAnsi"/>
          <w:color w:val="000000"/>
        </w:rPr>
        <w:t xml:space="preserve"> C, Hekkert</w:t>
      </w:r>
      <w:r>
        <w:rPr>
          <w:rFonts w:asciiTheme="majorHAnsi" w:hAnsiTheme="majorHAnsi"/>
        </w:rPr>
        <w:t>,</w:t>
      </w:r>
      <w:r>
        <w:rPr>
          <w:rFonts w:asciiTheme="majorHAnsi" w:hAnsiTheme="majorHAnsi"/>
          <w:color w:val="000000"/>
        </w:rPr>
        <w:t xml:space="preserve"> BTE, Rosenzweig</w:t>
      </w:r>
      <w:r>
        <w:rPr>
          <w:rFonts w:asciiTheme="majorHAnsi" w:hAnsiTheme="majorHAnsi"/>
        </w:rPr>
        <w:t>,</w:t>
      </w:r>
      <w:r>
        <w:rPr>
          <w:rFonts w:asciiTheme="majorHAnsi" w:hAnsiTheme="majorHAnsi"/>
          <w:color w:val="000000"/>
        </w:rPr>
        <w:t xml:space="preserve"> N</w:t>
      </w:r>
      <w:r>
        <w:rPr>
          <w:rFonts w:asciiTheme="majorHAnsi" w:hAnsiTheme="majorHAnsi"/>
        </w:rPr>
        <w:t xml:space="preserve"> &amp;</w:t>
      </w:r>
      <w:r>
        <w:rPr>
          <w:rFonts w:asciiTheme="majorHAnsi" w:hAnsiTheme="majorHAnsi"/>
          <w:color w:val="000000"/>
        </w:rPr>
        <w:t xml:space="preserve"> Bonants</w:t>
      </w:r>
      <w:r>
        <w:rPr>
          <w:rFonts w:asciiTheme="majorHAnsi" w:hAnsiTheme="majorHAnsi"/>
        </w:rPr>
        <w:t>,</w:t>
      </w:r>
      <w:r>
        <w:rPr>
          <w:rFonts w:asciiTheme="majorHAnsi" w:hAnsiTheme="majorHAnsi"/>
          <w:color w:val="000000"/>
        </w:rPr>
        <w:t xml:space="preserve"> P 2006</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 xml:space="preserve">Microsatellite markers identify three lineages of </w:t>
      </w:r>
      <w:r>
        <w:rPr>
          <w:rFonts w:asciiTheme="majorHAnsi" w:hAnsiTheme="majorHAnsi"/>
          <w:i/>
        </w:rPr>
        <w:t>Phytophthora ramorum</w:t>
      </w:r>
      <w:r>
        <w:rPr>
          <w:rFonts w:asciiTheme="majorHAnsi" w:hAnsiTheme="majorHAnsi"/>
          <w:color w:val="000000"/>
        </w:rPr>
        <w:t xml:space="preserve"> in US nurseries, yet single lineages in US forest and European nursery populations</w:t>
      </w:r>
      <w:r>
        <w:rPr>
          <w:rFonts w:asciiTheme="majorHAnsi" w:hAnsiTheme="majorHAnsi"/>
        </w:rPr>
        <w:t xml:space="preserve">’, </w:t>
      </w:r>
      <w:r>
        <w:rPr>
          <w:rFonts w:asciiTheme="majorHAnsi" w:hAnsiTheme="majorHAnsi"/>
          <w:i/>
          <w:color w:val="000000"/>
        </w:rPr>
        <w:t>Molecular Ecology</w:t>
      </w:r>
      <w:r>
        <w:rPr>
          <w:rFonts w:asciiTheme="majorHAnsi" w:hAnsiTheme="majorHAnsi"/>
        </w:rPr>
        <w:t>,</w:t>
      </w:r>
      <w:r>
        <w:rPr>
          <w:rFonts w:asciiTheme="majorHAnsi" w:hAnsiTheme="majorHAnsi"/>
          <w:i/>
          <w:color w:val="000000"/>
        </w:rPr>
        <w:t xml:space="preserve"> </w:t>
      </w:r>
      <w:r>
        <w:rPr>
          <w:rFonts w:asciiTheme="majorHAnsi" w:hAnsiTheme="majorHAnsi"/>
          <w:color w:val="000000"/>
        </w:rPr>
        <w:t>15: 1493–1505.</w:t>
      </w:r>
      <w:r>
        <w:rPr>
          <w:rFonts w:asciiTheme="majorHAnsi" w:hAnsiTheme="majorHAnsi"/>
        </w:rPr>
        <w:t xml:space="preserve">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Ivors, KI, Hayden, KJ, Bonants, PJM, Rizzo, DM &amp; Garbelotto, M 2004, ‘AFLP and phylogenetic analyses of North American and European populations of </w:t>
      </w:r>
      <w:r>
        <w:rPr>
          <w:rFonts w:asciiTheme="majorHAnsi" w:hAnsiTheme="majorHAnsi"/>
          <w:i/>
        </w:rPr>
        <w:t>Phytophthora ramorum</w:t>
      </w:r>
      <w:r>
        <w:rPr>
          <w:rFonts w:asciiTheme="majorHAnsi" w:hAnsiTheme="majorHAnsi"/>
        </w:rPr>
        <w:t xml:space="preserve">’, </w:t>
      </w:r>
      <w:r>
        <w:rPr>
          <w:rFonts w:asciiTheme="majorHAnsi" w:hAnsiTheme="majorHAnsi"/>
          <w:i/>
        </w:rPr>
        <w:t>Mycological Research</w:t>
      </w:r>
      <w:r>
        <w:rPr>
          <w:rFonts w:asciiTheme="majorHAnsi" w:hAnsiTheme="majorHAnsi"/>
        </w:rPr>
        <w:t xml:space="preserve">, 108: 378–392.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t>Jeger</w:t>
      </w:r>
      <w:r>
        <w:rPr>
          <w:rFonts w:asciiTheme="majorHAnsi" w:hAnsiTheme="majorHAnsi"/>
        </w:rPr>
        <w:t>,</w:t>
      </w:r>
      <w:r>
        <w:rPr>
          <w:rFonts w:asciiTheme="majorHAnsi" w:hAnsiTheme="majorHAnsi"/>
          <w:color w:val="000000"/>
        </w:rPr>
        <w:t xml:space="preserve"> MJ, Pautasso</w:t>
      </w:r>
      <w:r>
        <w:rPr>
          <w:rFonts w:asciiTheme="majorHAnsi" w:hAnsiTheme="majorHAnsi"/>
        </w:rPr>
        <w:t>,</w:t>
      </w:r>
      <w:r>
        <w:rPr>
          <w:rFonts w:asciiTheme="majorHAnsi" w:hAnsiTheme="majorHAnsi"/>
          <w:color w:val="000000"/>
        </w:rPr>
        <w:t xml:space="preserve"> M, Holdenrieder</w:t>
      </w:r>
      <w:r>
        <w:rPr>
          <w:rFonts w:asciiTheme="majorHAnsi" w:hAnsiTheme="majorHAnsi"/>
        </w:rPr>
        <w:t>,</w:t>
      </w:r>
      <w:r>
        <w:rPr>
          <w:rFonts w:asciiTheme="majorHAnsi" w:hAnsiTheme="majorHAnsi"/>
          <w:color w:val="000000"/>
        </w:rPr>
        <w:t xml:space="preserve"> O</w:t>
      </w:r>
      <w:r>
        <w:rPr>
          <w:rFonts w:asciiTheme="majorHAnsi" w:hAnsiTheme="majorHAnsi"/>
        </w:rPr>
        <w:t xml:space="preserve"> &amp;</w:t>
      </w:r>
      <w:r>
        <w:rPr>
          <w:rFonts w:asciiTheme="majorHAnsi" w:hAnsiTheme="majorHAnsi"/>
          <w:color w:val="000000"/>
        </w:rPr>
        <w:t xml:space="preserve"> Shaw</w:t>
      </w:r>
      <w:r>
        <w:rPr>
          <w:rFonts w:asciiTheme="majorHAnsi" w:hAnsiTheme="majorHAnsi"/>
        </w:rPr>
        <w:t>,</w:t>
      </w:r>
      <w:r>
        <w:rPr>
          <w:rFonts w:asciiTheme="majorHAnsi" w:hAnsiTheme="majorHAnsi"/>
          <w:color w:val="000000"/>
        </w:rPr>
        <w:t xml:space="preserve"> MW 2007</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Modelling disease spread and control in networks: implications for plant sciences</w:t>
      </w:r>
      <w:r>
        <w:rPr>
          <w:rFonts w:asciiTheme="majorHAnsi" w:hAnsiTheme="majorHAnsi"/>
        </w:rPr>
        <w:t xml:space="preserve">’, </w:t>
      </w:r>
      <w:r>
        <w:rPr>
          <w:rFonts w:asciiTheme="majorHAnsi" w:hAnsiTheme="majorHAnsi"/>
          <w:i/>
          <w:color w:val="000000"/>
        </w:rPr>
        <w:t>New Phytologist</w:t>
      </w:r>
      <w:r>
        <w:rPr>
          <w:rFonts w:asciiTheme="majorHAnsi" w:hAnsiTheme="majorHAnsi"/>
        </w:rPr>
        <w:t>,</w:t>
      </w:r>
      <w:r>
        <w:rPr>
          <w:rFonts w:asciiTheme="majorHAnsi" w:hAnsiTheme="majorHAnsi"/>
          <w:color w:val="000000"/>
        </w:rPr>
        <w:t xml:space="preserve"> 174: 279–297.</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t>Jones</w:t>
      </w:r>
      <w:r>
        <w:rPr>
          <w:rFonts w:asciiTheme="majorHAnsi" w:hAnsiTheme="majorHAnsi"/>
        </w:rPr>
        <w:t>,</w:t>
      </w:r>
      <w:r>
        <w:rPr>
          <w:rFonts w:asciiTheme="majorHAnsi" w:hAnsiTheme="majorHAnsi"/>
          <w:color w:val="000000"/>
        </w:rPr>
        <w:t xml:space="preserve"> DR 2003</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 xml:space="preserve">Revised datasheet of </w:t>
      </w:r>
      <w:r>
        <w:rPr>
          <w:rFonts w:asciiTheme="majorHAnsi" w:hAnsiTheme="majorHAnsi"/>
          <w:i/>
          <w:color w:val="000000"/>
        </w:rPr>
        <w:t>Phytophthora ramorum</w:t>
      </w:r>
      <w:r>
        <w:rPr>
          <w:rFonts w:asciiTheme="majorHAnsi" w:hAnsiTheme="majorHAnsi"/>
          <w:color w:val="000000"/>
        </w:rPr>
        <w:t>’,</w:t>
      </w:r>
      <w:r>
        <w:rPr>
          <w:rFonts w:asciiTheme="majorHAnsi" w:hAnsiTheme="majorHAnsi"/>
          <w:i/>
        </w:rPr>
        <w:t xml:space="preserve"> </w:t>
      </w:r>
      <w:r>
        <w:rPr>
          <w:rFonts w:asciiTheme="majorHAnsi" w:hAnsiTheme="majorHAnsi"/>
        </w:rPr>
        <w:t>CSL Forest Research.</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t>Judelson</w:t>
      </w:r>
      <w:r>
        <w:rPr>
          <w:rFonts w:asciiTheme="majorHAnsi" w:hAnsiTheme="majorHAnsi"/>
        </w:rPr>
        <w:t>,</w:t>
      </w:r>
      <w:r>
        <w:rPr>
          <w:rFonts w:asciiTheme="majorHAnsi" w:hAnsiTheme="majorHAnsi"/>
          <w:color w:val="000000"/>
        </w:rPr>
        <w:t xml:space="preserve"> HS</w:t>
      </w:r>
      <w:r>
        <w:rPr>
          <w:rFonts w:asciiTheme="majorHAnsi" w:hAnsiTheme="majorHAnsi"/>
        </w:rPr>
        <w:t xml:space="preserve"> &amp;</w:t>
      </w:r>
      <w:r>
        <w:rPr>
          <w:rFonts w:asciiTheme="majorHAnsi" w:hAnsiTheme="majorHAnsi"/>
          <w:color w:val="000000"/>
        </w:rPr>
        <w:t xml:space="preserve"> Blanco</w:t>
      </w:r>
      <w:r>
        <w:rPr>
          <w:rFonts w:asciiTheme="majorHAnsi" w:hAnsiTheme="majorHAnsi"/>
        </w:rPr>
        <w:t>,</w:t>
      </w:r>
      <w:r>
        <w:rPr>
          <w:rFonts w:asciiTheme="majorHAnsi" w:hAnsiTheme="majorHAnsi"/>
          <w:color w:val="000000"/>
        </w:rPr>
        <w:t xml:space="preserve"> FA 2005</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 xml:space="preserve">The spores of </w:t>
      </w:r>
      <w:r>
        <w:rPr>
          <w:rFonts w:asciiTheme="majorHAnsi" w:hAnsiTheme="majorHAnsi"/>
          <w:i/>
          <w:color w:val="000000"/>
        </w:rPr>
        <w:t>Phytophthora</w:t>
      </w:r>
      <w:r>
        <w:rPr>
          <w:rFonts w:asciiTheme="majorHAnsi" w:hAnsiTheme="majorHAnsi"/>
        </w:rPr>
        <w:t xml:space="preserve">: Weapons of the plant destroyer’, </w:t>
      </w:r>
      <w:r>
        <w:rPr>
          <w:rFonts w:asciiTheme="majorHAnsi" w:hAnsiTheme="majorHAnsi"/>
          <w:i/>
          <w:color w:val="000000"/>
        </w:rPr>
        <w:t>Nat</w:t>
      </w:r>
      <w:r>
        <w:rPr>
          <w:rFonts w:asciiTheme="majorHAnsi" w:hAnsiTheme="majorHAnsi"/>
          <w:i/>
        </w:rPr>
        <w:t>ure</w:t>
      </w:r>
      <w:r>
        <w:rPr>
          <w:rFonts w:asciiTheme="majorHAnsi" w:hAnsiTheme="majorHAnsi"/>
          <w:i/>
          <w:color w:val="000000"/>
        </w:rPr>
        <w:t xml:space="preserve"> Review</w:t>
      </w:r>
      <w:r>
        <w:rPr>
          <w:rFonts w:asciiTheme="majorHAnsi" w:hAnsiTheme="majorHAnsi"/>
          <w:i/>
        </w:rPr>
        <w:t>s</w:t>
      </w:r>
      <w:r>
        <w:rPr>
          <w:rFonts w:asciiTheme="majorHAnsi" w:hAnsiTheme="majorHAnsi"/>
          <w:i/>
          <w:color w:val="000000"/>
        </w:rPr>
        <w:t xml:space="preserve"> Microbiology</w:t>
      </w:r>
      <w:r>
        <w:rPr>
          <w:rFonts w:asciiTheme="majorHAnsi" w:hAnsiTheme="majorHAnsi"/>
        </w:rPr>
        <w:t>, 3: 47</w:t>
      </w:r>
      <w:r>
        <w:rPr>
          <w:rFonts w:asciiTheme="majorHAnsi" w:hAnsiTheme="majorHAnsi"/>
          <w:color w:val="000000"/>
        </w:rPr>
        <w:t>–58.</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Jung, T 2009, ‘Beech decline in Central Europe driven by the interaction between </w:t>
      </w:r>
      <w:r>
        <w:rPr>
          <w:rFonts w:asciiTheme="majorHAnsi" w:hAnsiTheme="majorHAnsi"/>
          <w:i/>
          <w:color w:val="000000"/>
        </w:rPr>
        <w:t>Phytophthora</w:t>
      </w:r>
      <w:r>
        <w:rPr>
          <w:rFonts w:asciiTheme="majorHAnsi" w:hAnsiTheme="majorHAnsi"/>
        </w:rPr>
        <w:t xml:space="preserve"> infections and climatic extremes’, </w:t>
      </w:r>
      <w:r>
        <w:rPr>
          <w:rFonts w:asciiTheme="majorHAnsi" w:hAnsiTheme="majorHAnsi"/>
          <w:i/>
          <w:color w:val="000000"/>
        </w:rPr>
        <w:t>Forest Pathology</w:t>
      </w:r>
      <w:r>
        <w:rPr>
          <w:rFonts w:asciiTheme="majorHAnsi" w:hAnsiTheme="majorHAnsi"/>
        </w:rPr>
        <w:t>, 39: 73–94.</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Jung, T, Cooke, DEL, Blaschke, H, Duncan, JM &amp; Osswald, W 1999, ‘</w:t>
      </w:r>
      <w:r>
        <w:rPr>
          <w:rFonts w:asciiTheme="majorHAnsi" w:hAnsiTheme="majorHAnsi"/>
          <w:i/>
          <w:color w:val="000000"/>
        </w:rPr>
        <w:t>Phytophthora quercine</w:t>
      </w:r>
      <w:r>
        <w:rPr>
          <w:rFonts w:asciiTheme="majorHAnsi" w:hAnsiTheme="majorHAnsi"/>
        </w:rPr>
        <w:t xml:space="preserve"> sp.</w:t>
      </w:r>
      <w:r>
        <w:rPr>
          <w:rFonts w:asciiTheme="majorHAnsi" w:hAnsiTheme="majorHAnsi"/>
          <w:i/>
          <w:color w:val="000000"/>
        </w:rPr>
        <w:t>nov</w:t>
      </w:r>
      <w:r>
        <w:rPr>
          <w:rFonts w:asciiTheme="majorHAnsi" w:hAnsiTheme="majorHAnsi"/>
        </w:rPr>
        <w:t xml:space="preserve">, causing root rot of European oaks’, </w:t>
      </w:r>
      <w:r>
        <w:rPr>
          <w:rFonts w:asciiTheme="majorHAnsi" w:hAnsiTheme="majorHAnsi"/>
          <w:i/>
          <w:color w:val="000000"/>
        </w:rPr>
        <w:t>Mycologic</w:t>
      </w:r>
      <w:r>
        <w:rPr>
          <w:rFonts w:asciiTheme="majorHAnsi" w:hAnsiTheme="majorHAnsi"/>
          <w:color w:val="000000"/>
        </w:rPr>
        <w:t>al</w:t>
      </w:r>
      <w:r>
        <w:rPr>
          <w:rFonts w:asciiTheme="majorHAnsi" w:hAnsiTheme="majorHAnsi"/>
          <w:i/>
          <w:color w:val="000000"/>
        </w:rPr>
        <w:t xml:space="preserve"> Research</w:t>
      </w:r>
      <w:r>
        <w:rPr>
          <w:rFonts w:asciiTheme="majorHAnsi" w:hAnsiTheme="majorHAnsi"/>
        </w:rPr>
        <w:t>, 103: 785–798.</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Jung, T, Nechwatal, J, Cooke, DEL, Hartmann, G, Blaschke, M, Osswald, WF, Duncan, JM &amp; Delatour, C 2003, ‘</w:t>
      </w:r>
      <w:r>
        <w:rPr>
          <w:rFonts w:asciiTheme="majorHAnsi" w:hAnsiTheme="majorHAnsi"/>
          <w:i/>
          <w:color w:val="000000"/>
        </w:rPr>
        <w:t>Phytophthora pseudosyringae</w:t>
      </w:r>
      <w:r>
        <w:rPr>
          <w:rFonts w:asciiTheme="majorHAnsi" w:hAnsiTheme="majorHAnsi"/>
        </w:rPr>
        <w:t xml:space="preserve"> sp. </w:t>
      </w:r>
      <w:r>
        <w:rPr>
          <w:rFonts w:asciiTheme="majorHAnsi" w:hAnsiTheme="majorHAnsi"/>
          <w:i/>
          <w:color w:val="000000"/>
        </w:rPr>
        <w:t>nov</w:t>
      </w:r>
      <w:r>
        <w:rPr>
          <w:rFonts w:asciiTheme="majorHAnsi" w:hAnsiTheme="majorHAnsi"/>
        </w:rPr>
        <w:t xml:space="preserve">, a new species causing root and collar rot of deciduous tree species in Europe’, </w:t>
      </w:r>
      <w:r>
        <w:rPr>
          <w:rFonts w:asciiTheme="majorHAnsi" w:hAnsiTheme="majorHAnsi"/>
          <w:i/>
          <w:color w:val="000000"/>
        </w:rPr>
        <w:t>Mycologic</w:t>
      </w:r>
      <w:r>
        <w:rPr>
          <w:rFonts w:asciiTheme="majorHAnsi" w:hAnsiTheme="majorHAnsi"/>
          <w:color w:val="000000"/>
        </w:rPr>
        <w:t>al</w:t>
      </w:r>
      <w:r>
        <w:rPr>
          <w:rFonts w:asciiTheme="majorHAnsi" w:hAnsiTheme="majorHAnsi"/>
          <w:i/>
          <w:color w:val="000000"/>
        </w:rPr>
        <w:t xml:space="preserve"> Research</w:t>
      </w:r>
      <w:r>
        <w:rPr>
          <w:rFonts w:asciiTheme="majorHAnsi" w:hAnsiTheme="majorHAnsi"/>
        </w:rPr>
        <w:t>, 107: 772–789.</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Jung, T, Vannini, A &amp; Brasier, CM 2007, ‘Progress in understanding </w:t>
      </w:r>
      <w:r>
        <w:rPr>
          <w:rFonts w:asciiTheme="majorHAnsi" w:hAnsiTheme="majorHAnsi"/>
          <w:i/>
          <w:color w:val="000000"/>
        </w:rPr>
        <w:t>Phytophthora</w:t>
      </w:r>
      <w:r>
        <w:rPr>
          <w:rFonts w:asciiTheme="majorHAnsi" w:hAnsiTheme="majorHAnsi"/>
        </w:rPr>
        <w:t xml:space="preserve"> diseases of trees in Europe 2004–2007’, In: ‘</w:t>
      </w:r>
      <w:r>
        <w:rPr>
          <w:rFonts w:asciiTheme="majorHAnsi" w:hAnsiTheme="majorHAnsi"/>
          <w:i/>
        </w:rPr>
        <w:t>Phytophthora</w:t>
      </w:r>
      <w:r>
        <w:rPr>
          <w:rFonts w:asciiTheme="majorHAnsi" w:hAnsiTheme="majorHAnsi"/>
        </w:rPr>
        <w:t xml:space="preserve">s in forests and natural ecosystems’, </w:t>
      </w:r>
      <w:r>
        <w:rPr>
          <w:rFonts w:asciiTheme="majorHAnsi" w:hAnsiTheme="majorHAnsi"/>
          <w:i/>
        </w:rPr>
        <w:t>Proceedings of the Fourth Meeting of the International Union of Forest Research Organizations</w:t>
      </w:r>
      <w:r>
        <w:rPr>
          <w:rFonts w:asciiTheme="majorHAnsi" w:hAnsiTheme="majorHAnsi"/>
        </w:rPr>
        <w:t xml:space="preserve"> (IUFRO) Working Party S07.02.09 August 26–31, 2007, Monterey, California, accessed Feburary 2013,</w:t>
      </w:r>
      <w:r w:rsidR="007B1790">
        <w:rPr>
          <w:rFonts w:asciiTheme="majorHAnsi" w:hAnsiTheme="majorHAnsi"/>
        </w:rPr>
        <w:t xml:space="preserve"> </w:t>
      </w:r>
      <w:r>
        <w:rPr>
          <w:rFonts w:asciiTheme="majorHAnsi" w:hAnsiTheme="majorHAnsi"/>
        </w:rPr>
        <w:t>fs.fed.us/psw/publications/documents/psw_gtr221/psw_gtr221.</w:t>
      </w:r>
    </w:p>
    <w:p w:rsidR="00C74066" w:rsidRDefault="00F10705">
      <w:pPr>
        <w:autoSpaceDE w:val="0"/>
        <w:autoSpaceDN w:val="0"/>
        <w:adjustRightInd w:val="0"/>
        <w:spacing w:before="120" w:after="120" w:line="271" w:lineRule="auto"/>
        <w:rPr>
          <w:rFonts w:asciiTheme="majorHAnsi" w:hAnsiTheme="majorHAnsi"/>
          <w:color w:val="000000"/>
        </w:rPr>
      </w:pPr>
      <w:r>
        <w:rPr>
          <w:rFonts w:asciiTheme="majorHAnsi" w:hAnsiTheme="majorHAnsi"/>
          <w:color w:val="000000"/>
        </w:rPr>
        <w:t>Kelly</w:t>
      </w:r>
      <w:r>
        <w:rPr>
          <w:rFonts w:asciiTheme="majorHAnsi" w:hAnsiTheme="majorHAnsi"/>
        </w:rPr>
        <w:t>,</w:t>
      </w:r>
      <w:r>
        <w:rPr>
          <w:rFonts w:asciiTheme="majorHAnsi" w:hAnsiTheme="majorHAnsi"/>
          <w:color w:val="000000"/>
        </w:rPr>
        <w:t xml:space="preserve"> NM</w:t>
      </w:r>
      <w:r>
        <w:rPr>
          <w:rFonts w:asciiTheme="majorHAnsi" w:hAnsiTheme="majorHAnsi"/>
        </w:rPr>
        <w:t xml:space="preserve"> &amp;</w:t>
      </w:r>
      <w:r>
        <w:rPr>
          <w:rFonts w:asciiTheme="majorHAnsi" w:hAnsiTheme="majorHAnsi"/>
          <w:color w:val="000000"/>
        </w:rPr>
        <w:t xml:space="preserve"> Meentemeyer</w:t>
      </w:r>
      <w:r>
        <w:rPr>
          <w:rFonts w:asciiTheme="majorHAnsi" w:hAnsiTheme="majorHAnsi"/>
        </w:rPr>
        <w:t>,</w:t>
      </w:r>
      <w:r>
        <w:rPr>
          <w:rFonts w:asciiTheme="majorHAnsi" w:hAnsiTheme="majorHAnsi"/>
          <w:color w:val="000000"/>
        </w:rPr>
        <w:t xml:space="preserve"> R 2002</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Landscape dynamics of the spread of sudden oak death</w:t>
      </w:r>
      <w:r>
        <w:rPr>
          <w:rFonts w:asciiTheme="majorHAnsi" w:hAnsiTheme="majorHAnsi"/>
        </w:rPr>
        <w:t xml:space="preserve">’, </w:t>
      </w:r>
      <w:r>
        <w:rPr>
          <w:rFonts w:asciiTheme="majorHAnsi" w:hAnsiTheme="majorHAnsi"/>
          <w:i/>
          <w:color w:val="000000"/>
        </w:rPr>
        <w:t>Photogrammetric Engineering and Remote Sensing</w:t>
      </w:r>
      <w:r>
        <w:rPr>
          <w:rFonts w:asciiTheme="majorHAnsi" w:hAnsiTheme="majorHAnsi"/>
        </w:rPr>
        <w:t>,</w:t>
      </w:r>
      <w:r>
        <w:rPr>
          <w:rFonts w:asciiTheme="majorHAnsi" w:hAnsiTheme="majorHAnsi"/>
          <w:color w:val="000000"/>
        </w:rPr>
        <w:t xml:space="preserve"> 68: 1001–1009.</w:t>
      </w:r>
    </w:p>
    <w:p w:rsidR="00C74066" w:rsidRDefault="00F10705">
      <w:pPr>
        <w:autoSpaceDE w:val="0"/>
        <w:autoSpaceDN w:val="0"/>
        <w:adjustRightInd w:val="0"/>
        <w:spacing w:before="120" w:after="120" w:line="271" w:lineRule="auto"/>
        <w:rPr>
          <w:rFonts w:asciiTheme="majorHAnsi" w:hAnsiTheme="majorHAnsi"/>
          <w:color w:val="000000"/>
        </w:rPr>
      </w:pPr>
      <w:r>
        <w:rPr>
          <w:rFonts w:asciiTheme="majorHAnsi" w:hAnsiTheme="majorHAnsi"/>
          <w:color w:val="000000"/>
        </w:rPr>
        <w:t>Kliejunas</w:t>
      </w:r>
      <w:r>
        <w:rPr>
          <w:rFonts w:asciiTheme="majorHAnsi" w:hAnsiTheme="majorHAnsi"/>
        </w:rPr>
        <w:t>,</w:t>
      </w:r>
      <w:r>
        <w:rPr>
          <w:rFonts w:asciiTheme="majorHAnsi" w:hAnsiTheme="majorHAnsi"/>
          <w:color w:val="000000"/>
        </w:rPr>
        <w:t xml:space="preserve"> J 2000</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 xml:space="preserve">Sudden oak death, </w:t>
      </w:r>
      <w:r>
        <w:rPr>
          <w:rFonts w:asciiTheme="majorHAnsi" w:hAnsiTheme="majorHAnsi"/>
          <w:i/>
          <w:color w:val="000000"/>
        </w:rPr>
        <w:t>Phytophthora</w:t>
      </w:r>
      <w:r>
        <w:rPr>
          <w:rFonts w:asciiTheme="majorHAnsi" w:hAnsiTheme="majorHAnsi"/>
          <w:color w:val="000000"/>
        </w:rPr>
        <w:t xml:space="preserve"> sp., pest risk assessment</w:t>
      </w:r>
      <w:r w:rsidR="007B1790">
        <w:rPr>
          <w:rFonts w:asciiTheme="majorHAnsi" w:hAnsiTheme="majorHAnsi"/>
        </w:rPr>
        <w:t xml:space="preserve">’, </w:t>
      </w:r>
      <w:r>
        <w:rPr>
          <w:rFonts w:asciiTheme="majorHAnsi" w:hAnsiTheme="majorHAnsi"/>
        </w:rPr>
        <w:t xml:space="preserve">camfer.cnr.berkeley.edu/oaks/SODPRA.html.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t>Kliejunas</w:t>
      </w:r>
      <w:r>
        <w:rPr>
          <w:rFonts w:asciiTheme="majorHAnsi" w:hAnsiTheme="majorHAnsi"/>
        </w:rPr>
        <w:t>,</w:t>
      </w:r>
      <w:r>
        <w:rPr>
          <w:rFonts w:asciiTheme="majorHAnsi" w:hAnsiTheme="majorHAnsi"/>
          <w:color w:val="000000"/>
        </w:rPr>
        <w:t xml:space="preserve"> J 2003</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 xml:space="preserve">A pest risk assessment of </w:t>
      </w:r>
      <w:r>
        <w:rPr>
          <w:rFonts w:asciiTheme="majorHAnsi" w:hAnsiTheme="majorHAnsi"/>
          <w:i/>
        </w:rPr>
        <w:t>Phytophthora ramorum</w:t>
      </w:r>
      <w:r>
        <w:rPr>
          <w:rFonts w:asciiTheme="majorHAnsi" w:hAnsiTheme="majorHAnsi"/>
          <w:color w:val="000000"/>
        </w:rPr>
        <w:t xml:space="preserve"> </w:t>
      </w:r>
      <w:r>
        <w:rPr>
          <w:rFonts w:asciiTheme="majorHAnsi" w:hAnsiTheme="majorHAnsi"/>
        </w:rPr>
        <w:t>in North America’,</w:t>
      </w:r>
      <w:r>
        <w:rPr>
          <w:rFonts w:asciiTheme="majorHAnsi" w:hAnsiTheme="majorHAnsi"/>
          <w:color w:val="000000"/>
        </w:rPr>
        <w:t xml:space="preserve"> </w:t>
      </w:r>
      <w:r w:rsidR="007B1790">
        <w:rPr>
          <w:rFonts w:asciiTheme="majorHAnsi" w:hAnsiTheme="majorHAnsi"/>
        </w:rPr>
        <w:t xml:space="preserve">USDA Forest Service, </w:t>
      </w:r>
      <w:r>
        <w:rPr>
          <w:rFonts w:asciiTheme="majorHAnsi" w:hAnsiTheme="majorHAnsi"/>
        </w:rPr>
        <w:t>suddenoakdeath.org/pdf/RevisedPRA.8.03.pdf.</w:t>
      </w:r>
      <w:r>
        <w:rPr>
          <w:rFonts w:asciiTheme="majorHAnsi" w:hAnsiTheme="majorHAnsi"/>
          <w:color w:val="000000"/>
        </w:rPr>
        <w:t xml:space="preserve"> </w:t>
      </w:r>
    </w:p>
    <w:p w:rsidR="00C74066" w:rsidRDefault="00F10705">
      <w:pPr>
        <w:spacing w:before="120" w:after="120" w:line="271" w:lineRule="auto"/>
        <w:rPr>
          <w:rFonts w:asciiTheme="majorHAnsi" w:hAnsiTheme="majorHAnsi"/>
          <w:color w:val="000000"/>
        </w:rPr>
      </w:pPr>
      <w:r>
        <w:rPr>
          <w:rFonts w:asciiTheme="majorHAnsi" w:hAnsiTheme="majorHAnsi"/>
          <w:color w:val="000000"/>
        </w:rPr>
        <w:lastRenderedPageBreak/>
        <w:t>Kliejunas, JT 2010,</w:t>
      </w:r>
      <w:r>
        <w:rPr>
          <w:rFonts w:asciiTheme="majorHAnsi" w:eastAsiaTheme="minorEastAsia" w:hAnsiTheme="majorHAnsi"/>
          <w:color w:val="000000"/>
          <w:lang w:bidi="en-US"/>
        </w:rPr>
        <w:t xml:space="preserve"> </w:t>
      </w:r>
      <w:r>
        <w:rPr>
          <w:rFonts w:asciiTheme="majorHAnsi" w:hAnsiTheme="majorHAnsi"/>
          <w:color w:val="000000"/>
        </w:rPr>
        <w:t>‘</w:t>
      </w:r>
      <w:r>
        <w:rPr>
          <w:rFonts w:asciiTheme="majorHAnsi" w:eastAsiaTheme="minorEastAsia" w:hAnsiTheme="majorHAnsi"/>
          <w:color w:val="000000"/>
          <w:lang w:bidi="en-US"/>
        </w:rPr>
        <w:t xml:space="preserve">Sudden oak death and </w:t>
      </w:r>
      <w:r>
        <w:rPr>
          <w:rFonts w:asciiTheme="majorHAnsi" w:eastAsiaTheme="minorEastAsia" w:hAnsiTheme="majorHAnsi"/>
          <w:i/>
          <w:color w:val="000000"/>
          <w:lang w:bidi="en-US"/>
        </w:rPr>
        <w:t>Phytophthora ramorum</w:t>
      </w:r>
      <w:r>
        <w:rPr>
          <w:rFonts w:asciiTheme="majorHAnsi" w:eastAsiaTheme="minorEastAsia" w:hAnsiTheme="majorHAnsi"/>
          <w:color w:val="000000"/>
          <w:lang w:bidi="en-US"/>
        </w:rPr>
        <w:t>: a summary of the literature</w:t>
      </w:r>
      <w:r>
        <w:rPr>
          <w:rFonts w:asciiTheme="majorHAnsi" w:hAnsiTheme="majorHAnsi"/>
          <w:color w:val="000000"/>
        </w:rPr>
        <w:t xml:space="preserve">’, </w:t>
      </w:r>
      <w:r w:rsidR="007B1790">
        <w:rPr>
          <w:rFonts w:asciiTheme="majorHAnsi" w:hAnsiTheme="majorHAnsi"/>
        </w:rPr>
        <w:t xml:space="preserve">USDA Forest Service, </w:t>
      </w:r>
      <w:r>
        <w:rPr>
          <w:rFonts w:asciiTheme="majorHAnsi" w:hAnsiTheme="majorHAnsi"/>
        </w:rPr>
        <w:t xml:space="preserve">suddenoakdeath.org/wp-content/uploads/2010/03/psw_gtr234.pdf.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Kuljian, H &amp;</w:t>
      </w:r>
      <w:r>
        <w:rPr>
          <w:rFonts w:asciiTheme="majorHAnsi" w:hAnsiTheme="majorHAnsi"/>
          <w:color w:val="000000"/>
        </w:rPr>
        <w:t xml:space="preserve"> Varner</w:t>
      </w:r>
      <w:r>
        <w:rPr>
          <w:rFonts w:asciiTheme="majorHAnsi" w:hAnsiTheme="majorHAnsi"/>
        </w:rPr>
        <w:t>,</w:t>
      </w:r>
      <w:r>
        <w:rPr>
          <w:rFonts w:asciiTheme="majorHAnsi" w:hAnsiTheme="majorHAnsi"/>
          <w:color w:val="000000"/>
        </w:rPr>
        <w:t xml:space="preserve"> JM 2010</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The effects of sudden oak death on foliar moisture content and crown fire potential in tanoak</w:t>
      </w:r>
      <w:r>
        <w:rPr>
          <w:rFonts w:asciiTheme="majorHAnsi" w:hAnsiTheme="majorHAnsi"/>
        </w:rPr>
        <w:t xml:space="preserve">’, </w:t>
      </w:r>
      <w:r>
        <w:rPr>
          <w:rFonts w:asciiTheme="majorHAnsi" w:hAnsiTheme="majorHAnsi"/>
          <w:i/>
          <w:color w:val="000000"/>
        </w:rPr>
        <w:t>Forest Ecology and Management</w:t>
      </w:r>
      <w:r>
        <w:rPr>
          <w:rFonts w:asciiTheme="majorHAnsi" w:hAnsiTheme="majorHAnsi"/>
        </w:rPr>
        <w:t>,</w:t>
      </w:r>
      <w:r>
        <w:rPr>
          <w:rFonts w:asciiTheme="majorHAnsi" w:hAnsiTheme="majorHAnsi"/>
          <w:color w:val="000000"/>
        </w:rPr>
        <w:t xml:space="preserve"> 259: 2103–2110.</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Lane, CR, Beales, PA, Hughes, KJD, Tomlinson, JA, Inman, AJ &amp; Warwick, K 2004, ‘First report of ramorum dieback (</w:t>
      </w:r>
      <w:r>
        <w:rPr>
          <w:rFonts w:asciiTheme="majorHAnsi" w:hAnsiTheme="majorHAnsi"/>
          <w:i/>
        </w:rPr>
        <w:t>Phytophthora ramorum</w:t>
      </w:r>
      <w:r>
        <w:rPr>
          <w:rFonts w:asciiTheme="majorHAnsi" w:hAnsiTheme="majorHAnsi"/>
        </w:rPr>
        <w:t>) on container-grown English yew (</w:t>
      </w:r>
      <w:r>
        <w:rPr>
          <w:rFonts w:asciiTheme="majorHAnsi" w:hAnsiTheme="majorHAnsi"/>
          <w:i/>
        </w:rPr>
        <w:t>Taxus baccata</w:t>
      </w:r>
      <w:r>
        <w:rPr>
          <w:rFonts w:asciiTheme="majorHAnsi" w:hAnsiTheme="majorHAnsi"/>
        </w:rPr>
        <w:t xml:space="preserve">) in England’, </w:t>
      </w:r>
      <w:r>
        <w:rPr>
          <w:rFonts w:asciiTheme="majorHAnsi" w:hAnsiTheme="majorHAnsi"/>
          <w:i/>
        </w:rPr>
        <w:t>Plant Pathology</w:t>
      </w:r>
      <w:r>
        <w:rPr>
          <w:rFonts w:asciiTheme="majorHAnsi" w:hAnsiTheme="majorHAnsi"/>
        </w:rPr>
        <w:t>, 53: 522.</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Lane, CR, Hobben, E, Walker, L, Barton, VC, Inman, AJ, Hughes, KJD, Swan, H, Colyer, A &amp; Barker, I 2007, ‘Evaluation of a rapid diagnostic field test kit for identification of a </w:t>
      </w:r>
      <w:r>
        <w:rPr>
          <w:rFonts w:asciiTheme="majorHAnsi" w:hAnsiTheme="majorHAnsi"/>
          <w:i/>
        </w:rPr>
        <w:t>Phytophthora</w:t>
      </w:r>
      <w:r>
        <w:rPr>
          <w:rFonts w:asciiTheme="majorHAnsi" w:hAnsiTheme="majorHAnsi"/>
        </w:rPr>
        <w:t xml:space="preserve"> species, including </w:t>
      </w:r>
      <w:r>
        <w:rPr>
          <w:rFonts w:asciiTheme="majorHAnsi" w:hAnsiTheme="majorHAnsi"/>
          <w:i/>
        </w:rPr>
        <w:t>P. ramorum</w:t>
      </w:r>
      <w:r>
        <w:rPr>
          <w:rFonts w:asciiTheme="majorHAnsi" w:hAnsiTheme="majorHAnsi"/>
        </w:rPr>
        <w:t xml:space="preserve"> and </w:t>
      </w:r>
      <w:r>
        <w:rPr>
          <w:rFonts w:asciiTheme="majorHAnsi" w:hAnsiTheme="majorHAnsi"/>
          <w:i/>
        </w:rPr>
        <w:t>P. kernoviae</w:t>
      </w:r>
      <w:r>
        <w:rPr>
          <w:rFonts w:asciiTheme="majorHAnsi" w:hAnsiTheme="majorHAnsi"/>
        </w:rPr>
        <w:t xml:space="preserve"> at the point of inspection’, </w:t>
      </w:r>
      <w:r>
        <w:rPr>
          <w:rFonts w:asciiTheme="majorHAnsi" w:hAnsiTheme="majorHAnsi"/>
          <w:i/>
        </w:rPr>
        <w:t>Plant Pathology</w:t>
      </w:r>
      <w:r>
        <w:rPr>
          <w:rFonts w:asciiTheme="majorHAnsi" w:hAnsiTheme="majorHAnsi"/>
        </w:rPr>
        <w:t>, 56: 828–835.</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Lewis, CD &amp; Parke, JL 2006, ‘Pathways of infection for </w:t>
      </w:r>
      <w:r>
        <w:rPr>
          <w:rFonts w:asciiTheme="majorHAnsi" w:hAnsiTheme="majorHAnsi"/>
          <w:i/>
        </w:rPr>
        <w:t>Phytophthora ramorum</w:t>
      </w:r>
      <w:r>
        <w:rPr>
          <w:rFonts w:asciiTheme="majorHAnsi" w:hAnsiTheme="majorHAnsi"/>
        </w:rPr>
        <w:t xml:space="preserve"> in </w:t>
      </w:r>
      <w:r>
        <w:rPr>
          <w:rFonts w:asciiTheme="majorHAnsi" w:hAnsiTheme="majorHAnsi"/>
          <w:i/>
        </w:rPr>
        <w:t>Rhododendron</w:t>
      </w:r>
      <w:r>
        <w:rPr>
          <w:rFonts w:asciiTheme="majorHAnsi" w:hAnsiTheme="majorHAnsi"/>
        </w:rPr>
        <w:t xml:space="preserve">’, </w:t>
      </w:r>
      <w:r>
        <w:rPr>
          <w:rFonts w:asciiTheme="majorHAnsi" w:hAnsiTheme="majorHAnsi"/>
          <w:i/>
        </w:rPr>
        <w:t>Proceedings of the Sudden Oak Death Second Science Symposium: The State of Our Knowledge</w:t>
      </w:r>
      <w:r>
        <w:rPr>
          <w:rFonts w:asciiTheme="majorHAnsi" w:hAnsiTheme="majorHAnsi"/>
        </w:rPr>
        <w:t>, General technical report PSW-GTR-196, 295–297.</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t>Lilja,</w:t>
      </w:r>
      <w:r>
        <w:rPr>
          <w:rFonts w:asciiTheme="majorHAnsi" w:hAnsiTheme="majorHAnsi"/>
        </w:rPr>
        <w:t xml:space="preserve"> </w:t>
      </w:r>
      <w:r>
        <w:rPr>
          <w:rFonts w:asciiTheme="majorHAnsi" w:hAnsiTheme="majorHAnsi"/>
          <w:color w:val="000000"/>
        </w:rPr>
        <w:t>A, Rytkönen</w:t>
      </w:r>
      <w:r>
        <w:rPr>
          <w:rFonts w:asciiTheme="majorHAnsi" w:hAnsiTheme="majorHAnsi"/>
        </w:rPr>
        <w:t>,</w:t>
      </w:r>
      <w:r>
        <w:rPr>
          <w:rFonts w:asciiTheme="majorHAnsi" w:hAnsiTheme="majorHAnsi"/>
          <w:color w:val="000000"/>
        </w:rPr>
        <w:t xml:space="preserve"> A, Kokkola</w:t>
      </w:r>
      <w:r>
        <w:rPr>
          <w:rFonts w:asciiTheme="majorHAnsi" w:hAnsiTheme="majorHAnsi"/>
        </w:rPr>
        <w:t>,</w:t>
      </w:r>
      <w:r>
        <w:rPr>
          <w:rFonts w:asciiTheme="majorHAnsi" w:hAnsiTheme="majorHAnsi"/>
          <w:color w:val="000000"/>
        </w:rPr>
        <w:t xml:space="preserve"> M, Parikka</w:t>
      </w:r>
      <w:r>
        <w:rPr>
          <w:rFonts w:asciiTheme="majorHAnsi" w:hAnsiTheme="majorHAnsi"/>
        </w:rPr>
        <w:t>,</w:t>
      </w:r>
      <w:r>
        <w:rPr>
          <w:rFonts w:asciiTheme="majorHAnsi" w:hAnsiTheme="majorHAnsi"/>
          <w:color w:val="000000"/>
        </w:rPr>
        <w:t xml:space="preserve"> P</w:t>
      </w:r>
      <w:r>
        <w:rPr>
          <w:rFonts w:asciiTheme="majorHAnsi" w:hAnsiTheme="majorHAnsi"/>
        </w:rPr>
        <w:t xml:space="preserve"> &amp;</w:t>
      </w:r>
      <w:r>
        <w:rPr>
          <w:rFonts w:asciiTheme="majorHAnsi" w:hAnsiTheme="majorHAnsi"/>
          <w:color w:val="000000"/>
        </w:rPr>
        <w:t xml:space="preserve"> Hantula</w:t>
      </w:r>
      <w:r>
        <w:rPr>
          <w:rFonts w:asciiTheme="majorHAnsi" w:hAnsiTheme="majorHAnsi"/>
        </w:rPr>
        <w:t>,</w:t>
      </w:r>
      <w:r>
        <w:rPr>
          <w:rFonts w:asciiTheme="majorHAnsi" w:hAnsiTheme="majorHAnsi"/>
          <w:color w:val="000000"/>
        </w:rPr>
        <w:t xml:space="preserve"> J 2007</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 xml:space="preserve">First report of </w:t>
      </w:r>
      <w:r>
        <w:rPr>
          <w:rFonts w:asciiTheme="majorHAnsi" w:hAnsiTheme="majorHAnsi"/>
          <w:i/>
        </w:rPr>
        <w:t>Phytophthora ramorum</w:t>
      </w:r>
      <w:r>
        <w:rPr>
          <w:rFonts w:asciiTheme="majorHAnsi" w:hAnsiTheme="majorHAnsi"/>
          <w:color w:val="000000"/>
        </w:rPr>
        <w:t xml:space="preserve"> and </w:t>
      </w:r>
      <w:r>
        <w:rPr>
          <w:rFonts w:asciiTheme="majorHAnsi" w:hAnsiTheme="majorHAnsi"/>
          <w:i/>
          <w:color w:val="000000"/>
        </w:rPr>
        <w:t>P. inflata</w:t>
      </w:r>
      <w:r>
        <w:rPr>
          <w:rFonts w:asciiTheme="majorHAnsi" w:hAnsiTheme="majorHAnsi"/>
          <w:color w:val="000000"/>
        </w:rPr>
        <w:t xml:space="preserve"> in ornamental rhododendrons in Finland</w:t>
      </w:r>
      <w:r>
        <w:rPr>
          <w:rFonts w:asciiTheme="majorHAnsi" w:hAnsiTheme="majorHAnsi"/>
        </w:rPr>
        <w:t xml:space="preserve">’, </w:t>
      </w:r>
      <w:r>
        <w:rPr>
          <w:rFonts w:asciiTheme="majorHAnsi" w:hAnsiTheme="majorHAnsi"/>
          <w:i/>
          <w:color w:val="000000"/>
        </w:rPr>
        <w:t>Disease Notes</w:t>
      </w:r>
      <w:r>
        <w:rPr>
          <w:rFonts w:asciiTheme="majorHAnsi" w:hAnsiTheme="majorHAnsi"/>
        </w:rPr>
        <w:t>,</w:t>
      </w:r>
      <w:r>
        <w:rPr>
          <w:rFonts w:asciiTheme="majorHAnsi" w:hAnsiTheme="majorHAnsi"/>
          <w:color w:val="000000"/>
        </w:rPr>
        <w:t xml:space="preserve"> 91: 1055.</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t>Linderman</w:t>
      </w:r>
      <w:r>
        <w:rPr>
          <w:rFonts w:asciiTheme="majorHAnsi" w:hAnsiTheme="majorHAnsi"/>
        </w:rPr>
        <w:t>,</w:t>
      </w:r>
      <w:r>
        <w:rPr>
          <w:rFonts w:asciiTheme="majorHAnsi" w:hAnsiTheme="majorHAnsi"/>
          <w:color w:val="000000"/>
        </w:rPr>
        <w:t xml:space="preserve"> RG</w:t>
      </w:r>
      <w:r>
        <w:rPr>
          <w:rFonts w:asciiTheme="majorHAnsi" w:hAnsiTheme="majorHAnsi"/>
        </w:rPr>
        <w:t xml:space="preserve"> &amp;</w:t>
      </w:r>
      <w:r>
        <w:rPr>
          <w:rFonts w:asciiTheme="majorHAnsi" w:hAnsiTheme="majorHAnsi"/>
          <w:color w:val="000000"/>
        </w:rPr>
        <w:t xml:space="preserve"> Davis</w:t>
      </w:r>
      <w:r>
        <w:rPr>
          <w:rFonts w:asciiTheme="majorHAnsi" w:hAnsiTheme="majorHAnsi"/>
        </w:rPr>
        <w:t>,</w:t>
      </w:r>
      <w:r>
        <w:rPr>
          <w:rFonts w:asciiTheme="majorHAnsi" w:hAnsiTheme="majorHAnsi"/>
          <w:color w:val="000000"/>
        </w:rPr>
        <w:t xml:space="preserve"> EA 2006a</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 xml:space="preserve">Survival of </w:t>
      </w:r>
      <w:r>
        <w:rPr>
          <w:rFonts w:asciiTheme="majorHAnsi" w:hAnsiTheme="majorHAnsi"/>
          <w:i/>
        </w:rPr>
        <w:t>Phytophthora ramorum</w:t>
      </w:r>
      <w:r>
        <w:rPr>
          <w:rFonts w:asciiTheme="majorHAnsi" w:hAnsiTheme="majorHAnsi"/>
          <w:color w:val="000000"/>
        </w:rPr>
        <w:t xml:space="preserve"> </w:t>
      </w:r>
      <w:r>
        <w:rPr>
          <w:rFonts w:asciiTheme="majorHAnsi" w:hAnsiTheme="majorHAnsi"/>
        </w:rPr>
        <w:t xml:space="preserve">compared to other species of </w:t>
      </w:r>
      <w:r>
        <w:rPr>
          <w:rFonts w:asciiTheme="majorHAnsi" w:hAnsiTheme="majorHAnsi"/>
          <w:i/>
          <w:color w:val="000000"/>
        </w:rPr>
        <w:t>Phytophthora</w:t>
      </w:r>
      <w:r>
        <w:rPr>
          <w:rFonts w:asciiTheme="majorHAnsi" w:hAnsiTheme="majorHAnsi"/>
          <w:color w:val="000000"/>
        </w:rPr>
        <w:t xml:space="preserve"> </w:t>
      </w:r>
      <w:r>
        <w:rPr>
          <w:rFonts w:asciiTheme="majorHAnsi" w:hAnsiTheme="majorHAnsi"/>
        </w:rPr>
        <w:t>in potting media components, compost</w:t>
      </w:r>
      <w:r>
        <w:rPr>
          <w:rFonts w:asciiTheme="majorHAnsi" w:hAnsiTheme="majorHAnsi"/>
          <w:color w:val="000000"/>
        </w:rPr>
        <w:t>, and soil</w:t>
      </w:r>
      <w:r>
        <w:rPr>
          <w:rFonts w:asciiTheme="majorHAnsi" w:hAnsiTheme="majorHAnsi"/>
        </w:rPr>
        <w:t xml:space="preserve">’, </w:t>
      </w:r>
      <w:r>
        <w:rPr>
          <w:rFonts w:asciiTheme="majorHAnsi" w:hAnsiTheme="majorHAnsi"/>
          <w:i/>
          <w:color w:val="000000"/>
        </w:rPr>
        <w:t>HortTechnology</w:t>
      </w:r>
      <w:r>
        <w:rPr>
          <w:rFonts w:asciiTheme="majorHAnsi" w:hAnsiTheme="majorHAnsi"/>
        </w:rPr>
        <w:t>, 16: 502</w:t>
      </w:r>
      <w:r>
        <w:rPr>
          <w:rFonts w:asciiTheme="majorHAnsi" w:hAnsiTheme="majorHAnsi"/>
          <w:color w:val="000000"/>
        </w:rPr>
        <w:t>–507.</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t>Linderman</w:t>
      </w:r>
      <w:r>
        <w:rPr>
          <w:rFonts w:asciiTheme="majorHAnsi" w:hAnsiTheme="majorHAnsi"/>
        </w:rPr>
        <w:t>,</w:t>
      </w:r>
      <w:r>
        <w:rPr>
          <w:rFonts w:asciiTheme="majorHAnsi" w:hAnsiTheme="majorHAnsi"/>
          <w:color w:val="000000"/>
        </w:rPr>
        <w:t xml:space="preserve"> RG</w:t>
      </w:r>
      <w:r>
        <w:rPr>
          <w:rFonts w:asciiTheme="majorHAnsi" w:hAnsiTheme="majorHAnsi"/>
        </w:rPr>
        <w:t xml:space="preserve"> &amp;</w:t>
      </w:r>
      <w:r>
        <w:rPr>
          <w:rFonts w:asciiTheme="majorHAnsi" w:hAnsiTheme="majorHAnsi"/>
          <w:color w:val="000000"/>
        </w:rPr>
        <w:t xml:space="preserve"> Davis</w:t>
      </w:r>
      <w:r>
        <w:rPr>
          <w:rFonts w:asciiTheme="majorHAnsi" w:hAnsiTheme="majorHAnsi"/>
        </w:rPr>
        <w:t>,</w:t>
      </w:r>
      <w:r>
        <w:rPr>
          <w:rFonts w:asciiTheme="majorHAnsi" w:hAnsiTheme="majorHAnsi"/>
          <w:color w:val="000000"/>
        </w:rPr>
        <w:t xml:space="preserve"> EA 2006b</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 xml:space="preserve">Survival of </w:t>
      </w:r>
      <w:r>
        <w:rPr>
          <w:rFonts w:asciiTheme="majorHAnsi" w:hAnsiTheme="majorHAnsi"/>
          <w:i/>
          <w:color w:val="000000"/>
        </w:rPr>
        <w:t>Phytophthora</w:t>
      </w:r>
      <w:r>
        <w:rPr>
          <w:rFonts w:asciiTheme="majorHAnsi" w:hAnsiTheme="majorHAnsi"/>
          <w:color w:val="000000"/>
        </w:rPr>
        <w:t xml:space="preserve"> species and other pathogens in soilless media components or soil and their eradication with aerated steam</w:t>
      </w:r>
      <w:r>
        <w:rPr>
          <w:rFonts w:asciiTheme="majorHAnsi" w:hAnsiTheme="majorHAnsi"/>
        </w:rPr>
        <w:t xml:space="preserve">’, </w:t>
      </w:r>
      <w:r>
        <w:rPr>
          <w:rFonts w:asciiTheme="majorHAnsi" w:hAnsiTheme="majorHAnsi"/>
          <w:i/>
          <w:color w:val="000000"/>
        </w:rPr>
        <w:t>Proceedings of the Sudden Oak Death Second Science Symposium: The State of Our Knowledge</w:t>
      </w:r>
      <w:r>
        <w:rPr>
          <w:rFonts w:asciiTheme="majorHAnsi" w:hAnsiTheme="majorHAnsi"/>
          <w:i/>
        </w:rPr>
        <w:t xml:space="preserve">, </w:t>
      </w:r>
      <w:r>
        <w:rPr>
          <w:rFonts w:asciiTheme="majorHAnsi" w:hAnsiTheme="majorHAnsi"/>
          <w:color w:val="000000"/>
        </w:rPr>
        <w:t>Gen</w:t>
      </w:r>
      <w:r>
        <w:rPr>
          <w:rFonts w:asciiTheme="majorHAnsi" w:hAnsiTheme="majorHAnsi"/>
        </w:rPr>
        <w:t xml:space="preserve">eral technical report </w:t>
      </w:r>
      <w:r>
        <w:rPr>
          <w:rFonts w:asciiTheme="majorHAnsi" w:hAnsiTheme="majorHAnsi"/>
          <w:color w:val="000000"/>
        </w:rPr>
        <w:t>PSW-GTR-196</w:t>
      </w:r>
      <w:r>
        <w:rPr>
          <w:rFonts w:asciiTheme="majorHAnsi" w:hAnsiTheme="majorHAnsi"/>
        </w:rPr>
        <w:t>, 299–302.</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Linzer, R, Rizzo, D &amp; Garbelotto, M 2006, ‘AFLP analysis of </w:t>
      </w:r>
      <w:r>
        <w:rPr>
          <w:rFonts w:asciiTheme="majorHAnsi" w:hAnsiTheme="majorHAnsi"/>
          <w:i/>
          <w:color w:val="000000"/>
        </w:rPr>
        <w:t>Phytophthora nemorosa</w:t>
      </w:r>
      <w:r>
        <w:rPr>
          <w:rFonts w:asciiTheme="majorHAnsi" w:hAnsiTheme="majorHAnsi"/>
        </w:rPr>
        <w:t xml:space="preserve"> and </w:t>
      </w:r>
      <w:r>
        <w:rPr>
          <w:rFonts w:asciiTheme="majorHAnsi" w:hAnsiTheme="majorHAnsi"/>
          <w:i/>
          <w:color w:val="000000"/>
        </w:rPr>
        <w:t>P.</w:t>
      </w:r>
      <w:r w:rsidR="002265E8">
        <w:rPr>
          <w:rFonts w:asciiTheme="majorHAnsi" w:hAnsiTheme="majorHAnsi"/>
          <w:i/>
          <w:color w:val="000000"/>
        </w:rPr>
        <w:t> </w:t>
      </w:r>
      <w:r>
        <w:rPr>
          <w:rFonts w:asciiTheme="majorHAnsi" w:hAnsiTheme="majorHAnsi"/>
          <w:i/>
          <w:color w:val="000000"/>
        </w:rPr>
        <w:t>pseudosyringae</w:t>
      </w:r>
      <w:r>
        <w:rPr>
          <w:rFonts w:asciiTheme="majorHAnsi" w:hAnsiTheme="majorHAnsi"/>
        </w:rPr>
        <w:t xml:space="preserve"> genetic structure in North America’, </w:t>
      </w:r>
      <w:r>
        <w:rPr>
          <w:rFonts w:asciiTheme="majorHAnsi" w:hAnsiTheme="majorHAnsi"/>
          <w:i/>
          <w:color w:val="000000"/>
        </w:rPr>
        <w:t>Proceedings of the Sudden Oak Death Second Science Symposium: The State of Our Knowledge</w:t>
      </w:r>
      <w:r>
        <w:rPr>
          <w:rFonts w:asciiTheme="majorHAnsi" w:hAnsiTheme="majorHAnsi"/>
          <w:i/>
        </w:rPr>
        <w:t xml:space="preserve">, </w:t>
      </w:r>
      <w:r>
        <w:rPr>
          <w:rFonts w:asciiTheme="majorHAnsi" w:hAnsiTheme="majorHAnsi"/>
        </w:rPr>
        <w:t>General technical report PSW-GTR-196.</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Linzer, RE &amp; Garbelotto, M 2008, ‘</w:t>
      </w:r>
      <w:r>
        <w:rPr>
          <w:rFonts w:asciiTheme="majorHAnsi" w:hAnsiTheme="majorHAnsi"/>
          <w:color w:val="000000"/>
        </w:rPr>
        <w:t xml:space="preserve">Pathogenicity variation in two West Coast forest </w:t>
      </w:r>
      <w:r>
        <w:rPr>
          <w:rFonts w:asciiTheme="majorHAnsi" w:hAnsiTheme="majorHAnsi"/>
          <w:i/>
          <w:color w:val="000000"/>
        </w:rPr>
        <w:t>Phytophthoras, Phytophthora nemorosa</w:t>
      </w:r>
      <w:r>
        <w:rPr>
          <w:rFonts w:asciiTheme="majorHAnsi" w:hAnsiTheme="majorHAnsi"/>
        </w:rPr>
        <w:t xml:space="preserve"> and </w:t>
      </w:r>
      <w:r>
        <w:rPr>
          <w:rFonts w:asciiTheme="majorHAnsi" w:hAnsiTheme="majorHAnsi"/>
          <w:i/>
          <w:color w:val="000000"/>
        </w:rPr>
        <w:t>P. pseudosyringae</w:t>
      </w:r>
      <w:r>
        <w:rPr>
          <w:rFonts w:asciiTheme="majorHAnsi" w:hAnsiTheme="majorHAnsi"/>
        </w:rPr>
        <w:t xml:space="preserve">, to bay laurel’, </w:t>
      </w:r>
      <w:r>
        <w:rPr>
          <w:rFonts w:asciiTheme="majorHAnsi" w:hAnsiTheme="majorHAnsi"/>
          <w:i/>
          <w:color w:val="000000"/>
        </w:rPr>
        <w:t>Proceedings of the Sudden Oak Death 3rd Science Symposium</w:t>
      </w:r>
      <w:r>
        <w:rPr>
          <w:rFonts w:asciiTheme="majorHAnsi" w:hAnsiTheme="majorHAnsi"/>
        </w:rPr>
        <w:t>, General Technical Report PSW-GTR-214,</w:t>
      </w:r>
      <w:r>
        <w:rPr>
          <w:rFonts w:asciiTheme="majorHAnsi" w:hAnsiTheme="majorHAnsi"/>
          <w:color w:val="000000"/>
        </w:rPr>
        <w:t xml:space="preserve"> 19–26.</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Linzer, RE, Rizzo, DM, Cacciola, SO &amp; Garbelotto, M 2009, ‘AFLPs detect low genetic diversity for </w:t>
      </w:r>
      <w:r>
        <w:rPr>
          <w:rFonts w:asciiTheme="majorHAnsi" w:hAnsiTheme="majorHAnsi"/>
          <w:i/>
          <w:color w:val="000000"/>
        </w:rPr>
        <w:t>Phytophthora nemorosa</w:t>
      </w:r>
      <w:r>
        <w:rPr>
          <w:rFonts w:asciiTheme="majorHAnsi" w:hAnsiTheme="majorHAnsi"/>
        </w:rPr>
        <w:t xml:space="preserve"> and </w:t>
      </w:r>
      <w:r>
        <w:rPr>
          <w:rFonts w:asciiTheme="majorHAnsi" w:hAnsiTheme="majorHAnsi"/>
          <w:i/>
          <w:color w:val="000000"/>
        </w:rPr>
        <w:t>P. pseudosyringae</w:t>
      </w:r>
      <w:r>
        <w:rPr>
          <w:rFonts w:asciiTheme="majorHAnsi" w:hAnsiTheme="majorHAnsi"/>
        </w:rPr>
        <w:t xml:space="preserve"> in the US and Europe’, </w:t>
      </w:r>
      <w:r>
        <w:rPr>
          <w:rFonts w:asciiTheme="majorHAnsi" w:hAnsiTheme="majorHAnsi"/>
          <w:i/>
          <w:color w:val="000000"/>
        </w:rPr>
        <w:t>Mycological Research</w:t>
      </w:r>
      <w:r>
        <w:rPr>
          <w:rFonts w:asciiTheme="majorHAnsi" w:hAnsiTheme="majorHAnsi"/>
        </w:rPr>
        <w:t>, 113: 298–307.</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t>Maloney</w:t>
      </w:r>
      <w:r>
        <w:rPr>
          <w:rFonts w:asciiTheme="majorHAnsi" w:hAnsiTheme="majorHAnsi"/>
        </w:rPr>
        <w:t>,</w:t>
      </w:r>
      <w:r>
        <w:rPr>
          <w:rFonts w:asciiTheme="majorHAnsi" w:hAnsiTheme="majorHAnsi"/>
          <w:color w:val="000000"/>
        </w:rPr>
        <w:t xml:space="preserve"> PE, Lynch</w:t>
      </w:r>
      <w:r>
        <w:rPr>
          <w:rFonts w:asciiTheme="majorHAnsi" w:hAnsiTheme="majorHAnsi"/>
        </w:rPr>
        <w:t>,</w:t>
      </w:r>
      <w:r>
        <w:rPr>
          <w:rFonts w:asciiTheme="majorHAnsi" w:hAnsiTheme="majorHAnsi"/>
          <w:color w:val="000000"/>
        </w:rPr>
        <w:t xml:space="preserve"> SC, Kane</w:t>
      </w:r>
      <w:r>
        <w:rPr>
          <w:rFonts w:asciiTheme="majorHAnsi" w:hAnsiTheme="majorHAnsi"/>
        </w:rPr>
        <w:t>,</w:t>
      </w:r>
      <w:r>
        <w:rPr>
          <w:rFonts w:asciiTheme="majorHAnsi" w:hAnsiTheme="majorHAnsi"/>
          <w:color w:val="000000"/>
        </w:rPr>
        <w:t xml:space="preserve"> SF, Jensen</w:t>
      </w:r>
      <w:r>
        <w:rPr>
          <w:rFonts w:asciiTheme="majorHAnsi" w:hAnsiTheme="majorHAnsi"/>
        </w:rPr>
        <w:t>,</w:t>
      </w:r>
      <w:r>
        <w:rPr>
          <w:rFonts w:asciiTheme="majorHAnsi" w:hAnsiTheme="majorHAnsi"/>
          <w:color w:val="000000"/>
        </w:rPr>
        <w:t xml:space="preserve"> CE</w:t>
      </w:r>
      <w:r>
        <w:rPr>
          <w:rFonts w:asciiTheme="majorHAnsi" w:hAnsiTheme="majorHAnsi"/>
        </w:rPr>
        <w:t xml:space="preserve"> &amp;</w:t>
      </w:r>
      <w:r>
        <w:rPr>
          <w:rFonts w:asciiTheme="majorHAnsi" w:hAnsiTheme="majorHAnsi"/>
          <w:color w:val="000000"/>
        </w:rPr>
        <w:t xml:space="preserve"> Rizzo</w:t>
      </w:r>
      <w:r>
        <w:rPr>
          <w:rFonts w:asciiTheme="majorHAnsi" w:hAnsiTheme="majorHAnsi"/>
        </w:rPr>
        <w:t>,</w:t>
      </w:r>
      <w:r>
        <w:rPr>
          <w:rFonts w:asciiTheme="majorHAnsi" w:hAnsiTheme="majorHAnsi"/>
          <w:color w:val="000000"/>
        </w:rPr>
        <w:t xml:space="preserve"> DM 2005</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Establishment of an emerging generalist pathogen in redwood forest communities</w:t>
      </w:r>
      <w:r>
        <w:rPr>
          <w:rFonts w:asciiTheme="majorHAnsi" w:hAnsiTheme="majorHAnsi"/>
        </w:rPr>
        <w:t xml:space="preserve">’, </w:t>
      </w:r>
      <w:r>
        <w:rPr>
          <w:rFonts w:asciiTheme="majorHAnsi" w:hAnsiTheme="majorHAnsi"/>
          <w:i/>
          <w:color w:val="000000"/>
        </w:rPr>
        <w:t>Journal of Ecology</w:t>
      </w:r>
      <w:r>
        <w:rPr>
          <w:rFonts w:asciiTheme="majorHAnsi" w:hAnsiTheme="majorHAnsi"/>
        </w:rPr>
        <w:t>,</w:t>
      </w:r>
      <w:r>
        <w:rPr>
          <w:rFonts w:asciiTheme="majorHAnsi" w:hAnsiTheme="majorHAnsi"/>
          <w:color w:val="000000"/>
        </w:rPr>
        <w:t xml:space="preserve"> 93: 899–905.</w:t>
      </w:r>
      <w:r>
        <w:rPr>
          <w:rFonts w:asciiTheme="majorHAnsi" w:hAnsiTheme="majorHAnsi"/>
        </w:rPr>
        <w:t xml:space="preserve">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Maloney, PE, Rizzo, DM, Koike, ST, Harnik, TY &amp; Garbelotto, M 2002, ‘First report of </w:t>
      </w:r>
      <w:r>
        <w:rPr>
          <w:rFonts w:asciiTheme="majorHAnsi" w:hAnsiTheme="majorHAnsi"/>
          <w:i/>
          <w:color w:val="000000"/>
        </w:rPr>
        <w:t>Phytophthora ramorum</w:t>
      </w:r>
      <w:r>
        <w:rPr>
          <w:rFonts w:asciiTheme="majorHAnsi" w:hAnsiTheme="majorHAnsi"/>
        </w:rPr>
        <w:t xml:space="preserve"> on coast redwood in California’, </w:t>
      </w:r>
      <w:r>
        <w:rPr>
          <w:rFonts w:asciiTheme="majorHAnsi" w:hAnsiTheme="majorHAnsi"/>
          <w:i/>
          <w:color w:val="000000"/>
        </w:rPr>
        <w:t>Plant Disease</w:t>
      </w:r>
      <w:r>
        <w:rPr>
          <w:rFonts w:asciiTheme="majorHAnsi" w:hAnsiTheme="majorHAnsi"/>
        </w:rPr>
        <w:t xml:space="preserve"> 86: 1274.</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Martin, FN &amp; Tooley, PW 2003, ‘Phylogenetic relationships of </w:t>
      </w:r>
      <w:r>
        <w:rPr>
          <w:rFonts w:asciiTheme="majorHAnsi" w:hAnsiTheme="majorHAnsi"/>
          <w:i/>
          <w:color w:val="000000"/>
        </w:rPr>
        <w:t>Phytophthora ramorum, P.</w:t>
      </w:r>
      <w:r w:rsidR="002265E8">
        <w:rPr>
          <w:rFonts w:asciiTheme="majorHAnsi" w:hAnsiTheme="majorHAnsi"/>
          <w:i/>
          <w:color w:val="000000"/>
        </w:rPr>
        <w:t> </w:t>
      </w:r>
      <w:r>
        <w:rPr>
          <w:rFonts w:asciiTheme="majorHAnsi" w:hAnsiTheme="majorHAnsi"/>
          <w:i/>
          <w:color w:val="000000"/>
        </w:rPr>
        <w:t>nemorosa,</w:t>
      </w:r>
      <w:r>
        <w:rPr>
          <w:rFonts w:asciiTheme="majorHAnsi" w:hAnsiTheme="majorHAnsi"/>
        </w:rPr>
        <w:t xml:space="preserve"> and </w:t>
      </w:r>
      <w:r>
        <w:rPr>
          <w:rFonts w:asciiTheme="majorHAnsi" w:hAnsiTheme="majorHAnsi"/>
          <w:i/>
          <w:color w:val="000000"/>
        </w:rPr>
        <w:t>P. pseudosyringae</w:t>
      </w:r>
      <w:r>
        <w:rPr>
          <w:rFonts w:asciiTheme="majorHAnsi" w:hAnsiTheme="majorHAnsi"/>
        </w:rPr>
        <w:t xml:space="preserve">, three species recovered from areas in California with sudden oak death’, </w:t>
      </w:r>
      <w:r>
        <w:rPr>
          <w:rFonts w:asciiTheme="majorHAnsi" w:hAnsiTheme="majorHAnsi"/>
          <w:i/>
          <w:color w:val="000000"/>
        </w:rPr>
        <w:t>Mycological Research</w:t>
      </w:r>
      <w:r>
        <w:rPr>
          <w:rFonts w:asciiTheme="majorHAnsi" w:hAnsiTheme="majorHAnsi"/>
        </w:rPr>
        <w:t>, 107: 1379–1391.</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Martin, FN 2008, ‘Mitochondrial haplotype determination in the oomycete plant pathogen </w:t>
      </w:r>
      <w:r>
        <w:rPr>
          <w:rFonts w:asciiTheme="majorHAnsi" w:hAnsiTheme="majorHAnsi"/>
          <w:i/>
          <w:color w:val="000000"/>
        </w:rPr>
        <w:t>Phytophthora ramorum</w:t>
      </w:r>
      <w:r>
        <w:rPr>
          <w:rFonts w:asciiTheme="majorHAnsi" w:hAnsiTheme="majorHAnsi"/>
        </w:rPr>
        <w:t xml:space="preserve">’. </w:t>
      </w:r>
      <w:r>
        <w:rPr>
          <w:rFonts w:asciiTheme="majorHAnsi" w:hAnsiTheme="majorHAnsi"/>
          <w:i/>
          <w:color w:val="000000"/>
        </w:rPr>
        <w:t>Current Genetics</w:t>
      </w:r>
      <w:r>
        <w:rPr>
          <w:rFonts w:asciiTheme="majorHAnsi" w:hAnsiTheme="majorHAnsi"/>
        </w:rPr>
        <w:t xml:space="preserve"> 54: 23–34.</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Martin, FN, Abad, ZG, Balci, Y &amp; Ivors, K 2012, ‘Identification and detection of </w:t>
      </w:r>
      <w:r>
        <w:rPr>
          <w:rFonts w:asciiTheme="majorHAnsi" w:hAnsiTheme="majorHAnsi"/>
          <w:i/>
          <w:color w:val="000000"/>
        </w:rPr>
        <w:t>Phytophthora</w:t>
      </w:r>
      <w:r>
        <w:rPr>
          <w:rFonts w:asciiTheme="majorHAnsi" w:hAnsiTheme="majorHAnsi"/>
        </w:rPr>
        <w:t xml:space="preserve">: reviewing our progress, identifying our needs’, </w:t>
      </w:r>
      <w:r>
        <w:rPr>
          <w:rFonts w:asciiTheme="majorHAnsi" w:hAnsiTheme="majorHAnsi"/>
          <w:i/>
          <w:color w:val="000000"/>
        </w:rPr>
        <w:t>Plant Disease</w:t>
      </w:r>
      <w:r>
        <w:rPr>
          <w:rFonts w:asciiTheme="majorHAnsi" w:hAnsiTheme="majorHAnsi"/>
        </w:rPr>
        <w:t>, 96: 1081–1103.</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lastRenderedPageBreak/>
        <w:t xml:space="preserve">Martin, FN, Tooley, PW &amp; Blomquist, C 2004, ‘Molecular detection of </w:t>
      </w:r>
      <w:r>
        <w:rPr>
          <w:rFonts w:asciiTheme="majorHAnsi" w:hAnsiTheme="majorHAnsi"/>
          <w:i/>
          <w:color w:val="000000"/>
        </w:rPr>
        <w:t>Phytophthora ramorum</w:t>
      </w:r>
      <w:r>
        <w:rPr>
          <w:rFonts w:asciiTheme="majorHAnsi" w:hAnsiTheme="majorHAnsi"/>
        </w:rPr>
        <w:t xml:space="preserve">, the causal agent of sudden oak death in California, and two additional species commonly recovered from diseased plant material’, </w:t>
      </w:r>
      <w:r>
        <w:rPr>
          <w:rFonts w:asciiTheme="majorHAnsi" w:hAnsiTheme="majorHAnsi"/>
          <w:i/>
          <w:color w:val="000000"/>
        </w:rPr>
        <w:t>Phytopathology</w:t>
      </w:r>
      <w:r>
        <w:rPr>
          <w:rFonts w:asciiTheme="majorHAnsi" w:hAnsiTheme="majorHAnsi"/>
        </w:rPr>
        <w:t>, 94: 621–631.</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t>Mascheretti</w:t>
      </w:r>
      <w:r>
        <w:rPr>
          <w:rFonts w:asciiTheme="majorHAnsi" w:hAnsiTheme="majorHAnsi"/>
        </w:rPr>
        <w:t>,</w:t>
      </w:r>
      <w:r>
        <w:rPr>
          <w:rFonts w:asciiTheme="majorHAnsi" w:hAnsiTheme="majorHAnsi"/>
          <w:color w:val="000000"/>
        </w:rPr>
        <w:t xml:space="preserve"> S, Croucher</w:t>
      </w:r>
      <w:r>
        <w:rPr>
          <w:rFonts w:asciiTheme="majorHAnsi" w:hAnsiTheme="majorHAnsi"/>
        </w:rPr>
        <w:t>,</w:t>
      </w:r>
      <w:r>
        <w:rPr>
          <w:rFonts w:asciiTheme="majorHAnsi" w:hAnsiTheme="majorHAnsi"/>
          <w:color w:val="000000"/>
        </w:rPr>
        <w:t xml:space="preserve"> P, Kozanitas</w:t>
      </w:r>
      <w:r>
        <w:rPr>
          <w:rFonts w:asciiTheme="majorHAnsi" w:hAnsiTheme="majorHAnsi"/>
        </w:rPr>
        <w:t>,</w:t>
      </w:r>
      <w:r>
        <w:rPr>
          <w:rFonts w:asciiTheme="majorHAnsi" w:hAnsiTheme="majorHAnsi"/>
          <w:color w:val="000000"/>
        </w:rPr>
        <w:t xml:space="preserve"> M, Baker</w:t>
      </w:r>
      <w:r>
        <w:rPr>
          <w:rFonts w:asciiTheme="majorHAnsi" w:hAnsiTheme="majorHAnsi"/>
        </w:rPr>
        <w:t>,</w:t>
      </w:r>
      <w:r>
        <w:rPr>
          <w:rFonts w:asciiTheme="majorHAnsi" w:hAnsiTheme="majorHAnsi"/>
          <w:color w:val="000000"/>
        </w:rPr>
        <w:t xml:space="preserve"> L</w:t>
      </w:r>
      <w:r>
        <w:rPr>
          <w:rFonts w:asciiTheme="majorHAnsi" w:hAnsiTheme="majorHAnsi"/>
        </w:rPr>
        <w:t xml:space="preserve"> &amp;</w:t>
      </w:r>
      <w:r>
        <w:rPr>
          <w:rFonts w:asciiTheme="majorHAnsi" w:hAnsiTheme="majorHAnsi"/>
          <w:color w:val="000000"/>
        </w:rPr>
        <w:t xml:space="preserve"> Garbelotto</w:t>
      </w:r>
      <w:r>
        <w:rPr>
          <w:rFonts w:asciiTheme="majorHAnsi" w:hAnsiTheme="majorHAnsi"/>
        </w:rPr>
        <w:t>,</w:t>
      </w:r>
      <w:r>
        <w:rPr>
          <w:rFonts w:asciiTheme="majorHAnsi" w:hAnsiTheme="majorHAnsi"/>
          <w:color w:val="000000"/>
        </w:rPr>
        <w:t xml:space="preserve"> M 2009</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 xml:space="preserve">Genetic epidemiology of the sudden oak death pathogen </w:t>
      </w:r>
      <w:r>
        <w:rPr>
          <w:rFonts w:asciiTheme="majorHAnsi" w:hAnsiTheme="majorHAnsi"/>
          <w:i/>
        </w:rPr>
        <w:t>Phytophthora ramorum</w:t>
      </w:r>
      <w:r>
        <w:rPr>
          <w:rFonts w:asciiTheme="majorHAnsi" w:hAnsiTheme="majorHAnsi"/>
          <w:color w:val="000000"/>
        </w:rPr>
        <w:t xml:space="preserve"> in California</w:t>
      </w:r>
      <w:r>
        <w:rPr>
          <w:rFonts w:asciiTheme="majorHAnsi" w:hAnsiTheme="majorHAnsi"/>
        </w:rPr>
        <w:t xml:space="preserve">’, </w:t>
      </w:r>
      <w:r>
        <w:rPr>
          <w:rFonts w:asciiTheme="majorHAnsi" w:hAnsiTheme="majorHAnsi"/>
          <w:i/>
          <w:color w:val="000000"/>
        </w:rPr>
        <w:t>Molecular Ecology</w:t>
      </w:r>
      <w:r>
        <w:rPr>
          <w:rFonts w:asciiTheme="majorHAnsi" w:hAnsiTheme="majorHAnsi"/>
        </w:rPr>
        <w:t>,</w:t>
      </w:r>
      <w:r>
        <w:rPr>
          <w:rFonts w:asciiTheme="majorHAnsi" w:hAnsiTheme="majorHAnsi"/>
          <w:color w:val="000000"/>
        </w:rPr>
        <w:t xml:space="preserve"> 18: 4577–4590.</w:t>
      </w:r>
      <w:r>
        <w:rPr>
          <w:rFonts w:asciiTheme="majorHAnsi" w:hAnsiTheme="majorHAnsi"/>
        </w:rPr>
        <w:t xml:space="preserve">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Mascheretti, S, Croucher, P, Vettraino, A, Prospero, S &amp; Garbelotto, M 2008, ‘Reconstruction of the sudden oak death epidemic in California through microsatellite analysis of the pathogen </w:t>
      </w:r>
      <w:r>
        <w:rPr>
          <w:rFonts w:asciiTheme="majorHAnsi" w:hAnsiTheme="majorHAnsi"/>
          <w:i/>
        </w:rPr>
        <w:t>Phytophthora ramorum</w:t>
      </w:r>
      <w:r>
        <w:rPr>
          <w:rFonts w:asciiTheme="majorHAnsi" w:hAnsiTheme="majorHAnsi"/>
        </w:rPr>
        <w:t xml:space="preserve">’, </w:t>
      </w:r>
      <w:r>
        <w:rPr>
          <w:rFonts w:asciiTheme="majorHAnsi" w:hAnsiTheme="majorHAnsi"/>
          <w:i/>
          <w:color w:val="000000"/>
        </w:rPr>
        <w:t>Molecular Ecology</w:t>
      </w:r>
      <w:r>
        <w:rPr>
          <w:rFonts w:asciiTheme="majorHAnsi" w:hAnsiTheme="majorHAnsi"/>
        </w:rPr>
        <w:t>, 17: 2755–2768.</w:t>
      </w:r>
    </w:p>
    <w:p w:rsidR="00C74066" w:rsidRDefault="00F10705">
      <w:pPr>
        <w:autoSpaceDE w:val="0"/>
        <w:autoSpaceDN w:val="0"/>
        <w:adjustRightInd w:val="0"/>
        <w:spacing w:before="120" w:after="120" w:line="271" w:lineRule="auto"/>
        <w:rPr>
          <w:rFonts w:asciiTheme="majorHAnsi" w:hAnsiTheme="majorHAnsi"/>
          <w:color w:val="000000"/>
        </w:rPr>
      </w:pPr>
      <w:r>
        <w:rPr>
          <w:rFonts w:asciiTheme="majorHAnsi" w:hAnsiTheme="majorHAnsi"/>
          <w:color w:val="000000"/>
        </w:rPr>
        <w:t>Mathew</w:t>
      </w:r>
      <w:r>
        <w:rPr>
          <w:rFonts w:asciiTheme="majorHAnsi" w:hAnsiTheme="majorHAnsi"/>
        </w:rPr>
        <w:t>,</w:t>
      </w:r>
      <w:r>
        <w:rPr>
          <w:rFonts w:asciiTheme="majorHAnsi" w:hAnsiTheme="majorHAnsi"/>
          <w:color w:val="000000"/>
        </w:rPr>
        <w:t xml:space="preserve"> SK</w:t>
      </w:r>
      <w:r>
        <w:rPr>
          <w:rFonts w:asciiTheme="majorHAnsi" w:hAnsiTheme="majorHAnsi"/>
        </w:rPr>
        <w:t xml:space="preserve"> &amp;</w:t>
      </w:r>
      <w:r>
        <w:rPr>
          <w:rFonts w:asciiTheme="majorHAnsi" w:hAnsiTheme="majorHAnsi"/>
          <w:color w:val="000000"/>
        </w:rPr>
        <w:t xml:space="preserve"> Beena</w:t>
      </w:r>
      <w:r>
        <w:rPr>
          <w:rFonts w:asciiTheme="majorHAnsi" w:hAnsiTheme="majorHAnsi"/>
        </w:rPr>
        <w:t>,</w:t>
      </w:r>
      <w:r>
        <w:rPr>
          <w:rFonts w:asciiTheme="majorHAnsi" w:hAnsiTheme="majorHAnsi"/>
          <w:color w:val="000000"/>
        </w:rPr>
        <w:t xml:space="preserve"> S 2012</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 xml:space="preserve">A new record of </w:t>
      </w:r>
      <w:r>
        <w:rPr>
          <w:rFonts w:asciiTheme="majorHAnsi" w:hAnsiTheme="majorHAnsi"/>
          <w:i/>
          <w:color w:val="000000"/>
        </w:rPr>
        <w:t>Phytophthora ramorum</w:t>
      </w:r>
      <w:r>
        <w:rPr>
          <w:rFonts w:asciiTheme="majorHAnsi" w:hAnsiTheme="majorHAnsi"/>
          <w:color w:val="000000"/>
        </w:rPr>
        <w:t xml:space="preserve"> causing leaf fall and shoot rot of nutmeg (</w:t>
      </w:r>
      <w:r>
        <w:rPr>
          <w:rFonts w:asciiTheme="majorHAnsi" w:hAnsiTheme="majorHAnsi"/>
          <w:i/>
          <w:color w:val="000000"/>
        </w:rPr>
        <w:t>Myristica fragrans</w:t>
      </w:r>
      <w:r>
        <w:rPr>
          <w:rFonts w:asciiTheme="majorHAnsi" w:hAnsiTheme="majorHAnsi"/>
          <w:color w:val="000000"/>
        </w:rPr>
        <w:t>)</w:t>
      </w:r>
      <w:r>
        <w:rPr>
          <w:rFonts w:asciiTheme="majorHAnsi" w:hAnsiTheme="majorHAnsi"/>
        </w:rPr>
        <w:t xml:space="preserve">’, </w:t>
      </w:r>
      <w:r>
        <w:rPr>
          <w:rFonts w:asciiTheme="majorHAnsi" w:hAnsiTheme="majorHAnsi"/>
          <w:i/>
          <w:color w:val="000000"/>
        </w:rPr>
        <w:t>Journal of Mycology and Plant Pathology</w:t>
      </w:r>
      <w:r>
        <w:rPr>
          <w:rFonts w:asciiTheme="majorHAnsi" w:hAnsiTheme="majorHAnsi"/>
        </w:rPr>
        <w:t>,</w:t>
      </w:r>
      <w:r>
        <w:rPr>
          <w:rFonts w:asciiTheme="majorHAnsi" w:hAnsiTheme="majorHAnsi"/>
          <w:color w:val="000000"/>
        </w:rPr>
        <w:t xml:space="preserve"> 42: 529–530. </w:t>
      </w:r>
    </w:p>
    <w:p w:rsidR="00C74066" w:rsidRDefault="00F10705">
      <w:pPr>
        <w:autoSpaceDE w:val="0"/>
        <w:autoSpaceDN w:val="0"/>
        <w:adjustRightInd w:val="0"/>
        <w:spacing w:before="120" w:after="120" w:line="271" w:lineRule="auto"/>
        <w:rPr>
          <w:rFonts w:asciiTheme="majorHAnsi" w:hAnsiTheme="majorHAnsi"/>
          <w:color w:val="000000"/>
        </w:rPr>
      </w:pPr>
      <w:r>
        <w:rPr>
          <w:rFonts w:asciiTheme="majorHAnsi" w:hAnsiTheme="majorHAnsi"/>
          <w:color w:val="000000"/>
        </w:rPr>
        <w:t>McGregor, BM 1987</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Tropical products transport handbook</w:t>
      </w:r>
      <w:r>
        <w:rPr>
          <w:rFonts w:asciiTheme="majorHAnsi" w:hAnsiTheme="majorHAnsi"/>
        </w:rPr>
        <w:t>’,</w:t>
      </w:r>
      <w:r>
        <w:rPr>
          <w:rFonts w:asciiTheme="majorHAnsi" w:hAnsiTheme="majorHAnsi"/>
          <w:color w:val="000000"/>
        </w:rPr>
        <w:t xml:space="preserve"> Agriculture Handbook No. 668. United States Department of Agriculture, Washington, DC.</w:t>
      </w:r>
    </w:p>
    <w:p w:rsidR="00C74066" w:rsidRDefault="00F10705">
      <w:pPr>
        <w:autoSpaceDE w:val="0"/>
        <w:autoSpaceDN w:val="0"/>
        <w:adjustRightInd w:val="0"/>
        <w:spacing w:before="120" w:after="120" w:line="271" w:lineRule="auto"/>
        <w:rPr>
          <w:rFonts w:asciiTheme="majorHAnsi" w:hAnsiTheme="majorHAnsi"/>
          <w:color w:val="000000"/>
        </w:rPr>
      </w:pPr>
      <w:r>
        <w:rPr>
          <w:rFonts w:asciiTheme="majorHAnsi" w:hAnsiTheme="majorHAnsi"/>
          <w:color w:val="000000"/>
        </w:rPr>
        <w:t>Meshriy</w:t>
      </w:r>
      <w:r>
        <w:rPr>
          <w:rFonts w:asciiTheme="majorHAnsi" w:hAnsiTheme="majorHAnsi"/>
        </w:rPr>
        <w:t>,</w:t>
      </w:r>
      <w:r>
        <w:rPr>
          <w:rFonts w:asciiTheme="majorHAnsi" w:hAnsiTheme="majorHAnsi"/>
          <w:color w:val="000000"/>
        </w:rPr>
        <w:t xml:space="preserve"> M, Hüberli</w:t>
      </w:r>
      <w:r>
        <w:rPr>
          <w:rFonts w:asciiTheme="majorHAnsi" w:hAnsiTheme="majorHAnsi"/>
        </w:rPr>
        <w:t>,</w:t>
      </w:r>
      <w:r>
        <w:rPr>
          <w:rFonts w:asciiTheme="majorHAnsi" w:hAnsiTheme="majorHAnsi"/>
          <w:color w:val="000000"/>
        </w:rPr>
        <w:t xml:space="preserve"> D, Tamar</w:t>
      </w:r>
      <w:r>
        <w:rPr>
          <w:rFonts w:asciiTheme="majorHAnsi" w:hAnsiTheme="majorHAnsi"/>
        </w:rPr>
        <w:t>,</w:t>
      </w:r>
      <w:r>
        <w:rPr>
          <w:rFonts w:asciiTheme="majorHAnsi" w:hAnsiTheme="majorHAnsi"/>
          <w:color w:val="000000"/>
        </w:rPr>
        <w:t xml:space="preserve"> H, Miles</w:t>
      </w:r>
      <w:r>
        <w:rPr>
          <w:rFonts w:asciiTheme="majorHAnsi" w:hAnsiTheme="majorHAnsi"/>
        </w:rPr>
        <w:t>,</w:t>
      </w:r>
      <w:r>
        <w:rPr>
          <w:rFonts w:asciiTheme="majorHAnsi" w:hAnsiTheme="majorHAnsi"/>
          <w:color w:val="000000"/>
        </w:rPr>
        <w:t xml:space="preserve"> L, Reuther</w:t>
      </w:r>
      <w:r>
        <w:rPr>
          <w:rFonts w:asciiTheme="majorHAnsi" w:hAnsiTheme="majorHAnsi"/>
        </w:rPr>
        <w:t>,</w:t>
      </w:r>
      <w:r>
        <w:rPr>
          <w:rFonts w:asciiTheme="majorHAnsi" w:hAnsiTheme="majorHAnsi"/>
          <w:color w:val="000000"/>
        </w:rPr>
        <w:t xml:space="preserve"> K</w:t>
      </w:r>
      <w:r>
        <w:rPr>
          <w:rFonts w:asciiTheme="majorHAnsi" w:hAnsiTheme="majorHAnsi"/>
        </w:rPr>
        <w:t xml:space="preserve"> &amp;</w:t>
      </w:r>
      <w:r>
        <w:rPr>
          <w:rFonts w:asciiTheme="majorHAnsi" w:hAnsiTheme="majorHAnsi"/>
          <w:color w:val="000000"/>
        </w:rPr>
        <w:t xml:space="preserve"> Garbelotto</w:t>
      </w:r>
      <w:r>
        <w:rPr>
          <w:rFonts w:asciiTheme="majorHAnsi" w:hAnsiTheme="majorHAnsi"/>
        </w:rPr>
        <w:t>,</w:t>
      </w:r>
      <w:r>
        <w:rPr>
          <w:rFonts w:asciiTheme="majorHAnsi" w:hAnsiTheme="majorHAnsi"/>
          <w:color w:val="000000"/>
        </w:rPr>
        <w:t xml:space="preserve"> M 2006</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 xml:space="preserve">Variation in susceptibility of </w:t>
      </w:r>
      <w:r>
        <w:rPr>
          <w:rFonts w:asciiTheme="majorHAnsi" w:hAnsiTheme="majorHAnsi"/>
          <w:i/>
          <w:color w:val="000000"/>
        </w:rPr>
        <w:t>Umbellularia californica</w:t>
      </w:r>
      <w:r>
        <w:rPr>
          <w:rFonts w:asciiTheme="majorHAnsi" w:hAnsiTheme="majorHAnsi"/>
          <w:color w:val="000000"/>
        </w:rPr>
        <w:t xml:space="preserve"> (bay laurel) to </w:t>
      </w:r>
      <w:r>
        <w:rPr>
          <w:rFonts w:asciiTheme="majorHAnsi" w:hAnsiTheme="majorHAnsi"/>
          <w:i/>
        </w:rPr>
        <w:t>Phytophthora ramorum</w:t>
      </w:r>
      <w:r>
        <w:rPr>
          <w:rFonts w:asciiTheme="majorHAnsi" w:hAnsiTheme="majorHAnsi"/>
        </w:rPr>
        <w:t>’</w:t>
      </w:r>
      <w:r>
        <w:rPr>
          <w:rFonts w:asciiTheme="majorHAnsi" w:hAnsiTheme="majorHAnsi"/>
          <w:color w:val="000000"/>
        </w:rPr>
        <w:t>,</w:t>
      </w:r>
      <w:r>
        <w:rPr>
          <w:rFonts w:asciiTheme="majorHAnsi" w:hAnsiTheme="majorHAnsi"/>
          <w:i/>
        </w:rPr>
        <w:t xml:space="preserve"> Proceedings of the Sudden Oak Death Second Science Symposium: The State of Our Knowledge, </w:t>
      </w:r>
      <w:r>
        <w:rPr>
          <w:rFonts w:asciiTheme="majorHAnsi" w:hAnsiTheme="majorHAnsi"/>
          <w:color w:val="000000"/>
        </w:rPr>
        <w:t>Gen</w:t>
      </w:r>
      <w:r>
        <w:rPr>
          <w:rFonts w:asciiTheme="majorHAnsi" w:hAnsiTheme="majorHAnsi"/>
        </w:rPr>
        <w:t xml:space="preserve">eral technical report </w:t>
      </w:r>
      <w:r>
        <w:rPr>
          <w:rFonts w:asciiTheme="majorHAnsi" w:hAnsiTheme="majorHAnsi"/>
          <w:color w:val="000000"/>
        </w:rPr>
        <w:t>PSW-GTR-196</w:t>
      </w:r>
      <w:r>
        <w:rPr>
          <w:rFonts w:asciiTheme="majorHAnsi" w:hAnsiTheme="majorHAnsi"/>
        </w:rPr>
        <w:t>, 87–89.</w:t>
      </w:r>
    </w:p>
    <w:p w:rsidR="00C74066" w:rsidRDefault="00F10705">
      <w:pPr>
        <w:autoSpaceDE w:val="0"/>
        <w:autoSpaceDN w:val="0"/>
        <w:adjustRightInd w:val="0"/>
        <w:spacing w:before="120" w:after="120" w:line="271" w:lineRule="auto"/>
        <w:rPr>
          <w:rFonts w:asciiTheme="majorHAnsi" w:hAnsiTheme="majorHAnsi"/>
          <w:color w:val="000000"/>
        </w:rPr>
      </w:pPr>
      <w:r>
        <w:rPr>
          <w:rFonts w:asciiTheme="majorHAnsi" w:hAnsiTheme="majorHAnsi"/>
          <w:color w:val="000000"/>
        </w:rPr>
        <w:t>Metz</w:t>
      </w:r>
      <w:r>
        <w:rPr>
          <w:rFonts w:asciiTheme="majorHAnsi" w:hAnsiTheme="majorHAnsi"/>
        </w:rPr>
        <w:t>,</w:t>
      </w:r>
      <w:r>
        <w:rPr>
          <w:rFonts w:asciiTheme="majorHAnsi" w:hAnsiTheme="majorHAnsi"/>
          <w:color w:val="000000"/>
        </w:rPr>
        <w:t xml:space="preserve"> M, Frangioso</w:t>
      </w:r>
      <w:r>
        <w:rPr>
          <w:rFonts w:asciiTheme="majorHAnsi" w:hAnsiTheme="majorHAnsi"/>
        </w:rPr>
        <w:t>,</w:t>
      </w:r>
      <w:r>
        <w:rPr>
          <w:rFonts w:asciiTheme="majorHAnsi" w:hAnsiTheme="majorHAnsi"/>
          <w:color w:val="000000"/>
        </w:rPr>
        <w:t xml:space="preserve"> K, Meentemeyer</w:t>
      </w:r>
      <w:r>
        <w:rPr>
          <w:rFonts w:asciiTheme="majorHAnsi" w:hAnsiTheme="majorHAnsi"/>
        </w:rPr>
        <w:t>,</w:t>
      </w:r>
      <w:r>
        <w:rPr>
          <w:rFonts w:asciiTheme="majorHAnsi" w:hAnsiTheme="majorHAnsi"/>
          <w:color w:val="000000"/>
        </w:rPr>
        <w:t xml:space="preserve"> R</w:t>
      </w:r>
      <w:r>
        <w:rPr>
          <w:rFonts w:asciiTheme="majorHAnsi" w:hAnsiTheme="majorHAnsi"/>
        </w:rPr>
        <w:t xml:space="preserve"> &amp;</w:t>
      </w:r>
      <w:r>
        <w:rPr>
          <w:rFonts w:asciiTheme="majorHAnsi" w:hAnsiTheme="majorHAnsi"/>
          <w:color w:val="000000"/>
        </w:rPr>
        <w:t xml:space="preserve"> Rizzo</w:t>
      </w:r>
      <w:r>
        <w:rPr>
          <w:rFonts w:asciiTheme="majorHAnsi" w:hAnsiTheme="majorHAnsi"/>
        </w:rPr>
        <w:t>,</w:t>
      </w:r>
      <w:r>
        <w:rPr>
          <w:rFonts w:asciiTheme="majorHAnsi" w:hAnsiTheme="majorHAnsi"/>
          <w:color w:val="000000"/>
        </w:rPr>
        <w:t xml:space="preserve"> D 2011</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Interacting disturbances: wildfire severity affected by stage of forest disease invasion</w:t>
      </w:r>
      <w:r>
        <w:rPr>
          <w:rFonts w:asciiTheme="majorHAnsi" w:hAnsiTheme="majorHAnsi"/>
        </w:rPr>
        <w:t xml:space="preserve">’, </w:t>
      </w:r>
      <w:r>
        <w:rPr>
          <w:rFonts w:asciiTheme="majorHAnsi" w:hAnsiTheme="majorHAnsi"/>
          <w:i/>
          <w:color w:val="000000"/>
        </w:rPr>
        <w:t>Ecological Applications</w:t>
      </w:r>
      <w:r>
        <w:rPr>
          <w:rFonts w:asciiTheme="majorHAnsi" w:hAnsiTheme="majorHAnsi"/>
        </w:rPr>
        <w:t>,</w:t>
      </w:r>
      <w:r>
        <w:rPr>
          <w:rFonts w:asciiTheme="majorHAnsi" w:hAnsiTheme="majorHAnsi"/>
          <w:color w:val="000000"/>
        </w:rPr>
        <w:t xml:space="preserve"> 21: 313–320.</w:t>
      </w:r>
    </w:p>
    <w:p w:rsidR="00C74066" w:rsidRDefault="00F10705">
      <w:pPr>
        <w:autoSpaceDE w:val="0"/>
        <w:autoSpaceDN w:val="0"/>
        <w:adjustRightInd w:val="0"/>
        <w:spacing w:before="120" w:after="120" w:line="271" w:lineRule="auto"/>
        <w:rPr>
          <w:rFonts w:asciiTheme="majorHAnsi" w:hAnsiTheme="majorHAnsi"/>
          <w:color w:val="000000"/>
        </w:rPr>
      </w:pPr>
      <w:r>
        <w:rPr>
          <w:rFonts w:asciiTheme="majorHAnsi" w:hAnsiTheme="majorHAnsi"/>
          <w:color w:val="000000"/>
        </w:rPr>
        <w:t>Metz</w:t>
      </w:r>
      <w:r>
        <w:rPr>
          <w:rFonts w:asciiTheme="majorHAnsi" w:hAnsiTheme="majorHAnsi"/>
        </w:rPr>
        <w:t>,</w:t>
      </w:r>
      <w:r>
        <w:rPr>
          <w:rFonts w:asciiTheme="majorHAnsi" w:hAnsiTheme="majorHAnsi"/>
          <w:color w:val="000000"/>
        </w:rPr>
        <w:t xml:space="preserve"> M, Frangioso</w:t>
      </w:r>
      <w:r>
        <w:rPr>
          <w:rFonts w:asciiTheme="majorHAnsi" w:hAnsiTheme="majorHAnsi"/>
        </w:rPr>
        <w:t>,</w:t>
      </w:r>
      <w:r>
        <w:rPr>
          <w:rFonts w:asciiTheme="majorHAnsi" w:hAnsiTheme="majorHAnsi"/>
          <w:color w:val="000000"/>
        </w:rPr>
        <w:t xml:space="preserve"> K, Meentemeyer</w:t>
      </w:r>
      <w:r>
        <w:rPr>
          <w:rFonts w:asciiTheme="majorHAnsi" w:hAnsiTheme="majorHAnsi"/>
        </w:rPr>
        <w:t>,</w:t>
      </w:r>
      <w:r>
        <w:rPr>
          <w:rFonts w:asciiTheme="majorHAnsi" w:hAnsiTheme="majorHAnsi"/>
          <w:color w:val="000000"/>
        </w:rPr>
        <w:t xml:space="preserve"> R</w:t>
      </w:r>
      <w:r>
        <w:rPr>
          <w:rFonts w:asciiTheme="majorHAnsi" w:hAnsiTheme="majorHAnsi"/>
        </w:rPr>
        <w:t xml:space="preserve"> &amp;</w:t>
      </w:r>
      <w:r>
        <w:rPr>
          <w:rFonts w:asciiTheme="majorHAnsi" w:hAnsiTheme="majorHAnsi"/>
          <w:color w:val="000000"/>
        </w:rPr>
        <w:t xml:space="preserve"> Rizzo</w:t>
      </w:r>
      <w:r>
        <w:rPr>
          <w:rFonts w:asciiTheme="majorHAnsi" w:hAnsiTheme="majorHAnsi"/>
        </w:rPr>
        <w:t>,</w:t>
      </w:r>
      <w:r>
        <w:rPr>
          <w:rFonts w:asciiTheme="majorHAnsi" w:hAnsiTheme="majorHAnsi"/>
          <w:color w:val="000000"/>
        </w:rPr>
        <w:t xml:space="preserve"> D</w:t>
      </w:r>
      <w:r>
        <w:rPr>
          <w:rFonts w:asciiTheme="majorHAnsi" w:hAnsiTheme="majorHAnsi"/>
        </w:rPr>
        <w:t>M</w:t>
      </w:r>
      <w:r>
        <w:rPr>
          <w:rFonts w:asciiTheme="majorHAnsi" w:hAnsiTheme="majorHAnsi"/>
          <w:color w:val="000000"/>
        </w:rPr>
        <w:t xml:space="preserve"> 2010</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Interacting disturbances: did sudden oak death mortality in Big Sur worsen the impacts of the 2008 Basin Complex wildfire?</w:t>
      </w:r>
      <w:r>
        <w:rPr>
          <w:rFonts w:asciiTheme="majorHAnsi" w:hAnsiTheme="majorHAnsi"/>
        </w:rPr>
        <w:t>’,</w:t>
      </w:r>
      <w:r>
        <w:rPr>
          <w:rFonts w:asciiTheme="majorHAnsi" w:hAnsiTheme="majorHAnsi"/>
          <w:color w:val="000000"/>
        </w:rPr>
        <w:t xml:space="preserve"> </w:t>
      </w:r>
      <w:r>
        <w:rPr>
          <w:rFonts w:asciiTheme="majorHAnsi" w:hAnsiTheme="majorHAnsi"/>
          <w:i/>
          <w:color w:val="000000"/>
        </w:rPr>
        <w:t>Proceedings of the 4th Sudden Oak Death Symposium</w:t>
      </w:r>
      <w:r>
        <w:rPr>
          <w:rFonts w:asciiTheme="majorHAnsi" w:hAnsiTheme="majorHAnsi"/>
          <w:color w:val="000000"/>
        </w:rPr>
        <w:t>, 258–261.</w:t>
      </w:r>
    </w:p>
    <w:p w:rsidR="00C74066" w:rsidRDefault="00F10705">
      <w:pPr>
        <w:autoSpaceDE w:val="0"/>
        <w:autoSpaceDN w:val="0"/>
        <w:adjustRightInd w:val="0"/>
        <w:spacing w:before="120" w:after="120" w:line="271" w:lineRule="auto"/>
        <w:rPr>
          <w:rFonts w:asciiTheme="majorHAnsi" w:hAnsiTheme="majorHAnsi"/>
          <w:color w:val="000000"/>
        </w:rPr>
      </w:pPr>
      <w:r>
        <w:rPr>
          <w:rFonts w:asciiTheme="majorHAnsi" w:hAnsiTheme="majorHAnsi"/>
          <w:color w:val="000000"/>
        </w:rPr>
        <w:t>Moralejo</w:t>
      </w:r>
      <w:r>
        <w:rPr>
          <w:rFonts w:asciiTheme="majorHAnsi" w:hAnsiTheme="majorHAnsi"/>
        </w:rPr>
        <w:t>,</w:t>
      </w:r>
      <w:r>
        <w:rPr>
          <w:rFonts w:asciiTheme="majorHAnsi" w:hAnsiTheme="majorHAnsi"/>
          <w:color w:val="000000"/>
        </w:rPr>
        <w:t xml:space="preserve"> E, Denman</w:t>
      </w:r>
      <w:r>
        <w:rPr>
          <w:rFonts w:asciiTheme="majorHAnsi" w:hAnsiTheme="majorHAnsi"/>
        </w:rPr>
        <w:t>,</w:t>
      </w:r>
      <w:r>
        <w:rPr>
          <w:rFonts w:asciiTheme="majorHAnsi" w:hAnsiTheme="majorHAnsi"/>
          <w:color w:val="000000"/>
        </w:rPr>
        <w:t xml:space="preserve"> S, Beales</w:t>
      </w:r>
      <w:r>
        <w:rPr>
          <w:rFonts w:asciiTheme="majorHAnsi" w:hAnsiTheme="majorHAnsi"/>
        </w:rPr>
        <w:t>,</w:t>
      </w:r>
      <w:r>
        <w:rPr>
          <w:rFonts w:asciiTheme="majorHAnsi" w:hAnsiTheme="majorHAnsi"/>
          <w:color w:val="000000"/>
        </w:rPr>
        <w:t xml:space="preserve"> P</w:t>
      </w:r>
      <w:r>
        <w:rPr>
          <w:rFonts w:asciiTheme="majorHAnsi" w:hAnsiTheme="majorHAnsi"/>
        </w:rPr>
        <w:t xml:space="preserve"> &amp;</w:t>
      </w:r>
      <w:r>
        <w:rPr>
          <w:rFonts w:asciiTheme="majorHAnsi" w:hAnsiTheme="majorHAnsi"/>
          <w:color w:val="000000"/>
        </w:rPr>
        <w:t xml:space="preserve"> Webber</w:t>
      </w:r>
      <w:r>
        <w:rPr>
          <w:rFonts w:asciiTheme="majorHAnsi" w:hAnsiTheme="majorHAnsi"/>
        </w:rPr>
        <w:t>,</w:t>
      </w:r>
      <w:r>
        <w:rPr>
          <w:rFonts w:asciiTheme="majorHAnsi" w:hAnsiTheme="majorHAnsi"/>
          <w:color w:val="000000"/>
        </w:rPr>
        <w:t xml:space="preserve"> J 2007</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 xml:space="preserve">Report on the ability of key tree and nontree hosts to support inoculum production of </w:t>
      </w:r>
      <w:r>
        <w:rPr>
          <w:rFonts w:asciiTheme="majorHAnsi" w:hAnsiTheme="majorHAnsi"/>
          <w:i/>
        </w:rPr>
        <w:t>Phytophthora ramorum</w:t>
      </w:r>
      <w:r>
        <w:rPr>
          <w:rFonts w:asciiTheme="majorHAnsi" w:hAnsiTheme="majorHAnsi"/>
          <w:color w:val="000000"/>
        </w:rPr>
        <w:t>’,</w:t>
      </w:r>
      <w:r>
        <w:rPr>
          <w:rFonts w:asciiTheme="majorHAnsi" w:hAnsiTheme="majorHAnsi"/>
          <w:i/>
        </w:rPr>
        <w:t xml:space="preserve"> </w:t>
      </w:r>
      <w:r>
        <w:rPr>
          <w:rFonts w:asciiTheme="majorHAnsi" w:hAnsiTheme="majorHAnsi"/>
          <w:color w:val="000000"/>
        </w:rPr>
        <w:t>EU Sixth Framework Project RAPRA</w:t>
      </w:r>
      <w:r>
        <w:rPr>
          <w:rFonts w:asciiTheme="majorHAnsi" w:hAnsiTheme="majorHAnsi"/>
        </w:rPr>
        <w:t>,</w:t>
      </w:r>
      <w:r>
        <w:rPr>
          <w:rFonts w:asciiTheme="majorHAnsi" w:hAnsiTheme="majorHAnsi"/>
          <w:color w:val="000000"/>
        </w:rPr>
        <w:t xml:space="preserve"> Deliverable Report 27</w:t>
      </w:r>
      <w:r>
        <w:rPr>
          <w:rFonts w:asciiTheme="majorHAnsi" w:hAnsiTheme="majorHAnsi"/>
        </w:rPr>
        <w:t>,</w:t>
      </w:r>
      <w:r w:rsidR="007B1790">
        <w:rPr>
          <w:rFonts w:asciiTheme="majorHAnsi" w:hAnsiTheme="majorHAnsi"/>
          <w:color w:val="000000"/>
        </w:rPr>
        <w:t xml:space="preserve"> </w:t>
      </w:r>
      <w:r>
        <w:rPr>
          <w:rFonts w:asciiTheme="majorHAnsi" w:hAnsiTheme="majorHAnsi"/>
          <w:color w:val="000000"/>
        </w:rPr>
        <w:t>rapra.csl.gov.uk</w:t>
      </w:r>
      <w:r>
        <w:rPr>
          <w:rFonts w:asciiTheme="majorHAnsi" w:hAnsiTheme="majorHAnsi"/>
        </w:rPr>
        <w:t>.</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t>Moralejo</w:t>
      </w:r>
      <w:r>
        <w:rPr>
          <w:rFonts w:asciiTheme="majorHAnsi" w:hAnsiTheme="majorHAnsi"/>
        </w:rPr>
        <w:t>,</w:t>
      </w:r>
      <w:r>
        <w:rPr>
          <w:rFonts w:asciiTheme="majorHAnsi" w:hAnsiTheme="majorHAnsi"/>
          <w:color w:val="000000"/>
        </w:rPr>
        <w:t xml:space="preserve"> E, García-Muñoz</w:t>
      </w:r>
      <w:r>
        <w:rPr>
          <w:rFonts w:asciiTheme="majorHAnsi" w:hAnsiTheme="majorHAnsi"/>
        </w:rPr>
        <w:t>,</w:t>
      </w:r>
      <w:r>
        <w:rPr>
          <w:rFonts w:asciiTheme="majorHAnsi" w:hAnsiTheme="majorHAnsi"/>
          <w:color w:val="000000"/>
        </w:rPr>
        <w:t xml:space="preserve"> JA</w:t>
      </w:r>
      <w:r>
        <w:rPr>
          <w:rFonts w:asciiTheme="majorHAnsi" w:hAnsiTheme="majorHAnsi"/>
        </w:rPr>
        <w:t xml:space="preserve"> &amp;</w:t>
      </w:r>
      <w:r>
        <w:rPr>
          <w:rFonts w:asciiTheme="majorHAnsi" w:hAnsiTheme="majorHAnsi"/>
          <w:color w:val="000000"/>
        </w:rPr>
        <w:t xml:space="preserve"> Descals</w:t>
      </w:r>
      <w:r>
        <w:rPr>
          <w:rFonts w:asciiTheme="majorHAnsi" w:hAnsiTheme="majorHAnsi"/>
        </w:rPr>
        <w:t>,</w:t>
      </w:r>
      <w:r>
        <w:rPr>
          <w:rFonts w:asciiTheme="majorHAnsi" w:hAnsiTheme="majorHAnsi"/>
          <w:color w:val="000000"/>
        </w:rPr>
        <w:t xml:space="preserve"> E 2008</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 xml:space="preserve">Susceptibility of Iberian trees to </w:t>
      </w:r>
      <w:r>
        <w:rPr>
          <w:rFonts w:asciiTheme="majorHAnsi" w:hAnsiTheme="majorHAnsi"/>
          <w:i/>
          <w:color w:val="000000"/>
        </w:rPr>
        <w:t>Phytophthora ramorum</w:t>
      </w:r>
      <w:r>
        <w:rPr>
          <w:rFonts w:asciiTheme="majorHAnsi" w:hAnsiTheme="majorHAnsi"/>
          <w:color w:val="000000"/>
        </w:rPr>
        <w:t xml:space="preserve"> and </w:t>
      </w:r>
      <w:r>
        <w:rPr>
          <w:rFonts w:asciiTheme="majorHAnsi" w:hAnsiTheme="majorHAnsi"/>
          <w:i/>
          <w:color w:val="000000"/>
        </w:rPr>
        <w:t>P. cinnamomi</w:t>
      </w:r>
      <w:r>
        <w:rPr>
          <w:rFonts w:asciiTheme="majorHAnsi" w:hAnsiTheme="majorHAnsi"/>
        </w:rPr>
        <w:t xml:space="preserve">’, </w:t>
      </w:r>
      <w:r>
        <w:rPr>
          <w:rFonts w:asciiTheme="majorHAnsi" w:hAnsiTheme="majorHAnsi"/>
          <w:i/>
          <w:color w:val="000000"/>
        </w:rPr>
        <w:t>Plant Pathology</w:t>
      </w:r>
      <w:r>
        <w:rPr>
          <w:rFonts w:asciiTheme="majorHAnsi" w:hAnsiTheme="majorHAnsi"/>
        </w:rPr>
        <w:t>,</w:t>
      </w:r>
      <w:r>
        <w:rPr>
          <w:rFonts w:asciiTheme="majorHAnsi" w:hAnsiTheme="majorHAnsi"/>
          <w:color w:val="000000"/>
        </w:rPr>
        <w:t xml:space="preserve"> 58: 271–283.</w:t>
      </w:r>
      <w:r>
        <w:rPr>
          <w:rFonts w:asciiTheme="majorHAnsi" w:hAnsiTheme="majorHAnsi"/>
        </w:rPr>
        <w:t xml:space="preserve">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Moralejo, E, Puig, M, Garcia, JA &amp; Descals, E 2006, ‘Stromata, sporangiomata and chlamydosori of </w:t>
      </w:r>
      <w:r>
        <w:rPr>
          <w:rFonts w:asciiTheme="majorHAnsi" w:hAnsiTheme="majorHAnsi"/>
          <w:i/>
        </w:rPr>
        <w:t>Phytophthora ramorum</w:t>
      </w:r>
      <w:r>
        <w:rPr>
          <w:rFonts w:asciiTheme="majorHAnsi" w:hAnsiTheme="majorHAnsi"/>
        </w:rPr>
        <w:t xml:space="preserve"> on inoculated Mediterranean woody plants’, </w:t>
      </w:r>
      <w:r>
        <w:rPr>
          <w:rFonts w:asciiTheme="majorHAnsi" w:hAnsiTheme="majorHAnsi"/>
          <w:i/>
          <w:color w:val="000000"/>
        </w:rPr>
        <w:t>Mycological Research</w:t>
      </w:r>
      <w:r>
        <w:rPr>
          <w:rFonts w:asciiTheme="majorHAnsi" w:hAnsiTheme="majorHAnsi"/>
        </w:rPr>
        <w:t>, 110: 1323–1332.</w:t>
      </w:r>
    </w:p>
    <w:p w:rsidR="00C74066" w:rsidRDefault="00F10705">
      <w:pPr>
        <w:autoSpaceDE w:val="0"/>
        <w:autoSpaceDN w:val="0"/>
        <w:adjustRightInd w:val="0"/>
        <w:spacing w:before="120" w:after="120" w:line="271" w:lineRule="auto"/>
        <w:rPr>
          <w:rFonts w:asciiTheme="majorHAnsi" w:hAnsiTheme="majorHAnsi"/>
          <w:color w:val="000000"/>
        </w:rPr>
      </w:pPr>
      <w:r>
        <w:rPr>
          <w:rFonts w:asciiTheme="majorHAnsi" w:hAnsiTheme="majorHAnsi"/>
          <w:color w:val="000000"/>
        </w:rPr>
        <w:t>Mostowfizadeh-Ghalamfarsa, R, Banihashemi, Z</w:t>
      </w:r>
      <w:r>
        <w:rPr>
          <w:rFonts w:asciiTheme="majorHAnsi" w:hAnsiTheme="majorHAnsi"/>
        </w:rPr>
        <w:t xml:space="preserve"> &amp;</w:t>
      </w:r>
      <w:r>
        <w:rPr>
          <w:rFonts w:asciiTheme="majorHAnsi" w:hAnsiTheme="majorHAnsi"/>
          <w:color w:val="000000"/>
        </w:rPr>
        <w:t xml:space="preserve"> Cooke, DEL 2008</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i/>
          <w:color w:val="000000"/>
        </w:rPr>
        <w:t>Phytophthora parsiana</w:t>
      </w:r>
      <w:r>
        <w:rPr>
          <w:rFonts w:asciiTheme="majorHAnsi" w:hAnsiTheme="majorHAnsi"/>
          <w:color w:val="000000"/>
        </w:rPr>
        <w:t xml:space="preserve"> sp.</w:t>
      </w:r>
      <w:r>
        <w:rPr>
          <w:rFonts w:asciiTheme="majorHAnsi" w:hAnsiTheme="majorHAnsi"/>
          <w:i/>
          <w:color w:val="000000"/>
        </w:rPr>
        <w:t xml:space="preserve"> nov</w:t>
      </w:r>
      <w:r>
        <w:rPr>
          <w:rFonts w:asciiTheme="majorHAnsi" w:hAnsiTheme="majorHAnsi"/>
          <w:color w:val="000000"/>
        </w:rPr>
        <w:t>., a new high-temperature tolerant species</w:t>
      </w:r>
      <w:r>
        <w:rPr>
          <w:rFonts w:asciiTheme="majorHAnsi" w:hAnsiTheme="majorHAnsi"/>
        </w:rPr>
        <w:t xml:space="preserve">’, </w:t>
      </w:r>
      <w:r>
        <w:rPr>
          <w:rFonts w:asciiTheme="majorHAnsi" w:hAnsiTheme="majorHAnsi"/>
          <w:i/>
          <w:color w:val="000000"/>
        </w:rPr>
        <w:t>Mycological Research</w:t>
      </w:r>
      <w:r>
        <w:rPr>
          <w:rFonts w:asciiTheme="majorHAnsi" w:hAnsiTheme="majorHAnsi"/>
        </w:rPr>
        <w:t>,</w:t>
      </w:r>
      <w:r>
        <w:rPr>
          <w:rFonts w:asciiTheme="majorHAnsi" w:hAnsiTheme="majorHAnsi"/>
          <w:color w:val="000000"/>
        </w:rPr>
        <w:t xml:space="preserve"> 112: 783 –794. </w:t>
      </w:r>
    </w:p>
    <w:p w:rsidR="00C74066" w:rsidRDefault="00F10705">
      <w:pPr>
        <w:autoSpaceDE w:val="0"/>
        <w:autoSpaceDN w:val="0"/>
        <w:adjustRightInd w:val="0"/>
        <w:spacing w:before="120" w:after="120" w:line="271" w:lineRule="auto"/>
        <w:rPr>
          <w:rFonts w:asciiTheme="majorHAnsi" w:hAnsiTheme="majorHAnsi"/>
          <w:color w:val="000000"/>
        </w:rPr>
      </w:pPr>
      <w:r>
        <w:rPr>
          <w:rFonts w:asciiTheme="majorHAnsi" w:hAnsiTheme="majorHAnsi"/>
          <w:color w:val="000000"/>
        </w:rPr>
        <w:t>Murphy</w:t>
      </w:r>
      <w:r>
        <w:rPr>
          <w:rFonts w:asciiTheme="majorHAnsi" w:hAnsiTheme="majorHAnsi"/>
        </w:rPr>
        <w:t>,</w:t>
      </w:r>
      <w:r>
        <w:rPr>
          <w:rFonts w:asciiTheme="majorHAnsi" w:hAnsiTheme="majorHAnsi"/>
          <w:color w:val="000000"/>
        </w:rPr>
        <w:t xml:space="preserve"> SK</w:t>
      </w:r>
      <w:r>
        <w:rPr>
          <w:rFonts w:asciiTheme="majorHAnsi" w:hAnsiTheme="majorHAnsi"/>
        </w:rPr>
        <w:t xml:space="preserve"> &amp;</w:t>
      </w:r>
      <w:r>
        <w:rPr>
          <w:rFonts w:asciiTheme="majorHAnsi" w:hAnsiTheme="majorHAnsi"/>
          <w:color w:val="000000"/>
        </w:rPr>
        <w:t xml:space="preserve"> Rizzo</w:t>
      </w:r>
      <w:r>
        <w:rPr>
          <w:rFonts w:asciiTheme="majorHAnsi" w:hAnsiTheme="majorHAnsi"/>
        </w:rPr>
        <w:t>,</w:t>
      </w:r>
      <w:r>
        <w:rPr>
          <w:rFonts w:asciiTheme="majorHAnsi" w:hAnsiTheme="majorHAnsi"/>
          <w:color w:val="000000"/>
        </w:rPr>
        <w:t xml:space="preserve"> DM 2003 </w:t>
      </w:r>
      <w:r>
        <w:rPr>
          <w:rFonts w:asciiTheme="majorHAnsi" w:hAnsiTheme="majorHAnsi"/>
        </w:rPr>
        <w:t>‘</w:t>
      </w:r>
      <w:r>
        <w:rPr>
          <w:rFonts w:asciiTheme="majorHAnsi" w:hAnsiTheme="majorHAnsi"/>
          <w:color w:val="000000"/>
        </w:rPr>
        <w:t xml:space="preserve">First report of </w:t>
      </w:r>
      <w:r>
        <w:rPr>
          <w:rFonts w:asciiTheme="majorHAnsi" w:hAnsiTheme="majorHAnsi"/>
          <w:i/>
        </w:rPr>
        <w:t>Phytophthora ramorum</w:t>
      </w:r>
      <w:r>
        <w:rPr>
          <w:rFonts w:asciiTheme="majorHAnsi" w:hAnsiTheme="majorHAnsi"/>
          <w:color w:val="000000"/>
        </w:rPr>
        <w:t xml:space="preserve"> on canyon live oak in California</w:t>
      </w:r>
      <w:r>
        <w:rPr>
          <w:rFonts w:asciiTheme="majorHAnsi" w:hAnsiTheme="majorHAnsi"/>
        </w:rPr>
        <w:t xml:space="preserve">’, </w:t>
      </w:r>
      <w:r>
        <w:rPr>
          <w:rFonts w:asciiTheme="majorHAnsi" w:hAnsiTheme="majorHAnsi"/>
          <w:i/>
        </w:rPr>
        <w:t>Plant Disease</w:t>
      </w:r>
      <w:r>
        <w:rPr>
          <w:rFonts w:asciiTheme="majorHAnsi" w:hAnsiTheme="majorHAnsi"/>
        </w:rPr>
        <w:t>,</w:t>
      </w:r>
      <w:r>
        <w:rPr>
          <w:rFonts w:asciiTheme="majorHAnsi" w:hAnsiTheme="majorHAnsi"/>
          <w:color w:val="000000"/>
        </w:rPr>
        <w:t xml:space="preserve"> 87: 315.</w:t>
      </w:r>
    </w:p>
    <w:p w:rsidR="00C74066" w:rsidRDefault="00F10705">
      <w:pPr>
        <w:autoSpaceDE w:val="0"/>
        <w:autoSpaceDN w:val="0"/>
        <w:adjustRightInd w:val="0"/>
        <w:spacing w:before="120" w:after="120" w:line="271" w:lineRule="auto"/>
        <w:rPr>
          <w:rFonts w:asciiTheme="majorHAnsi" w:hAnsiTheme="majorHAnsi"/>
          <w:color w:val="000000"/>
        </w:rPr>
      </w:pPr>
      <w:r>
        <w:rPr>
          <w:rFonts w:asciiTheme="majorHAnsi" w:hAnsiTheme="majorHAnsi"/>
          <w:color w:val="000000"/>
        </w:rPr>
        <w:t>Murphy</w:t>
      </w:r>
      <w:r>
        <w:rPr>
          <w:rFonts w:asciiTheme="majorHAnsi" w:hAnsiTheme="majorHAnsi"/>
        </w:rPr>
        <w:t>,</w:t>
      </w:r>
      <w:r>
        <w:rPr>
          <w:rFonts w:asciiTheme="majorHAnsi" w:hAnsiTheme="majorHAnsi"/>
          <w:color w:val="000000"/>
        </w:rPr>
        <w:t xml:space="preserve"> SK</w:t>
      </w:r>
      <w:r>
        <w:rPr>
          <w:rFonts w:asciiTheme="majorHAnsi" w:hAnsiTheme="majorHAnsi"/>
        </w:rPr>
        <w:t xml:space="preserve"> &amp;</w:t>
      </w:r>
      <w:r>
        <w:rPr>
          <w:rFonts w:asciiTheme="majorHAnsi" w:hAnsiTheme="majorHAnsi"/>
          <w:color w:val="000000"/>
        </w:rPr>
        <w:t xml:space="preserve"> Rizzo</w:t>
      </w:r>
      <w:r>
        <w:rPr>
          <w:rFonts w:asciiTheme="majorHAnsi" w:hAnsiTheme="majorHAnsi"/>
        </w:rPr>
        <w:t>,</w:t>
      </w:r>
      <w:r>
        <w:rPr>
          <w:rFonts w:asciiTheme="majorHAnsi" w:hAnsiTheme="majorHAnsi"/>
          <w:color w:val="000000"/>
        </w:rPr>
        <w:t xml:space="preserve"> DM 2005</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 xml:space="preserve">Incidence of </w:t>
      </w:r>
      <w:r>
        <w:rPr>
          <w:rFonts w:asciiTheme="majorHAnsi" w:hAnsiTheme="majorHAnsi"/>
          <w:i/>
        </w:rPr>
        <w:t>Phytophthora ramorum</w:t>
      </w:r>
      <w:r>
        <w:rPr>
          <w:rFonts w:asciiTheme="majorHAnsi" w:hAnsiTheme="majorHAnsi"/>
          <w:color w:val="000000"/>
        </w:rPr>
        <w:t xml:space="preserve">, </w:t>
      </w:r>
      <w:r>
        <w:rPr>
          <w:rFonts w:asciiTheme="majorHAnsi" w:hAnsiTheme="majorHAnsi"/>
          <w:i/>
          <w:color w:val="000000"/>
        </w:rPr>
        <w:t>P. nemorosa</w:t>
      </w:r>
      <w:r>
        <w:rPr>
          <w:rFonts w:asciiTheme="majorHAnsi" w:hAnsiTheme="majorHAnsi"/>
          <w:color w:val="000000"/>
        </w:rPr>
        <w:t xml:space="preserve"> and </w:t>
      </w:r>
      <w:r>
        <w:rPr>
          <w:rFonts w:asciiTheme="majorHAnsi" w:hAnsiTheme="majorHAnsi"/>
          <w:i/>
          <w:color w:val="000000"/>
        </w:rPr>
        <w:t>P</w:t>
      </w:r>
      <w:r w:rsidR="002265E8">
        <w:rPr>
          <w:rFonts w:asciiTheme="majorHAnsi" w:hAnsiTheme="majorHAnsi"/>
          <w:i/>
          <w:color w:val="000000"/>
        </w:rPr>
        <w:t>. </w:t>
      </w:r>
      <w:r>
        <w:rPr>
          <w:rFonts w:asciiTheme="majorHAnsi" w:hAnsiTheme="majorHAnsi"/>
          <w:i/>
          <w:color w:val="000000"/>
        </w:rPr>
        <w:t>pseudosyringae</w:t>
      </w:r>
      <w:r>
        <w:rPr>
          <w:rFonts w:asciiTheme="majorHAnsi" w:hAnsiTheme="majorHAnsi"/>
          <w:color w:val="000000"/>
        </w:rPr>
        <w:t xml:space="preserve"> in three coastal California forest communities</w:t>
      </w:r>
      <w:r>
        <w:rPr>
          <w:rFonts w:asciiTheme="majorHAnsi" w:hAnsiTheme="majorHAnsi"/>
        </w:rPr>
        <w:t xml:space="preserve">’, </w:t>
      </w:r>
      <w:r>
        <w:rPr>
          <w:rFonts w:asciiTheme="majorHAnsi" w:hAnsiTheme="majorHAnsi"/>
          <w:i/>
        </w:rPr>
        <w:t>Proceedings of the Second Sudden Oak Death Science Symposium</w:t>
      </w:r>
      <w:r>
        <w:rPr>
          <w:rFonts w:asciiTheme="majorHAnsi" w:hAnsiTheme="majorHAnsi"/>
          <w:color w:val="000000"/>
        </w:rPr>
        <w:t>, Gen</w:t>
      </w:r>
      <w:r>
        <w:rPr>
          <w:rFonts w:asciiTheme="majorHAnsi" w:hAnsiTheme="majorHAnsi"/>
        </w:rPr>
        <w:t xml:space="preserve">eral </w:t>
      </w:r>
      <w:r>
        <w:rPr>
          <w:rFonts w:asciiTheme="majorHAnsi" w:hAnsiTheme="majorHAnsi"/>
          <w:color w:val="000000"/>
        </w:rPr>
        <w:t>Tech</w:t>
      </w:r>
      <w:r>
        <w:rPr>
          <w:rFonts w:asciiTheme="majorHAnsi" w:hAnsiTheme="majorHAnsi"/>
        </w:rPr>
        <w:t xml:space="preserve">nical </w:t>
      </w:r>
      <w:r>
        <w:rPr>
          <w:rFonts w:asciiTheme="majorHAnsi" w:hAnsiTheme="majorHAnsi"/>
          <w:color w:val="000000"/>
        </w:rPr>
        <w:t>Rep</w:t>
      </w:r>
      <w:r>
        <w:rPr>
          <w:rFonts w:asciiTheme="majorHAnsi" w:hAnsiTheme="majorHAnsi"/>
        </w:rPr>
        <w:t>ort</w:t>
      </w:r>
      <w:r>
        <w:rPr>
          <w:rFonts w:asciiTheme="majorHAnsi" w:hAnsiTheme="majorHAnsi"/>
          <w:color w:val="000000"/>
        </w:rPr>
        <w:t xml:space="preserve"> PSW-197.</w:t>
      </w:r>
    </w:p>
    <w:p w:rsidR="00C74066" w:rsidRDefault="00F10705">
      <w:pPr>
        <w:autoSpaceDE w:val="0"/>
        <w:autoSpaceDN w:val="0"/>
        <w:adjustRightInd w:val="0"/>
        <w:spacing w:before="120" w:after="120" w:line="271" w:lineRule="auto"/>
        <w:rPr>
          <w:rFonts w:asciiTheme="majorHAnsi" w:hAnsiTheme="majorHAnsi"/>
          <w:color w:val="000000"/>
        </w:rPr>
      </w:pPr>
      <w:r>
        <w:rPr>
          <w:rFonts w:asciiTheme="majorHAnsi" w:hAnsiTheme="majorHAnsi"/>
          <w:color w:val="000000"/>
        </w:rPr>
        <w:t>Murphy</w:t>
      </w:r>
      <w:r>
        <w:rPr>
          <w:rFonts w:asciiTheme="majorHAnsi" w:hAnsiTheme="majorHAnsi"/>
        </w:rPr>
        <w:t>,</w:t>
      </w:r>
      <w:r>
        <w:rPr>
          <w:rFonts w:asciiTheme="majorHAnsi" w:hAnsiTheme="majorHAnsi"/>
          <w:color w:val="000000"/>
        </w:rPr>
        <w:t xml:space="preserve"> SK</w:t>
      </w:r>
      <w:r>
        <w:rPr>
          <w:rFonts w:asciiTheme="majorHAnsi" w:hAnsiTheme="majorHAnsi"/>
        </w:rPr>
        <w:t xml:space="preserve"> &amp;</w:t>
      </w:r>
      <w:r>
        <w:rPr>
          <w:rFonts w:asciiTheme="majorHAnsi" w:hAnsiTheme="majorHAnsi"/>
          <w:color w:val="000000"/>
        </w:rPr>
        <w:t xml:space="preserve"> Rizzo</w:t>
      </w:r>
      <w:r>
        <w:rPr>
          <w:rFonts w:asciiTheme="majorHAnsi" w:hAnsiTheme="majorHAnsi"/>
        </w:rPr>
        <w:t>,</w:t>
      </w:r>
      <w:r>
        <w:rPr>
          <w:rFonts w:asciiTheme="majorHAnsi" w:hAnsiTheme="majorHAnsi"/>
          <w:color w:val="000000"/>
        </w:rPr>
        <w:t xml:space="preserve"> DM 2006</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 xml:space="preserve">Incidence of </w:t>
      </w:r>
      <w:r>
        <w:rPr>
          <w:rFonts w:asciiTheme="majorHAnsi" w:hAnsiTheme="majorHAnsi"/>
          <w:i/>
        </w:rPr>
        <w:t>Phytophthora ramorum</w:t>
      </w:r>
      <w:r>
        <w:rPr>
          <w:rFonts w:asciiTheme="majorHAnsi" w:hAnsiTheme="majorHAnsi"/>
          <w:color w:val="000000"/>
        </w:rPr>
        <w:t xml:space="preserve">, </w:t>
      </w:r>
      <w:r>
        <w:rPr>
          <w:rFonts w:asciiTheme="majorHAnsi" w:hAnsiTheme="majorHAnsi"/>
          <w:i/>
          <w:color w:val="000000"/>
        </w:rPr>
        <w:t>P. nemorosa</w:t>
      </w:r>
      <w:r>
        <w:rPr>
          <w:rFonts w:asciiTheme="majorHAnsi" w:hAnsiTheme="majorHAnsi"/>
          <w:color w:val="000000"/>
        </w:rPr>
        <w:t xml:space="preserve"> and </w:t>
      </w:r>
      <w:r>
        <w:rPr>
          <w:rFonts w:asciiTheme="majorHAnsi" w:hAnsiTheme="majorHAnsi"/>
          <w:i/>
          <w:color w:val="000000"/>
        </w:rPr>
        <w:t>P.</w:t>
      </w:r>
      <w:r w:rsidR="002265E8">
        <w:rPr>
          <w:rFonts w:asciiTheme="majorHAnsi" w:hAnsiTheme="majorHAnsi"/>
          <w:i/>
          <w:color w:val="000000"/>
        </w:rPr>
        <w:t> </w:t>
      </w:r>
      <w:r>
        <w:rPr>
          <w:rFonts w:asciiTheme="majorHAnsi" w:hAnsiTheme="majorHAnsi"/>
          <w:i/>
          <w:color w:val="000000"/>
        </w:rPr>
        <w:t xml:space="preserve">pseudosyringae </w:t>
      </w:r>
      <w:r>
        <w:rPr>
          <w:rFonts w:asciiTheme="majorHAnsi" w:hAnsiTheme="majorHAnsi"/>
          <w:color w:val="000000"/>
        </w:rPr>
        <w:t>in three coastal California forest communities</w:t>
      </w:r>
      <w:r>
        <w:rPr>
          <w:rFonts w:asciiTheme="majorHAnsi" w:hAnsiTheme="majorHAnsi"/>
        </w:rPr>
        <w:t>’,</w:t>
      </w:r>
      <w:r>
        <w:rPr>
          <w:rFonts w:asciiTheme="majorHAnsi" w:hAnsiTheme="majorHAnsi"/>
          <w:color w:val="000000"/>
        </w:rPr>
        <w:t xml:space="preserve"> </w:t>
      </w:r>
      <w:r>
        <w:rPr>
          <w:rFonts w:asciiTheme="majorHAnsi" w:hAnsiTheme="majorHAnsi"/>
          <w:i/>
          <w:color w:val="000000"/>
        </w:rPr>
        <w:t>Proceedings of the Sudden Oak Death Second Science Symposium: The State of Our Knowledge</w:t>
      </w:r>
      <w:r>
        <w:rPr>
          <w:rFonts w:asciiTheme="majorHAnsi" w:hAnsiTheme="majorHAnsi"/>
        </w:rPr>
        <w:t xml:space="preserve">, </w:t>
      </w:r>
      <w:r>
        <w:rPr>
          <w:rFonts w:asciiTheme="majorHAnsi" w:hAnsiTheme="majorHAnsi"/>
          <w:color w:val="000000"/>
        </w:rPr>
        <w:t>Gen</w:t>
      </w:r>
      <w:r>
        <w:rPr>
          <w:rFonts w:asciiTheme="majorHAnsi" w:hAnsiTheme="majorHAnsi"/>
        </w:rPr>
        <w:t xml:space="preserve">eral technical report </w:t>
      </w:r>
      <w:r>
        <w:rPr>
          <w:rFonts w:asciiTheme="majorHAnsi" w:hAnsiTheme="majorHAnsi"/>
          <w:color w:val="000000"/>
        </w:rPr>
        <w:t>PSW-GTR-196</w:t>
      </w:r>
      <w:r>
        <w:rPr>
          <w:rFonts w:asciiTheme="majorHAnsi" w:hAnsiTheme="majorHAnsi"/>
        </w:rPr>
        <w:t xml:space="preserve">, </w:t>
      </w:r>
      <w:r>
        <w:rPr>
          <w:rFonts w:asciiTheme="majorHAnsi" w:hAnsiTheme="majorHAnsi"/>
          <w:color w:val="000000"/>
        </w:rPr>
        <w:t>69–71.</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lastRenderedPageBreak/>
        <w:t xml:space="preserve">Murphy, SK, Bienapfl, J, Rizzo, DM, Valachovic, Y &amp; Lee, C 2006, ‘Monitoring </w:t>
      </w:r>
      <w:r>
        <w:rPr>
          <w:rFonts w:asciiTheme="majorHAnsi" w:hAnsiTheme="majorHAnsi"/>
          <w:i/>
        </w:rPr>
        <w:t>Phytophthora ramorum</w:t>
      </w:r>
      <w:r>
        <w:rPr>
          <w:rFonts w:asciiTheme="majorHAnsi" w:hAnsiTheme="majorHAnsi"/>
        </w:rPr>
        <w:t xml:space="preserve"> distribution in streams within Coastal California watersheds’ [Abstract], </w:t>
      </w:r>
      <w:r>
        <w:rPr>
          <w:rFonts w:asciiTheme="majorHAnsi" w:hAnsiTheme="majorHAnsi"/>
          <w:i/>
          <w:color w:val="000000"/>
        </w:rPr>
        <w:t>Sudden Oak Death Second Science Symposium:</w:t>
      </w:r>
      <w:r>
        <w:rPr>
          <w:rFonts w:asciiTheme="majorHAnsi" w:hAnsiTheme="majorHAnsi"/>
        </w:rPr>
        <w:t xml:space="preserve"> </w:t>
      </w:r>
      <w:r>
        <w:rPr>
          <w:rFonts w:asciiTheme="majorHAnsi" w:hAnsiTheme="majorHAnsi"/>
          <w:i/>
          <w:color w:val="000000"/>
        </w:rPr>
        <w:t>The State of Our Knowledge</w:t>
      </w:r>
      <w:r>
        <w:rPr>
          <w:rFonts w:asciiTheme="majorHAnsi" w:hAnsiTheme="majorHAnsi"/>
          <w:color w:val="000000"/>
        </w:rPr>
        <w:t xml:space="preserve">, </w:t>
      </w:r>
      <w:r>
        <w:rPr>
          <w:rFonts w:asciiTheme="majorHAnsi" w:hAnsiTheme="majorHAnsi"/>
        </w:rPr>
        <w:t>531.</w:t>
      </w:r>
    </w:p>
    <w:p w:rsidR="00C74066" w:rsidRDefault="00F10705">
      <w:pPr>
        <w:autoSpaceDE w:val="0"/>
        <w:autoSpaceDN w:val="0"/>
        <w:adjustRightInd w:val="0"/>
        <w:spacing w:before="120" w:after="120" w:line="271" w:lineRule="auto"/>
        <w:rPr>
          <w:rFonts w:asciiTheme="majorHAnsi" w:hAnsiTheme="majorHAnsi"/>
          <w:color w:val="000000"/>
        </w:rPr>
      </w:pPr>
      <w:r>
        <w:rPr>
          <w:rFonts w:asciiTheme="majorHAnsi" w:hAnsiTheme="majorHAnsi"/>
          <w:color w:val="000000"/>
        </w:rPr>
        <w:t>Murphy</w:t>
      </w:r>
      <w:r>
        <w:rPr>
          <w:rFonts w:asciiTheme="majorHAnsi" w:hAnsiTheme="majorHAnsi"/>
        </w:rPr>
        <w:t>,</w:t>
      </w:r>
      <w:r>
        <w:rPr>
          <w:rFonts w:asciiTheme="majorHAnsi" w:hAnsiTheme="majorHAnsi"/>
          <w:color w:val="000000"/>
        </w:rPr>
        <w:t xml:space="preserve"> SK, Wickland</w:t>
      </w:r>
      <w:r>
        <w:rPr>
          <w:rFonts w:asciiTheme="majorHAnsi" w:hAnsiTheme="majorHAnsi"/>
        </w:rPr>
        <w:t>,</w:t>
      </w:r>
      <w:r>
        <w:rPr>
          <w:rFonts w:asciiTheme="majorHAnsi" w:hAnsiTheme="majorHAnsi"/>
          <w:color w:val="000000"/>
        </w:rPr>
        <w:t xml:space="preserve"> AC, Lynch</w:t>
      </w:r>
      <w:r>
        <w:rPr>
          <w:rFonts w:asciiTheme="majorHAnsi" w:hAnsiTheme="majorHAnsi"/>
        </w:rPr>
        <w:t>,</w:t>
      </w:r>
      <w:r>
        <w:rPr>
          <w:rFonts w:asciiTheme="majorHAnsi" w:hAnsiTheme="majorHAnsi"/>
          <w:color w:val="000000"/>
        </w:rPr>
        <w:t xml:space="preserve"> SC, Jensen</w:t>
      </w:r>
      <w:r>
        <w:rPr>
          <w:rFonts w:asciiTheme="majorHAnsi" w:hAnsiTheme="majorHAnsi"/>
        </w:rPr>
        <w:t>,</w:t>
      </w:r>
      <w:r>
        <w:rPr>
          <w:rFonts w:asciiTheme="majorHAnsi" w:hAnsiTheme="majorHAnsi"/>
          <w:color w:val="000000"/>
        </w:rPr>
        <w:t xml:space="preserve"> CE, Maloney</w:t>
      </w:r>
      <w:r>
        <w:rPr>
          <w:rFonts w:asciiTheme="majorHAnsi" w:hAnsiTheme="majorHAnsi"/>
        </w:rPr>
        <w:t>,</w:t>
      </w:r>
      <w:r>
        <w:rPr>
          <w:rFonts w:asciiTheme="majorHAnsi" w:hAnsiTheme="majorHAnsi"/>
          <w:color w:val="000000"/>
        </w:rPr>
        <w:t xml:space="preserve"> PE</w:t>
      </w:r>
      <w:r>
        <w:rPr>
          <w:rFonts w:asciiTheme="majorHAnsi" w:hAnsiTheme="majorHAnsi"/>
        </w:rPr>
        <w:t xml:space="preserve"> &amp;</w:t>
      </w:r>
      <w:r>
        <w:rPr>
          <w:rFonts w:asciiTheme="majorHAnsi" w:hAnsiTheme="majorHAnsi"/>
          <w:color w:val="000000"/>
        </w:rPr>
        <w:t xml:space="preserve"> Rizzo</w:t>
      </w:r>
      <w:r>
        <w:rPr>
          <w:rFonts w:asciiTheme="majorHAnsi" w:hAnsiTheme="majorHAnsi"/>
        </w:rPr>
        <w:t>,</w:t>
      </w:r>
      <w:r>
        <w:rPr>
          <w:rFonts w:asciiTheme="majorHAnsi" w:hAnsiTheme="majorHAnsi"/>
          <w:color w:val="000000"/>
        </w:rPr>
        <w:t xml:space="preserve"> DM 2008</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 xml:space="preserve">Distribution of </w:t>
      </w:r>
      <w:r>
        <w:rPr>
          <w:rFonts w:asciiTheme="majorHAnsi" w:hAnsiTheme="majorHAnsi"/>
          <w:i/>
        </w:rPr>
        <w:t>Phytophthora ramorum</w:t>
      </w:r>
      <w:r>
        <w:rPr>
          <w:rFonts w:asciiTheme="majorHAnsi" w:hAnsiTheme="majorHAnsi"/>
          <w:color w:val="000000"/>
        </w:rPr>
        <w:t xml:space="preserve">, </w:t>
      </w:r>
      <w:r>
        <w:rPr>
          <w:rFonts w:asciiTheme="majorHAnsi" w:hAnsiTheme="majorHAnsi"/>
          <w:i/>
          <w:color w:val="000000"/>
        </w:rPr>
        <w:t>P. nemorosa</w:t>
      </w:r>
      <w:r>
        <w:rPr>
          <w:rFonts w:asciiTheme="majorHAnsi" w:hAnsiTheme="majorHAnsi"/>
          <w:color w:val="000000"/>
        </w:rPr>
        <w:t xml:space="preserve"> and</w:t>
      </w:r>
      <w:r>
        <w:rPr>
          <w:rFonts w:asciiTheme="majorHAnsi" w:hAnsiTheme="majorHAnsi"/>
          <w:i/>
          <w:color w:val="000000"/>
        </w:rPr>
        <w:t xml:space="preserve"> P. pseudosyringae</w:t>
      </w:r>
      <w:r>
        <w:rPr>
          <w:rFonts w:asciiTheme="majorHAnsi" w:hAnsiTheme="majorHAnsi"/>
          <w:color w:val="000000"/>
        </w:rPr>
        <w:t xml:space="preserve"> in Native Coastal California Forest Communities</w:t>
      </w:r>
      <w:r>
        <w:rPr>
          <w:rFonts w:asciiTheme="majorHAnsi" w:hAnsiTheme="majorHAnsi"/>
        </w:rPr>
        <w:t xml:space="preserve">’, </w:t>
      </w:r>
      <w:r>
        <w:rPr>
          <w:rFonts w:asciiTheme="majorHAnsi" w:hAnsiTheme="majorHAnsi"/>
          <w:i/>
          <w:color w:val="000000"/>
        </w:rPr>
        <w:t>Proceedings of the Sudden Oak Death Third Science Symposium</w:t>
      </w:r>
      <w:r>
        <w:rPr>
          <w:rFonts w:asciiTheme="majorHAnsi" w:hAnsiTheme="majorHAnsi"/>
          <w:color w:val="000000"/>
        </w:rPr>
        <w:t>,</w:t>
      </w:r>
      <w:r>
        <w:rPr>
          <w:rFonts w:asciiTheme="majorHAnsi" w:hAnsiTheme="majorHAnsi"/>
          <w:i/>
          <w:color w:val="000000"/>
        </w:rPr>
        <w:t xml:space="preserve"> </w:t>
      </w:r>
      <w:r>
        <w:rPr>
          <w:rFonts w:asciiTheme="majorHAnsi" w:hAnsiTheme="majorHAnsi"/>
          <w:color w:val="000000"/>
        </w:rPr>
        <w:t>51</w:t>
      </w:r>
      <w:r>
        <w:rPr>
          <w:rFonts w:asciiTheme="majorHAnsi" w:hAnsiTheme="majorHAnsi"/>
        </w:rPr>
        <w:t>–</w:t>
      </w:r>
      <w:r>
        <w:rPr>
          <w:rFonts w:asciiTheme="majorHAnsi" w:hAnsiTheme="majorHAnsi"/>
          <w:color w:val="000000"/>
        </w:rPr>
        <w:t>54</w:t>
      </w:r>
      <w:r>
        <w:rPr>
          <w:rFonts w:asciiTheme="majorHAnsi" w:hAnsiTheme="majorHAnsi"/>
        </w:rPr>
        <w:t>.</w:t>
      </w:r>
    </w:p>
    <w:p w:rsidR="00C74066" w:rsidRDefault="00F10705">
      <w:pPr>
        <w:autoSpaceDE w:val="0"/>
        <w:autoSpaceDN w:val="0"/>
        <w:adjustRightInd w:val="0"/>
        <w:spacing w:before="120" w:after="120" w:line="271" w:lineRule="auto"/>
        <w:rPr>
          <w:rFonts w:asciiTheme="majorHAnsi" w:hAnsiTheme="majorHAnsi"/>
          <w:color w:val="000000"/>
        </w:rPr>
      </w:pPr>
      <w:r>
        <w:rPr>
          <w:rFonts w:asciiTheme="majorHAnsi" w:hAnsiTheme="majorHAnsi"/>
          <w:color w:val="000000"/>
        </w:rPr>
        <w:t>NAPPO (North American Plant Protection Organisation) 2003, ‘</w:t>
      </w:r>
      <w:r>
        <w:rPr>
          <w:rFonts w:asciiTheme="majorHAnsi" w:hAnsiTheme="majorHAnsi"/>
          <w:i/>
          <w:color w:val="000000"/>
        </w:rPr>
        <w:t xml:space="preserve">NAPPO position on soil movement’, </w:t>
      </w:r>
      <w:r>
        <w:rPr>
          <w:rFonts w:asciiTheme="majorHAnsi" w:hAnsiTheme="majorHAnsi"/>
          <w:color w:val="000000"/>
        </w:rPr>
        <w:t xml:space="preserve">accessed June 2014, </w:t>
      </w:r>
      <w:r>
        <w:rPr>
          <w:rFonts w:asciiTheme="majorHAnsi" w:hAnsiTheme="majorHAnsi"/>
        </w:rPr>
        <w:t>nappo.org/en/data/files/download/Positions percent20and percent20Decisions/PNo.1-Soil percent20Movement-e.pdf</w:t>
      </w:r>
      <w:r>
        <w:rPr>
          <w:rFonts w:asciiTheme="majorHAnsi" w:hAnsiTheme="majorHAnsi"/>
          <w:color w:val="000000"/>
        </w:rPr>
        <w:t xml:space="preserve">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t xml:space="preserve">NAPPO </w:t>
      </w:r>
      <w:r>
        <w:rPr>
          <w:rFonts w:asciiTheme="majorHAnsi" w:hAnsiTheme="majorHAnsi"/>
        </w:rPr>
        <w:t xml:space="preserve">(North American Plant Protection Organisation) </w:t>
      </w:r>
      <w:r>
        <w:rPr>
          <w:rFonts w:asciiTheme="majorHAnsi" w:hAnsiTheme="majorHAnsi"/>
          <w:color w:val="000000"/>
        </w:rPr>
        <w:t>2006</w:t>
      </w:r>
      <w:r>
        <w:rPr>
          <w:rFonts w:asciiTheme="majorHAnsi" w:hAnsiTheme="majorHAnsi"/>
        </w:rPr>
        <w:t>, ‘</w:t>
      </w:r>
      <w:r>
        <w:rPr>
          <w:rFonts w:asciiTheme="majorHAnsi" w:hAnsiTheme="majorHAnsi"/>
          <w:i/>
          <w:color w:val="000000"/>
        </w:rPr>
        <w:t>Phytophthora kernoviae</w:t>
      </w:r>
      <w:r>
        <w:rPr>
          <w:rFonts w:asciiTheme="majorHAnsi" w:hAnsiTheme="majorHAnsi"/>
          <w:color w:val="000000"/>
        </w:rPr>
        <w:t xml:space="preserve"> found for the first time in New Zealand</w:t>
      </w:r>
      <w:r>
        <w:rPr>
          <w:rFonts w:asciiTheme="majorHAnsi" w:hAnsiTheme="majorHAnsi"/>
        </w:rPr>
        <w:t xml:space="preserve">’, </w:t>
      </w:r>
      <w:r>
        <w:rPr>
          <w:rFonts w:asciiTheme="majorHAnsi" w:hAnsiTheme="majorHAnsi"/>
          <w:i/>
          <w:color w:val="000000"/>
        </w:rPr>
        <w:t>Pest Alert</w:t>
      </w:r>
      <w:r>
        <w:rPr>
          <w:rFonts w:asciiTheme="majorHAnsi" w:hAnsiTheme="majorHAnsi"/>
          <w:color w:val="000000"/>
        </w:rPr>
        <w:t xml:space="preserve">, </w:t>
      </w:r>
      <w:r>
        <w:rPr>
          <w:rFonts w:asciiTheme="majorHAnsi" w:hAnsiTheme="majorHAnsi"/>
        </w:rPr>
        <w:t>pestalert.org.</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t>Noble, R</w:t>
      </w:r>
      <w:r>
        <w:rPr>
          <w:rFonts w:asciiTheme="majorHAnsi" w:hAnsiTheme="majorHAnsi"/>
        </w:rPr>
        <w:t xml:space="preserve"> &amp;</w:t>
      </w:r>
      <w:r>
        <w:rPr>
          <w:rFonts w:asciiTheme="majorHAnsi" w:hAnsiTheme="majorHAnsi"/>
          <w:color w:val="000000"/>
        </w:rPr>
        <w:t xml:space="preserve"> Roberts, SJ 2004, ‘Eradication of plant pathogens and nematodes during composting: a review’, </w:t>
      </w:r>
      <w:r>
        <w:rPr>
          <w:rFonts w:asciiTheme="majorHAnsi" w:hAnsiTheme="majorHAnsi"/>
          <w:i/>
          <w:color w:val="000000"/>
        </w:rPr>
        <w:t>Plant Pathology</w:t>
      </w:r>
      <w:r>
        <w:rPr>
          <w:rFonts w:asciiTheme="majorHAnsi" w:hAnsiTheme="majorHAnsi"/>
        </w:rPr>
        <w:t>,</w:t>
      </w:r>
      <w:r>
        <w:rPr>
          <w:rFonts w:asciiTheme="majorHAnsi" w:hAnsiTheme="majorHAnsi"/>
          <w:color w:val="000000"/>
        </w:rPr>
        <w:t xml:space="preserve"> 53</w:t>
      </w:r>
      <w:r>
        <w:rPr>
          <w:rFonts w:asciiTheme="majorHAnsi" w:hAnsiTheme="majorHAnsi"/>
        </w:rPr>
        <w:t xml:space="preserve">: </w:t>
      </w:r>
      <w:r>
        <w:rPr>
          <w:rFonts w:asciiTheme="majorHAnsi" w:hAnsiTheme="majorHAnsi"/>
          <w:color w:val="000000"/>
        </w:rPr>
        <w:t>548–568.</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t>Nogueira</w:t>
      </w:r>
      <w:r>
        <w:rPr>
          <w:rFonts w:asciiTheme="majorHAnsi" w:hAnsiTheme="majorHAnsi"/>
        </w:rPr>
        <w:t>,</w:t>
      </w:r>
      <w:r>
        <w:rPr>
          <w:rFonts w:asciiTheme="majorHAnsi" w:hAnsiTheme="majorHAnsi"/>
          <w:color w:val="000000"/>
        </w:rPr>
        <w:t xml:space="preserve"> MLB, </w:t>
      </w:r>
      <w:r>
        <w:rPr>
          <w:rFonts w:asciiTheme="majorHAnsi" w:hAnsiTheme="majorHAnsi"/>
        </w:rPr>
        <w:t xml:space="preserve">de </w:t>
      </w:r>
      <w:r>
        <w:rPr>
          <w:rFonts w:asciiTheme="majorHAnsi" w:hAnsiTheme="majorHAnsi"/>
          <w:color w:val="000000"/>
        </w:rPr>
        <w:t>Silva</w:t>
      </w:r>
      <w:r>
        <w:rPr>
          <w:rFonts w:asciiTheme="majorHAnsi" w:hAnsiTheme="majorHAnsi"/>
        </w:rPr>
        <w:t>,</w:t>
      </w:r>
      <w:r>
        <w:rPr>
          <w:rFonts w:asciiTheme="majorHAnsi" w:hAnsiTheme="majorHAnsi"/>
          <w:color w:val="000000"/>
        </w:rPr>
        <w:t xml:space="preserve"> PP</w:t>
      </w:r>
      <w:r>
        <w:rPr>
          <w:rFonts w:asciiTheme="majorHAnsi" w:hAnsiTheme="majorHAnsi"/>
        </w:rPr>
        <w:t xml:space="preserve"> &amp;</w:t>
      </w:r>
      <w:r>
        <w:rPr>
          <w:rFonts w:asciiTheme="majorHAnsi" w:hAnsiTheme="majorHAnsi"/>
          <w:color w:val="000000"/>
        </w:rPr>
        <w:t xml:space="preserve"> Bartnicki-Garcia</w:t>
      </w:r>
      <w:r>
        <w:rPr>
          <w:rFonts w:asciiTheme="majorHAnsi" w:hAnsiTheme="majorHAnsi"/>
        </w:rPr>
        <w:t>,</w:t>
      </w:r>
      <w:r>
        <w:rPr>
          <w:rFonts w:asciiTheme="majorHAnsi" w:hAnsiTheme="majorHAnsi"/>
          <w:color w:val="000000"/>
        </w:rPr>
        <w:t xml:space="preserve"> S 1977</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 xml:space="preserve">Membrane fusion during secretion: A hypothesis based on electron microscope observation of </w:t>
      </w:r>
      <w:r>
        <w:rPr>
          <w:rFonts w:asciiTheme="majorHAnsi" w:hAnsiTheme="majorHAnsi"/>
          <w:i/>
          <w:color w:val="000000"/>
        </w:rPr>
        <w:t>Phytophthora palmivora</w:t>
      </w:r>
      <w:r>
        <w:rPr>
          <w:rFonts w:asciiTheme="majorHAnsi" w:hAnsiTheme="majorHAnsi"/>
          <w:color w:val="000000"/>
        </w:rPr>
        <w:t xml:space="preserve"> zoospores during encystment</w:t>
      </w:r>
      <w:r>
        <w:rPr>
          <w:rFonts w:asciiTheme="majorHAnsi" w:hAnsiTheme="majorHAnsi"/>
        </w:rPr>
        <w:t xml:space="preserve">’, </w:t>
      </w:r>
      <w:r>
        <w:rPr>
          <w:rFonts w:asciiTheme="majorHAnsi" w:hAnsiTheme="majorHAnsi"/>
          <w:i/>
          <w:color w:val="000000"/>
        </w:rPr>
        <w:t>The Journal of Cell Biology</w:t>
      </w:r>
      <w:r>
        <w:rPr>
          <w:rFonts w:asciiTheme="majorHAnsi" w:hAnsiTheme="majorHAnsi"/>
        </w:rPr>
        <w:t>,</w:t>
      </w:r>
      <w:r>
        <w:rPr>
          <w:rFonts w:asciiTheme="majorHAnsi" w:hAnsiTheme="majorHAnsi"/>
          <w:color w:val="000000"/>
        </w:rPr>
        <w:t xml:space="preserve"> 73: 161</w:t>
      </w:r>
      <w:r>
        <w:rPr>
          <w:rFonts w:asciiTheme="majorHAnsi" w:hAnsiTheme="majorHAnsi"/>
        </w:rPr>
        <w:t>–</w:t>
      </w:r>
      <w:r>
        <w:rPr>
          <w:rFonts w:asciiTheme="majorHAnsi" w:hAnsiTheme="majorHAnsi"/>
          <w:color w:val="000000"/>
        </w:rPr>
        <w:t>181.</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t>O’Gara</w:t>
      </w:r>
      <w:r>
        <w:rPr>
          <w:rFonts w:asciiTheme="majorHAnsi" w:hAnsiTheme="majorHAnsi"/>
        </w:rPr>
        <w:t>,</w:t>
      </w:r>
      <w:r>
        <w:rPr>
          <w:rFonts w:asciiTheme="majorHAnsi" w:hAnsiTheme="majorHAnsi"/>
          <w:color w:val="000000"/>
        </w:rPr>
        <w:t xml:space="preserve"> E, Huberli</w:t>
      </w:r>
      <w:r>
        <w:rPr>
          <w:rFonts w:asciiTheme="majorHAnsi" w:hAnsiTheme="majorHAnsi"/>
        </w:rPr>
        <w:t>,</w:t>
      </w:r>
      <w:r>
        <w:rPr>
          <w:rFonts w:asciiTheme="majorHAnsi" w:hAnsiTheme="majorHAnsi"/>
          <w:color w:val="000000"/>
        </w:rPr>
        <w:t xml:space="preserve"> D</w:t>
      </w:r>
      <w:r>
        <w:rPr>
          <w:rFonts w:asciiTheme="majorHAnsi" w:hAnsiTheme="majorHAnsi"/>
        </w:rPr>
        <w:t xml:space="preserve"> &amp;</w:t>
      </w:r>
      <w:r>
        <w:rPr>
          <w:rFonts w:asciiTheme="majorHAnsi" w:hAnsiTheme="majorHAnsi"/>
          <w:color w:val="000000"/>
        </w:rPr>
        <w:t xml:space="preserve"> Hardy</w:t>
      </w:r>
      <w:r>
        <w:rPr>
          <w:rFonts w:asciiTheme="majorHAnsi" w:hAnsiTheme="majorHAnsi"/>
        </w:rPr>
        <w:t>,</w:t>
      </w:r>
      <w:r>
        <w:rPr>
          <w:rFonts w:asciiTheme="majorHAnsi" w:hAnsiTheme="majorHAnsi"/>
          <w:color w:val="000000"/>
        </w:rPr>
        <w:t xml:space="preserve"> G 2005</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i/>
        </w:rPr>
        <w:t>Phytophthora ramorum</w:t>
      </w:r>
      <w:r>
        <w:rPr>
          <w:rFonts w:asciiTheme="majorHAnsi" w:hAnsiTheme="majorHAnsi"/>
          <w:color w:val="000000"/>
        </w:rPr>
        <w:t>: a threat to Australia?</w:t>
      </w:r>
      <w:r>
        <w:rPr>
          <w:rFonts w:asciiTheme="majorHAnsi" w:hAnsiTheme="majorHAnsi"/>
        </w:rPr>
        <w:t xml:space="preserve">’, </w:t>
      </w:r>
      <w:r>
        <w:rPr>
          <w:rFonts w:asciiTheme="majorHAnsi" w:hAnsiTheme="majorHAnsi"/>
          <w:i/>
          <w:color w:val="000000"/>
        </w:rPr>
        <w:t>Australasian Plant Conservation</w:t>
      </w:r>
      <w:r>
        <w:rPr>
          <w:rFonts w:asciiTheme="majorHAnsi" w:hAnsiTheme="majorHAnsi"/>
        </w:rPr>
        <w:t>,</w:t>
      </w:r>
      <w:r>
        <w:rPr>
          <w:rFonts w:asciiTheme="majorHAnsi" w:hAnsiTheme="majorHAnsi"/>
          <w:color w:val="000000"/>
        </w:rPr>
        <w:t xml:space="preserve"> 13: 22</w:t>
      </w:r>
      <w:r>
        <w:rPr>
          <w:rFonts w:asciiTheme="majorHAnsi" w:hAnsiTheme="majorHAnsi"/>
        </w:rPr>
        <w:t>–</w:t>
      </w:r>
      <w:r>
        <w:rPr>
          <w:rFonts w:asciiTheme="majorHAnsi" w:hAnsiTheme="majorHAnsi"/>
          <w:color w:val="000000"/>
        </w:rPr>
        <w:t>24.</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t>Olejarski</w:t>
      </w:r>
      <w:r>
        <w:rPr>
          <w:rFonts w:asciiTheme="majorHAnsi" w:hAnsiTheme="majorHAnsi"/>
        </w:rPr>
        <w:t>,</w:t>
      </w:r>
      <w:r>
        <w:rPr>
          <w:rFonts w:asciiTheme="majorHAnsi" w:hAnsiTheme="majorHAnsi"/>
          <w:color w:val="000000"/>
        </w:rPr>
        <w:t xml:space="preserve"> I, Kubiak</w:t>
      </w:r>
      <w:r>
        <w:rPr>
          <w:rFonts w:asciiTheme="majorHAnsi" w:hAnsiTheme="majorHAnsi"/>
        </w:rPr>
        <w:t>,</w:t>
      </w:r>
      <w:r>
        <w:rPr>
          <w:rFonts w:asciiTheme="majorHAnsi" w:hAnsiTheme="majorHAnsi"/>
          <w:color w:val="000000"/>
        </w:rPr>
        <w:t xml:space="preserve"> K, Nowakowska</w:t>
      </w:r>
      <w:r>
        <w:rPr>
          <w:rFonts w:asciiTheme="majorHAnsi" w:hAnsiTheme="majorHAnsi"/>
        </w:rPr>
        <w:t>,</w:t>
      </w:r>
      <w:r>
        <w:rPr>
          <w:rFonts w:asciiTheme="majorHAnsi" w:hAnsiTheme="majorHAnsi"/>
          <w:color w:val="000000"/>
        </w:rPr>
        <w:t xml:space="preserve"> J, Jung</w:t>
      </w:r>
      <w:r>
        <w:rPr>
          <w:rFonts w:asciiTheme="majorHAnsi" w:hAnsiTheme="majorHAnsi"/>
        </w:rPr>
        <w:t>,</w:t>
      </w:r>
      <w:r>
        <w:rPr>
          <w:rFonts w:asciiTheme="majorHAnsi" w:hAnsiTheme="majorHAnsi"/>
          <w:color w:val="000000"/>
        </w:rPr>
        <w:t xml:space="preserve"> T</w:t>
      </w:r>
      <w:r>
        <w:rPr>
          <w:rFonts w:asciiTheme="majorHAnsi" w:hAnsiTheme="majorHAnsi"/>
        </w:rPr>
        <w:t xml:space="preserve"> &amp;</w:t>
      </w:r>
      <w:r>
        <w:rPr>
          <w:rFonts w:asciiTheme="majorHAnsi" w:hAnsiTheme="majorHAnsi"/>
          <w:color w:val="000000"/>
        </w:rPr>
        <w:t xml:space="preserve"> Oszako</w:t>
      </w:r>
      <w:r>
        <w:rPr>
          <w:rFonts w:asciiTheme="majorHAnsi" w:hAnsiTheme="majorHAnsi"/>
        </w:rPr>
        <w:t>,</w:t>
      </w:r>
      <w:r>
        <w:rPr>
          <w:rFonts w:asciiTheme="majorHAnsi" w:hAnsiTheme="majorHAnsi"/>
          <w:color w:val="000000"/>
        </w:rPr>
        <w:t xml:space="preserve"> T 2012</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 xml:space="preserve">The occurrence of </w:t>
      </w:r>
      <w:r>
        <w:rPr>
          <w:rFonts w:asciiTheme="majorHAnsi" w:hAnsiTheme="majorHAnsi"/>
          <w:i/>
          <w:color w:val="000000"/>
        </w:rPr>
        <w:t>Phytophthora</w:t>
      </w:r>
      <w:r>
        <w:rPr>
          <w:rFonts w:asciiTheme="majorHAnsi" w:hAnsiTheme="majorHAnsi"/>
          <w:color w:val="000000"/>
        </w:rPr>
        <w:t xml:space="preserve"> species in European Ecological Network NATURA 2000 in Poland</w:t>
      </w:r>
      <w:r>
        <w:rPr>
          <w:rFonts w:asciiTheme="majorHAnsi" w:hAnsiTheme="majorHAnsi"/>
        </w:rPr>
        <w:t>', In: ‘</w:t>
      </w:r>
      <w:r>
        <w:rPr>
          <w:rFonts w:asciiTheme="majorHAnsi" w:hAnsiTheme="majorHAnsi"/>
          <w:i/>
        </w:rPr>
        <w:t>Phytophthora</w:t>
      </w:r>
      <w:r>
        <w:rPr>
          <w:rFonts w:asciiTheme="majorHAnsi" w:hAnsiTheme="majorHAnsi"/>
        </w:rPr>
        <w:t xml:space="preserve"> in Forests and Natural Ecosystems’, </w:t>
      </w:r>
      <w:r>
        <w:rPr>
          <w:rFonts w:asciiTheme="majorHAnsi" w:hAnsiTheme="majorHAnsi"/>
          <w:i/>
          <w:color w:val="000000"/>
        </w:rPr>
        <w:t>The Sixth Meeting of the International Union of Forest Research Organizations IUFRO Working Party</w:t>
      </w:r>
      <w:r>
        <w:rPr>
          <w:rFonts w:asciiTheme="majorHAnsi" w:hAnsiTheme="majorHAnsi"/>
          <w:color w:val="000000"/>
        </w:rPr>
        <w:t xml:space="preserve"> </w:t>
      </w:r>
      <w:r>
        <w:rPr>
          <w:rFonts w:asciiTheme="majorHAnsi" w:hAnsiTheme="majorHAnsi"/>
        </w:rPr>
        <w:t>[</w:t>
      </w:r>
      <w:r>
        <w:rPr>
          <w:rFonts w:asciiTheme="majorHAnsi" w:hAnsiTheme="majorHAnsi"/>
          <w:color w:val="000000"/>
        </w:rPr>
        <w:t>Meeting abstracts</w:t>
      </w:r>
      <w:r>
        <w:rPr>
          <w:rFonts w:asciiTheme="majorHAnsi" w:hAnsiTheme="majorHAnsi"/>
        </w:rPr>
        <w:t>],</w:t>
      </w:r>
      <w:r>
        <w:rPr>
          <w:rFonts w:asciiTheme="majorHAnsi" w:hAnsiTheme="majorHAnsi"/>
          <w:color w:val="000000"/>
        </w:rPr>
        <w:t xml:space="preserve"> Córdoba (Spain)</w:t>
      </w:r>
      <w:r>
        <w:rPr>
          <w:rFonts w:asciiTheme="majorHAnsi" w:hAnsiTheme="majorHAnsi"/>
        </w:rPr>
        <w:t xml:space="preserve"> </w:t>
      </w:r>
      <w:r>
        <w:rPr>
          <w:rFonts w:asciiTheme="majorHAnsi" w:hAnsiTheme="majorHAnsi"/>
          <w:color w:val="000000"/>
        </w:rPr>
        <w:t>September 2012</w:t>
      </w:r>
      <w:r w:rsidR="007B1790">
        <w:rPr>
          <w:rFonts w:asciiTheme="majorHAnsi" w:hAnsiTheme="majorHAnsi"/>
        </w:rPr>
        <w:t xml:space="preserve">, </w:t>
      </w:r>
      <w:r>
        <w:rPr>
          <w:rFonts w:asciiTheme="majorHAnsi" w:hAnsiTheme="majorHAnsi"/>
        </w:rPr>
        <w:t>iufrophytophthora2012.org/downloads/IUFRO2012_BookofAbstracts.pdf</w:t>
      </w:r>
      <w:r>
        <w:rPr>
          <w:rFonts w:asciiTheme="majorHAnsi" w:hAnsiTheme="majorHAnsi"/>
          <w:color w:val="000000"/>
        </w:rPr>
        <w:t xml:space="preserve"> accessed Feb 2012.</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Orlikowski, LB &amp; Szkuta, G 2004, ‘First report of </w:t>
      </w:r>
      <w:r>
        <w:rPr>
          <w:rFonts w:asciiTheme="majorHAnsi" w:hAnsiTheme="majorHAnsi"/>
          <w:i/>
          <w:color w:val="000000"/>
        </w:rPr>
        <w:t>Phytophthora ramorum</w:t>
      </w:r>
      <w:r>
        <w:rPr>
          <w:rFonts w:asciiTheme="majorHAnsi" w:hAnsiTheme="majorHAnsi"/>
        </w:rPr>
        <w:t xml:space="preserve"> on </w:t>
      </w:r>
      <w:r>
        <w:rPr>
          <w:rFonts w:asciiTheme="majorHAnsi" w:hAnsiTheme="majorHAnsi"/>
          <w:i/>
          <w:color w:val="000000"/>
        </w:rPr>
        <w:t>Calluna vulgaris, Photinia fraseri</w:t>
      </w:r>
      <w:r>
        <w:rPr>
          <w:rFonts w:asciiTheme="majorHAnsi" w:hAnsiTheme="majorHAnsi"/>
        </w:rPr>
        <w:t xml:space="preserve"> and </w:t>
      </w:r>
      <w:r>
        <w:rPr>
          <w:rFonts w:asciiTheme="majorHAnsi" w:hAnsiTheme="majorHAnsi"/>
          <w:i/>
          <w:color w:val="000000"/>
        </w:rPr>
        <w:t>Pieris japonica</w:t>
      </w:r>
      <w:r>
        <w:rPr>
          <w:rFonts w:asciiTheme="majorHAnsi" w:hAnsiTheme="majorHAnsi"/>
        </w:rPr>
        <w:t xml:space="preserve"> in Polish container-ornamental nurseries’, </w:t>
      </w:r>
      <w:r>
        <w:rPr>
          <w:rFonts w:asciiTheme="majorHAnsi" w:hAnsiTheme="majorHAnsi"/>
          <w:i/>
          <w:color w:val="000000"/>
        </w:rPr>
        <w:t>Phytopathologia Polonica</w:t>
      </w:r>
      <w:r>
        <w:rPr>
          <w:rFonts w:asciiTheme="majorHAnsi" w:hAnsiTheme="majorHAnsi"/>
        </w:rPr>
        <w:t>, 34: 87–92.</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t>Orlikowski, LB, Ptaszek, M, Orlikowska, T</w:t>
      </w:r>
      <w:r>
        <w:rPr>
          <w:rFonts w:asciiTheme="majorHAnsi" w:hAnsiTheme="majorHAnsi"/>
        </w:rPr>
        <w:t xml:space="preserve"> &amp;</w:t>
      </w:r>
      <w:r>
        <w:rPr>
          <w:rFonts w:asciiTheme="majorHAnsi" w:hAnsiTheme="majorHAnsi"/>
          <w:color w:val="000000"/>
        </w:rPr>
        <w:t xml:space="preserve"> Trzewik, T 2010, </w:t>
      </w:r>
      <w:r>
        <w:rPr>
          <w:rFonts w:asciiTheme="majorHAnsi" w:hAnsiTheme="majorHAnsi"/>
        </w:rPr>
        <w:t>‘</w:t>
      </w:r>
      <w:r>
        <w:rPr>
          <w:rFonts w:asciiTheme="majorHAnsi" w:hAnsiTheme="majorHAnsi"/>
          <w:i/>
          <w:color w:val="000000"/>
        </w:rPr>
        <w:t>Phytophthora</w:t>
      </w:r>
      <w:r>
        <w:rPr>
          <w:rFonts w:asciiTheme="majorHAnsi" w:hAnsiTheme="majorHAnsi"/>
          <w:color w:val="000000"/>
        </w:rPr>
        <w:t xml:space="preserve"> </w:t>
      </w:r>
      <w:r>
        <w:rPr>
          <w:rFonts w:asciiTheme="majorHAnsi" w:hAnsiTheme="majorHAnsi"/>
        </w:rPr>
        <w:t xml:space="preserve">species, new pathogens in landscape and gardens’, </w:t>
      </w:r>
      <w:r>
        <w:rPr>
          <w:rFonts w:asciiTheme="majorHAnsi" w:hAnsiTheme="majorHAnsi"/>
          <w:i/>
          <w:color w:val="000000"/>
        </w:rPr>
        <w:t>Botanikos Sodo Raštai</w:t>
      </w:r>
      <w:r>
        <w:rPr>
          <w:rFonts w:asciiTheme="majorHAnsi" w:hAnsiTheme="majorHAnsi"/>
        </w:rPr>
        <w:t>, 14: 133–138</w:t>
      </w:r>
      <w:r>
        <w:rPr>
          <w:rFonts w:asciiTheme="majorHAnsi" w:hAnsiTheme="majorHAnsi"/>
          <w:color w:val="000000"/>
        </w:rPr>
        <w:t>.</w:t>
      </w:r>
      <w:r>
        <w:rPr>
          <w:rFonts w:asciiTheme="majorHAnsi" w:hAnsiTheme="majorHAnsi"/>
        </w:rPr>
        <w:t xml:space="preserve">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t>Osterbauer</w:t>
      </w:r>
      <w:r>
        <w:rPr>
          <w:rFonts w:asciiTheme="majorHAnsi" w:hAnsiTheme="majorHAnsi"/>
        </w:rPr>
        <w:t>,</w:t>
      </w:r>
      <w:r>
        <w:rPr>
          <w:rFonts w:asciiTheme="majorHAnsi" w:hAnsiTheme="majorHAnsi"/>
          <w:color w:val="000000"/>
        </w:rPr>
        <w:t xml:space="preserve"> NK 2004</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i/>
          <w:color w:val="000000"/>
        </w:rPr>
        <w:t>Phytophthora ramorum</w:t>
      </w:r>
      <w:r>
        <w:rPr>
          <w:rFonts w:asciiTheme="majorHAnsi" w:hAnsiTheme="majorHAnsi"/>
          <w:color w:val="000000"/>
        </w:rPr>
        <w:t xml:space="preserve"> </w:t>
      </w:r>
      <w:r>
        <w:rPr>
          <w:rFonts w:asciiTheme="majorHAnsi" w:hAnsiTheme="majorHAnsi"/>
          <w:i/>
          <w:color w:val="000000"/>
        </w:rPr>
        <w:t>Pest risk assessment for Oregon</w:t>
      </w:r>
      <w:r>
        <w:rPr>
          <w:rFonts w:asciiTheme="majorHAnsi" w:hAnsiTheme="majorHAnsi"/>
          <w:color w:val="000000"/>
        </w:rPr>
        <w:t>’</w:t>
      </w:r>
      <w:r>
        <w:rPr>
          <w:rFonts w:asciiTheme="majorHAnsi" w:hAnsiTheme="majorHAnsi"/>
        </w:rPr>
        <w:t>,</w:t>
      </w:r>
      <w:r>
        <w:rPr>
          <w:rFonts w:asciiTheme="majorHAnsi" w:hAnsiTheme="majorHAnsi"/>
          <w:color w:val="000000"/>
        </w:rPr>
        <w:t xml:space="preserve"> accessed December 2004</w:t>
      </w:r>
      <w:r>
        <w:rPr>
          <w:rFonts w:asciiTheme="majorHAnsi" w:hAnsiTheme="majorHAnsi"/>
        </w:rPr>
        <w:t xml:space="preserve">, </w:t>
      </w:r>
      <w:r>
        <w:rPr>
          <w:rFonts w:asciiTheme="majorHAnsi" w:hAnsiTheme="majorHAnsi"/>
          <w:color w:val="000000"/>
        </w:rPr>
        <w:t>oda.state.or.us/plant/ppd/path/SOD/SOD_PRA_Oregon_2=03.pdf.</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Parke, J, Oh, E, Voelker, S, Hansen, E, Buckles, G &amp; Lachenbruch, B 2008, ‘</w:t>
      </w:r>
      <w:r>
        <w:rPr>
          <w:rFonts w:asciiTheme="majorHAnsi" w:hAnsiTheme="majorHAnsi"/>
          <w:i/>
        </w:rPr>
        <w:t>Phytophthora ramorum</w:t>
      </w:r>
      <w:r>
        <w:rPr>
          <w:rFonts w:asciiTheme="majorHAnsi" w:hAnsiTheme="majorHAnsi"/>
        </w:rPr>
        <w:t xml:space="preserve"> infects Tanoak sapwood and is associated with reduced sap flux and specific conductivity of xylem’, </w:t>
      </w:r>
      <w:r>
        <w:rPr>
          <w:rFonts w:asciiTheme="majorHAnsi" w:hAnsiTheme="majorHAnsi"/>
          <w:i/>
          <w:color w:val="000000"/>
        </w:rPr>
        <w:t>Proceedings of the Sudden Oak Death Third Science Symposium</w:t>
      </w:r>
      <w:r w:rsidR="007B1790">
        <w:rPr>
          <w:rFonts w:asciiTheme="majorHAnsi" w:hAnsiTheme="majorHAnsi"/>
        </w:rPr>
        <w:t xml:space="preserve">, </w:t>
      </w:r>
      <w:r>
        <w:rPr>
          <w:rFonts w:asciiTheme="majorHAnsi" w:hAnsiTheme="majorHAnsi"/>
        </w:rPr>
        <w:t>fs.fed.us/psw/publications/documents/psw_gtr214/psw_gtr214_153_parke.pdf.</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Parke, J, Pscheidt, J &amp; Linderman, R 2004a, ‘</w:t>
      </w:r>
      <w:r>
        <w:rPr>
          <w:rFonts w:asciiTheme="majorHAnsi" w:hAnsiTheme="majorHAnsi"/>
          <w:i/>
        </w:rPr>
        <w:t>Phytophthora ramorum</w:t>
      </w:r>
      <w:r>
        <w:rPr>
          <w:rFonts w:asciiTheme="majorHAnsi" w:hAnsiTheme="majorHAnsi"/>
        </w:rPr>
        <w:t xml:space="preserve">: A guide for Washington nurseries’, Oregon State University Extension Service, </w:t>
      </w:r>
      <w:r w:rsidR="007B1790">
        <w:rPr>
          <w:rFonts w:asciiTheme="majorHAnsi" w:hAnsiTheme="majorHAnsi"/>
        </w:rPr>
        <w:t xml:space="preserve">accessed March 2013, </w:t>
      </w:r>
      <w:r>
        <w:rPr>
          <w:rFonts w:asciiTheme="majorHAnsi" w:hAnsiTheme="majorHAnsi"/>
        </w:rPr>
        <w:t>suddenoakdeath.org/.</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Parke, JL &amp; Lewis, C 2007, ‘Root and stem infection of </w:t>
      </w:r>
      <w:r>
        <w:rPr>
          <w:rFonts w:asciiTheme="majorHAnsi" w:hAnsiTheme="majorHAnsi"/>
          <w:i/>
          <w:color w:val="000000"/>
        </w:rPr>
        <w:t>Rhododendron</w:t>
      </w:r>
      <w:r>
        <w:rPr>
          <w:rFonts w:asciiTheme="majorHAnsi" w:hAnsiTheme="majorHAnsi"/>
        </w:rPr>
        <w:t xml:space="preserve"> from potting medium infested with </w:t>
      </w:r>
      <w:r>
        <w:rPr>
          <w:rFonts w:asciiTheme="majorHAnsi" w:hAnsiTheme="majorHAnsi"/>
          <w:i/>
        </w:rPr>
        <w:t>Phytophthora ramorum</w:t>
      </w:r>
      <w:r>
        <w:rPr>
          <w:rFonts w:asciiTheme="majorHAnsi" w:hAnsiTheme="majorHAnsi"/>
        </w:rPr>
        <w:t xml:space="preserve">’, </w:t>
      </w:r>
      <w:r>
        <w:rPr>
          <w:rFonts w:asciiTheme="majorHAnsi" w:hAnsiTheme="majorHAnsi"/>
          <w:i/>
        </w:rPr>
        <w:t>Plant Disease</w:t>
      </w:r>
      <w:r>
        <w:rPr>
          <w:rFonts w:asciiTheme="majorHAnsi" w:hAnsiTheme="majorHAnsi"/>
        </w:rPr>
        <w:t>, 91: 1265–1270.</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lastRenderedPageBreak/>
        <w:t xml:space="preserve">Parke, JL &amp; Lucas, S 2008, ‘Sudden oak death and ramorum blight’, The Plant Health Instructor, </w:t>
      </w:r>
      <w:r w:rsidR="007B1790">
        <w:rPr>
          <w:rFonts w:asciiTheme="majorHAnsi" w:hAnsiTheme="majorHAnsi"/>
        </w:rPr>
        <w:t xml:space="preserve">accessed May 2011, </w:t>
      </w:r>
      <w:r>
        <w:rPr>
          <w:rFonts w:asciiTheme="majorHAnsi" w:hAnsiTheme="majorHAnsi"/>
        </w:rPr>
        <w:t>apsnet.org/edcenter/intropp/lessons/fungi/Oomycetes/Pages/SuddenOakDeath.aspx.</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Parke, JL &amp; Rizzo, DM 2011, ‘</w:t>
      </w:r>
      <w:r>
        <w:rPr>
          <w:rFonts w:asciiTheme="majorHAnsi" w:hAnsiTheme="majorHAnsi"/>
          <w:i/>
        </w:rPr>
        <w:t>Phytophthora ramorum</w:t>
      </w:r>
      <w:r>
        <w:rPr>
          <w:rFonts w:asciiTheme="majorHAnsi" w:hAnsiTheme="majorHAnsi"/>
        </w:rPr>
        <w:t xml:space="preserve">’, </w:t>
      </w:r>
      <w:r>
        <w:rPr>
          <w:rFonts w:asciiTheme="majorHAnsi" w:hAnsiTheme="majorHAnsi"/>
          <w:i/>
        </w:rPr>
        <w:t>Forest Phytophthoras</w:t>
      </w:r>
      <w:r>
        <w:rPr>
          <w:rFonts w:asciiTheme="majorHAnsi" w:hAnsiTheme="majorHAnsi"/>
        </w:rPr>
        <w:t>, 1, doi: 10.5399/osu/fp.1.1.1821.</w:t>
      </w:r>
    </w:p>
    <w:p w:rsidR="00C74066" w:rsidRDefault="00F10705">
      <w:pPr>
        <w:autoSpaceDE w:val="0"/>
        <w:autoSpaceDN w:val="0"/>
        <w:adjustRightInd w:val="0"/>
        <w:spacing w:before="120" w:after="120" w:line="271" w:lineRule="auto"/>
        <w:rPr>
          <w:rFonts w:asciiTheme="majorHAnsi" w:hAnsiTheme="majorHAnsi"/>
          <w:color w:val="000000"/>
        </w:rPr>
      </w:pPr>
      <w:r>
        <w:rPr>
          <w:rFonts w:asciiTheme="majorHAnsi" w:hAnsiTheme="majorHAnsi"/>
          <w:color w:val="000000"/>
        </w:rPr>
        <w:t>Parke</w:t>
      </w:r>
      <w:r>
        <w:rPr>
          <w:rFonts w:asciiTheme="majorHAnsi" w:hAnsiTheme="majorHAnsi"/>
        </w:rPr>
        <w:t>,</w:t>
      </w:r>
      <w:r>
        <w:rPr>
          <w:rFonts w:asciiTheme="majorHAnsi" w:hAnsiTheme="majorHAnsi"/>
          <w:color w:val="000000"/>
        </w:rPr>
        <w:t xml:space="preserve"> JL, Hansen</w:t>
      </w:r>
      <w:r>
        <w:rPr>
          <w:rFonts w:asciiTheme="majorHAnsi" w:hAnsiTheme="majorHAnsi"/>
        </w:rPr>
        <w:t>,</w:t>
      </w:r>
      <w:r>
        <w:rPr>
          <w:rFonts w:asciiTheme="majorHAnsi" w:hAnsiTheme="majorHAnsi"/>
          <w:color w:val="000000"/>
        </w:rPr>
        <w:t xml:space="preserve"> E, Buckles</w:t>
      </w:r>
      <w:r>
        <w:rPr>
          <w:rFonts w:asciiTheme="majorHAnsi" w:hAnsiTheme="majorHAnsi"/>
        </w:rPr>
        <w:t>,</w:t>
      </w:r>
      <w:r>
        <w:rPr>
          <w:rFonts w:asciiTheme="majorHAnsi" w:hAnsiTheme="majorHAnsi"/>
          <w:color w:val="000000"/>
        </w:rPr>
        <w:t xml:space="preserve"> G, Voelker</w:t>
      </w:r>
      <w:r>
        <w:rPr>
          <w:rFonts w:asciiTheme="majorHAnsi" w:hAnsiTheme="majorHAnsi"/>
        </w:rPr>
        <w:t>,</w:t>
      </w:r>
      <w:r>
        <w:rPr>
          <w:rFonts w:asciiTheme="majorHAnsi" w:hAnsiTheme="majorHAnsi"/>
          <w:color w:val="000000"/>
        </w:rPr>
        <w:t xml:space="preserve"> S, Collins</w:t>
      </w:r>
      <w:r>
        <w:rPr>
          <w:rFonts w:asciiTheme="majorHAnsi" w:hAnsiTheme="majorHAnsi"/>
        </w:rPr>
        <w:t>,</w:t>
      </w:r>
      <w:r>
        <w:rPr>
          <w:rFonts w:asciiTheme="majorHAnsi" w:hAnsiTheme="majorHAnsi"/>
          <w:color w:val="000000"/>
        </w:rPr>
        <w:t xml:space="preserve"> B</w:t>
      </w:r>
      <w:r>
        <w:rPr>
          <w:rFonts w:asciiTheme="majorHAnsi" w:hAnsiTheme="majorHAnsi"/>
        </w:rPr>
        <w:t xml:space="preserve"> &amp;</w:t>
      </w:r>
      <w:r>
        <w:rPr>
          <w:rFonts w:asciiTheme="majorHAnsi" w:hAnsiTheme="majorHAnsi"/>
          <w:color w:val="000000"/>
        </w:rPr>
        <w:t xml:space="preserve"> Lachenbruch</w:t>
      </w:r>
      <w:r>
        <w:rPr>
          <w:rFonts w:asciiTheme="majorHAnsi" w:hAnsiTheme="majorHAnsi"/>
        </w:rPr>
        <w:t>,</w:t>
      </w:r>
      <w:r>
        <w:rPr>
          <w:rFonts w:asciiTheme="majorHAnsi" w:hAnsiTheme="majorHAnsi"/>
          <w:color w:val="000000"/>
        </w:rPr>
        <w:t xml:space="preserve"> B 2007</w:t>
      </w:r>
      <w:r>
        <w:rPr>
          <w:rFonts w:asciiTheme="majorHAnsi" w:hAnsiTheme="majorHAnsi"/>
        </w:rPr>
        <w:t>a,</w:t>
      </w:r>
      <w:r>
        <w:rPr>
          <w:rFonts w:asciiTheme="majorHAnsi" w:hAnsiTheme="majorHAnsi"/>
          <w:color w:val="000000"/>
        </w:rPr>
        <w:t xml:space="preserve"> </w:t>
      </w:r>
      <w:r>
        <w:rPr>
          <w:rFonts w:asciiTheme="majorHAnsi" w:hAnsiTheme="majorHAnsi"/>
        </w:rPr>
        <w:t>‘</w:t>
      </w:r>
      <w:r>
        <w:rPr>
          <w:rFonts w:asciiTheme="majorHAnsi" w:hAnsiTheme="majorHAnsi"/>
          <w:i/>
        </w:rPr>
        <w:t>Phytophthora ramorum</w:t>
      </w:r>
      <w:r>
        <w:rPr>
          <w:rFonts w:asciiTheme="majorHAnsi" w:hAnsiTheme="majorHAnsi"/>
          <w:color w:val="000000"/>
        </w:rPr>
        <w:t xml:space="preserve"> infects sapwood and is associated with reduced specific conductivity of xylem vessels in tanoak</w:t>
      </w:r>
      <w:r>
        <w:rPr>
          <w:rFonts w:asciiTheme="majorHAnsi" w:hAnsiTheme="majorHAnsi"/>
        </w:rPr>
        <w:t xml:space="preserve">’, </w:t>
      </w:r>
      <w:r>
        <w:rPr>
          <w:rFonts w:asciiTheme="majorHAnsi" w:hAnsiTheme="majorHAnsi"/>
          <w:i/>
          <w:color w:val="000000"/>
        </w:rPr>
        <w:t>Sudden Oak Death Symposium III</w:t>
      </w:r>
      <w:r>
        <w:rPr>
          <w:rFonts w:asciiTheme="majorHAnsi" w:hAnsiTheme="majorHAnsi"/>
          <w:color w:val="000000"/>
        </w:rPr>
        <w:t>.</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Parke, JL, Hansen, EM &amp; Linderman, RG 2002a, ‘Sporulation potential of </w:t>
      </w:r>
      <w:r>
        <w:rPr>
          <w:rFonts w:asciiTheme="majorHAnsi" w:hAnsiTheme="majorHAnsi"/>
          <w:i/>
        </w:rPr>
        <w:t>Phytophthora ramorum</w:t>
      </w:r>
      <w:r>
        <w:rPr>
          <w:rFonts w:asciiTheme="majorHAnsi" w:hAnsiTheme="majorHAnsi"/>
        </w:rPr>
        <w:t xml:space="preserve"> on leaf disks from selected hosts’ [Abstract], </w:t>
      </w:r>
      <w:r>
        <w:rPr>
          <w:rFonts w:asciiTheme="majorHAnsi" w:hAnsiTheme="majorHAnsi"/>
          <w:i/>
          <w:color w:val="000000"/>
        </w:rPr>
        <w:t>Proceedings of the Sudden Oak Death, A Science Symposium</w:t>
      </w:r>
      <w:r>
        <w:rPr>
          <w:rFonts w:asciiTheme="majorHAnsi" w:hAnsiTheme="majorHAnsi"/>
        </w:rPr>
        <w:t>, 33.</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Parke, JL, Linderman, RG, Osterbauer, NK &amp; Griesbach, JA 2004b, ‘Detection of </w:t>
      </w:r>
      <w:r>
        <w:rPr>
          <w:rFonts w:asciiTheme="majorHAnsi" w:hAnsiTheme="majorHAnsi"/>
          <w:i/>
        </w:rPr>
        <w:t>Phytophthora ramorum</w:t>
      </w:r>
      <w:r>
        <w:rPr>
          <w:rFonts w:asciiTheme="majorHAnsi" w:hAnsiTheme="majorHAnsi"/>
        </w:rPr>
        <w:t xml:space="preserve"> blight in Oregon nurseries and completion of Koch's postulates on </w:t>
      </w:r>
      <w:r>
        <w:rPr>
          <w:rFonts w:asciiTheme="majorHAnsi" w:hAnsiTheme="majorHAnsi"/>
          <w:i/>
          <w:color w:val="000000"/>
        </w:rPr>
        <w:t>Pieris</w:t>
      </w:r>
      <w:r>
        <w:rPr>
          <w:rFonts w:asciiTheme="majorHAnsi" w:hAnsiTheme="majorHAnsi"/>
        </w:rPr>
        <w:t xml:space="preserve">, </w:t>
      </w:r>
      <w:r>
        <w:rPr>
          <w:rFonts w:asciiTheme="majorHAnsi" w:hAnsiTheme="majorHAnsi"/>
          <w:i/>
          <w:color w:val="000000"/>
        </w:rPr>
        <w:t>Rhododendron</w:t>
      </w:r>
      <w:r>
        <w:rPr>
          <w:rFonts w:asciiTheme="majorHAnsi" w:hAnsiTheme="majorHAnsi"/>
        </w:rPr>
        <w:t xml:space="preserve">, </w:t>
      </w:r>
      <w:r>
        <w:rPr>
          <w:rFonts w:asciiTheme="majorHAnsi" w:hAnsiTheme="majorHAnsi"/>
          <w:i/>
          <w:color w:val="000000"/>
        </w:rPr>
        <w:t>Viburnum</w:t>
      </w:r>
      <w:r>
        <w:rPr>
          <w:rFonts w:asciiTheme="majorHAnsi" w:hAnsiTheme="majorHAnsi"/>
        </w:rPr>
        <w:t xml:space="preserve"> and </w:t>
      </w:r>
      <w:r>
        <w:rPr>
          <w:rFonts w:asciiTheme="majorHAnsi" w:hAnsiTheme="majorHAnsi"/>
          <w:i/>
          <w:color w:val="000000"/>
        </w:rPr>
        <w:t>Camellia</w:t>
      </w:r>
      <w:r>
        <w:rPr>
          <w:rFonts w:asciiTheme="majorHAnsi" w:hAnsiTheme="majorHAnsi"/>
          <w:color w:val="000000"/>
        </w:rPr>
        <w:t xml:space="preserve">’, </w:t>
      </w:r>
      <w:r>
        <w:rPr>
          <w:rFonts w:asciiTheme="majorHAnsi" w:hAnsiTheme="majorHAnsi"/>
          <w:i/>
        </w:rPr>
        <w:t>Plant Disease</w:t>
      </w:r>
      <w:r>
        <w:rPr>
          <w:rFonts w:asciiTheme="majorHAnsi" w:hAnsiTheme="majorHAnsi"/>
          <w:color w:val="000000"/>
        </w:rPr>
        <w:t>,</w:t>
      </w:r>
      <w:r>
        <w:rPr>
          <w:rFonts w:asciiTheme="majorHAnsi" w:hAnsiTheme="majorHAnsi"/>
        </w:rPr>
        <w:t xml:space="preserve"> 88: 87.</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Parke, JL, Linderman, RJ, Hummer, K &amp; Hansen, EM 2002b, ‘Assessing the susceptibility of Pacific Northwest nursery plants to </w:t>
      </w:r>
      <w:r>
        <w:rPr>
          <w:rFonts w:asciiTheme="majorHAnsi" w:hAnsiTheme="majorHAnsi"/>
          <w:i/>
        </w:rPr>
        <w:t>Phytophthora ramorum</w:t>
      </w:r>
      <w:r>
        <w:rPr>
          <w:rFonts w:asciiTheme="majorHAnsi" w:hAnsiTheme="majorHAnsi"/>
        </w:rPr>
        <w:t xml:space="preserve"> using a detached leaf assay’ [Abstract], </w:t>
      </w:r>
      <w:r>
        <w:rPr>
          <w:rFonts w:asciiTheme="majorHAnsi" w:hAnsiTheme="majorHAnsi"/>
          <w:i/>
          <w:color w:val="000000"/>
        </w:rPr>
        <w:t>Proceedings of the Sudden Oak Death, A Science Symposium</w:t>
      </w:r>
      <w:r>
        <w:rPr>
          <w:rFonts w:asciiTheme="majorHAnsi" w:hAnsiTheme="majorHAnsi"/>
        </w:rPr>
        <w:t>, 84–85.</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Parke, JL, Linderman, RJ, Hummer, K &amp; Hansen, EM 2002c, ‘Differential susceptibility to </w:t>
      </w:r>
      <w:r>
        <w:rPr>
          <w:rFonts w:asciiTheme="majorHAnsi" w:hAnsiTheme="majorHAnsi"/>
          <w:i/>
        </w:rPr>
        <w:t>Phytophthora ramorum</w:t>
      </w:r>
      <w:r>
        <w:rPr>
          <w:rFonts w:asciiTheme="majorHAnsi" w:hAnsiTheme="majorHAnsi"/>
        </w:rPr>
        <w:t xml:space="preserve"> among </w:t>
      </w:r>
      <w:r>
        <w:rPr>
          <w:rFonts w:asciiTheme="majorHAnsi" w:hAnsiTheme="majorHAnsi"/>
          <w:i/>
          <w:color w:val="000000"/>
        </w:rPr>
        <w:t>Vaccinium</w:t>
      </w:r>
      <w:r>
        <w:rPr>
          <w:rFonts w:asciiTheme="majorHAnsi" w:hAnsiTheme="majorHAnsi"/>
        </w:rPr>
        <w:t xml:space="preserve"> species and cultivars’ [Abstract], </w:t>
      </w:r>
      <w:r>
        <w:rPr>
          <w:rFonts w:asciiTheme="majorHAnsi" w:hAnsiTheme="majorHAnsi"/>
          <w:i/>
          <w:color w:val="000000"/>
        </w:rPr>
        <w:t>Proceedings of the Sudden Oak Death, A Science Symposium</w:t>
      </w:r>
      <w:r>
        <w:rPr>
          <w:rFonts w:asciiTheme="majorHAnsi" w:hAnsiTheme="majorHAnsi"/>
        </w:rPr>
        <w:t>, 83–84.</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Parke, JL, Oh, E, Voelker, S, Hansen, EM, Buckles, G &amp; Lachenbruch, B 2007b, ‘</w:t>
      </w:r>
      <w:r>
        <w:rPr>
          <w:rFonts w:asciiTheme="majorHAnsi" w:hAnsiTheme="majorHAnsi"/>
          <w:i/>
        </w:rPr>
        <w:t>Phytophthora ramorum</w:t>
      </w:r>
      <w:r>
        <w:rPr>
          <w:rFonts w:asciiTheme="majorHAnsi" w:hAnsiTheme="majorHAnsi"/>
        </w:rPr>
        <w:t xml:space="preserve"> colonizes tanoak xylem and is associated with reduced stem water transport’, </w:t>
      </w:r>
      <w:r>
        <w:rPr>
          <w:rFonts w:asciiTheme="majorHAnsi" w:hAnsiTheme="majorHAnsi"/>
          <w:i/>
          <w:color w:val="000000"/>
        </w:rPr>
        <w:t>Phytopathology</w:t>
      </w:r>
      <w:r>
        <w:rPr>
          <w:rFonts w:asciiTheme="majorHAnsi" w:hAnsiTheme="majorHAnsi"/>
        </w:rPr>
        <w:t xml:space="preserve">, 97: 1558–1567.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Pintos Varela, C, Mansilla Vázquez, JP &amp; Aguín Casal, O 2003, ‘First Report of </w:t>
      </w:r>
      <w:r>
        <w:rPr>
          <w:rFonts w:asciiTheme="majorHAnsi" w:hAnsiTheme="majorHAnsi"/>
          <w:i/>
        </w:rPr>
        <w:t>Phytophthora ramorum</w:t>
      </w:r>
      <w:r>
        <w:rPr>
          <w:rFonts w:asciiTheme="majorHAnsi" w:hAnsiTheme="majorHAnsi"/>
        </w:rPr>
        <w:t xml:space="preserve"> on </w:t>
      </w:r>
      <w:r>
        <w:rPr>
          <w:rFonts w:asciiTheme="majorHAnsi" w:hAnsiTheme="majorHAnsi"/>
          <w:i/>
        </w:rPr>
        <w:t>Camellia japonica</w:t>
      </w:r>
      <w:r>
        <w:rPr>
          <w:rFonts w:asciiTheme="majorHAnsi" w:hAnsiTheme="majorHAnsi"/>
        </w:rPr>
        <w:t xml:space="preserve"> in Spain’, </w:t>
      </w:r>
      <w:r>
        <w:rPr>
          <w:rFonts w:asciiTheme="majorHAnsi" w:hAnsiTheme="majorHAnsi"/>
          <w:i/>
        </w:rPr>
        <w:t>Plant Disease</w:t>
      </w:r>
      <w:r>
        <w:rPr>
          <w:rFonts w:asciiTheme="majorHAnsi" w:hAnsiTheme="majorHAnsi"/>
        </w:rPr>
        <w:t>, 87: 1396.</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Pogoda, F &amp; Werres, S 2004, ‘Histological studies of </w:t>
      </w:r>
      <w:r>
        <w:rPr>
          <w:rFonts w:asciiTheme="majorHAnsi" w:hAnsiTheme="majorHAnsi"/>
          <w:i/>
        </w:rPr>
        <w:t>Phytophthora ramorum</w:t>
      </w:r>
      <w:r>
        <w:rPr>
          <w:rFonts w:asciiTheme="majorHAnsi" w:hAnsiTheme="majorHAnsi"/>
        </w:rPr>
        <w:t xml:space="preserve"> in </w:t>
      </w:r>
      <w:r>
        <w:rPr>
          <w:rFonts w:asciiTheme="majorHAnsi" w:hAnsiTheme="majorHAnsi"/>
          <w:i/>
        </w:rPr>
        <w:t>Rhododendron</w:t>
      </w:r>
      <w:r>
        <w:rPr>
          <w:rFonts w:asciiTheme="majorHAnsi" w:hAnsiTheme="majorHAnsi"/>
        </w:rPr>
        <w:t xml:space="preserve"> twigs’, </w:t>
      </w:r>
      <w:r>
        <w:rPr>
          <w:rFonts w:asciiTheme="majorHAnsi" w:hAnsiTheme="majorHAnsi"/>
          <w:i/>
        </w:rPr>
        <w:t>Canadian Journal of Botany</w:t>
      </w:r>
      <w:r>
        <w:rPr>
          <w:rFonts w:asciiTheme="majorHAnsi" w:hAnsiTheme="majorHAnsi"/>
        </w:rPr>
        <w:t xml:space="preserve">, 82: 1481–1489.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Prospero, S, Grünwald, NJ, Winton, LM &amp; Hansen, EM 2009, ‘Migration patterns of the emerging plant pathogen </w:t>
      </w:r>
      <w:r>
        <w:rPr>
          <w:rFonts w:asciiTheme="majorHAnsi" w:hAnsiTheme="majorHAnsi"/>
          <w:i/>
        </w:rPr>
        <w:t>Phytophthora ramorum</w:t>
      </w:r>
      <w:r>
        <w:rPr>
          <w:rFonts w:asciiTheme="majorHAnsi" w:hAnsiTheme="majorHAnsi"/>
        </w:rPr>
        <w:t xml:space="preserve"> on the West Coast of the United States of America’, </w:t>
      </w:r>
      <w:r>
        <w:rPr>
          <w:rFonts w:asciiTheme="majorHAnsi" w:hAnsiTheme="majorHAnsi"/>
          <w:i/>
        </w:rPr>
        <w:t>Phytopathology</w:t>
      </w:r>
      <w:r>
        <w:rPr>
          <w:rFonts w:asciiTheme="majorHAnsi" w:hAnsiTheme="majorHAnsi"/>
        </w:rPr>
        <w:t>,</w:t>
      </w:r>
      <w:r>
        <w:rPr>
          <w:rFonts w:asciiTheme="majorHAnsi" w:hAnsiTheme="majorHAnsi"/>
          <w:i/>
        </w:rPr>
        <w:t xml:space="preserve"> </w:t>
      </w:r>
      <w:r>
        <w:rPr>
          <w:rFonts w:asciiTheme="majorHAnsi" w:hAnsiTheme="majorHAnsi"/>
        </w:rPr>
        <w:t xml:space="preserve">99: 739–749.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Prospero, S, Hansen, EM, Grünwald, NJ &amp; Winton, LM 2007, ‘Population dynamics of the sudden oak death pathogen </w:t>
      </w:r>
      <w:r>
        <w:rPr>
          <w:rFonts w:asciiTheme="majorHAnsi" w:hAnsiTheme="majorHAnsi"/>
          <w:i/>
        </w:rPr>
        <w:t>Phytophthora ramorum</w:t>
      </w:r>
      <w:r>
        <w:rPr>
          <w:rFonts w:asciiTheme="majorHAnsi" w:hAnsiTheme="majorHAnsi"/>
        </w:rPr>
        <w:t xml:space="preserve"> in Oregon from 2001 to 2004’, </w:t>
      </w:r>
      <w:r>
        <w:rPr>
          <w:rFonts w:asciiTheme="majorHAnsi" w:hAnsiTheme="majorHAnsi"/>
          <w:i/>
        </w:rPr>
        <w:t>Molecular Ecology</w:t>
      </w:r>
      <w:r>
        <w:rPr>
          <w:rFonts w:asciiTheme="majorHAnsi" w:hAnsiTheme="majorHAnsi"/>
        </w:rPr>
        <w:t>, 16: 2958–2973.</w:t>
      </w:r>
    </w:p>
    <w:p w:rsidR="00C74066" w:rsidRDefault="00F10705">
      <w:pPr>
        <w:autoSpaceDE w:val="0"/>
        <w:autoSpaceDN w:val="0"/>
        <w:adjustRightInd w:val="0"/>
        <w:spacing w:before="120" w:after="120" w:line="271" w:lineRule="auto"/>
        <w:rPr>
          <w:rFonts w:asciiTheme="majorHAnsi" w:hAnsiTheme="majorHAnsi"/>
          <w:color w:val="000000"/>
        </w:rPr>
      </w:pPr>
      <w:r>
        <w:rPr>
          <w:rFonts w:asciiTheme="majorHAnsi" w:hAnsiTheme="majorHAnsi"/>
        </w:rPr>
        <w:t xml:space="preserve">Purse, BV, Graeser, P, Searle, K, Edwards, C &amp; Harris, C 2013, ‘Challenges in predicting invasive reservoir hosts of emerging pathogens: mapping </w:t>
      </w:r>
      <w:r>
        <w:rPr>
          <w:rFonts w:asciiTheme="majorHAnsi" w:hAnsiTheme="majorHAnsi"/>
          <w:i/>
        </w:rPr>
        <w:t>Rhododendron ponticum</w:t>
      </w:r>
      <w:r>
        <w:rPr>
          <w:rFonts w:asciiTheme="majorHAnsi" w:hAnsiTheme="majorHAnsi"/>
        </w:rPr>
        <w:t xml:space="preserve"> as a foliar host for </w:t>
      </w:r>
      <w:r>
        <w:rPr>
          <w:rFonts w:asciiTheme="majorHAnsi" w:hAnsiTheme="majorHAnsi"/>
          <w:i/>
        </w:rPr>
        <w:t>Phytophthora ramorum</w:t>
      </w:r>
      <w:r>
        <w:rPr>
          <w:rFonts w:asciiTheme="majorHAnsi" w:hAnsiTheme="majorHAnsi"/>
        </w:rPr>
        <w:t xml:space="preserve"> and </w:t>
      </w:r>
      <w:r>
        <w:rPr>
          <w:rFonts w:asciiTheme="majorHAnsi" w:hAnsiTheme="majorHAnsi"/>
          <w:i/>
        </w:rPr>
        <w:t>Phytophthora kernoviae</w:t>
      </w:r>
      <w:r>
        <w:rPr>
          <w:rFonts w:asciiTheme="majorHAnsi" w:hAnsiTheme="majorHAnsi"/>
        </w:rPr>
        <w:t xml:space="preserve"> in the UK’, </w:t>
      </w:r>
      <w:r>
        <w:rPr>
          <w:rFonts w:asciiTheme="majorHAnsi" w:hAnsiTheme="majorHAnsi"/>
          <w:i/>
        </w:rPr>
        <w:t>Biological Invasions</w:t>
      </w:r>
      <w:r>
        <w:rPr>
          <w:rFonts w:asciiTheme="majorHAnsi" w:hAnsiTheme="majorHAnsi"/>
        </w:rPr>
        <w:t>, 15: 529–545.</w:t>
      </w:r>
    </w:p>
    <w:p w:rsidR="00C74066" w:rsidRDefault="00F10705">
      <w:pPr>
        <w:autoSpaceDE w:val="0"/>
        <w:autoSpaceDN w:val="0"/>
        <w:adjustRightInd w:val="0"/>
        <w:spacing w:before="120" w:after="120" w:line="271" w:lineRule="auto"/>
        <w:rPr>
          <w:rFonts w:asciiTheme="majorHAnsi" w:hAnsiTheme="majorHAnsi"/>
          <w:color w:val="000000"/>
        </w:rPr>
      </w:pPr>
      <w:r>
        <w:rPr>
          <w:rFonts w:asciiTheme="majorHAnsi" w:hAnsiTheme="majorHAnsi"/>
          <w:color w:val="000000"/>
        </w:rPr>
        <w:t>Ramsfield</w:t>
      </w:r>
      <w:r>
        <w:rPr>
          <w:rFonts w:asciiTheme="majorHAnsi" w:hAnsiTheme="majorHAnsi"/>
        </w:rPr>
        <w:t>,</w:t>
      </w:r>
      <w:r>
        <w:rPr>
          <w:rFonts w:asciiTheme="majorHAnsi" w:hAnsiTheme="majorHAnsi"/>
          <w:color w:val="000000"/>
        </w:rPr>
        <w:t xml:space="preserve"> TD, Dick</w:t>
      </w:r>
      <w:r>
        <w:rPr>
          <w:rFonts w:asciiTheme="majorHAnsi" w:hAnsiTheme="majorHAnsi"/>
        </w:rPr>
        <w:t>,</w:t>
      </w:r>
      <w:r>
        <w:rPr>
          <w:rFonts w:asciiTheme="majorHAnsi" w:hAnsiTheme="majorHAnsi"/>
          <w:color w:val="000000"/>
        </w:rPr>
        <w:t xml:space="preserve"> MA, Beever</w:t>
      </w:r>
      <w:r>
        <w:rPr>
          <w:rFonts w:asciiTheme="majorHAnsi" w:hAnsiTheme="majorHAnsi"/>
        </w:rPr>
        <w:t>,</w:t>
      </w:r>
      <w:r>
        <w:rPr>
          <w:rFonts w:asciiTheme="majorHAnsi" w:hAnsiTheme="majorHAnsi"/>
          <w:color w:val="000000"/>
        </w:rPr>
        <w:t xml:space="preserve"> RE</w:t>
      </w:r>
      <w:r>
        <w:rPr>
          <w:rFonts w:asciiTheme="majorHAnsi" w:hAnsiTheme="majorHAnsi"/>
        </w:rPr>
        <w:t xml:space="preserve"> &amp;</w:t>
      </w:r>
      <w:r>
        <w:rPr>
          <w:rFonts w:asciiTheme="majorHAnsi" w:hAnsiTheme="majorHAnsi"/>
          <w:color w:val="000000"/>
        </w:rPr>
        <w:t xml:space="preserve"> Horner</w:t>
      </w:r>
      <w:r>
        <w:rPr>
          <w:rFonts w:asciiTheme="majorHAnsi" w:hAnsiTheme="majorHAnsi"/>
        </w:rPr>
        <w:t>,</w:t>
      </w:r>
      <w:r>
        <w:rPr>
          <w:rFonts w:asciiTheme="majorHAnsi" w:hAnsiTheme="majorHAnsi"/>
          <w:color w:val="000000"/>
        </w:rPr>
        <w:t xml:space="preserve"> IJ 2007, </w:t>
      </w:r>
      <w:r>
        <w:rPr>
          <w:rFonts w:asciiTheme="majorHAnsi" w:hAnsiTheme="majorHAnsi"/>
        </w:rPr>
        <w:t>‘</w:t>
      </w:r>
      <w:r>
        <w:rPr>
          <w:rFonts w:asciiTheme="majorHAnsi" w:hAnsiTheme="majorHAnsi"/>
          <w:i/>
          <w:color w:val="000000"/>
        </w:rPr>
        <w:t>Phytophthora kernoviae</w:t>
      </w:r>
      <w:r>
        <w:rPr>
          <w:rFonts w:asciiTheme="majorHAnsi" w:hAnsiTheme="majorHAnsi"/>
          <w:color w:val="000000"/>
        </w:rPr>
        <w:t xml:space="preserve"> – of southern hemisphere origin?</w:t>
      </w:r>
      <w:r>
        <w:rPr>
          <w:rFonts w:asciiTheme="majorHAnsi" w:hAnsiTheme="majorHAnsi"/>
        </w:rPr>
        <w:t>’</w:t>
      </w:r>
      <w:r>
        <w:rPr>
          <w:rFonts w:asciiTheme="majorHAnsi" w:hAnsiTheme="majorHAnsi"/>
          <w:color w:val="000000"/>
        </w:rPr>
        <w:t xml:space="preserve">, </w:t>
      </w:r>
      <w:r>
        <w:rPr>
          <w:rFonts w:asciiTheme="majorHAnsi" w:hAnsiTheme="majorHAnsi"/>
          <w:i/>
          <w:color w:val="000000"/>
        </w:rPr>
        <w:t>4th IUFRO Phytophthoras in Forests &amp; Natural Ecosystems</w:t>
      </w:r>
      <w:r>
        <w:rPr>
          <w:rFonts w:asciiTheme="majorHAnsi" w:hAnsiTheme="majorHAnsi"/>
        </w:rPr>
        <w:t>.</w:t>
      </w:r>
    </w:p>
    <w:p w:rsidR="00C74066" w:rsidRDefault="00F10705">
      <w:pPr>
        <w:autoSpaceDE w:val="0"/>
        <w:autoSpaceDN w:val="0"/>
        <w:adjustRightInd w:val="0"/>
        <w:spacing w:before="120" w:after="120" w:line="271" w:lineRule="auto"/>
        <w:rPr>
          <w:rFonts w:asciiTheme="majorHAnsi" w:hAnsiTheme="majorHAnsi"/>
          <w:color w:val="000000"/>
        </w:rPr>
      </w:pPr>
      <w:r>
        <w:rPr>
          <w:rFonts w:asciiTheme="majorHAnsi" w:hAnsiTheme="majorHAnsi"/>
          <w:color w:val="000000"/>
        </w:rPr>
        <w:t>Ramsfield</w:t>
      </w:r>
      <w:r>
        <w:rPr>
          <w:rFonts w:asciiTheme="majorHAnsi" w:hAnsiTheme="majorHAnsi"/>
        </w:rPr>
        <w:t>,</w:t>
      </w:r>
      <w:r>
        <w:rPr>
          <w:rFonts w:asciiTheme="majorHAnsi" w:hAnsiTheme="majorHAnsi"/>
          <w:color w:val="000000"/>
        </w:rPr>
        <w:t xml:space="preserve"> TD, Dick</w:t>
      </w:r>
      <w:r>
        <w:rPr>
          <w:rFonts w:asciiTheme="majorHAnsi" w:hAnsiTheme="majorHAnsi"/>
        </w:rPr>
        <w:t>,</w:t>
      </w:r>
      <w:r>
        <w:rPr>
          <w:rFonts w:asciiTheme="majorHAnsi" w:hAnsiTheme="majorHAnsi"/>
          <w:color w:val="000000"/>
        </w:rPr>
        <w:t xml:space="preserve"> MA, Beever</w:t>
      </w:r>
      <w:r>
        <w:rPr>
          <w:rFonts w:asciiTheme="majorHAnsi" w:hAnsiTheme="majorHAnsi"/>
        </w:rPr>
        <w:t>,</w:t>
      </w:r>
      <w:r>
        <w:rPr>
          <w:rFonts w:asciiTheme="majorHAnsi" w:hAnsiTheme="majorHAnsi"/>
          <w:color w:val="000000"/>
        </w:rPr>
        <w:t xml:space="preserve"> RE, Horner</w:t>
      </w:r>
      <w:r>
        <w:rPr>
          <w:rFonts w:asciiTheme="majorHAnsi" w:hAnsiTheme="majorHAnsi"/>
        </w:rPr>
        <w:t>,</w:t>
      </w:r>
      <w:r>
        <w:rPr>
          <w:rFonts w:asciiTheme="majorHAnsi" w:hAnsiTheme="majorHAnsi"/>
          <w:color w:val="000000"/>
        </w:rPr>
        <w:t xml:space="preserve"> IJ, McAlonan</w:t>
      </w:r>
      <w:r>
        <w:rPr>
          <w:rFonts w:asciiTheme="majorHAnsi" w:hAnsiTheme="majorHAnsi"/>
        </w:rPr>
        <w:t>,</w:t>
      </w:r>
      <w:r>
        <w:rPr>
          <w:rFonts w:asciiTheme="majorHAnsi" w:hAnsiTheme="majorHAnsi"/>
          <w:color w:val="000000"/>
        </w:rPr>
        <w:t xml:space="preserve"> MJ</w:t>
      </w:r>
      <w:r>
        <w:rPr>
          <w:rFonts w:asciiTheme="majorHAnsi" w:hAnsiTheme="majorHAnsi"/>
        </w:rPr>
        <w:t xml:space="preserve"> &amp;</w:t>
      </w:r>
      <w:r>
        <w:rPr>
          <w:rFonts w:asciiTheme="majorHAnsi" w:hAnsiTheme="majorHAnsi"/>
          <w:color w:val="000000"/>
        </w:rPr>
        <w:t xml:space="preserve"> Hill</w:t>
      </w:r>
      <w:r>
        <w:rPr>
          <w:rFonts w:asciiTheme="majorHAnsi" w:hAnsiTheme="majorHAnsi"/>
        </w:rPr>
        <w:t>,</w:t>
      </w:r>
      <w:r>
        <w:rPr>
          <w:rFonts w:asciiTheme="majorHAnsi" w:hAnsiTheme="majorHAnsi"/>
          <w:color w:val="000000"/>
        </w:rPr>
        <w:t xml:space="preserve"> CF 2009</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i/>
          <w:color w:val="000000"/>
        </w:rPr>
        <w:t xml:space="preserve">Phytophthora kernoviae </w:t>
      </w:r>
      <w:r>
        <w:rPr>
          <w:rFonts w:asciiTheme="majorHAnsi" w:hAnsiTheme="majorHAnsi"/>
          <w:color w:val="000000"/>
        </w:rPr>
        <w:t>in New Zealand</w:t>
      </w:r>
      <w:r>
        <w:rPr>
          <w:rFonts w:asciiTheme="majorHAnsi" w:hAnsiTheme="majorHAnsi"/>
        </w:rPr>
        <w:t>’,</w:t>
      </w:r>
      <w:r>
        <w:rPr>
          <w:rFonts w:asciiTheme="majorHAnsi" w:hAnsiTheme="majorHAnsi"/>
          <w:color w:val="000000"/>
        </w:rPr>
        <w:t xml:space="preserve"> </w:t>
      </w:r>
      <w:r>
        <w:rPr>
          <w:rFonts w:asciiTheme="majorHAnsi" w:hAnsiTheme="majorHAnsi"/>
          <w:i/>
          <w:color w:val="000000"/>
        </w:rPr>
        <w:t xml:space="preserve">Proceedings of the 4th meeting of the International Union of Forest </w:t>
      </w:r>
      <w:r>
        <w:rPr>
          <w:rFonts w:asciiTheme="majorHAnsi" w:hAnsiTheme="majorHAnsi"/>
          <w:i/>
          <w:color w:val="000000"/>
        </w:rPr>
        <w:lastRenderedPageBreak/>
        <w:t>Research Organizations</w:t>
      </w:r>
      <w:r>
        <w:rPr>
          <w:rFonts w:asciiTheme="majorHAnsi" w:hAnsiTheme="majorHAnsi"/>
          <w:color w:val="000000"/>
        </w:rPr>
        <w:t xml:space="preserve"> (IUFRO)</w:t>
      </w:r>
      <w:r>
        <w:rPr>
          <w:rFonts w:asciiTheme="majorHAnsi" w:hAnsiTheme="majorHAnsi"/>
        </w:rPr>
        <w:t xml:space="preserve">, </w:t>
      </w:r>
      <w:r>
        <w:rPr>
          <w:rFonts w:asciiTheme="majorHAnsi" w:hAnsiTheme="majorHAnsi"/>
          <w:color w:val="000000"/>
        </w:rPr>
        <w:t>Working Party S07.02.09</w:t>
      </w:r>
      <w:r>
        <w:rPr>
          <w:rFonts w:asciiTheme="majorHAnsi" w:hAnsiTheme="majorHAnsi"/>
        </w:rPr>
        <w:t>,</w:t>
      </w:r>
      <w:r>
        <w:rPr>
          <w:rFonts w:asciiTheme="majorHAnsi" w:hAnsiTheme="majorHAnsi"/>
          <w:color w:val="000000"/>
        </w:rPr>
        <w:t xml:space="preserve"> Gen</w:t>
      </w:r>
      <w:r>
        <w:rPr>
          <w:rFonts w:asciiTheme="majorHAnsi" w:hAnsiTheme="majorHAnsi"/>
        </w:rPr>
        <w:t xml:space="preserve">eral technical report </w:t>
      </w:r>
      <w:r>
        <w:rPr>
          <w:rFonts w:asciiTheme="majorHAnsi" w:hAnsiTheme="majorHAnsi"/>
          <w:color w:val="000000"/>
        </w:rPr>
        <w:t>PSW-GTR-221</w:t>
      </w:r>
      <w:r>
        <w:rPr>
          <w:rFonts w:asciiTheme="majorHAnsi" w:hAnsiTheme="majorHAnsi"/>
        </w:rPr>
        <w:t xml:space="preserve">, </w:t>
      </w:r>
      <w:r>
        <w:rPr>
          <w:rFonts w:asciiTheme="majorHAnsi" w:hAnsiTheme="majorHAnsi"/>
          <w:color w:val="000000"/>
        </w:rPr>
        <w:t>47–53.</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t>Randall, RP 2007,</w:t>
      </w:r>
      <w:r>
        <w:rPr>
          <w:rFonts w:asciiTheme="majorHAnsi" w:hAnsiTheme="majorHAnsi"/>
          <w:i/>
          <w:color w:val="000000"/>
        </w:rPr>
        <w:t xml:space="preserve"> </w:t>
      </w:r>
      <w:r>
        <w:rPr>
          <w:rFonts w:asciiTheme="majorHAnsi" w:hAnsiTheme="majorHAnsi"/>
          <w:color w:val="000000"/>
        </w:rPr>
        <w:t>‘</w:t>
      </w:r>
      <w:r>
        <w:rPr>
          <w:rFonts w:asciiTheme="majorHAnsi" w:hAnsiTheme="majorHAnsi"/>
          <w:i/>
          <w:color w:val="000000"/>
        </w:rPr>
        <w:t>The introduced flora of Australia and its weed status</w:t>
      </w:r>
      <w:r>
        <w:rPr>
          <w:rFonts w:asciiTheme="majorHAnsi" w:hAnsiTheme="majorHAnsi"/>
        </w:rPr>
        <w:t>’</w:t>
      </w:r>
      <w:r>
        <w:rPr>
          <w:rFonts w:asciiTheme="majorHAnsi" w:hAnsiTheme="majorHAnsi"/>
          <w:color w:val="000000"/>
        </w:rPr>
        <w:t>, CRC for Australian Weed Management, Department of Agriculture and Food, Western Australia.</w:t>
      </w:r>
    </w:p>
    <w:p w:rsidR="00C74066" w:rsidRDefault="00F10705">
      <w:pPr>
        <w:autoSpaceDE w:val="0"/>
        <w:autoSpaceDN w:val="0"/>
        <w:adjustRightInd w:val="0"/>
        <w:spacing w:before="120" w:after="120" w:line="271" w:lineRule="auto"/>
        <w:rPr>
          <w:rFonts w:asciiTheme="majorHAnsi" w:hAnsiTheme="majorHAnsi"/>
          <w:color w:val="000000"/>
        </w:rPr>
      </w:pPr>
      <w:r>
        <w:rPr>
          <w:rFonts w:asciiTheme="majorHAnsi" w:hAnsiTheme="majorHAnsi"/>
          <w:color w:val="000000"/>
        </w:rPr>
        <w:t>RAPRA Database 2012</w:t>
      </w:r>
      <w:r>
        <w:rPr>
          <w:rFonts w:asciiTheme="majorHAnsi" w:hAnsiTheme="majorHAnsi"/>
        </w:rPr>
        <w:t>,</w:t>
      </w:r>
      <w:r>
        <w:rPr>
          <w:rFonts w:asciiTheme="majorHAnsi" w:hAnsiTheme="majorHAnsi"/>
          <w:color w:val="000000"/>
        </w:rPr>
        <w:t xml:space="preserve"> </w:t>
      </w:r>
      <w:r>
        <w:rPr>
          <w:rFonts w:asciiTheme="majorHAnsi" w:hAnsiTheme="majorHAnsi"/>
        </w:rPr>
        <w:t>rapra.csl.gov.uk/</w:t>
      </w:r>
      <w:r>
        <w:rPr>
          <w:rFonts w:asciiTheme="majorHAnsi" w:hAnsiTheme="majorHAnsi"/>
          <w:color w:val="000000"/>
        </w:rPr>
        <w:t xml:space="preserve"> Online version of: Sansford</w:t>
      </w:r>
      <w:r>
        <w:rPr>
          <w:rFonts w:asciiTheme="majorHAnsi" w:hAnsiTheme="majorHAnsi"/>
        </w:rPr>
        <w:t>,</w:t>
      </w:r>
      <w:r>
        <w:rPr>
          <w:rFonts w:asciiTheme="majorHAnsi" w:hAnsiTheme="majorHAnsi"/>
          <w:color w:val="000000"/>
        </w:rPr>
        <w:t xml:space="preserve"> CE, Inman</w:t>
      </w:r>
      <w:r>
        <w:rPr>
          <w:rFonts w:asciiTheme="majorHAnsi" w:hAnsiTheme="majorHAnsi"/>
        </w:rPr>
        <w:t>,</w:t>
      </w:r>
      <w:r>
        <w:rPr>
          <w:rFonts w:asciiTheme="majorHAnsi" w:hAnsiTheme="majorHAnsi"/>
          <w:color w:val="000000"/>
        </w:rPr>
        <w:t xml:space="preserve"> AJ, Baker</w:t>
      </w:r>
      <w:r>
        <w:rPr>
          <w:rFonts w:asciiTheme="majorHAnsi" w:hAnsiTheme="majorHAnsi"/>
        </w:rPr>
        <w:t>,</w:t>
      </w:r>
      <w:r>
        <w:rPr>
          <w:rFonts w:asciiTheme="majorHAnsi" w:hAnsiTheme="majorHAnsi"/>
          <w:color w:val="000000"/>
        </w:rPr>
        <w:t xml:space="preserve"> R, Brasier</w:t>
      </w:r>
      <w:r>
        <w:rPr>
          <w:rFonts w:asciiTheme="majorHAnsi" w:hAnsiTheme="majorHAnsi"/>
        </w:rPr>
        <w:t>,</w:t>
      </w:r>
      <w:r>
        <w:rPr>
          <w:rFonts w:asciiTheme="majorHAnsi" w:hAnsiTheme="majorHAnsi"/>
          <w:color w:val="000000"/>
        </w:rPr>
        <w:t xml:space="preserve"> C, Frankel</w:t>
      </w:r>
      <w:r>
        <w:rPr>
          <w:rFonts w:asciiTheme="majorHAnsi" w:hAnsiTheme="majorHAnsi"/>
        </w:rPr>
        <w:t>,</w:t>
      </w:r>
      <w:r>
        <w:rPr>
          <w:rFonts w:asciiTheme="majorHAnsi" w:hAnsiTheme="majorHAnsi"/>
          <w:color w:val="000000"/>
        </w:rPr>
        <w:t xml:space="preserve"> S, de Gruyter</w:t>
      </w:r>
      <w:r>
        <w:rPr>
          <w:rFonts w:asciiTheme="majorHAnsi" w:hAnsiTheme="majorHAnsi"/>
        </w:rPr>
        <w:t>,</w:t>
      </w:r>
      <w:r>
        <w:rPr>
          <w:rFonts w:asciiTheme="majorHAnsi" w:hAnsiTheme="majorHAnsi"/>
          <w:color w:val="000000"/>
        </w:rPr>
        <w:t xml:space="preserve"> J, Husson</w:t>
      </w:r>
      <w:r>
        <w:rPr>
          <w:rFonts w:asciiTheme="majorHAnsi" w:hAnsiTheme="majorHAnsi"/>
        </w:rPr>
        <w:t>,</w:t>
      </w:r>
      <w:r>
        <w:rPr>
          <w:rFonts w:asciiTheme="majorHAnsi" w:hAnsiTheme="majorHAnsi"/>
          <w:color w:val="000000"/>
        </w:rPr>
        <w:t xml:space="preserve"> C, Kehlenbeck</w:t>
      </w:r>
      <w:r>
        <w:rPr>
          <w:rFonts w:asciiTheme="majorHAnsi" w:hAnsiTheme="majorHAnsi"/>
        </w:rPr>
        <w:t>,</w:t>
      </w:r>
      <w:r>
        <w:rPr>
          <w:rFonts w:asciiTheme="majorHAnsi" w:hAnsiTheme="majorHAnsi"/>
          <w:color w:val="000000"/>
        </w:rPr>
        <w:t xml:space="preserve"> H, Kessel</w:t>
      </w:r>
      <w:r>
        <w:rPr>
          <w:rFonts w:asciiTheme="majorHAnsi" w:hAnsiTheme="majorHAnsi"/>
        </w:rPr>
        <w:t>,</w:t>
      </w:r>
      <w:r>
        <w:rPr>
          <w:rFonts w:asciiTheme="majorHAnsi" w:hAnsiTheme="majorHAnsi"/>
          <w:color w:val="000000"/>
        </w:rPr>
        <w:t xml:space="preserve"> G, Moralejo</w:t>
      </w:r>
      <w:r>
        <w:rPr>
          <w:rFonts w:asciiTheme="majorHAnsi" w:hAnsiTheme="majorHAnsi"/>
        </w:rPr>
        <w:t>,</w:t>
      </w:r>
      <w:r>
        <w:rPr>
          <w:rFonts w:asciiTheme="majorHAnsi" w:hAnsiTheme="majorHAnsi"/>
          <w:color w:val="000000"/>
        </w:rPr>
        <w:t xml:space="preserve"> E, Steeghs</w:t>
      </w:r>
      <w:r>
        <w:rPr>
          <w:rFonts w:asciiTheme="majorHAnsi" w:hAnsiTheme="majorHAnsi"/>
        </w:rPr>
        <w:t>,</w:t>
      </w:r>
      <w:r>
        <w:rPr>
          <w:rFonts w:asciiTheme="majorHAnsi" w:hAnsiTheme="majorHAnsi"/>
          <w:color w:val="000000"/>
        </w:rPr>
        <w:t xml:space="preserve"> M, Webber</w:t>
      </w:r>
      <w:r>
        <w:rPr>
          <w:rFonts w:asciiTheme="majorHAnsi" w:hAnsiTheme="majorHAnsi"/>
        </w:rPr>
        <w:t>,</w:t>
      </w:r>
      <w:r>
        <w:rPr>
          <w:rFonts w:asciiTheme="majorHAnsi" w:hAnsiTheme="majorHAnsi"/>
          <w:color w:val="000000"/>
        </w:rPr>
        <w:t xml:space="preserve"> J</w:t>
      </w:r>
      <w:r>
        <w:rPr>
          <w:rFonts w:asciiTheme="majorHAnsi" w:hAnsiTheme="majorHAnsi"/>
        </w:rPr>
        <w:t xml:space="preserve"> &amp;</w:t>
      </w:r>
      <w:r>
        <w:rPr>
          <w:rFonts w:asciiTheme="majorHAnsi" w:hAnsiTheme="majorHAnsi"/>
          <w:color w:val="000000"/>
        </w:rPr>
        <w:t xml:space="preserve"> Werres</w:t>
      </w:r>
      <w:r>
        <w:rPr>
          <w:rFonts w:asciiTheme="majorHAnsi" w:hAnsiTheme="majorHAnsi"/>
        </w:rPr>
        <w:t>,</w:t>
      </w:r>
      <w:r>
        <w:rPr>
          <w:rFonts w:asciiTheme="majorHAnsi" w:hAnsiTheme="majorHAnsi"/>
          <w:color w:val="000000"/>
        </w:rPr>
        <w:t xml:space="preserve"> S 2008</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i/>
          <w:color w:val="000000"/>
        </w:rPr>
        <w:t>Report on the risk of entry, establishment, spread and socio-economic loss and environmental impact and the appropriate level of management for Phytophthora ramorum for the EU</w:t>
      </w:r>
      <w:r>
        <w:rPr>
          <w:rFonts w:asciiTheme="majorHAnsi" w:hAnsiTheme="majorHAnsi"/>
        </w:rPr>
        <w:t xml:space="preserve">’, </w:t>
      </w:r>
      <w:r>
        <w:rPr>
          <w:rFonts w:asciiTheme="majorHAnsi" w:hAnsiTheme="majorHAnsi"/>
          <w:color w:val="000000"/>
        </w:rPr>
        <w:t>Deliverable Report 28</w:t>
      </w:r>
      <w:r>
        <w:rPr>
          <w:rFonts w:asciiTheme="majorHAnsi" w:hAnsiTheme="majorHAnsi"/>
        </w:rPr>
        <w:t>,</w:t>
      </w:r>
      <w:r>
        <w:rPr>
          <w:rFonts w:asciiTheme="majorHAnsi" w:hAnsiTheme="majorHAnsi"/>
          <w:color w:val="000000"/>
        </w:rPr>
        <w:t xml:space="preserve"> EU Sixth Framework Project RAPRA. </w:t>
      </w:r>
    </w:p>
    <w:p w:rsidR="00C74066" w:rsidRDefault="00F10705">
      <w:pPr>
        <w:autoSpaceDE w:val="0"/>
        <w:autoSpaceDN w:val="0"/>
        <w:adjustRightInd w:val="0"/>
        <w:spacing w:before="120" w:after="120" w:line="271" w:lineRule="auto"/>
        <w:rPr>
          <w:rFonts w:asciiTheme="majorHAnsi" w:hAnsiTheme="majorHAnsi"/>
          <w:color w:val="000000"/>
        </w:rPr>
      </w:pPr>
      <w:r>
        <w:rPr>
          <w:rFonts w:asciiTheme="majorHAnsi" w:hAnsiTheme="majorHAnsi"/>
          <w:color w:val="000000"/>
        </w:rPr>
        <w:t>Reeser</w:t>
      </w:r>
      <w:r>
        <w:rPr>
          <w:rFonts w:asciiTheme="majorHAnsi" w:hAnsiTheme="majorHAnsi"/>
        </w:rPr>
        <w:t>,</w:t>
      </w:r>
      <w:r>
        <w:rPr>
          <w:rFonts w:asciiTheme="majorHAnsi" w:hAnsiTheme="majorHAnsi"/>
          <w:color w:val="000000"/>
        </w:rPr>
        <w:t xml:space="preserve"> P, Sutton</w:t>
      </w:r>
      <w:r>
        <w:rPr>
          <w:rFonts w:asciiTheme="majorHAnsi" w:hAnsiTheme="majorHAnsi"/>
        </w:rPr>
        <w:t>,</w:t>
      </w:r>
      <w:r>
        <w:rPr>
          <w:rFonts w:asciiTheme="majorHAnsi" w:hAnsiTheme="majorHAnsi"/>
          <w:color w:val="000000"/>
        </w:rPr>
        <w:t xml:space="preserve"> W, Hansen</w:t>
      </w:r>
      <w:r>
        <w:rPr>
          <w:rFonts w:asciiTheme="majorHAnsi" w:hAnsiTheme="majorHAnsi"/>
        </w:rPr>
        <w:t>,</w:t>
      </w:r>
      <w:r>
        <w:rPr>
          <w:rFonts w:asciiTheme="majorHAnsi" w:hAnsiTheme="majorHAnsi"/>
          <w:color w:val="000000"/>
        </w:rPr>
        <w:t xml:space="preserve"> EM, Remigi</w:t>
      </w:r>
      <w:r>
        <w:rPr>
          <w:rFonts w:asciiTheme="majorHAnsi" w:hAnsiTheme="majorHAnsi"/>
        </w:rPr>
        <w:t>,</w:t>
      </w:r>
      <w:r>
        <w:rPr>
          <w:rFonts w:asciiTheme="majorHAnsi" w:hAnsiTheme="majorHAnsi"/>
          <w:color w:val="000000"/>
        </w:rPr>
        <w:t xml:space="preserve"> P</w:t>
      </w:r>
      <w:r>
        <w:rPr>
          <w:rFonts w:asciiTheme="majorHAnsi" w:hAnsiTheme="majorHAnsi"/>
        </w:rPr>
        <w:t xml:space="preserve"> &amp;</w:t>
      </w:r>
      <w:r>
        <w:rPr>
          <w:rFonts w:asciiTheme="majorHAnsi" w:hAnsiTheme="majorHAnsi"/>
          <w:color w:val="000000"/>
        </w:rPr>
        <w:t xml:space="preserve"> Adams</w:t>
      </w:r>
      <w:r>
        <w:rPr>
          <w:rFonts w:asciiTheme="majorHAnsi" w:hAnsiTheme="majorHAnsi"/>
        </w:rPr>
        <w:t>,</w:t>
      </w:r>
      <w:r>
        <w:rPr>
          <w:rFonts w:asciiTheme="majorHAnsi" w:hAnsiTheme="majorHAnsi"/>
          <w:color w:val="000000"/>
        </w:rPr>
        <w:t xml:space="preserve"> GC 2011</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i/>
          <w:color w:val="000000"/>
        </w:rPr>
        <w:t>Phytophthora</w:t>
      </w:r>
      <w:r>
        <w:rPr>
          <w:rFonts w:asciiTheme="majorHAnsi" w:hAnsiTheme="majorHAnsi"/>
          <w:color w:val="000000"/>
        </w:rPr>
        <w:t xml:space="preserve"> species in forest streams in Oregon and Alaska</w:t>
      </w:r>
      <w:r>
        <w:rPr>
          <w:rFonts w:asciiTheme="majorHAnsi" w:hAnsiTheme="majorHAnsi"/>
        </w:rPr>
        <w:t xml:space="preserve">’, </w:t>
      </w:r>
      <w:r>
        <w:rPr>
          <w:rFonts w:asciiTheme="majorHAnsi" w:hAnsiTheme="majorHAnsi"/>
          <w:i/>
          <w:color w:val="000000"/>
        </w:rPr>
        <w:t>Mycologia</w:t>
      </w:r>
      <w:r>
        <w:rPr>
          <w:rFonts w:asciiTheme="majorHAnsi" w:hAnsiTheme="majorHAnsi"/>
        </w:rPr>
        <w:t>,</w:t>
      </w:r>
      <w:r>
        <w:rPr>
          <w:rFonts w:asciiTheme="majorHAnsi" w:hAnsiTheme="majorHAnsi"/>
          <w:color w:val="000000"/>
        </w:rPr>
        <w:t xml:space="preserve"> 103: 22–35.</w:t>
      </w:r>
    </w:p>
    <w:p w:rsidR="00C74066" w:rsidRDefault="00F10705">
      <w:pPr>
        <w:spacing w:before="120" w:after="120" w:line="271" w:lineRule="auto"/>
        <w:rPr>
          <w:rFonts w:asciiTheme="majorHAnsi" w:hAnsiTheme="majorHAnsi"/>
        </w:rPr>
      </w:pPr>
      <w:r>
        <w:rPr>
          <w:rFonts w:asciiTheme="majorHAnsi" w:hAnsiTheme="majorHAnsi"/>
        </w:rPr>
        <w:t xml:space="preserve">Riedel, M, Werres, S, Elliott, E, McKeever, K &amp; Shamoun, SF 2012, ‘Histopathological investigations of the infection process and propagule development of </w:t>
      </w:r>
      <w:r>
        <w:rPr>
          <w:rFonts w:asciiTheme="majorHAnsi" w:hAnsiTheme="majorHAnsi"/>
          <w:i/>
        </w:rPr>
        <w:t>Phytophthora</w:t>
      </w:r>
      <w:r>
        <w:rPr>
          <w:rFonts w:asciiTheme="majorHAnsi" w:hAnsiTheme="majorHAnsi"/>
        </w:rPr>
        <w:t xml:space="preserve"> </w:t>
      </w:r>
      <w:r>
        <w:rPr>
          <w:rFonts w:asciiTheme="majorHAnsi" w:hAnsiTheme="majorHAnsi"/>
          <w:i/>
        </w:rPr>
        <w:t>ramorum</w:t>
      </w:r>
      <w:r>
        <w:rPr>
          <w:rFonts w:asciiTheme="majorHAnsi" w:hAnsiTheme="majorHAnsi"/>
        </w:rPr>
        <w:t xml:space="preserve"> on rhododendron leaves’, Forest Phytophthoras vol. 2, issue 1. doi: 10.5399/osu/fp.2.1.3036.</w:t>
      </w:r>
    </w:p>
    <w:p w:rsidR="00C74066" w:rsidRDefault="00F10705">
      <w:pPr>
        <w:autoSpaceDE w:val="0"/>
        <w:autoSpaceDN w:val="0"/>
        <w:adjustRightInd w:val="0"/>
        <w:spacing w:before="120" w:after="120" w:line="271" w:lineRule="auto"/>
        <w:rPr>
          <w:rFonts w:asciiTheme="majorHAnsi" w:hAnsiTheme="majorHAnsi"/>
          <w:color w:val="000000"/>
        </w:rPr>
      </w:pPr>
      <w:r>
        <w:rPr>
          <w:rFonts w:asciiTheme="majorHAnsi" w:hAnsiTheme="majorHAnsi"/>
          <w:color w:val="000000"/>
        </w:rPr>
        <w:t>Riedel</w:t>
      </w:r>
      <w:r>
        <w:rPr>
          <w:rFonts w:asciiTheme="majorHAnsi" w:hAnsiTheme="majorHAnsi"/>
        </w:rPr>
        <w:t>,</w:t>
      </w:r>
      <w:r>
        <w:rPr>
          <w:rFonts w:asciiTheme="majorHAnsi" w:hAnsiTheme="majorHAnsi"/>
          <w:color w:val="000000"/>
        </w:rPr>
        <w:t xml:space="preserve"> M, Calmin</w:t>
      </w:r>
      <w:r>
        <w:rPr>
          <w:rFonts w:asciiTheme="majorHAnsi" w:hAnsiTheme="majorHAnsi"/>
        </w:rPr>
        <w:t>,</w:t>
      </w:r>
      <w:r>
        <w:rPr>
          <w:rFonts w:asciiTheme="majorHAnsi" w:hAnsiTheme="majorHAnsi"/>
          <w:color w:val="000000"/>
        </w:rPr>
        <w:t xml:space="preserve"> G, Belbahri</w:t>
      </w:r>
      <w:r>
        <w:rPr>
          <w:rFonts w:asciiTheme="majorHAnsi" w:hAnsiTheme="majorHAnsi"/>
        </w:rPr>
        <w:t>,</w:t>
      </w:r>
      <w:r>
        <w:rPr>
          <w:rFonts w:asciiTheme="majorHAnsi" w:hAnsiTheme="majorHAnsi"/>
          <w:color w:val="000000"/>
        </w:rPr>
        <w:t xml:space="preserve"> L, Lefort</w:t>
      </w:r>
      <w:r>
        <w:rPr>
          <w:rFonts w:asciiTheme="majorHAnsi" w:hAnsiTheme="majorHAnsi"/>
        </w:rPr>
        <w:t xml:space="preserve">, </w:t>
      </w:r>
      <w:r>
        <w:rPr>
          <w:rFonts w:asciiTheme="majorHAnsi" w:hAnsiTheme="majorHAnsi"/>
          <w:color w:val="000000"/>
        </w:rPr>
        <w:t>F, Goetz</w:t>
      </w:r>
      <w:r>
        <w:rPr>
          <w:rFonts w:asciiTheme="majorHAnsi" w:hAnsiTheme="majorHAnsi"/>
        </w:rPr>
        <w:t>,</w:t>
      </w:r>
      <w:r>
        <w:rPr>
          <w:rFonts w:asciiTheme="majorHAnsi" w:hAnsiTheme="majorHAnsi"/>
          <w:color w:val="000000"/>
        </w:rPr>
        <w:t xml:space="preserve"> M, Wagner</w:t>
      </w:r>
      <w:r>
        <w:rPr>
          <w:rFonts w:asciiTheme="majorHAnsi" w:hAnsiTheme="majorHAnsi"/>
        </w:rPr>
        <w:t>,</w:t>
      </w:r>
      <w:r>
        <w:rPr>
          <w:rFonts w:asciiTheme="majorHAnsi" w:hAnsiTheme="majorHAnsi"/>
          <w:color w:val="000000"/>
        </w:rPr>
        <w:t xml:space="preserve"> S</w:t>
      </w:r>
      <w:r>
        <w:rPr>
          <w:rFonts w:asciiTheme="majorHAnsi" w:hAnsiTheme="majorHAnsi"/>
        </w:rPr>
        <w:t xml:space="preserve"> &amp;</w:t>
      </w:r>
      <w:r>
        <w:rPr>
          <w:rFonts w:asciiTheme="majorHAnsi" w:hAnsiTheme="majorHAnsi"/>
          <w:color w:val="000000"/>
        </w:rPr>
        <w:t xml:space="preserve"> Werres</w:t>
      </w:r>
      <w:r>
        <w:rPr>
          <w:rFonts w:asciiTheme="majorHAnsi" w:hAnsiTheme="majorHAnsi"/>
        </w:rPr>
        <w:t>,</w:t>
      </w:r>
      <w:r>
        <w:rPr>
          <w:rFonts w:asciiTheme="majorHAnsi" w:hAnsiTheme="majorHAnsi"/>
          <w:color w:val="000000"/>
        </w:rPr>
        <w:t xml:space="preserve"> S 2009</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 xml:space="preserve">Green Fluorescent Protein (GFP) as a reporter gene for the plant pathogenic oomycete </w:t>
      </w:r>
      <w:r>
        <w:rPr>
          <w:rFonts w:asciiTheme="majorHAnsi" w:hAnsiTheme="majorHAnsi"/>
          <w:i/>
        </w:rPr>
        <w:t>Phytophthora ramorum</w:t>
      </w:r>
      <w:r>
        <w:rPr>
          <w:rFonts w:asciiTheme="majorHAnsi" w:hAnsiTheme="majorHAnsi"/>
        </w:rPr>
        <w:t xml:space="preserve">’, </w:t>
      </w:r>
      <w:r>
        <w:rPr>
          <w:rFonts w:asciiTheme="majorHAnsi" w:hAnsiTheme="majorHAnsi"/>
          <w:i/>
          <w:color w:val="000000"/>
        </w:rPr>
        <w:t>Journal of Eukaryotic Microbiology</w:t>
      </w:r>
      <w:r>
        <w:rPr>
          <w:rFonts w:asciiTheme="majorHAnsi" w:hAnsiTheme="majorHAnsi"/>
        </w:rPr>
        <w:t>,</w:t>
      </w:r>
      <w:r>
        <w:rPr>
          <w:rFonts w:asciiTheme="majorHAnsi" w:hAnsiTheme="majorHAnsi"/>
          <w:color w:val="000000"/>
        </w:rPr>
        <w:t xml:space="preserve"> 56: 130–135.</w:t>
      </w:r>
    </w:p>
    <w:p w:rsidR="00C74066" w:rsidRDefault="00F10705">
      <w:pPr>
        <w:autoSpaceDE w:val="0"/>
        <w:autoSpaceDN w:val="0"/>
        <w:adjustRightInd w:val="0"/>
        <w:spacing w:before="120" w:after="120" w:line="271" w:lineRule="auto"/>
        <w:rPr>
          <w:rFonts w:asciiTheme="majorHAnsi" w:hAnsiTheme="majorHAnsi"/>
          <w:color w:val="000000"/>
        </w:rPr>
      </w:pPr>
      <w:r>
        <w:rPr>
          <w:rFonts w:asciiTheme="majorHAnsi" w:hAnsiTheme="majorHAnsi"/>
          <w:color w:val="000000"/>
        </w:rPr>
        <w:t>Riley</w:t>
      </w:r>
      <w:r>
        <w:rPr>
          <w:rFonts w:asciiTheme="majorHAnsi" w:hAnsiTheme="majorHAnsi"/>
        </w:rPr>
        <w:t>,</w:t>
      </w:r>
      <w:r>
        <w:rPr>
          <w:rFonts w:asciiTheme="majorHAnsi" w:hAnsiTheme="majorHAnsi"/>
          <w:color w:val="000000"/>
        </w:rPr>
        <w:t xml:space="preserve"> KL</w:t>
      </w:r>
      <w:r>
        <w:rPr>
          <w:rFonts w:asciiTheme="majorHAnsi" w:hAnsiTheme="majorHAnsi"/>
        </w:rPr>
        <w:t xml:space="preserve"> &amp;</w:t>
      </w:r>
      <w:r>
        <w:rPr>
          <w:rFonts w:asciiTheme="majorHAnsi" w:hAnsiTheme="majorHAnsi"/>
          <w:color w:val="000000"/>
        </w:rPr>
        <w:t xml:space="preserve"> Chastagner</w:t>
      </w:r>
      <w:r>
        <w:rPr>
          <w:rFonts w:asciiTheme="majorHAnsi" w:hAnsiTheme="majorHAnsi"/>
        </w:rPr>
        <w:t>,</w:t>
      </w:r>
      <w:r>
        <w:rPr>
          <w:rFonts w:asciiTheme="majorHAnsi" w:hAnsiTheme="majorHAnsi"/>
          <w:color w:val="000000"/>
        </w:rPr>
        <w:t xml:space="preserve"> GA 2011</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 xml:space="preserve">First report of </w:t>
      </w:r>
      <w:r>
        <w:rPr>
          <w:rFonts w:asciiTheme="majorHAnsi" w:hAnsiTheme="majorHAnsi"/>
          <w:i/>
        </w:rPr>
        <w:t>Phytophthora ramorum</w:t>
      </w:r>
      <w:r>
        <w:rPr>
          <w:rFonts w:asciiTheme="majorHAnsi" w:hAnsiTheme="majorHAnsi"/>
          <w:color w:val="000000"/>
        </w:rPr>
        <w:t xml:space="preserve"> infecting mistletoe in California</w:t>
      </w:r>
      <w:r>
        <w:rPr>
          <w:rFonts w:asciiTheme="majorHAnsi" w:hAnsiTheme="majorHAnsi"/>
        </w:rPr>
        <w:t xml:space="preserve">’, </w:t>
      </w:r>
      <w:r>
        <w:rPr>
          <w:rFonts w:asciiTheme="majorHAnsi" w:hAnsiTheme="majorHAnsi"/>
          <w:i/>
          <w:color w:val="000000"/>
        </w:rPr>
        <w:t>Plant Health Progress</w:t>
      </w:r>
      <w:r>
        <w:rPr>
          <w:rFonts w:asciiTheme="majorHAnsi" w:hAnsiTheme="majorHAnsi"/>
        </w:rPr>
        <w:t>,</w:t>
      </w:r>
      <w:r>
        <w:rPr>
          <w:rFonts w:asciiTheme="majorHAnsi" w:hAnsiTheme="majorHAnsi"/>
          <w:color w:val="000000"/>
        </w:rPr>
        <w:t xml:space="preserve"> doi: 10.1094/PHP-2011-0209-02-BF.</w:t>
      </w:r>
    </w:p>
    <w:p w:rsidR="00C74066" w:rsidRDefault="00F10705">
      <w:pPr>
        <w:autoSpaceDE w:val="0"/>
        <w:autoSpaceDN w:val="0"/>
        <w:adjustRightInd w:val="0"/>
        <w:spacing w:before="120" w:after="120" w:line="271" w:lineRule="auto"/>
        <w:rPr>
          <w:rFonts w:asciiTheme="majorHAnsi" w:hAnsiTheme="majorHAnsi"/>
          <w:color w:val="000000"/>
        </w:rPr>
      </w:pPr>
      <w:r>
        <w:rPr>
          <w:rFonts w:asciiTheme="majorHAnsi" w:hAnsiTheme="majorHAnsi"/>
          <w:color w:val="000000"/>
        </w:rPr>
        <w:t>Riley</w:t>
      </w:r>
      <w:r>
        <w:rPr>
          <w:rFonts w:asciiTheme="majorHAnsi" w:hAnsiTheme="majorHAnsi"/>
        </w:rPr>
        <w:t>,</w:t>
      </w:r>
      <w:r>
        <w:rPr>
          <w:rFonts w:asciiTheme="majorHAnsi" w:hAnsiTheme="majorHAnsi"/>
          <w:color w:val="000000"/>
        </w:rPr>
        <w:t xml:space="preserve"> KL, Chastagner</w:t>
      </w:r>
      <w:r>
        <w:rPr>
          <w:rFonts w:asciiTheme="majorHAnsi" w:hAnsiTheme="majorHAnsi"/>
        </w:rPr>
        <w:t>,</w:t>
      </w:r>
      <w:r>
        <w:rPr>
          <w:rFonts w:asciiTheme="majorHAnsi" w:hAnsiTheme="majorHAnsi"/>
          <w:color w:val="000000"/>
        </w:rPr>
        <w:t xml:space="preserve"> GA</w:t>
      </w:r>
      <w:r>
        <w:rPr>
          <w:rFonts w:asciiTheme="majorHAnsi" w:hAnsiTheme="majorHAnsi"/>
        </w:rPr>
        <w:t xml:space="preserve"> &amp;</w:t>
      </w:r>
      <w:r>
        <w:rPr>
          <w:rFonts w:asciiTheme="majorHAnsi" w:hAnsiTheme="majorHAnsi"/>
          <w:color w:val="000000"/>
        </w:rPr>
        <w:t xml:space="preserve"> Blomquist</w:t>
      </w:r>
      <w:r>
        <w:rPr>
          <w:rFonts w:asciiTheme="majorHAnsi" w:hAnsiTheme="majorHAnsi"/>
        </w:rPr>
        <w:t>,</w:t>
      </w:r>
      <w:r>
        <w:rPr>
          <w:rFonts w:asciiTheme="majorHAnsi" w:hAnsiTheme="majorHAnsi"/>
          <w:color w:val="000000"/>
        </w:rPr>
        <w:t xml:space="preserve"> C 2011</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 xml:space="preserve">First report of </w:t>
      </w:r>
      <w:r>
        <w:rPr>
          <w:rFonts w:asciiTheme="majorHAnsi" w:hAnsiTheme="majorHAnsi"/>
          <w:i/>
        </w:rPr>
        <w:t>Phytophthora ramorum</w:t>
      </w:r>
      <w:r>
        <w:rPr>
          <w:rFonts w:asciiTheme="majorHAnsi" w:hAnsiTheme="majorHAnsi"/>
          <w:color w:val="000000"/>
        </w:rPr>
        <w:t xml:space="preserve"> infecting grand fir in California</w:t>
      </w:r>
      <w:r>
        <w:rPr>
          <w:rFonts w:asciiTheme="majorHAnsi" w:hAnsiTheme="majorHAnsi"/>
        </w:rPr>
        <w:t xml:space="preserve">’, </w:t>
      </w:r>
      <w:r>
        <w:rPr>
          <w:rFonts w:asciiTheme="majorHAnsi" w:hAnsiTheme="majorHAnsi"/>
          <w:i/>
          <w:color w:val="000000"/>
        </w:rPr>
        <w:t>Plant Health Progress</w:t>
      </w:r>
      <w:r>
        <w:rPr>
          <w:rFonts w:asciiTheme="majorHAnsi" w:hAnsiTheme="majorHAnsi"/>
        </w:rPr>
        <w:t>,</w:t>
      </w:r>
      <w:r>
        <w:rPr>
          <w:rFonts w:asciiTheme="majorHAnsi" w:hAnsiTheme="majorHAnsi"/>
          <w:color w:val="000000"/>
        </w:rPr>
        <w:t xml:space="preserve"> </w:t>
      </w:r>
      <w:r>
        <w:rPr>
          <w:rFonts w:asciiTheme="majorHAnsi" w:hAnsiTheme="majorHAnsi"/>
        </w:rPr>
        <w:t>d</w:t>
      </w:r>
      <w:r>
        <w:rPr>
          <w:rFonts w:asciiTheme="majorHAnsi" w:hAnsiTheme="majorHAnsi"/>
          <w:color w:val="000000"/>
        </w:rPr>
        <w:t>oi: 10.1094/PHP-2011-0401-01-BR.</w:t>
      </w:r>
    </w:p>
    <w:p w:rsidR="00C74066" w:rsidRDefault="00F10705">
      <w:pPr>
        <w:autoSpaceDE w:val="0"/>
        <w:autoSpaceDN w:val="0"/>
        <w:adjustRightInd w:val="0"/>
        <w:spacing w:before="120" w:after="120" w:line="271" w:lineRule="auto"/>
        <w:rPr>
          <w:rFonts w:asciiTheme="majorHAnsi" w:hAnsiTheme="majorHAnsi"/>
          <w:color w:val="000000"/>
        </w:rPr>
      </w:pPr>
      <w:r>
        <w:rPr>
          <w:rFonts w:asciiTheme="majorHAnsi" w:hAnsiTheme="majorHAnsi"/>
          <w:color w:val="000000"/>
        </w:rPr>
        <w:t>Ristaino</w:t>
      </w:r>
      <w:r>
        <w:rPr>
          <w:rFonts w:asciiTheme="majorHAnsi" w:hAnsiTheme="majorHAnsi"/>
        </w:rPr>
        <w:t>,</w:t>
      </w:r>
      <w:r>
        <w:rPr>
          <w:rFonts w:asciiTheme="majorHAnsi" w:hAnsiTheme="majorHAnsi"/>
          <w:color w:val="000000"/>
        </w:rPr>
        <w:t xml:space="preserve"> JB</w:t>
      </w:r>
      <w:r>
        <w:rPr>
          <w:rFonts w:asciiTheme="majorHAnsi" w:hAnsiTheme="majorHAnsi"/>
        </w:rPr>
        <w:t xml:space="preserve"> &amp;</w:t>
      </w:r>
      <w:r>
        <w:rPr>
          <w:rFonts w:asciiTheme="majorHAnsi" w:hAnsiTheme="majorHAnsi"/>
          <w:color w:val="000000"/>
        </w:rPr>
        <w:t xml:space="preserve"> Gumpertz</w:t>
      </w:r>
      <w:r>
        <w:rPr>
          <w:rFonts w:asciiTheme="majorHAnsi" w:hAnsiTheme="majorHAnsi"/>
        </w:rPr>
        <w:t>,</w:t>
      </w:r>
      <w:r>
        <w:rPr>
          <w:rFonts w:asciiTheme="majorHAnsi" w:hAnsiTheme="majorHAnsi"/>
          <w:color w:val="000000"/>
        </w:rPr>
        <w:t xml:space="preserve"> ML 2000</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 xml:space="preserve">New frontiers in the study of dispersal and spatial analysis of epidemics caused by species in the genus </w:t>
      </w:r>
      <w:r>
        <w:rPr>
          <w:rFonts w:asciiTheme="majorHAnsi" w:hAnsiTheme="majorHAnsi"/>
          <w:i/>
          <w:color w:val="000000"/>
        </w:rPr>
        <w:t>Phytophthora</w:t>
      </w:r>
      <w:r>
        <w:rPr>
          <w:rFonts w:asciiTheme="majorHAnsi" w:hAnsiTheme="majorHAnsi"/>
        </w:rPr>
        <w:t xml:space="preserve">’, </w:t>
      </w:r>
      <w:r>
        <w:rPr>
          <w:rFonts w:asciiTheme="majorHAnsi" w:hAnsiTheme="majorHAnsi"/>
          <w:i/>
          <w:color w:val="000000"/>
        </w:rPr>
        <w:t>Annual Review of Phytopathology</w:t>
      </w:r>
      <w:r>
        <w:rPr>
          <w:rFonts w:asciiTheme="majorHAnsi" w:hAnsiTheme="majorHAnsi"/>
        </w:rPr>
        <w:t>,</w:t>
      </w:r>
      <w:r>
        <w:rPr>
          <w:rFonts w:asciiTheme="majorHAnsi" w:hAnsiTheme="majorHAnsi"/>
          <w:color w:val="000000"/>
        </w:rPr>
        <w:t xml:space="preserve"> 38: 541–576.</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Rizzo, DM &amp; Garbelotto, M 2003, ‘Sudden oak death: endangering California and Oregon forest ecosystems’, </w:t>
      </w:r>
      <w:r>
        <w:rPr>
          <w:rFonts w:asciiTheme="majorHAnsi" w:hAnsiTheme="majorHAnsi"/>
          <w:i/>
          <w:color w:val="000000"/>
        </w:rPr>
        <w:t>Frontiers in Ecology and the Environment</w:t>
      </w:r>
      <w:r>
        <w:rPr>
          <w:rFonts w:asciiTheme="majorHAnsi" w:hAnsiTheme="majorHAnsi"/>
        </w:rPr>
        <w:t>, 5: 197–204.</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t>Rizzo</w:t>
      </w:r>
      <w:r>
        <w:rPr>
          <w:rFonts w:asciiTheme="majorHAnsi" w:hAnsiTheme="majorHAnsi"/>
        </w:rPr>
        <w:t>,</w:t>
      </w:r>
      <w:r>
        <w:rPr>
          <w:rFonts w:asciiTheme="majorHAnsi" w:hAnsiTheme="majorHAnsi"/>
          <w:color w:val="000000"/>
        </w:rPr>
        <w:t xml:space="preserve"> DM, Garbelotto</w:t>
      </w:r>
      <w:r>
        <w:rPr>
          <w:rFonts w:asciiTheme="majorHAnsi" w:hAnsiTheme="majorHAnsi"/>
        </w:rPr>
        <w:t>,</w:t>
      </w:r>
      <w:r>
        <w:rPr>
          <w:rFonts w:asciiTheme="majorHAnsi" w:hAnsiTheme="majorHAnsi"/>
          <w:color w:val="000000"/>
        </w:rPr>
        <w:t xml:space="preserve"> M</w:t>
      </w:r>
      <w:r>
        <w:rPr>
          <w:rFonts w:asciiTheme="majorHAnsi" w:hAnsiTheme="majorHAnsi"/>
        </w:rPr>
        <w:t xml:space="preserve"> &amp;</w:t>
      </w:r>
      <w:r>
        <w:rPr>
          <w:rFonts w:asciiTheme="majorHAnsi" w:hAnsiTheme="majorHAnsi"/>
          <w:color w:val="000000"/>
        </w:rPr>
        <w:t xml:space="preserve"> Hansen</w:t>
      </w:r>
      <w:r>
        <w:rPr>
          <w:rFonts w:asciiTheme="majorHAnsi" w:hAnsiTheme="majorHAnsi"/>
        </w:rPr>
        <w:t>,</w:t>
      </w:r>
      <w:r>
        <w:rPr>
          <w:rFonts w:asciiTheme="majorHAnsi" w:hAnsiTheme="majorHAnsi"/>
          <w:color w:val="000000"/>
        </w:rPr>
        <w:t xml:space="preserve"> E 2005</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i/>
        </w:rPr>
        <w:t>Phytophthora ramorum</w:t>
      </w:r>
      <w:r>
        <w:rPr>
          <w:rFonts w:asciiTheme="majorHAnsi" w:hAnsiTheme="majorHAnsi"/>
          <w:color w:val="000000"/>
        </w:rPr>
        <w:t>: integrative research and management of an emerging pathogen in California and Oregon forests</w:t>
      </w:r>
      <w:r>
        <w:rPr>
          <w:rFonts w:asciiTheme="majorHAnsi" w:hAnsiTheme="majorHAnsi"/>
        </w:rPr>
        <w:t xml:space="preserve">’, </w:t>
      </w:r>
      <w:r>
        <w:rPr>
          <w:rFonts w:asciiTheme="majorHAnsi" w:hAnsiTheme="majorHAnsi"/>
          <w:i/>
          <w:color w:val="000000"/>
        </w:rPr>
        <w:t>Annual Review of Phytopathology</w:t>
      </w:r>
      <w:r>
        <w:rPr>
          <w:rFonts w:asciiTheme="majorHAnsi" w:hAnsiTheme="majorHAnsi"/>
        </w:rPr>
        <w:t>,</w:t>
      </w:r>
      <w:r>
        <w:rPr>
          <w:rFonts w:asciiTheme="majorHAnsi" w:hAnsiTheme="majorHAnsi"/>
          <w:i/>
          <w:color w:val="000000"/>
        </w:rPr>
        <w:t xml:space="preserve"> </w:t>
      </w:r>
      <w:r>
        <w:rPr>
          <w:rFonts w:asciiTheme="majorHAnsi" w:hAnsiTheme="majorHAnsi"/>
          <w:color w:val="000000"/>
        </w:rPr>
        <w:t>43: 309–335.</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Rizzo, DM, Garbelotto, M, Davidson, JM, Slaughter, GW &amp; Koike, ST 2002a, ‘</w:t>
      </w:r>
      <w:r>
        <w:rPr>
          <w:rFonts w:asciiTheme="majorHAnsi" w:hAnsiTheme="majorHAnsi"/>
          <w:i/>
        </w:rPr>
        <w:t>Phytophthora ramorum</w:t>
      </w:r>
      <w:r>
        <w:rPr>
          <w:rFonts w:asciiTheme="majorHAnsi" w:hAnsiTheme="majorHAnsi"/>
        </w:rPr>
        <w:t xml:space="preserve"> and Sudden Oak Death in California: I. Host Relationships’, </w:t>
      </w:r>
      <w:r>
        <w:rPr>
          <w:rFonts w:asciiTheme="majorHAnsi" w:hAnsiTheme="majorHAnsi"/>
          <w:i/>
          <w:color w:val="000000"/>
        </w:rPr>
        <w:t>Proceedings of the 5th Symposium on California Oak Woodlands</w:t>
      </w:r>
      <w:r>
        <w:rPr>
          <w:rFonts w:asciiTheme="majorHAnsi" w:hAnsiTheme="majorHAnsi"/>
        </w:rPr>
        <w:t>, General technical report PSW-GTR-184, 733–740.</w:t>
      </w:r>
    </w:p>
    <w:p w:rsidR="00C74066" w:rsidRDefault="00F10705">
      <w:pPr>
        <w:autoSpaceDE w:val="0"/>
        <w:autoSpaceDN w:val="0"/>
        <w:adjustRightInd w:val="0"/>
        <w:spacing w:before="120" w:after="120" w:line="271" w:lineRule="auto"/>
        <w:rPr>
          <w:rFonts w:asciiTheme="majorHAnsi" w:hAnsiTheme="majorHAnsi"/>
          <w:color w:val="000000"/>
        </w:rPr>
      </w:pPr>
      <w:r>
        <w:rPr>
          <w:rFonts w:asciiTheme="majorHAnsi" w:hAnsiTheme="majorHAnsi"/>
          <w:color w:val="000000"/>
        </w:rPr>
        <w:t>Rizzo</w:t>
      </w:r>
      <w:r>
        <w:rPr>
          <w:rFonts w:asciiTheme="majorHAnsi" w:hAnsiTheme="majorHAnsi"/>
        </w:rPr>
        <w:t>,</w:t>
      </w:r>
      <w:r>
        <w:rPr>
          <w:rFonts w:asciiTheme="majorHAnsi" w:hAnsiTheme="majorHAnsi"/>
          <w:color w:val="000000"/>
        </w:rPr>
        <w:t xml:space="preserve"> DM, Garbelotto</w:t>
      </w:r>
      <w:r>
        <w:rPr>
          <w:rFonts w:asciiTheme="majorHAnsi" w:hAnsiTheme="majorHAnsi"/>
        </w:rPr>
        <w:t>,</w:t>
      </w:r>
      <w:r>
        <w:rPr>
          <w:rFonts w:asciiTheme="majorHAnsi" w:hAnsiTheme="majorHAnsi"/>
          <w:color w:val="000000"/>
        </w:rPr>
        <w:t xml:space="preserve"> M, Davidson</w:t>
      </w:r>
      <w:r>
        <w:rPr>
          <w:rFonts w:asciiTheme="majorHAnsi" w:hAnsiTheme="majorHAnsi"/>
        </w:rPr>
        <w:t>,</w:t>
      </w:r>
      <w:r>
        <w:rPr>
          <w:rFonts w:asciiTheme="majorHAnsi" w:hAnsiTheme="majorHAnsi"/>
          <w:color w:val="000000"/>
        </w:rPr>
        <w:t xml:space="preserve"> JM, Slaughter</w:t>
      </w:r>
      <w:r>
        <w:rPr>
          <w:rFonts w:asciiTheme="majorHAnsi" w:hAnsiTheme="majorHAnsi"/>
        </w:rPr>
        <w:t>,</w:t>
      </w:r>
      <w:r>
        <w:rPr>
          <w:rFonts w:asciiTheme="majorHAnsi" w:hAnsiTheme="majorHAnsi"/>
          <w:color w:val="000000"/>
        </w:rPr>
        <w:t xml:space="preserve"> GW</w:t>
      </w:r>
      <w:r>
        <w:rPr>
          <w:rFonts w:asciiTheme="majorHAnsi" w:hAnsiTheme="majorHAnsi"/>
        </w:rPr>
        <w:t xml:space="preserve"> &amp;</w:t>
      </w:r>
      <w:r>
        <w:rPr>
          <w:rFonts w:asciiTheme="majorHAnsi" w:hAnsiTheme="majorHAnsi"/>
          <w:color w:val="000000"/>
        </w:rPr>
        <w:t xml:space="preserve"> Koike</w:t>
      </w:r>
      <w:r>
        <w:rPr>
          <w:rFonts w:asciiTheme="majorHAnsi" w:hAnsiTheme="majorHAnsi"/>
        </w:rPr>
        <w:t>,</w:t>
      </w:r>
      <w:r>
        <w:rPr>
          <w:rFonts w:asciiTheme="majorHAnsi" w:hAnsiTheme="majorHAnsi"/>
          <w:color w:val="000000"/>
        </w:rPr>
        <w:t xml:space="preserve"> ST 2002b</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i/>
        </w:rPr>
        <w:t>Phytophthora ramorum</w:t>
      </w:r>
      <w:r>
        <w:rPr>
          <w:rFonts w:asciiTheme="majorHAnsi" w:hAnsiTheme="majorHAnsi"/>
          <w:color w:val="000000"/>
        </w:rPr>
        <w:t xml:space="preserve"> as the cause of extensive mortality of </w:t>
      </w:r>
      <w:r>
        <w:rPr>
          <w:rFonts w:asciiTheme="majorHAnsi" w:hAnsiTheme="majorHAnsi"/>
          <w:i/>
          <w:color w:val="000000"/>
        </w:rPr>
        <w:t>Quercus</w:t>
      </w:r>
      <w:r>
        <w:rPr>
          <w:rFonts w:asciiTheme="majorHAnsi" w:hAnsiTheme="majorHAnsi"/>
          <w:color w:val="000000"/>
        </w:rPr>
        <w:t xml:space="preserve"> </w:t>
      </w:r>
      <w:r>
        <w:rPr>
          <w:rFonts w:asciiTheme="majorHAnsi" w:hAnsiTheme="majorHAnsi"/>
        </w:rPr>
        <w:t>species</w:t>
      </w:r>
      <w:r>
        <w:rPr>
          <w:rFonts w:asciiTheme="majorHAnsi" w:hAnsiTheme="majorHAnsi"/>
          <w:color w:val="000000"/>
        </w:rPr>
        <w:t xml:space="preserve"> and </w:t>
      </w:r>
      <w:r>
        <w:rPr>
          <w:rFonts w:asciiTheme="majorHAnsi" w:hAnsiTheme="majorHAnsi"/>
          <w:i/>
          <w:color w:val="000000"/>
        </w:rPr>
        <w:t>Lithocarpus densiflorus</w:t>
      </w:r>
      <w:r>
        <w:rPr>
          <w:rFonts w:asciiTheme="majorHAnsi" w:hAnsiTheme="majorHAnsi"/>
          <w:color w:val="000000"/>
        </w:rPr>
        <w:t xml:space="preserve"> in California</w:t>
      </w:r>
      <w:r>
        <w:rPr>
          <w:rFonts w:asciiTheme="majorHAnsi" w:hAnsiTheme="majorHAnsi"/>
        </w:rPr>
        <w:t xml:space="preserve">’, </w:t>
      </w:r>
      <w:r>
        <w:rPr>
          <w:rFonts w:asciiTheme="majorHAnsi" w:hAnsiTheme="majorHAnsi"/>
          <w:i/>
        </w:rPr>
        <w:t>Plant Disease</w:t>
      </w:r>
      <w:r>
        <w:rPr>
          <w:rFonts w:asciiTheme="majorHAnsi" w:hAnsiTheme="majorHAnsi"/>
        </w:rPr>
        <w:t>,</w:t>
      </w:r>
      <w:r>
        <w:rPr>
          <w:rFonts w:asciiTheme="majorHAnsi" w:hAnsiTheme="majorHAnsi"/>
          <w:color w:val="000000"/>
        </w:rPr>
        <w:t xml:space="preserve"> 86: 205</w:t>
      </w:r>
      <w:r>
        <w:rPr>
          <w:rFonts w:asciiTheme="majorHAnsi" w:hAnsiTheme="majorHAnsi"/>
        </w:rPr>
        <w:t>–2</w:t>
      </w:r>
      <w:r>
        <w:rPr>
          <w:rFonts w:asciiTheme="majorHAnsi" w:hAnsiTheme="majorHAnsi"/>
          <w:color w:val="000000"/>
        </w:rPr>
        <w:t>14.</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Rooney-Latham, S, Honeycutt, E, Ochoa, J, Grünwald, NJ &amp; Blomquist, CL 2013, ‘First report of Camphor Tree (</w:t>
      </w:r>
      <w:r>
        <w:rPr>
          <w:rFonts w:asciiTheme="majorHAnsi" w:hAnsiTheme="majorHAnsi"/>
          <w:i/>
        </w:rPr>
        <w:t>Cinnamomum camphora</w:t>
      </w:r>
      <w:r>
        <w:rPr>
          <w:rFonts w:asciiTheme="majorHAnsi" w:hAnsiTheme="majorHAnsi"/>
        </w:rPr>
        <w:t xml:space="preserve">) as a host plant of </w:t>
      </w:r>
      <w:r>
        <w:rPr>
          <w:rFonts w:asciiTheme="majorHAnsi" w:hAnsiTheme="majorHAnsi"/>
          <w:i/>
        </w:rPr>
        <w:t>Phytophthora ramorum</w:t>
      </w:r>
      <w:r>
        <w:rPr>
          <w:rFonts w:asciiTheme="majorHAnsi" w:hAnsiTheme="majorHAnsi"/>
        </w:rPr>
        <w:t xml:space="preserve">’, </w:t>
      </w:r>
      <w:r>
        <w:rPr>
          <w:rFonts w:asciiTheme="majorHAnsi" w:hAnsiTheme="majorHAnsi"/>
          <w:i/>
        </w:rPr>
        <w:t>Plant Disease</w:t>
      </w:r>
      <w:r>
        <w:rPr>
          <w:rFonts w:asciiTheme="majorHAnsi" w:hAnsiTheme="majorHAnsi"/>
        </w:rPr>
        <w:t>, 97: 1377.</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t>Rytkönen</w:t>
      </w:r>
      <w:r>
        <w:rPr>
          <w:rFonts w:asciiTheme="majorHAnsi" w:hAnsiTheme="majorHAnsi"/>
        </w:rPr>
        <w:t>,</w:t>
      </w:r>
      <w:r>
        <w:rPr>
          <w:rFonts w:asciiTheme="majorHAnsi" w:hAnsiTheme="majorHAnsi"/>
          <w:color w:val="000000"/>
        </w:rPr>
        <w:t xml:space="preserve"> A, Lilja</w:t>
      </w:r>
      <w:r>
        <w:rPr>
          <w:rFonts w:asciiTheme="majorHAnsi" w:hAnsiTheme="majorHAnsi"/>
        </w:rPr>
        <w:t>,</w:t>
      </w:r>
      <w:r>
        <w:rPr>
          <w:rFonts w:asciiTheme="majorHAnsi" w:hAnsiTheme="majorHAnsi"/>
          <w:color w:val="000000"/>
        </w:rPr>
        <w:t xml:space="preserve"> A, Parikka</w:t>
      </w:r>
      <w:r>
        <w:rPr>
          <w:rFonts w:asciiTheme="majorHAnsi" w:hAnsiTheme="majorHAnsi"/>
        </w:rPr>
        <w:t>,</w:t>
      </w:r>
      <w:r>
        <w:rPr>
          <w:rFonts w:asciiTheme="majorHAnsi" w:hAnsiTheme="majorHAnsi"/>
          <w:color w:val="000000"/>
        </w:rPr>
        <w:t xml:space="preserve"> P, Hannukkala</w:t>
      </w:r>
      <w:r>
        <w:rPr>
          <w:rFonts w:asciiTheme="majorHAnsi" w:hAnsiTheme="majorHAnsi"/>
        </w:rPr>
        <w:t xml:space="preserve">, </w:t>
      </w:r>
      <w:r>
        <w:rPr>
          <w:rFonts w:asciiTheme="majorHAnsi" w:hAnsiTheme="majorHAnsi"/>
          <w:color w:val="000000"/>
        </w:rPr>
        <w:t>A, Kokkola</w:t>
      </w:r>
      <w:r>
        <w:rPr>
          <w:rFonts w:asciiTheme="majorHAnsi" w:hAnsiTheme="majorHAnsi"/>
        </w:rPr>
        <w:t>,</w:t>
      </w:r>
      <w:r>
        <w:rPr>
          <w:rFonts w:asciiTheme="majorHAnsi" w:hAnsiTheme="majorHAnsi"/>
          <w:color w:val="000000"/>
        </w:rPr>
        <w:t xml:space="preserve"> M</w:t>
      </w:r>
      <w:r>
        <w:rPr>
          <w:rFonts w:asciiTheme="majorHAnsi" w:hAnsiTheme="majorHAnsi"/>
        </w:rPr>
        <w:t xml:space="preserve"> &amp;</w:t>
      </w:r>
      <w:r>
        <w:rPr>
          <w:rFonts w:asciiTheme="majorHAnsi" w:hAnsiTheme="majorHAnsi"/>
          <w:color w:val="000000"/>
        </w:rPr>
        <w:t xml:space="preserve"> Hantula</w:t>
      </w:r>
      <w:r>
        <w:rPr>
          <w:rFonts w:asciiTheme="majorHAnsi" w:hAnsiTheme="majorHAnsi"/>
        </w:rPr>
        <w:t>,</w:t>
      </w:r>
      <w:r>
        <w:rPr>
          <w:rFonts w:asciiTheme="majorHAnsi" w:hAnsiTheme="majorHAnsi"/>
          <w:color w:val="000000"/>
        </w:rPr>
        <w:t xml:space="preserve"> J</w:t>
      </w:r>
      <w:r>
        <w:rPr>
          <w:rFonts w:asciiTheme="majorHAnsi" w:hAnsiTheme="majorHAnsi"/>
        </w:rPr>
        <w:t xml:space="preserve"> </w:t>
      </w:r>
      <w:r>
        <w:rPr>
          <w:rFonts w:asciiTheme="majorHAnsi" w:hAnsiTheme="majorHAnsi"/>
          <w:color w:val="000000"/>
        </w:rPr>
        <w:t>2007</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i/>
          <w:color w:val="000000"/>
        </w:rPr>
        <w:t>Phytophthora</w:t>
      </w:r>
      <w:r>
        <w:rPr>
          <w:rFonts w:asciiTheme="majorHAnsi" w:hAnsiTheme="majorHAnsi"/>
          <w:color w:val="000000"/>
        </w:rPr>
        <w:t xml:space="preserve"> species</w:t>
      </w:r>
      <w:r>
        <w:rPr>
          <w:rFonts w:asciiTheme="majorHAnsi" w:hAnsiTheme="majorHAnsi"/>
        </w:rPr>
        <w:t>’, In: ‘</w:t>
      </w:r>
      <w:r>
        <w:rPr>
          <w:rFonts w:asciiTheme="majorHAnsi" w:hAnsiTheme="majorHAnsi"/>
          <w:i/>
          <w:color w:val="000000"/>
        </w:rPr>
        <w:t>Phytophthora</w:t>
      </w:r>
      <w:r>
        <w:rPr>
          <w:rFonts w:asciiTheme="majorHAnsi" w:hAnsiTheme="majorHAnsi"/>
        </w:rPr>
        <w:t xml:space="preserve">s in Forests and Natural Ecosystems’, </w:t>
      </w:r>
      <w:r>
        <w:rPr>
          <w:rFonts w:asciiTheme="majorHAnsi" w:hAnsiTheme="majorHAnsi"/>
          <w:i/>
          <w:color w:val="000000"/>
        </w:rPr>
        <w:t>Finlandin Meeting Abstracts of the Fourth International IUFRO Working Party</w:t>
      </w:r>
      <w:r>
        <w:rPr>
          <w:rFonts w:asciiTheme="majorHAnsi" w:hAnsiTheme="majorHAnsi"/>
        </w:rPr>
        <w:t xml:space="preserve">, 62.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lastRenderedPageBreak/>
        <w:t xml:space="preserve">Sansford, C 2012, ‘Revised Rapid Assessment of the need for a detailed Pest Risk Analysis for </w:t>
      </w:r>
      <w:r>
        <w:rPr>
          <w:rFonts w:asciiTheme="majorHAnsi" w:hAnsiTheme="majorHAnsi"/>
          <w:i/>
        </w:rPr>
        <w:t>Phytophthora pseudosyringae</w:t>
      </w:r>
      <w:r>
        <w:rPr>
          <w:rFonts w:asciiTheme="majorHAnsi" w:hAnsiTheme="majorHAnsi"/>
        </w:rPr>
        <w:t>’, Food and Environment Res</w:t>
      </w:r>
      <w:r w:rsidR="007B1790">
        <w:rPr>
          <w:rFonts w:asciiTheme="majorHAnsi" w:hAnsiTheme="majorHAnsi"/>
        </w:rPr>
        <w:t xml:space="preserve">earch Agency (FERA), </w:t>
      </w:r>
      <w:r>
        <w:rPr>
          <w:rFonts w:asciiTheme="majorHAnsi" w:hAnsiTheme="majorHAnsi"/>
        </w:rPr>
        <w:t xml:space="preserve">fera.defra.gov.uk/plants/plantHealth/pestsDiseases/documents/phytophthoraPseudosyringae0312.pdf, Accessed March 2014.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Sansford, CE 2008, ‘Revised summary pest risk analysis for </w:t>
      </w:r>
      <w:r>
        <w:rPr>
          <w:rFonts w:asciiTheme="majorHAnsi" w:hAnsiTheme="majorHAnsi"/>
          <w:i/>
        </w:rPr>
        <w:t>Phytophthora kernoviae</w:t>
      </w:r>
      <w:r>
        <w:rPr>
          <w:rFonts w:asciiTheme="majorHAnsi" w:hAnsiTheme="majorHAnsi"/>
          <w:color w:val="000000"/>
        </w:rPr>
        <w:t xml:space="preserve">’, </w:t>
      </w:r>
      <w:r w:rsidR="007B1790">
        <w:rPr>
          <w:rFonts w:asciiTheme="majorHAnsi" w:hAnsiTheme="majorHAnsi"/>
        </w:rPr>
        <w:t xml:space="preserve">CSL Forest Research, </w:t>
      </w:r>
      <w:r>
        <w:rPr>
          <w:rFonts w:asciiTheme="majorHAnsi" w:hAnsiTheme="majorHAnsi"/>
        </w:rPr>
        <w:t xml:space="preserve">fera.defra.gov.uk/plants/plantHealth/pestsDiseases/documents/pker.pdf.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Sansford, CE, Inman, AJ, Baker, R, Brasier, C, Frankel, S, de Gruyter, J, Husson, C, Kehlenbeck, H, Kessel, G, Moralejo, E, Steeghs, M, Webber, J &amp; Werres, S 2009, ‘Report on the risk of entry, establishment, spread and socio-economic loss and environmental impact and the appropriate level of management for </w:t>
      </w:r>
      <w:r>
        <w:rPr>
          <w:rFonts w:asciiTheme="majorHAnsi" w:hAnsiTheme="majorHAnsi"/>
          <w:i/>
        </w:rPr>
        <w:t>Phytophthora ramorum</w:t>
      </w:r>
      <w:r>
        <w:rPr>
          <w:rFonts w:asciiTheme="majorHAnsi" w:hAnsiTheme="majorHAnsi"/>
        </w:rPr>
        <w:t xml:space="preserve"> for the EU’, EU Sixth Framework Project RAPRA</w:t>
      </w:r>
      <w:r w:rsidR="007B1790">
        <w:rPr>
          <w:rFonts w:asciiTheme="majorHAnsi" w:hAnsiTheme="majorHAnsi"/>
        </w:rPr>
        <w:t xml:space="preserve">, Deliverable Report 28, </w:t>
      </w:r>
      <w:r>
        <w:rPr>
          <w:rFonts w:asciiTheme="majorHAnsi" w:hAnsiTheme="majorHAnsi"/>
        </w:rPr>
        <w:t>rapra.csl.gov.uk/.</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Savidor, A, Ryan, S, Donahoo, RS, Hurtado-Gonzales, O, Land, ML, Shah, MB, Lamour, KH &amp; McDonald, WH 2008, ‘Cross-species global proteomics reveals conserved and unique processes in </w:t>
      </w:r>
      <w:r>
        <w:rPr>
          <w:rFonts w:asciiTheme="majorHAnsi" w:hAnsiTheme="majorHAnsi"/>
          <w:i/>
        </w:rPr>
        <w:t>Phytophthora sojae</w:t>
      </w:r>
      <w:r>
        <w:rPr>
          <w:rFonts w:asciiTheme="majorHAnsi" w:hAnsiTheme="majorHAnsi"/>
        </w:rPr>
        <w:t xml:space="preserve"> and </w:t>
      </w:r>
      <w:r>
        <w:rPr>
          <w:rFonts w:asciiTheme="majorHAnsi" w:hAnsiTheme="majorHAnsi"/>
          <w:i/>
        </w:rPr>
        <w:t>Phytophthora ramorum</w:t>
      </w:r>
      <w:r>
        <w:rPr>
          <w:rFonts w:asciiTheme="majorHAnsi" w:hAnsiTheme="majorHAnsi"/>
        </w:rPr>
        <w:t xml:space="preserve">’, </w:t>
      </w:r>
      <w:r>
        <w:rPr>
          <w:rFonts w:asciiTheme="majorHAnsi" w:hAnsiTheme="majorHAnsi"/>
          <w:i/>
        </w:rPr>
        <w:t>Molecular &amp; Cellular Proteomics</w:t>
      </w:r>
      <w:r>
        <w:rPr>
          <w:rFonts w:asciiTheme="majorHAnsi" w:hAnsiTheme="majorHAnsi"/>
        </w:rPr>
        <w:t>, 7.8: 1501–1516.</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Scanu, B, Jones, B &amp; Webber, JF 2012, ‘A new disease of </w:t>
      </w:r>
      <w:r>
        <w:rPr>
          <w:rFonts w:asciiTheme="majorHAnsi" w:hAnsiTheme="majorHAnsi"/>
          <w:i/>
        </w:rPr>
        <w:t>Nothofagus</w:t>
      </w:r>
      <w:r>
        <w:rPr>
          <w:rFonts w:asciiTheme="majorHAnsi" w:hAnsiTheme="majorHAnsi"/>
        </w:rPr>
        <w:t xml:space="preserve"> in Britain caused by </w:t>
      </w:r>
      <w:r>
        <w:rPr>
          <w:rFonts w:asciiTheme="majorHAnsi" w:hAnsiTheme="majorHAnsi"/>
          <w:i/>
        </w:rPr>
        <w:t>Phytophthora pseudosyringae</w:t>
      </w:r>
      <w:r>
        <w:rPr>
          <w:rFonts w:asciiTheme="majorHAnsi" w:hAnsiTheme="majorHAnsi"/>
        </w:rPr>
        <w:t xml:space="preserve">’, </w:t>
      </w:r>
      <w:r>
        <w:rPr>
          <w:rFonts w:asciiTheme="majorHAnsi" w:hAnsiTheme="majorHAnsi"/>
          <w:i/>
        </w:rPr>
        <w:t>New Disease Reports</w:t>
      </w:r>
      <w:r>
        <w:rPr>
          <w:rFonts w:asciiTheme="majorHAnsi" w:hAnsiTheme="majorHAnsi"/>
        </w:rPr>
        <w:t>, 25: 27.</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Scanu, B, Linaldeddu, BT &amp; Franceschini, A 2010, ‘First report of </w:t>
      </w:r>
      <w:r>
        <w:rPr>
          <w:rFonts w:asciiTheme="majorHAnsi" w:hAnsiTheme="majorHAnsi"/>
          <w:i/>
        </w:rPr>
        <w:t>Phytophthora pseudosyringae</w:t>
      </w:r>
      <w:r>
        <w:rPr>
          <w:rFonts w:asciiTheme="majorHAnsi" w:hAnsiTheme="majorHAnsi"/>
        </w:rPr>
        <w:t xml:space="preserve"> associated with ink disease of </w:t>
      </w:r>
      <w:r>
        <w:rPr>
          <w:rFonts w:asciiTheme="majorHAnsi" w:hAnsiTheme="majorHAnsi"/>
          <w:i/>
        </w:rPr>
        <w:t>Castanea sativa</w:t>
      </w:r>
      <w:r>
        <w:rPr>
          <w:rFonts w:asciiTheme="majorHAnsi" w:hAnsiTheme="majorHAnsi"/>
        </w:rPr>
        <w:t xml:space="preserve"> in Italy’, </w:t>
      </w:r>
      <w:r>
        <w:rPr>
          <w:rFonts w:asciiTheme="majorHAnsi" w:hAnsiTheme="majorHAnsi"/>
          <w:i/>
        </w:rPr>
        <w:t>Plant Disease</w:t>
      </w:r>
      <w:r>
        <w:rPr>
          <w:rFonts w:asciiTheme="majorHAnsi" w:hAnsiTheme="majorHAnsi"/>
        </w:rPr>
        <w:t>, 94: 1068.</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Schwingle, BW &amp; Blanchette, RA 2008, ‘Host range investigations of new, undescribed, and common </w:t>
      </w:r>
      <w:r>
        <w:rPr>
          <w:rFonts w:asciiTheme="majorHAnsi" w:hAnsiTheme="majorHAnsi"/>
          <w:i/>
        </w:rPr>
        <w:t>Phytophthora</w:t>
      </w:r>
      <w:r>
        <w:rPr>
          <w:rFonts w:asciiTheme="majorHAnsi" w:hAnsiTheme="majorHAnsi"/>
        </w:rPr>
        <w:t xml:space="preserve"> species isolated from ornamental nurseries in Minnesota’, </w:t>
      </w:r>
      <w:r>
        <w:rPr>
          <w:rFonts w:asciiTheme="majorHAnsi" w:hAnsiTheme="majorHAnsi"/>
          <w:i/>
        </w:rPr>
        <w:t>Plant Disease</w:t>
      </w:r>
      <w:r>
        <w:rPr>
          <w:rFonts w:asciiTheme="majorHAnsi" w:hAnsiTheme="majorHAnsi"/>
        </w:rPr>
        <w:t>,</w:t>
      </w:r>
      <w:r>
        <w:rPr>
          <w:rFonts w:asciiTheme="majorHAnsi" w:hAnsiTheme="majorHAnsi"/>
          <w:i/>
        </w:rPr>
        <w:t xml:space="preserve"> </w:t>
      </w:r>
      <w:r>
        <w:rPr>
          <w:rFonts w:asciiTheme="majorHAnsi" w:hAnsiTheme="majorHAnsi"/>
        </w:rPr>
        <w:t>92: 642–647.</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Schwingle, BW, Smith, JA &amp; Blanchette, RA 2007, ‘</w:t>
      </w:r>
      <w:r>
        <w:rPr>
          <w:rFonts w:asciiTheme="majorHAnsi" w:hAnsiTheme="majorHAnsi"/>
          <w:i/>
        </w:rPr>
        <w:t>Phytophthora</w:t>
      </w:r>
      <w:r>
        <w:rPr>
          <w:rFonts w:asciiTheme="majorHAnsi" w:hAnsiTheme="majorHAnsi"/>
        </w:rPr>
        <w:t xml:space="preserve"> species associated with diseased woody ornamentals in Minnesota nurseries’, </w:t>
      </w:r>
      <w:r>
        <w:rPr>
          <w:rFonts w:asciiTheme="majorHAnsi" w:hAnsiTheme="majorHAnsi"/>
          <w:i/>
        </w:rPr>
        <w:t>Plant Disease</w:t>
      </w:r>
      <w:r>
        <w:rPr>
          <w:rFonts w:asciiTheme="majorHAnsi" w:hAnsiTheme="majorHAnsi"/>
        </w:rPr>
        <w:t>, 91: 97–102.</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Schwingle, BW, Smith, JA, Blanchette, RA, Gould, S, Blanchette, BL, Pokorny, J &amp; Cohen, SD 2006, ‘First report of dieback and leaf lesions on </w:t>
      </w:r>
      <w:r>
        <w:rPr>
          <w:rFonts w:asciiTheme="majorHAnsi" w:hAnsiTheme="majorHAnsi"/>
          <w:i/>
        </w:rPr>
        <w:t>Rhododendron</w:t>
      </w:r>
      <w:r>
        <w:rPr>
          <w:rFonts w:asciiTheme="majorHAnsi" w:hAnsiTheme="majorHAnsi"/>
        </w:rPr>
        <w:t xml:space="preserve"> sp. caused by </w:t>
      </w:r>
      <w:r>
        <w:rPr>
          <w:rFonts w:asciiTheme="majorHAnsi" w:hAnsiTheme="majorHAnsi"/>
          <w:i/>
        </w:rPr>
        <w:t>Phytophthora hedraiandra</w:t>
      </w:r>
      <w:r>
        <w:rPr>
          <w:rFonts w:asciiTheme="majorHAnsi" w:hAnsiTheme="majorHAnsi"/>
        </w:rPr>
        <w:t xml:space="preserve"> in the United States’, </w:t>
      </w:r>
      <w:r>
        <w:rPr>
          <w:rFonts w:asciiTheme="majorHAnsi" w:hAnsiTheme="majorHAnsi"/>
          <w:i/>
        </w:rPr>
        <w:t>Plant Disease</w:t>
      </w:r>
      <w:r>
        <w:rPr>
          <w:rFonts w:asciiTheme="majorHAnsi" w:hAnsiTheme="majorHAnsi"/>
        </w:rPr>
        <w:t>, 90; 109.</w:t>
      </w:r>
    </w:p>
    <w:p w:rsidR="00C74066" w:rsidRDefault="00F10705">
      <w:pPr>
        <w:autoSpaceDE w:val="0"/>
        <w:autoSpaceDN w:val="0"/>
        <w:adjustRightInd w:val="0"/>
        <w:spacing w:before="120" w:after="120" w:line="271" w:lineRule="auto"/>
        <w:rPr>
          <w:rFonts w:asciiTheme="majorHAnsi" w:hAnsiTheme="majorHAnsi"/>
          <w:color w:val="000000"/>
        </w:rPr>
      </w:pPr>
      <w:r>
        <w:rPr>
          <w:rFonts w:asciiTheme="majorHAnsi" w:hAnsiTheme="majorHAnsi"/>
          <w:color w:val="000000"/>
        </w:rPr>
        <w:t>Scianna</w:t>
      </w:r>
      <w:r>
        <w:rPr>
          <w:rFonts w:asciiTheme="majorHAnsi" w:hAnsiTheme="majorHAnsi"/>
        </w:rPr>
        <w:t>,</w:t>
      </w:r>
      <w:r>
        <w:rPr>
          <w:rFonts w:asciiTheme="majorHAnsi" w:hAnsiTheme="majorHAnsi"/>
          <w:color w:val="000000"/>
        </w:rPr>
        <w:t xml:space="preserve"> JD, Knudson</w:t>
      </w:r>
      <w:r>
        <w:rPr>
          <w:rFonts w:asciiTheme="majorHAnsi" w:hAnsiTheme="majorHAnsi"/>
        </w:rPr>
        <w:t>,</w:t>
      </w:r>
      <w:r>
        <w:rPr>
          <w:rFonts w:asciiTheme="majorHAnsi" w:hAnsiTheme="majorHAnsi"/>
          <w:color w:val="000000"/>
        </w:rPr>
        <w:t xml:space="preserve"> MK</w:t>
      </w:r>
      <w:r>
        <w:rPr>
          <w:rFonts w:asciiTheme="majorHAnsi" w:hAnsiTheme="majorHAnsi"/>
        </w:rPr>
        <w:t xml:space="preserve"> &amp;</w:t>
      </w:r>
      <w:r>
        <w:rPr>
          <w:rFonts w:asciiTheme="majorHAnsi" w:hAnsiTheme="majorHAnsi"/>
          <w:color w:val="000000"/>
        </w:rPr>
        <w:t xml:space="preserve"> Dickerson</w:t>
      </w:r>
      <w:r>
        <w:rPr>
          <w:rFonts w:asciiTheme="majorHAnsi" w:hAnsiTheme="majorHAnsi"/>
        </w:rPr>
        <w:t>,</w:t>
      </w:r>
      <w:r>
        <w:rPr>
          <w:rFonts w:asciiTheme="majorHAnsi" w:hAnsiTheme="majorHAnsi"/>
          <w:color w:val="000000"/>
        </w:rPr>
        <w:t xml:space="preserve"> JA 2003</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i/>
          <w:color w:val="000000"/>
        </w:rPr>
        <w:t>Sudden Oak Death (SOD)</w:t>
      </w:r>
      <w:r>
        <w:rPr>
          <w:rFonts w:asciiTheme="majorHAnsi" w:hAnsiTheme="majorHAnsi"/>
          <w:color w:val="000000"/>
        </w:rPr>
        <w:t>’</w:t>
      </w:r>
      <w:r>
        <w:rPr>
          <w:rFonts w:asciiTheme="majorHAnsi" w:hAnsiTheme="majorHAnsi"/>
        </w:rPr>
        <w:t>,</w:t>
      </w:r>
      <w:r>
        <w:rPr>
          <w:rFonts w:asciiTheme="majorHAnsi" w:hAnsiTheme="majorHAnsi"/>
          <w:color w:val="000000"/>
        </w:rPr>
        <w:t xml:space="preserve"> USDA Natural Resourcs Conservation Services</w:t>
      </w:r>
      <w:r>
        <w:rPr>
          <w:rFonts w:asciiTheme="majorHAnsi" w:hAnsiTheme="majorHAnsi"/>
        </w:rPr>
        <w:t xml:space="preserve">, </w:t>
      </w:r>
      <w:r>
        <w:rPr>
          <w:rFonts w:asciiTheme="majorHAnsi" w:hAnsiTheme="majorHAnsi"/>
          <w:i/>
          <w:color w:val="000000"/>
        </w:rPr>
        <w:t>Plant Materials Technic</w:t>
      </w:r>
      <w:r>
        <w:rPr>
          <w:rFonts w:asciiTheme="majorHAnsi" w:hAnsiTheme="majorHAnsi"/>
          <w:color w:val="000000"/>
        </w:rPr>
        <w:t>al</w:t>
      </w:r>
      <w:r>
        <w:rPr>
          <w:rFonts w:asciiTheme="majorHAnsi" w:hAnsiTheme="majorHAnsi"/>
          <w:i/>
          <w:color w:val="000000"/>
        </w:rPr>
        <w:t xml:space="preserve"> Note No. MT-44</w:t>
      </w:r>
      <w:r>
        <w:rPr>
          <w:rFonts w:asciiTheme="majorHAnsi" w:hAnsiTheme="majorHAnsi"/>
        </w:rPr>
        <w:t xml:space="preserve">, </w:t>
      </w:r>
      <w:r>
        <w:rPr>
          <w:rFonts w:asciiTheme="majorHAnsi" w:hAnsiTheme="majorHAnsi"/>
          <w:color w:val="000000"/>
        </w:rPr>
        <w:t xml:space="preserve"> </w:t>
      </w:r>
      <w:r>
        <w:rPr>
          <w:rFonts w:asciiTheme="majorHAnsi" w:hAnsiTheme="majorHAnsi"/>
        </w:rPr>
        <w:t>ftp-fc.sc.egov.usda.gov/MT/www/technical/plants/technotes/pmtechnoteMT44.pdf</w:t>
      </w:r>
      <w:r w:rsidR="007B1790">
        <w:rPr>
          <w:rFonts w:asciiTheme="majorHAnsi" w:hAnsiTheme="majorHAnsi"/>
        </w:rPr>
        <w:t>.</w:t>
      </w:r>
    </w:p>
    <w:p w:rsidR="00C74066" w:rsidRDefault="00F10705">
      <w:pPr>
        <w:autoSpaceDE w:val="0"/>
        <w:autoSpaceDN w:val="0"/>
        <w:adjustRightInd w:val="0"/>
        <w:spacing w:before="120" w:after="120" w:line="271" w:lineRule="auto"/>
        <w:rPr>
          <w:rFonts w:asciiTheme="majorHAnsi" w:hAnsiTheme="majorHAnsi"/>
          <w:color w:val="000000"/>
        </w:rPr>
      </w:pPr>
      <w:r>
        <w:rPr>
          <w:rFonts w:asciiTheme="majorHAnsi" w:hAnsiTheme="majorHAnsi"/>
        </w:rPr>
        <w:t xml:space="preserve">Shishkoff, N (2007) ‘Persistence of </w:t>
      </w:r>
      <w:r>
        <w:rPr>
          <w:rFonts w:asciiTheme="majorHAnsi" w:hAnsiTheme="majorHAnsi"/>
          <w:i/>
        </w:rPr>
        <w:t>Phytophthora ramorum</w:t>
      </w:r>
      <w:r>
        <w:rPr>
          <w:rFonts w:asciiTheme="majorHAnsi" w:hAnsiTheme="majorHAnsi"/>
        </w:rPr>
        <w:t xml:space="preserve"> in soil mix and roots of nursery ornamentals’, </w:t>
      </w:r>
      <w:r>
        <w:rPr>
          <w:rFonts w:asciiTheme="majorHAnsi" w:hAnsiTheme="majorHAnsi"/>
          <w:i/>
        </w:rPr>
        <w:t>Plant Disease</w:t>
      </w:r>
      <w:r>
        <w:rPr>
          <w:rFonts w:asciiTheme="majorHAnsi" w:hAnsiTheme="majorHAnsi"/>
        </w:rPr>
        <w:t>, 91: 1245–1249.</w:t>
      </w:r>
    </w:p>
    <w:p w:rsidR="00C74066" w:rsidRDefault="00F10705">
      <w:pPr>
        <w:autoSpaceDE w:val="0"/>
        <w:autoSpaceDN w:val="0"/>
        <w:adjustRightInd w:val="0"/>
        <w:spacing w:before="120" w:after="120" w:line="271" w:lineRule="auto"/>
        <w:rPr>
          <w:rFonts w:asciiTheme="majorHAnsi" w:hAnsiTheme="majorHAnsi"/>
          <w:color w:val="000000"/>
        </w:rPr>
      </w:pPr>
      <w:r>
        <w:rPr>
          <w:rFonts w:asciiTheme="majorHAnsi" w:hAnsiTheme="majorHAnsi"/>
        </w:rPr>
        <w:t>Shurtleff, MC &amp; Averre, CW 1997, ‘</w:t>
      </w:r>
      <w:r>
        <w:rPr>
          <w:rFonts w:asciiTheme="majorHAnsi" w:hAnsiTheme="majorHAnsi"/>
          <w:i/>
        </w:rPr>
        <w:t>Glossary of Plant-Pathological Terms</w:t>
      </w:r>
      <w:r>
        <w:rPr>
          <w:rFonts w:asciiTheme="majorHAnsi" w:hAnsiTheme="majorHAnsi"/>
        </w:rPr>
        <w:t>’, American Phytopathology Society Press, St. Paul, MN.</w:t>
      </w:r>
    </w:p>
    <w:p w:rsidR="00C74066" w:rsidRDefault="00F10705">
      <w:pPr>
        <w:autoSpaceDE w:val="0"/>
        <w:autoSpaceDN w:val="0"/>
        <w:adjustRightInd w:val="0"/>
        <w:spacing w:before="120" w:after="120" w:line="271" w:lineRule="auto"/>
        <w:rPr>
          <w:rFonts w:asciiTheme="majorHAnsi" w:hAnsiTheme="majorHAnsi"/>
          <w:color w:val="000000"/>
        </w:rPr>
      </w:pPr>
      <w:r>
        <w:rPr>
          <w:rFonts w:asciiTheme="majorHAnsi" w:hAnsiTheme="majorHAnsi"/>
          <w:color w:val="000000"/>
        </w:rPr>
        <w:t>Stenlid</w:t>
      </w:r>
      <w:r>
        <w:rPr>
          <w:rFonts w:asciiTheme="majorHAnsi" w:hAnsiTheme="majorHAnsi"/>
        </w:rPr>
        <w:t>,</w:t>
      </w:r>
      <w:r>
        <w:rPr>
          <w:rFonts w:asciiTheme="majorHAnsi" w:hAnsiTheme="majorHAnsi"/>
          <w:color w:val="000000"/>
        </w:rPr>
        <w:t xml:space="preserve"> J, Oliva</w:t>
      </w:r>
      <w:r>
        <w:rPr>
          <w:rFonts w:asciiTheme="majorHAnsi" w:hAnsiTheme="majorHAnsi"/>
        </w:rPr>
        <w:t>,</w:t>
      </w:r>
      <w:r>
        <w:rPr>
          <w:rFonts w:asciiTheme="majorHAnsi" w:hAnsiTheme="majorHAnsi"/>
          <w:color w:val="000000"/>
        </w:rPr>
        <w:t xml:space="preserve"> J, Boberg</w:t>
      </w:r>
      <w:r>
        <w:rPr>
          <w:rFonts w:asciiTheme="majorHAnsi" w:hAnsiTheme="majorHAnsi"/>
        </w:rPr>
        <w:t>,</w:t>
      </w:r>
      <w:r>
        <w:rPr>
          <w:rFonts w:asciiTheme="majorHAnsi" w:hAnsiTheme="majorHAnsi"/>
          <w:color w:val="000000"/>
        </w:rPr>
        <w:t xml:space="preserve"> JB</w:t>
      </w:r>
      <w:r>
        <w:rPr>
          <w:rFonts w:asciiTheme="majorHAnsi" w:hAnsiTheme="majorHAnsi"/>
        </w:rPr>
        <w:t xml:space="preserve"> &amp;</w:t>
      </w:r>
      <w:r>
        <w:rPr>
          <w:rFonts w:asciiTheme="majorHAnsi" w:hAnsiTheme="majorHAnsi"/>
          <w:color w:val="000000"/>
        </w:rPr>
        <w:t xml:space="preserve"> Hopkins</w:t>
      </w:r>
      <w:r>
        <w:rPr>
          <w:rFonts w:asciiTheme="majorHAnsi" w:hAnsiTheme="majorHAnsi"/>
        </w:rPr>
        <w:t>,</w:t>
      </w:r>
      <w:r>
        <w:rPr>
          <w:rFonts w:asciiTheme="majorHAnsi" w:hAnsiTheme="majorHAnsi"/>
          <w:color w:val="000000"/>
        </w:rPr>
        <w:t xml:space="preserve"> AJM 2011</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Emerging diseases in European forest ecosystems and responses in society</w:t>
      </w:r>
      <w:r>
        <w:rPr>
          <w:rFonts w:asciiTheme="majorHAnsi" w:hAnsiTheme="majorHAnsi"/>
        </w:rPr>
        <w:t>’,</w:t>
      </w:r>
      <w:r>
        <w:rPr>
          <w:rFonts w:asciiTheme="majorHAnsi" w:hAnsiTheme="majorHAnsi"/>
          <w:color w:val="000000"/>
        </w:rPr>
        <w:t xml:space="preserve"> </w:t>
      </w:r>
      <w:r>
        <w:rPr>
          <w:rFonts w:asciiTheme="majorHAnsi" w:hAnsiTheme="majorHAnsi"/>
          <w:i/>
          <w:color w:val="000000"/>
        </w:rPr>
        <w:t>Forests</w:t>
      </w:r>
      <w:r>
        <w:rPr>
          <w:rFonts w:asciiTheme="majorHAnsi" w:hAnsiTheme="majorHAnsi"/>
        </w:rPr>
        <w:t>,</w:t>
      </w:r>
      <w:r>
        <w:rPr>
          <w:rFonts w:asciiTheme="majorHAnsi" w:hAnsiTheme="majorHAnsi"/>
          <w:color w:val="000000"/>
        </w:rPr>
        <w:t xml:space="preserve"> 2: 486–504.</w:t>
      </w:r>
    </w:p>
    <w:p w:rsidR="00C74066" w:rsidRDefault="00F10705">
      <w:pPr>
        <w:autoSpaceDE w:val="0"/>
        <w:autoSpaceDN w:val="0"/>
        <w:adjustRightInd w:val="0"/>
        <w:spacing w:before="120" w:after="120" w:line="271" w:lineRule="auto"/>
        <w:rPr>
          <w:rFonts w:asciiTheme="majorHAnsi" w:hAnsiTheme="majorHAnsi"/>
          <w:color w:val="000000"/>
        </w:rPr>
      </w:pPr>
      <w:r>
        <w:rPr>
          <w:rFonts w:asciiTheme="majorHAnsi" w:hAnsiTheme="majorHAnsi"/>
        </w:rPr>
        <w:t>Sundheim, L, Herrero, ML, Rafoss,</w:t>
      </w:r>
      <w:r>
        <w:rPr>
          <w:rFonts w:asciiTheme="majorHAnsi" w:hAnsiTheme="majorHAnsi"/>
          <w:color w:val="000000"/>
        </w:rPr>
        <w:t xml:space="preserve"> T</w:t>
      </w:r>
      <w:r>
        <w:rPr>
          <w:rFonts w:asciiTheme="majorHAnsi" w:hAnsiTheme="majorHAnsi"/>
        </w:rPr>
        <w:t xml:space="preserve"> &amp;</w:t>
      </w:r>
      <w:r>
        <w:rPr>
          <w:rFonts w:asciiTheme="majorHAnsi" w:hAnsiTheme="majorHAnsi"/>
          <w:color w:val="000000"/>
        </w:rPr>
        <w:t xml:space="preserve"> Toppe</w:t>
      </w:r>
      <w:r>
        <w:rPr>
          <w:rFonts w:asciiTheme="majorHAnsi" w:hAnsiTheme="majorHAnsi"/>
        </w:rPr>
        <w:t>,</w:t>
      </w:r>
      <w:r>
        <w:rPr>
          <w:rFonts w:asciiTheme="majorHAnsi" w:hAnsiTheme="majorHAnsi"/>
          <w:color w:val="000000"/>
        </w:rPr>
        <w:t xml:space="preserve"> B 2009</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 xml:space="preserve">Pest risk assessment of </w:t>
      </w:r>
      <w:r>
        <w:rPr>
          <w:rFonts w:asciiTheme="majorHAnsi" w:hAnsiTheme="majorHAnsi"/>
          <w:i/>
        </w:rPr>
        <w:t>Phytophthora ramorum</w:t>
      </w:r>
      <w:r>
        <w:rPr>
          <w:rFonts w:asciiTheme="majorHAnsi" w:hAnsiTheme="majorHAnsi"/>
          <w:color w:val="000000"/>
        </w:rPr>
        <w:t xml:space="preserve"> in Norway</w:t>
      </w:r>
      <w:r>
        <w:rPr>
          <w:rFonts w:asciiTheme="majorHAnsi" w:hAnsiTheme="majorHAnsi"/>
        </w:rPr>
        <w:t>’,</w:t>
      </w:r>
      <w:r>
        <w:rPr>
          <w:rFonts w:asciiTheme="majorHAnsi" w:hAnsiTheme="majorHAnsi"/>
          <w:color w:val="000000"/>
        </w:rPr>
        <w:t xml:space="preserve"> </w:t>
      </w:r>
      <w:r>
        <w:rPr>
          <w:rFonts w:asciiTheme="majorHAnsi" w:hAnsiTheme="majorHAnsi"/>
          <w:i/>
          <w:color w:val="000000"/>
        </w:rPr>
        <w:t>Opinion of the Panel on Plant Health of the Norwegian Scientific Committee for Food Safety</w:t>
      </w:r>
      <w:r>
        <w:rPr>
          <w:rFonts w:asciiTheme="majorHAnsi" w:hAnsiTheme="majorHAnsi"/>
          <w:color w:val="000000"/>
        </w:rPr>
        <w:t>, ISBN 978-82-8082-351-9.</w:t>
      </w:r>
    </w:p>
    <w:p w:rsidR="00C74066" w:rsidRDefault="00F10705">
      <w:pPr>
        <w:spacing w:before="120" w:after="120" w:line="271" w:lineRule="auto"/>
        <w:rPr>
          <w:rFonts w:asciiTheme="majorHAnsi" w:hAnsiTheme="majorHAnsi"/>
        </w:rPr>
      </w:pPr>
      <w:r>
        <w:rPr>
          <w:rFonts w:asciiTheme="majorHAnsi" w:hAnsiTheme="majorHAnsi"/>
        </w:rPr>
        <w:t xml:space="preserve">Sutton, W, Hansen EM, Reeser PW, Kanaskie, A 2009, ‘Stream monitoring for detection of </w:t>
      </w:r>
      <w:r>
        <w:rPr>
          <w:rFonts w:asciiTheme="majorHAnsi" w:hAnsiTheme="majorHAnsi"/>
          <w:i/>
        </w:rPr>
        <w:t xml:space="preserve">Phytophthora ramorum </w:t>
      </w:r>
      <w:r>
        <w:rPr>
          <w:rFonts w:asciiTheme="majorHAnsi" w:hAnsiTheme="majorHAnsi"/>
        </w:rPr>
        <w:t xml:space="preserve">in Oregon tanoak forests’, </w:t>
      </w:r>
      <w:r>
        <w:rPr>
          <w:rFonts w:asciiTheme="majorHAnsi" w:hAnsiTheme="majorHAnsi"/>
          <w:i/>
        </w:rPr>
        <w:t>Plant Disease</w:t>
      </w:r>
      <w:r>
        <w:rPr>
          <w:rFonts w:asciiTheme="majorHAnsi" w:hAnsiTheme="majorHAnsi"/>
        </w:rPr>
        <w:t>, 93: 1182–1186.</w:t>
      </w:r>
    </w:p>
    <w:p w:rsidR="00C74066" w:rsidRDefault="00F10705">
      <w:pPr>
        <w:autoSpaceDE w:val="0"/>
        <w:autoSpaceDN w:val="0"/>
        <w:adjustRightInd w:val="0"/>
        <w:spacing w:before="120" w:after="120" w:line="271" w:lineRule="auto"/>
        <w:rPr>
          <w:rFonts w:asciiTheme="majorHAnsi" w:hAnsiTheme="majorHAnsi"/>
          <w:color w:val="000000"/>
        </w:rPr>
      </w:pPr>
      <w:r>
        <w:rPr>
          <w:rFonts w:asciiTheme="majorHAnsi" w:hAnsiTheme="majorHAnsi"/>
          <w:color w:val="000000"/>
        </w:rPr>
        <w:lastRenderedPageBreak/>
        <w:t>Swain</w:t>
      </w:r>
      <w:r>
        <w:rPr>
          <w:rFonts w:asciiTheme="majorHAnsi" w:hAnsiTheme="majorHAnsi"/>
        </w:rPr>
        <w:t>,</w:t>
      </w:r>
      <w:r>
        <w:rPr>
          <w:rFonts w:asciiTheme="majorHAnsi" w:hAnsiTheme="majorHAnsi"/>
          <w:color w:val="000000"/>
        </w:rPr>
        <w:t xml:space="preserve"> S, Harnik</w:t>
      </w:r>
      <w:r>
        <w:rPr>
          <w:rFonts w:asciiTheme="majorHAnsi" w:hAnsiTheme="majorHAnsi"/>
        </w:rPr>
        <w:t>,</w:t>
      </w:r>
      <w:r>
        <w:rPr>
          <w:rFonts w:asciiTheme="majorHAnsi" w:hAnsiTheme="majorHAnsi"/>
          <w:color w:val="000000"/>
        </w:rPr>
        <w:t xml:space="preserve"> T, Mejia-Chang</w:t>
      </w:r>
      <w:r>
        <w:rPr>
          <w:rFonts w:asciiTheme="majorHAnsi" w:hAnsiTheme="majorHAnsi"/>
        </w:rPr>
        <w:t>,</w:t>
      </w:r>
      <w:r>
        <w:rPr>
          <w:rFonts w:asciiTheme="majorHAnsi" w:hAnsiTheme="majorHAnsi"/>
          <w:color w:val="000000"/>
        </w:rPr>
        <w:t xml:space="preserve"> M, Hayden</w:t>
      </w:r>
      <w:r>
        <w:rPr>
          <w:rFonts w:asciiTheme="majorHAnsi" w:hAnsiTheme="majorHAnsi"/>
        </w:rPr>
        <w:t>,</w:t>
      </w:r>
      <w:r>
        <w:rPr>
          <w:rFonts w:asciiTheme="majorHAnsi" w:hAnsiTheme="majorHAnsi"/>
          <w:color w:val="000000"/>
        </w:rPr>
        <w:t xml:space="preserve"> K, Bakx</w:t>
      </w:r>
      <w:r>
        <w:rPr>
          <w:rFonts w:asciiTheme="majorHAnsi" w:hAnsiTheme="majorHAnsi"/>
        </w:rPr>
        <w:t>,</w:t>
      </w:r>
      <w:r>
        <w:rPr>
          <w:rFonts w:asciiTheme="majorHAnsi" w:hAnsiTheme="majorHAnsi"/>
          <w:color w:val="000000"/>
        </w:rPr>
        <w:t xml:space="preserve"> W, Creque</w:t>
      </w:r>
      <w:r>
        <w:rPr>
          <w:rFonts w:asciiTheme="majorHAnsi" w:hAnsiTheme="majorHAnsi"/>
        </w:rPr>
        <w:t>,</w:t>
      </w:r>
      <w:r>
        <w:rPr>
          <w:rFonts w:asciiTheme="majorHAnsi" w:hAnsiTheme="majorHAnsi"/>
          <w:color w:val="000000"/>
        </w:rPr>
        <w:t xml:space="preserve"> J</w:t>
      </w:r>
      <w:r>
        <w:rPr>
          <w:rFonts w:asciiTheme="majorHAnsi" w:hAnsiTheme="majorHAnsi"/>
        </w:rPr>
        <w:t xml:space="preserve"> &amp;</w:t>
      </w:r>
      <w:r>
        <w:rPr>
          <w:rFonts w:asciiTheme="majorHAnsi" w:hAnsiTheme="majorHAnsi"/>
          <w:color w:val="000000"/>
        </w:rPr>
        <w:t xml:space="preserve"> Garbelotto</w:t>
      </w:r>
      <w:r>
        <w:rPr>
          <w:rFonts w:asciiTheme="majorHAnsi" w:hAnsiTheme="majorHAnsi"/>
        </w:rPr>
        <w:t>,</w:t>
      </w:r>
      <w:r>
        <w:rPr>
          <w:rFonts w:asciiTheme="majorHAnsi" w:hAnsiTheme="majorHAnsi"/>
          <w:color w:val="000000"/>
        </w:rPr>
        <w:t xml:space="preserve"> M 2006</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 xml:space="preserve">Composting is an effective treatment option for sanitization of </w:t>
      </w:r>
      <w:r>
        <w:rPr>
          <w:rFonts w:asciiTheme="majorHAnsi" w:hAnsiTheme="majorHAnsi"/>
          <w:i/>
        </w:rPr>
        <w:t>Phytophthora ramorum</w:t>
      </w:r>
      <w:r>
        <w:rPr>
          <w:rFonts w:asciiTheme="majorHAnsi" w:hAnsiTheme="majorHAnsi"/>
          <w:color w:val="000000"/>
        </w:rPr>
        <w:t>-infected plant material</w:t>
      </w:r>
      <w:r>
        <w:rPr>
          <w:rFonts w:asciiTheme="majorHAnsi" w:hAnsiTheme="majorHAnsi"/>
        </w:rPr>
        <w:t xml:space="preserve">’, </w:t>
      </w:r>
      <w:r>
        <w:rPr>
          <w:rFonts w:asciiTheme="majorHAnsi" w:hAnsiTheme="majorHAnsi"/>
          <w:i/>
          <w:color w:val="000000"/>
        </w:rPr>
        <w:t>Journal of Applied Microbiology</w:t>
      </w:r>
      <w:r>
        <w:rPr>
          <w:rFonts w:asciiTheme="majorHAnsi" w:hAnsiTheme="majorHAnsi"/>
        </w:rPr>
        <w:t>,</w:t>
      </w:r>
      <w:r>
        <w:rPr>
          <w:rFonts w:asciiTheme="majorHAnsi" w:hAnsiTheme="majorHAnsi"/>
          <w:color w:val="000000"/>
        </w:rPr>
        <w:t xml:space="preserve"> 101: 815–827.</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Swain, S, Harnik, T, Mejia-Chang, M, Hayden, K, Creque, J &amp; Garbelotto, M 2002, ‘Survivability of </w:t>
      </w:r>
      <w:r>
        <w:rPr>
          <w:rFonts w:asciiTheme="majorHAnsi" w:hAnsiTheme="majorHAnsi"/>
          <w:i/>
        </w:rPr>
        <w:t>Phytophthora ramorum</w:t>
      </w:r>
      <w:r>
        <w:rPr>
          <w:rFonts w:asciiTheme="majorHAnsi" w:hAnsiTheme="majorHAnsi"/>
        </w:rPr>
        <w:t xml:space="preserve"> in the composting process’ [Abstract], </w:t>
      </w:r>
      <w:r>
        <w:rPr>
          <w:rFonts w:asciiTheme="majorHAnsi" w:hAnsiTheme="majorHAnsi"/>
          <w:i/>
          <w:color w:val="000000"/>
        </w:rPr>
        <w:t>Proceedings of Sudden Oak Death, A Science Symposium</w:t>
      </w:r>
      <w:r>
        <w:rPr>
          <w:rFonts w:asciiTheme="majorHAnsi" w:hAnsiTheme="majorHAnsi"/>
        </w:rPr>
        <w:t>, 44.</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Swiecki, TJ &amp; Bernhardt, E 2002b, ‘Evaluation of stem water potential and other tree and stand variables as risk factors for </w:t>
      </w:r>
      <w:r>
        <w:rPr>
          <w:rFonts w:asciiTheme="majorHAnsi" w:hAnsiTheme="majorHAnsi"/>
          <w:i/>
        </w:rPr>
        <w:t>Phytophthora ramorum</w:t>
      </w:r>
      <w:r>
        <w:rPr>
          <w:rFonts w:asciiTheme="majorHAnsi" w:hAnsiTheme="majorHAnsi"/>
        </w:rPr>
        <w:t xml:space="preserve"> canker development in coast live oak’, </w:t>
      </w:r>
      <w:r>
        <w:rPr>
          <w:rFonts w:asciiTheme="majorHAnsi" w:hAnsiTheme="majorHAnsi"/>
          <w:i/>
        </w:rPr>
        <w:t xml:space="preserve">Fifth Symposium on California OakWoodlands, </w:t>
      </w:r>
      <w:r>
        <w:rPr>
          <w:rFonts w:asciiTheme="majorHAnsi" w:hAnsiTheme="majorHAnsi"/>
        </w:rPr>
        <w:t>General technical report PSW-GTR-184, 787–798.</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Swiecki, TJ &amp; Bernhardt, E 2010, ‘</w:t>
      </w:r>
      <w:r>
        <w:rPr>
          <w:rFonts w:asciiTheme="majorHAnsi" w:hAnsiTheme="majorHAnsi"/>
          <w:color w:val="000000"/>
        </w:rPr>
        <w:t xml:space="preserve">Long-term trends in coast live oak and tanoak stands affected by </w:t>
      </w:r>
      <w:r>
        <w:rPr>
          <w:rFonts w:asciiTheme="majorHAnsi" w:hAnsiTheme="majorHAnsi"/>
          <w:i/>
          <w:color w:val="000000"/>
        </w:rPr>
        <w:t>Phytophthora ramorum</w:t>
      </w:r>
      <w:r>
        <w:rPr>
          <w:rFonts w:asciiTheme="majorHAnsi" w:hAnsiTheme="majorHAnsi"/>
          <w:color w:val="000000"/>
        </w:rPr>
        <w:t xml:space="preserve"> canker (sudden oak death)</w:t>
      </w:r>
      <w:r>
        <w:rPr>
          <w:rFonts w:asciiTheme="majorHAnsi" w:hAnsiTheme="majorHAnsi"/>
        </w:rPr>
        <w:t xml:space="preserve">’, </w:t>
      </w:r>
      <w:r>
        <w:rPr>
          <w:rFonts w:asciiTheme="majorHAnsi" w:hAnsiTheme="majorHAnsi"/>
          <w:i/>
          <w:color w:val="000000"/>
        </w:rPr>
        <w:t>Sudden Oak Death Fourth Science Symposium</w:t>
      </w:r>
      <w:r>
        <w:rPr>
          <w:rFonts w:asciiTheme="majorHAnsi" w:hAnsiTheme="majorHAnsi"/>
        </w:rPr>
        <w:t xml:space="preserve">, </w:t>
      </w:r>
      <w:r>
        <w:rPr>
          <w:rFonts w:asciiTheme="majorHAnsi" w:hAnsiTheme="majorHAnsi"/>
          <w:color w:val="000000"/>
        </w:rPr>
        <w:t>207</w:t>
      </w:r>
      <w:r>
        <w:rPr>
          <w:rFonts w:asciiTheme="majorHAnsi" w:hAnsiTheme="majorHAnsi"/>
        </w:rPr>
        <w:t>–209</w:t>
      </w:r>
      <w:r>
        <w:rPr>
          <w:rFonts w:asciiTheme="majorHAnsi" w:hAnsiTheme="majorHAnsi"/>
          <w:color w:val="000000"/>
        </w:rPr>
        <w:t>.</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Swiecki, TJ &amp; Bernhardt, EA 2002a, ‘Factors related to </w:t>
      </w:r>
      <w:r>
        <w:rPr>
          <w:rFonts w:asciiTheme="majorHAnsi" w:hAnsiTheme="majorHAnsi"/>
          <w:i/>
        </w:rPr>
        <w:t>Phytophthora</w:t>
      </w:r>
      <w:r>
        <w:rPr>
          <w:rFonts w:asciiTheme="majorHAnsi" w:hAnsiTheme="majorHAnsi"/>
        </w:rPr>
        <w:t xml:space="preserve"> canker (sudden oak death) disease risk and disease progress in coast live oak and tanoak’, Report for USDA Forest Service, Phytosphere Research Project No. 2001-0802.</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Talgø, V</w:t>
      </w:r>
      <w:r>
        <w:rPr>
          <w:rFonts w:asciiTheme="majorHAnsi" w:hAnsiTheme="majorHAnsi"/>
          <w:color w:val="000000"/>
        </w:rPr>
        <w:t>, Herrero</w:t>
      </w:r>
      <w:r>
        <w:rPr>
          <w:rFonts w:asciiTheme="majorHAnsi" w:hAnsiTheme="majorHAnsi"/>
        </w:rPr>
        <w:t>,</w:t>
      </w:r>
      <w:r>
        <w:rPr>
          <w:rFonts w:asciiTheme="majorHAnsi" w:hAnsiTheme="majorHAnsi"/>
          <w:color w:val="000000"/>
        </w:rPr>
        <w:t xml:space="preserve"> ML, Brurberg</w:t>
      </w:r>
      <w:r>
        <w:rPr>
          <w:rFonts w:asciiTheme="majorHAnsi" w:hAnsiTheme="majorHAnsi"/>
        </w:rPr>
        <w:t>,</w:t>
      </w:r>
      <w:r>
        <w:rPr>
          <w:rFonts w:asciiTheme="majorHAnsi" w:hAnsiTheme="majorHAnsi"/>
          <w:color w:val="000000"/>
        </w:rPr>
        <w:t xml:space="preserve"> MB</w:t>
      </w:r>
      <w:r>
        <w:rPr>
          <w:rFonts w:asciiTheme="majorHAnsi" w:hAnsiTheme="majorHAnsi"/>
        </w:rPr>
        <w:t xml:space="preserve"> &amp;</w:t>
      </w:r>
      <w:r>
        <w:rPr>
          <w:rFonts w:asciiTheme="majorHAnsi" w:hAnsiTheme="majorHAnsi"/>
          <w:color w:val="000000"/>
        </w:rPr>
        <w:t xml:space="preserve"> Stensvand</w:t>
      </w:r>
      <w:r>
        <w:rPr>
          <w:rFonts w:asciiTheme="majorHAnsi" w:hAnsiTheme="majorHAnsi"/>
        </w:rPr>
        <w:t>,</w:t>
      </w:r>
      <w:r>
        <w:rPr>
          <w:rFonts w:asciiTheme="majorHAnsi" w:hAnsiTheme="majorHAnsi"/>
          <w:color w:val="000000"/>
        </w:rPr>
        <w:t xml:space="preserve"> A 2012</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i/>
          <w:color w:val="000000"/>
        </w:rPr>
        <w:t>Phytophthora</w:t>
      </w:r>
      <w:r>
        <w:rPr>
          <w:rFonts w:asciiTheme="majorHAnsi" w:hAnsiTheme="majorHAnsi"/>
        </w:rPr>
        <w:t>–baiting in Norwegian waterways’[Meeting abstract], In: ‘</w:t>
      </w:r>
      <w:r>
        <w:rPr>
          <w:rFonts w:asciiTheme="majorHAnsi" w:hAnsiTheme="majorHAnsi"/>
          <w:i/>
        </w:rPr>
        <w:t>Phytophthora</w:t>
      </w:r>
      <w:r>
        <w:rPr>
          <w:rFonts w:asciiTheme="majorHAnsi" w:hAnsiTheme="majorHAnsi"/>
        </w:rPr>
        <w:t xml:space="preserve"> in Forests and Natural Ecosystems’, </w:t>
      </w:r>
      <w:r>
        <w:rPr>
          <w:rFonts w:asciiTheme="majorHAnsi" w:hAnsiTheme="majorHAnsi"/>
          <w:i/>
          <w:color w:val="000000"/>
        </w:rPr>
        <w:t>The Sixth Meeting of the International Union of Forest Research Organizations IUFRO Working Party</w:t>
      </w:r>
      <w:r>
        <w:rPr>
          <w:rFonts w:asciiTheme="majorHAnsi" w:hAnsiTheme="majorHAnsi"/>
          <w:color w:val="000000"/>
        </w:rPr>
        <w:t>,</w:t>
      </w:r>
      <w:r w:rsidR="007B1790">
        <w:rPr>
          <w:rFonts w:asciiTheme="majorHAnsi" w:hAnsiTheme="majorHAnsi"/>
        </w:rPr>
        <w:t xml:space="preserve"> </w:t>
      </w:r>
      <w:r>
        <w:rPr>
          <w:rFonts w:asciiTheme="majorHAnsi" w:hAnsiTheme="majorHAnsi"/>
        </w:rPr>
        <w:t xml:space="preserve">iufrophytophthora2012.org/downloads/IUFRO2012_BookofAbstracts.pdf </w:t>
      </w:r>
    </w:p>
    <w:p w:rsidR="00C74066" w:rsidRDefault="00F10705">
      <w:pPr>
        <w:autoSpaceDE w:val="0"/>
        <w:autoSpaceDN w:val="0"/>
        <w:adjustRightInd w:val="0"/>
        <w:spacing w:before="120" w:after="120" w:line="271" w:lineRule="auto"/>
        <w:rPr>
          <w:rFonts w:asciiTheme="majorHAnsi" w:hAnsiTheme="majorHAnsi"/>
          <w:color w:val="000000"/>
        </w:rPr>
      </w:pPr>
      <w:r>
        <w:rPr>
          <w:rFonts w:asciiTheme="majorHAnsi" w:hAnsiTheme="majorHAnsi"/>
          <w:color w:val="000000"/>
        </w:rPr>
        <w:t>Theman</w:t>
      </w:r>
      <w:r>
        <w:rPr>
          <w:rFonts w:asciiTheme="majorHAnsi" w:hAnsiTheme="majorHAnsi"/>
        </w:rPr>
        <w:t>,</w:t>
      </w:r>
      <w:r>
        <w:rPr>
          <w:rFonts w:asciiTheme="majorHAnsi" w:hAnsiTheme="majorHAnsi"/>
          <w:color w:val="000000"/>
        </w:rPr>
        <w:t xml:space="preserve"> K, Werres</w:t>
      </w:r>
      <w:r>
        <w:rPr>
          <w:rFonts w:asciiTheme="majorHAnsi" w:hAnsiTheme="majorHAnsi"/>
        </w:rPr>
        <w:t>,</w:t>
      </w:r>
      <w:r>
        <w:rPr>
          <w:rFonts w:asciiTheme="majorHAnsi" w:hAnsiTheme="majorHAnsi"/>
          <w:color w:val="000000"/>
        </w:rPr>
        <w:t xml:space="preserve"> S, Lüttmann</w:t>
      </w:r>
      <w:r>
        <w:rPr>
          <w:rFonts w:asciiTheme="majorHAnsi" w:hAnsiTheme="majorHAnsi"/>
        </w:rPr>
        <w:t>,</w:t>
      </w:r>
      <w:r>
        <w:rPr>
          <w:rFonts w:asciiTheme="majorHAnsi" w:hAnsiTheme="majorHAnsi"/>
          <w:color w:val="000000"/>
        </w:rPr>
        <w:t xml:space="preserve"> R</w:t>
      </w:r>
      <w:r>
        <w:rPr>
          <w:rFonts w:asciiTheme="majorHAnsi" w:hAnsiTheme="majorHAnsi"/>
        </w:rPr>
        <w:t xml:space="preserve"> &amp;</w:t>
      </w:r>
      <w:r>
        <w:rPr>
          <w:rFonts w:asciiTheme="majorHAnsi" w:hAnsiTheme="majorHAnsi"/>
          <w:color w:val="000000"/>
        </w:rPr>
        <w:t xml:space="preserve"> Diener</w:t>
      </w:r>
      <w:r>
        <w:rPr>
          <w:rFonts w:asciiTheme="majorHAnsi" w:hAnsiTheme="majorHAnsi"/>
        </w:rPr>
        <w:t>,</w:t>
      </w:r>
      <w:r>
        <w:rPr>
          <w:rFonts w:asciiTheme="majorHAnsi" w:hAnsiTheme="majorHAnsi"/>
          <w:color w:val="000000"/>
        </w:rPr>
        <w:t xml:space="preserve"> HA 2002</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 xml:space="preserve">Observations of </w:t>
      </w:r>
      <w:r>
        <w:rPr>
          <w:rFonts w:asciiTheme="majorHAnsi" w:hAnsiTheme="majorHAnsi"/>
          <w:i/>
          <w:color w:val="000000"/>
        </w:rPr>
        <w:t>Phytophthora</w:t>
      </w:r>
      <w:r>
        <w:rPr>
          <w:rFonts w:asciiTheme="majorHAnsi" w:hAnsiTheme="majorHAnsi"/>
          <w:color w:val="000000"/>
        </w:rPr>
        <w:t xml:space="preserve"> </w:t>
      </w:r>
      <w:r>
        <w:rPr>
          <w:rFonts w:asciiTheme="majorHAnsi" w:hAnsiTheme="majorHAnsi"/>
        </w:rPr>
        <w:t>species</w:t>
      </w:r>
      <w:r>
        <w:rPr>
          <w:rFonts w:asciiTheme="majorHAnsi" w:hAnsiTheme="majorHAnsi"/>
          <w:color w:val="000000"/>
        </w:rPr>
        <w:t xml:space="preserve"> in water recirculation systems in commercial hardy ornamental nursery stock</w:t>
      </w:r>
      <w:r>
        <w:rPr>
          <w:rFonts w:asciiTheme="majorHAnsi" w:hAnsiTheme="majorHAnsi"/>
        </w:rPr>
        <w:t xml:space="preserve">’, </w:t>
      </w:r>
      <w:r>
        <w:rPr>
          <w:rFonts w:asciiTheme="majorHAnsi" w:hAnsiTheme="majorHAnsi"/>
          <w:i/>
          <w:color w:val="000000"/>
        </w:rPr>
        <w:t>European Journal of Plant Pathology</w:t>
      </w:r>
      <w:r>
        <w:rPr>
          <w:rFonts w:asciiTheme="majorHAnsi" w:hAnsiTheme="majorHAnsi"/>
        </w:rPr>
        <w:t>,</w:t>
      </w:r>
      <w:r>
        <w:rPr>
          <w:rFonts w:asciiTheme="majorHAnsi" w:hAnsiTheme="majorHAnsi"/>
          <w:color w:val="000000"/>
        </w:rPr>
        <w:t xml:space="preserve"> 108, 337</w:t>
      </w:r>
      <w:r>
        <w:rPr>
          <w:rFonts w:asciiTheme="majorHAnsi" w:hAnsiTheme="majorHAnsi"/>
        </w:rPr>
        <w:t>–</w:t>
      </w:r>
      <w:r>
        <w:rPr>
          <w:rFonts w:asciiTheme="majorHAnsi" w:hAnsiTheme="majorHAnsi"/>
          <w:color w:val="000000"/>
        </w:rPr>
        <w:t>343.</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Tjosvold, SA, Buermeyer, KR, Blomquist, C &amp; Frankel, S 2005, ‘Nursery guide for diseases caused by </w:t>
      </w:r>
      <w:r>
        <w:rPr>
          <w:rFonts w:asciiTheme="majorHAnsi" w:hAnsiTheme="majorHAnsi"/>
          <w:i/>
        </w:rPr>
        <w:t>Phytophthora ramorum</w:t>
      </w:r>
      <w:r>
        <w:rPr>
          <w:rFonts w:asciiTheme="majorHAnsi" w:hAnsiTheme="majorHAnsi"/>
        </w:rPr>
        <w:t xml:space="preserve"> on ornamentals: diagnosis and management’, </w:t>
      </w:r>
      <w:r>
        <w:rPr>
          <w:rFonts w:asciiTheme="majorHAnsi" w:hAnsiTheme="majorHAnsi"/>
          <w:i/>
          <w:color w:val="000000"/>
        </w:rPr>
        <w:t>Agriculture and Natural Resources, Publication</w:t>
      </w:r>
      <w:r>
        <w:rPr>
          <w:rFonts w:asciiTheme="majorHAnsi" w:hAnsiTheme="majorHAnsi"/>
        </w:rPr>
        <w:t>,</w:t>
      </w:r>
      <w:r>
        <w:rPr>
          <w:rFonts w:asciiTheme="majorHAnsi" w:hAnsiTheme="majorHAnsi"/>
          <w:i/>
          <w:color w:val="000000"/>
        </w:rPr>
        <w:t xml:space="preserve"> </w:t>
      </w:r>
      <w:r>
        <w:rPr>
          <w:rFonts w:asciiTheme="majorHAnsi" w:hAnsiTheme="majorHAnsi"/>
        </w:rPr>
        <w:t>8156.</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Tjosvold, SA, Chambers, DL, Davidson, JM &amp; Rizzo, DM 2002, ‘Incidence of </w:t>
      </w:r>
      <w:r>
        <w:rPr>
          <w:rFonts w:asciiTheme="majorHAnsi" w:hAnsiTheme="majorHAnsi"/>
          <w:i/>
        </w:rPr>
        <w:t>Phytophthora ramorum</w:t>
      </w:r>
      <w:r>
        <w:rPr>
          <w:rFonts w:asciiTheme="majorHAnsi" w:hAnsiTheme="majorHAnsi"/>
        </w:rPr>
        <w:t xml:space="preserve"> inoculum found in soil collected from a hiking trail and hikers’ shoes in a California Park’ [Abstract], </w:t>
      </w:r>
      <w:r>
        <w:rPr>
          <w:rFonts w:asciiTheme="majorHAnsi" w:hAnsiTheme="majorHAnsi"/>
          <w:i/>
          <w:color w:val="000000"/>
        </w:rPr>
        <w:t>Proceedings of Sudden Oak Death, A Science Symposium</w:t>
      </w:r>
      <w:r>
        <w:rPr>
          <w:rFonts w:asciiTheme="majorHAnsi" w:hAnsiTheme="majorHAnsi"/>
        </w:rPr>
        <w:t>, 53.</w:t>
      </w:r>
    </w:p>
    <w:p w:rsidR="00C74066" w:rsidRDefault="00F10705">
      <w:pPr>
        <w:autoSpaceDE w:val="0"/>
        <w:autoSpaceDN w:val="0"/>
        <w:adjustRightInd w:val="0"/>
        <w:spacing w:before="120" w:after="120" w:line="271" w:lineRule="auto"/>
        <w:rPr>
          <w:rFonts w:asciiTheme="majorHAnsi" w:hAnsiTheme="majorHAnsi"/>
          <w:color w:val="000000"/>
        </w:rPr>
      </w:pPr>
      <w:r>
        <w:rPr>
          <w:rFonts w:asciiTheme="majorHAnsi" w:hAnsiTheme="majorHAnsi"/>
          <w:color w:val="000000"/>
        </w:rPr>
        <w:t>Tjosvold</w:t>
      </w:r>
      <w:r>
        <w:rPr>
          <w:rFonts w:asciiTheme="majorHAnsi" w:hAnsiTheme="majorHAnsi"/>
        </w:rPr>
        <w:t>,</w:t>
      </w:r>
      <w:r>
        <w:rPr>
          <w:rFonts w:asciiTheme="majorHAnsi" w:hAnsiTheme="majorHAnsi"/>
          <w:color w:val="000000"/>
        </w:rPr>
        <w:t xml:space="preserve"> SA, Chambers</w:t>
      </w:r>
      <w:r>
        <w:rPr>
          <w:rFonts w:asciiTheme="majorHAnsi" w:hAnsiTheme="majorHAnsi"/>
        </w:rPr>
        <w:t>,</w:t>
      </w:r>
      <w:r>
        <w:rPr>
          <w:rFonts w:asciiTheme="majorHAnsi" w:hAnsiTheme="majorHAnsi"/>
          <w:color w:val="000000"/>
        </w:rPr>
        <w:t xml:space="preserve"> DL, Fichtner</w:t>
      </w:r>
      <w:r>
        <w:rPr>
          <w:rFonts w:asciiTheme="majorHAnsi" w:hAnsiTheme="majorHAnsi"/>
        </w:rPr>
        <w:t>,</w:t>
      </w:r>
      <w:r>
        <w:rPr>
          <w:rFonts w:asciiTheme="majorHAnsi" w:hAnsiTheme="majorHAnsi"/>
          <w:color w:val="000000"/>
        </w:rPr>
        <w:t xml:space="preserve"> EJ, Koike</w:t>
      </w:r>
      <w:r>
        <w:rPr>
          <w:rFonts w:asciiTheme="majorHAnsi" w:hAnsiTheme="majorHAnsi"/>
        </w:rPr>
        <w:t>,</w:t>
      </w:r>
      <w:r>
        <w:rPr>
          <w:rFonts w:asciiTheme="majorHAnsi" w:hAnsiTheme="majorHAnsi"/>
          <w:color w:val="000000"/>
        </w:rPr>
        <w:t xml:space="preserve"> ST</w:t>
      </w:r>
      <w:r>
        <w:rPr>
          <w:rFonts w:asciiTheme="majorHAnsi" w:hAnsiTheme="majorHAnsi"/>
        </w:rPr>
        <w:t xml:space="preserve"> &amp;</w:t>
      </w:r>
      <w:r>
        <w:rPr>
          <w:rFonts w:asciiTheme="majorHAnsi" w:hAnsiTheme="majorHAnsi"/>
          <w:color w:val="000000"/>
        </w:rPr>
        <w:t xml:space="preserve"> Mori</w:t>
      </w:r>
      <w:r>
        <w:rPr>
          <w:rFonts w:asciiTheme="majorHAnsi" w:hAnsiTheme="majorHAnsi"/>
        </w:rPr>
        <w:t>,</w:t>
      </w:r>
      <w:r>
        <w:rPr>
          <w:rFonts w:asciiTheme="majorHAnsi" w:hAnsiTheme="majorHAnsi"/>
          <w:color w:val="000000"/>
        </w:rPr>
        <w:t xml:space="preserve"> SR 2009</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 xml:space="preserve">Disease risk of potting media infested with </w:t>
      </w:r>
      <w:r>
        <w:rPr>
          <w:rFonts w:asciiTheme="majorHAnsi" w:hAnsiTheme="majorHAnsi"/>
          <w:i/>
        </w:rPr>
        <w:t>Phytophthora ramorum</w:t>
      </w:r>
      <w:r>
        <w:rPr>
          <w:rFonts w:asciiTheme="majorHAnsi" w:hAnsiTheme="majorHAnsi"/>
          <w:color w:val="000000"/>
        </w:rPr>
        <w:t xml:space="preserve"> under nursery conditions</w:t>
      </w:r>
      <w:r>
        <w:rPr>
          <w:rFonts w:asciiTheme="majorHAnsi" w:hAnsiTheme="majorHAnsi"/>
        </w:rPr>
        <w:t xml:space="preserve">’, </w:t>
      </w:r>
      <w:r>
        <w:rPr>
          <w:rFonts w:asciiTheme="majorHAnsi" w:hAnsiTheme="majorHAnsi"/>
          <w:i/>
          <w:color w:val="000000"/>
        </w:rPr>
        <w:t>Phytopathology</w:t>
      </w:r>
      <w:r>
        <w:rPr>
          <w:rFonts w:asciiTheme="majorHAnsi" w:hAnsiTheme="majorHAnsi"/>
        </w:rPr>
        <w:t>,</w:t>
      </w:r>
      <w:r>
        <w:rPr>
          <w:rFonts w:asciiTheme="majorHAnsi" w:hAnsiTheme="majorHAnsi"/>
          <w:color w:val="000000"/>
        </w:rPr>
        <w:t xml:space="preserve"> 93: 371–376.</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Tjosvold, SA, Koike, ST &amp; Chambers, DL 2008, ‘Evaluation of fungicides for the control of </w:t>
      </w:r>
      <w:r>
        <w:rPr>
          <w:rFonts w:asciiTheme="majorHAnsi" w:hAnsiTheme="majorHAnsi"/>
          <w:i/>
        </w:rPr>
        <w:t>Phytophthora ramorum</w:t>
      </w:r>
      <w:r>
        <w:rPr>
          <w:rFonts w:asciiTheme="majorHAnsi" w:hAnsiTheme="majorHAnsi"/>
        </w:rPr>
        <w:t xml:space="preserve"> infecting </w:t>
      </w:r>
      <w:r>
        <w:rPr>
          <w:rFonts w:asciiTheme="majorHAnsi" w:hAnsiTheme="majorHAnsi"/>
          <w:i/>
          <w:color w:val="000000"/>
        </w:rPr>
        <w:t>Rhododendron</w:t>
      </w:r>
      <w:r>
        <w:rPr>
          <w:rFonts w:asciiTheme="majorHAnsi" w:hAnsiTheme="majorHAnsi"/>
        </w:rPr>
        <w:t xml:space="preserve">, </w:t>
      </w:r>
      <w:r>
        <w:rPr>
          <w:rFonts w:asciiTheme="majorHAnsi" w:hAnsiTheme="majorHAnsi"/>
          <w:i/>
          <w:color w:val="000000"/>
        </w:rPr>
        <w:t>Camellia</w:t>
      </w:r>
      <w:r>
        <w:rPr>
          <w:rFonts w:asciiTheme="majorHAnsi" w:hAnsiTheme="majorHAnsi"/>
        </w:rPr>
        <w:t>,</w:t>
      </w:r>
      <w:r>
        <w:rPr>
          <w:rFonts w:asciiTheme="majorHAnsi" w:hAnsiTheme="majorHAnsi"/>
          <w:i/>
          <w:color w:val="000000"/>
        </w:rPr>
        <w:t xml:space="preserve"> Pieris</w:t>
      </w:r>
      <w:r>
        <w:rPr>
          <w:rFonts w:asciiTheme="majorHAnsi" w:hAnsiTheme="majorHAnsi"/>
        </w:rPr>
        <w:t xml:space="preserve">, and </w:t>
      </w:r>
      <w:r>
        <w:rPr>
          <w:rFonts w:asciiTheme="majorHAnsi" w:hAnsiTheme="majorHAnsi"/>
          <w:i/>
          <w:color w:val="000000"/>
        </w:rPr>
        <w:t>Viburnum</w:t>
      </w:r>
      <w:r>
        <w:rPr>
          <w:rFonts w:asciiTheme="majorHAnsi" w:hAnsiTheme="majorHAnsi"/>
        </w:rPr>
        <w:t xml:space="preserve">’, </w:t>
      </w:r>
      <w:r>
        <w:rPr>
          <w:rFonts w:asciiTheme="majorHAnsi" w:hAnsiTheme="majorHAnsi"/>
          <w:i/>
          <w:color w:val="000000"/>
        </w:rPr>
        <w:t>Plant Health Progress</w:t>
      </w:r>
      <w:r w:rsidR="007B1790">
        <w:rPr>
          <w:rFonts w:asciiTheme="majorHAnsi" w:hAnsiTheme="majorHAnsi"/>
        </w:rPr>
        <w:t xml:space="preserve"> 13, accessed May 2013, </w:t>
      </w:r>
      <w:r>
        <w:rPr>
          <w:rFonts w:asciiTheme="majorHAnsi" w:hAnsiTheme="majorHAnsi"/>
        </w:rPr>
        <w:t xml:space="preserve">cesantacruz.ucdavis.edu/files/51742.pdf. </w:t>
      </w:r>
    </w:p>
    <w:p w:rsidR="00C74066" w:rsidRDefault="00F10705">
      <w:pPr>
        <w:autoSpaceDE w:val="0"/>
        <w:autoSpaceDN w:val="0"/>
        <w:adjustRightInd w:val="0"/>
        <w:spacing w:before="120" w:after="120" w:line="271" w:lineRule="auto"/>
        <w:rPr>
          <w:rFonts w:asciiTheme="majorHAnsi" w:hAnsiTheme="majorHAnsi"/>
          <w:color w:val="000000"/>
        </w:rPr>
      </w:pPr>
      <w:r>
        <w:rPr>
          <w:rFonts w:asciiTheme="majorHAnsi" w:hAnsiTheme="majorHAnsi"/>
          <w:color w:val="000000"/>
        </w:rPr>
        <w:t>Tooley</w:t>
      </w:r>
      <w:r>
        <w:rPr>
          <w:rFonts w:asciiTheme="majorHAnsi" w:hAnsiTheme="majorHAnsi"/>
        </w:rPr>
        <w:t>,</w:t>
      </w:r>
      <w:r>
        <w:rPr>
          <w:rFonts w:asciiTheme="majorHAnsi" w:hAnsiTheme="majorHAnsi"/>
          <w:color w:val="000000"/>
        </w:rPr>
        <w:t xml:space="preserve"> PW, Browning</w:t>
      </w:r>
      <w:r>
        <w:rPr>
          <w:rFonts w:asciiTheme="majorHAnsi" w:hAnsiTheme="majorHAnsi"/>
        </w:rPr>
        <w:t>,</w:t>
      </w:r>
      <w:r>
        <w:rPr>
          <w:rFonts w:asciiTheme="majorHAnsi" w:hAnsiTheme="majorHAnsi"/>
          <w:color w:val="000000"/>
        </w:rPr>
        <w:t xml:space="preserve"> M</w:t>
      </w:r>
      <w:r>
        <w:rPr>
          <w:rFonts w:asciiTheme="majorHAnsi" w:hAnsiTheme="majorHAnsi"/>
        </w:rPr>
        <w:t xml:space="preserve"> &amp;</w:t>
      </w:r>
      <w:r>
        <w:rPr>
          <w:rFonts w:asciiTheme="majorHAnsi" w:hAnsiTheme="majorHAnsi"/>
          <w:color w:val="000000"/>
        </w:rPr>
        <w:t xml:space="preserve"> Berner</w:t>
      </w:r>
      <w:r>
        <w:rPr>
          <w:rFonts w:asciiTheme="majorHAnsi" w:hAnsiTheme="majorHAnsi"/>
        </w:rPr>
        <w:t>,</w:t>
      </w:r>
      <w:r>
        <w:rPr>
          <w:rFonts w:asciiTheme="majorHAnsi" w:hAnsiTheme="majorHAnsi"/>
          <w:color w:val="000000"/>
        </w:rPr>
        <w:t xml:space="preserve"> D 2008</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 xml:space="preserve">Recovery of </w:t>
      </w:r>
      <w:r>
        <w:rPr>
          <w:rFonts w:asciiTheme="majorHAnsi" w:hAnsiTheme="majorHAnsi"/>
          <w:i/>
          <w:color w:val="000000"/>
        </w:rPr>
        <w:t>Phytophthora ramorum</w:t>
      </w:r>
      <w:r>
        <w:rPr>
          <w:rFonts w:asciiTheme="majorHAnsi" w:hAnsiTheme="majorHAnsi"/>
          <w:color w:val="000000"/>
        </w:rPr>
        <w:t xml:space="preserve"> following exposure to temperature extremes</w:t>
      </w:r>
      <w:r>
        <w:rPr>
          <w:rFonts w:asciiTheme="majorHAnsi" w:hAnsiTheme="majorHAnsi"/>
        </w:rPr>
        <w:t xml:space="preserve">’, </w:t>
      </w:r>
      <w:r>
        <w:rPr>
          <w:rFonts w:asciiTheme="majorHAnsi" w:hAnsiTheme="majorHAnsi"/>
          <w:i/>
          <w:color w:val="000000"/>
        </w:rPr>
        <w:t>Plant Disease</w:t>
      </w:r>
      <w:r>
        <w:rPr>
          <w:rFonts w:asciiTheme="majorHAnsi" w:hAnsiTheme="majorHAnsi"/>
        </w:rPr>
        <w:t>,</w:t>
      </w:r>
      <w:r>
        <w:rPr>
          <w:rFonts w:asciiTheme="majorHAnsi" w:hAnsiTheme="majorHAnsi"/>
          <w:color w:val="000000"/>
        </w:rPr>
        <w:t xml:space="preserve"> 92: 431–437.</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Tooley, PW, Kyde, KL &amp; Englander, L 2004, ‘Susceptibility of selected ericaceous ornamental host species to </w:t>
      </w:r>
      <w:r>
        <w:rPr>
          <w:rFonts w:asciiTheme="majorHAnsi" w:hAnsiTheme="majorHAnsi"/>
          <w:i/>
        </w:rPr>
        <w:t>Phytophthora ramorum</w:t>
      </w:r>
      <w:r>
        <w:rPr>
          <w:rFonts w:asciiTheme="majorHAnsi" w:hAnsiTheme="majorHAnsi"/>
        </w:rPr>
        <w:t xml:space="preserve">’, </w:t>
      </w:r>
      <w:r>
        <w:rPr>
          <w:rFonts w:asciiTheme="majorHAnsi" w:hAnsiTheme="majorHAnsi"/>
          <w:i/>
        </w:rPr>
        <w:t>Plant Disease</w:t>
      </w:r>
      <w:r>
        <w:rPr>
          <w:rFonts w:asciiTheme="majorHAnsi" w:hAnsiTheme="majorHAnsi"/>
        </w:rPr>
        <w:t>, 88: 993–999.</w:t>
      </w:r>
    </w:p>
    <w:p w:rsidR="00C74066" w:rsidRDefault="00F10705">
      <w:pPr>
        <w:autoSpaceDE w:val="0"/>
        <w:autoSpaceDN w:val="0"/>
        <w:adjustRightInd w:val="0"/>
        <w:spacing w:before="120" w:after="120" w:line="271" w:lineRule="auto"/>
        <w:rPr>
          <w:rFonts w:asciiTheme="majorHAnsi" w:hAnsiTheme="majorHAnsi"/>
          <w:color w:val="000000"/>
        </w:rPr>
      </w:pPr>
      <w:r>
        <w:rPr>
          <w:rFonts w:asciiTheme="majorHAnsi" w:hAnsiTheme="majorHAnsi"/>
          <w:color w:val="000000"/>
        </w:rPr>
        <w:t>Tsopelas</w:t>
      </w:r>
      <w:r>
        <w:rPr>
          <w:rFonts w:asciiTheme="majorHAnsi" w:hAnsiTheme="majorHAnsi"/>
        </w:rPr>
        <w:t>,</w:t>
      </w:r>
      <w:r>
        <w:rPr>
          <w:rFonts w:asciiTheme="majorHAnsi" w:hAnsiTheme="majorHAnsi"/>
          <w:color w:val="000000"/>
        </w:rPr>
        <w:t xml:space="preserve"> P, Paplomatas</w:t>
      </w:r>
      <w:r>
        <w:rPr>
          <w:rFonts w:asciiTheme="majorHAnsi" w:hAnsiTheme="majorHAnsi"/>
        </w:rPr>
        <w:t>,</w:t>
      </w:r>
      <w:r>
        <w:rPr>
          <w:rFonts w:asciiTheme="majorHAnsi" w:hAnsiTheme="majorHAnsi"/>
          <w:color w:val="000000"/>
        </w:rPr>
        <w:t xml:space="preserve"> E, Tjamos</w:t>
      </w:r>
      <w:r>
        <w:rPr>
          <w:rFonts w:asciiTheme="majorHAnsi" w:hAnsiTheme="majorHAnsi"/>
        </w:rPr>
        <w:t>,</w:t>
      </w:r>
      <w:r>
        <w:rPr>
          <w:rFonts w:asciiTheme="majorHAnsi" w:hAnsiTheme="majorHAnsi"/>
          <w:color w:val="000000"/>
        </w:rPr>
        <w:t xml:space="preserve"> S, Soulioti</w:t>
      </w:r>
      <w:r>
        <w:rPr>
          <w:rFonts w:asciiTheme="majorHAnsi" w:hAnsiTheme="majorHAnsi"/>
        </w:rPr>
        <w:t>,</w:t>
      </w:r>
      <w:r>
        <w:rPr>
          <w:rFonts w:asciiTheme="majorHAnsi" w:hAnsiTheme="majorHAnsi"/>
          <w:color w:val="000000"/>
        </w:rPr>
        <w:t xml:space="preserve"> N</w:t>
      </w:r>
      <w:r>
        <w:rPr>
          <w:rFonts w:asciiTheme="majorHAnsi" w:hAnsiTheme="majorHAnsi"/>
        </w:rPr>
        <w:t xml:space="preserve"> &amp;</w:t>
      </w:r>
      <w:r>
        <w:rPr>
          <w:rFonts w:asciiTheme="majorHAnsi" w:hAnsiTheme="majorHAnsi"/>
          <w:color w:val="000000"/>
        </w:rPr>
        <w:t xml:space="preserve"> Kalomoira</w:t>
      </w:r>
      <w:r>
        <w:rPr>
          <w:rFonts w:asciiTheme="majorHAnsi" w:hAnsiTheme="majorHAnsi"/>
        </w:rPr>
        <w:t>,</w:t>
      </w:r>
      <w:r>
        <w:rPr>
          <w:rFonts w:asciiTheme="majorHAnsi" w:hAnsiTheme="majorHAnsi"/>
          <w:color w:val="000000"/>
        </w:rPr>
        <w:t xml:space="preserve"> E 2011</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 xml:space="preserve">First report of </w:t>
      </w:r>
      <w:r>
        <w:rPr>
          <w:rFonts w:asciiTheme="majorHAnsi" w:hAnsiTheme="majorHAnsi"/>
          <w:i/>
        </w:rPr>
        <w:t>Phytophthora ramorum</w:t>
      </w:r>
      <w:r>
        <w:rPr>
          <w:rFonts w:asciiTheme="majorHAnsi" w:hAnsiTheme="majorHAnsi"/>
          <w:color w:val="000000"/>
        </w:rPr>
        <w:t xml:space="preserve"> on </w:t>
      </w:r>
      <w:r>
        <w:rPr>
          <w:rFonts w:asciiTheme="majorHAnsi" w:hAnsiTheme="majorHAnsi"/>
          <w:i/>
          <w:color w:val="000000"/>
        </w:rPr>
        <w:t>Rhododendron</w:t>
      </w:r>
      <w:r>
        <w:rPr>
          <w:rFonts w:asciiTheme="majorHAnsi" w:hAnsiTheme="majorHAnsi"/>
          <w:color w:val="000000"/>
        </w:rPr>
        <w:t xml:space="preserve"> in Greece</w:t>
      </w:r>
      <w:r>
        <w:rPr>
          <w:rFonts w:asciiTheme="majorHAnsi" w:hAnsiTheme="majorHAnsi"/>
        </w:rPr>
        <w:t xml:space="preserve">’, </w:t>
      </w:r>
      <w:r>
        <w:rPr>
          <w:rFonts w:asciiTheme="majorHAnsi" w:hAnsiTheme="majorHAnsi"/>
          <w:i/>
        </w:rPr>
        <w:t>Plant Disease</w:t>
      </w:r>
      <w:r>
        <w:rPr>
          <w:rFonts w:asciiTheme="majorHAnsi" w:hAnsiTheme="majorHAnsi"/>
        </w:rPr>
        <w:t>,</w:t>
      </w:r>
      <w:r>
        <w:rPr>
          <w:rFonts w:asciiTheme="majorHAnsi" w:hAnsiTheme="majorHAnsi"/>
          <w:color w:val="000000"/>
        </w:rPr>
        <w:t xml:space="preserve"> 95: 223.</w:t>
      </w:r>
    </w:p>
    <w:p w:rsidR="00C74066" w:rsidRDefault="00F10705">
      <w:pPr>
        <w:spacing w:before="120" w:after="120" w:line="271" w:lineRule="auto"/>
        <w:rPr>
          <w:rFonts w:asciiTheme="majorHAnsi" w:hAnsiTheme="majorHAnsi"/>
        </w:rPr>
      </w:pPr>
      <w:r>
        <w:rPr>
          <w:rFonts w:asciiTheme="majorHAnsi" w:hAnsiTheme="majorHAnsi"/>
        </w:rPr>
        <w:lastRenderedPageBreak/>
        <w:t>Turner, J, Jennings, P, &amp; Humphries, G 2005, ‘</w:t>
      </w:r>
      <w:r>
        <w:rPr>
          <w:rFonts w:asciiTheme="majorHAnsi" w:hAnsiTheme="majorHAnsi"/>
          <w:i/>
        </w:rPr>
        <w:t>Phytophthora ramorum</w:t>
      </w:r>
      <w:r>
        <w:rPr>
          <w:rFonts w:asciiTheme="majorHAnsi" w:hAnsiTheme="majorHAnsi"/>
        </w:rPr>
        <w:t xml:space="preserve"> epidemiology: sporulation potential, dispersal, infection, latency and survival’, Department for Environment, Food and Rural Affairs (DEFRA</w:t>
      </w:r>
      <w:r w:rsidR="007B1790">
        <w:rPr>
          <w:rFonts w:asciiTheme="majorHAnsi" w:hAnsiTheme="majorHAnsi"/>
        </w:rPr>
        <w:t xml:space="preserve">) Project Report PH0194, </w:t>
      </w:r>
      <w:r>
        <w:rPr>
          <w:rFonts w:asciiTheme="majorHAnsi" w:hAnsiTheme="majorHAnsi"/>
        </w:rPr>
        <w:t>randd.defra.gov.uk/Document.aspx.</w:t>
      </w:r>
    </w:p>
    <w:p w:rsidR="00C74066" w:rsidRDefault="00F10705">
      <w:pPr>
        <w:autoSpaceDE w:val="0"/>
        <w:autoSpaceDN w:val="0"/>
        <w:adjustRightInd w:val="0"/>
        <w:spacing w:before="120" w:after="120" w:line="271" w:lineRule="auto"/>
        <w:rPr>
          <w:rFonts w:asciiTheme="majorHAnsi" w:hAnsiTheme="majorHAnsi"/>
          <w:color w:val="000000"/>
        </w:rPr>
      </w:pPr>
      <w:r>
        <w:rPr>
          <w:rFonts w:asciiTheme="majorHAnsi" w:hAnsiTheme="majorHAnsi"/>
          <w:color w:val="000000"/>
          <w:lang w:bidi="en-US"/>
        </w:rPr>
        <w:t>Turner, J</w:t>
      </w:r>
      <w:r>
        <w:rPr>
          <w:rFonts w:asciiTheme="majorHAnsi" w:hAnsiTheme="majorHAnsi"/>
          <w:color w:val="000000"/>
        </w:rPr>
        <w:t>A</w:t>
      </w:r>
      <w:r>
        <w:rPr>
          <w:rFonts w:asciiTheme="majorHAnsi" w:hAnsiTheme="majorHAnsi"/>
          <w:color w:val="000000"/>
          <w:lang w:bidi="en-US"/>
        </w:rPr>
        <w:t xml:space="preserve"> </w:t>
      </w:r>
      <w:r>
        <w:rPr>
          <w:rFonts w:asciiTheme="majorHAnsi" w:hAnsiTheme="majorHAnsi"/>
          <w:color w:val="000000"/>
        </w:rPr>
        <w:t xml:space="preserve">&amp; </w:t>
      </w:r>
      <w:r>
        <w:rPr>
          <w:rFonts w:asciiTheme="majorHAnsi" w:hAnsiTheme="majorHAnsi"/>
          <w:color w:val="000000"/>
          <w:lang w:bidi="en-US"/>
        </w:rPr>
        <w:t>Jennings, P 2008</w:t>
      </w:r>
      <w:r>
        <w:rPr>
          <w:rFonts w:asciiTheme="majorHAnsi" w:hAnsiTheme="majorHAnsi"/>
          <w:color w:val="000000"/>
        </w:rPr>
        <w:t>,</w:t>
      </w:r>
      <w:r>
        <w:rPr>
          <w:rFonts w:asciiTheme="majorHAnsi" w:hAnsiTheme="majorHAnsi"/>
          <w:color w:val="000000"/>
          <w:lang w:bidi="en-US"/>
        </w:rPr>
        <w:t xml:space="preserve"> </w:t>
      </w:r>
      <w:r>
        <w:rPr>
          <w:rFonts w:asciiTheme="majorHAnsi" w:eastAsiaTheme="minorEastAsia" w:hAnsiTheme="majorHAnsi"/>
          <w:i/>
          <w:color w:val="000000"/>
          <w:lang w:bidi="en-US"/>
        </w:rPr>
        <w:t>Report indicating the limiting and optimal</w:t>
      </w:r>
      <w:r>
        <w:rPr>
          <w:rFonts w:asciiTheme="majorHAnsi" w:hAnsiTheme="majorHAnsi"/>
          <w:i/>
          <w:color w:val="000000"/>
        </w:rPr>
        <w:t xml:space="preserve"> </w:t>
      </w:r>
      <w:r>
        <w:rPr>
          <w:rFonts w:asciiTheme="majorHAnsi" w:eastAsiaTheme="minorEastAsia" w:hAnsiTheme="majorHAnsi"/>
          <w:i/>
          <w:color w:val="000000"/>
          <w:lang w:bidi="en-US"/>
        </w:rPr>
        <w:t>environmental conditions for production, germination and survival of sporangia</w:t>
      </w:r>
      <w:r>
        <w:rPr>
          <w:rFonts w:asciiTheme="majorHAnsi" w:hAnsiTheme="majorHAnsi"/>
          <w:i/>
          <w:color w:val="000000"/>
        </w:rPr>
        <w:t xml:space="preserve"> </w:t>
      </w:r>
      <w:r>
        <w:rPr>
          <w:rFonts w:asciiTheme="majorHAnsi" w:eastAsiaTheme="minorEastAsia" w:hAnsiTheme="majorHAnsi"/>
          <w:i/>
          <w:color w:val="000000"/>
          <w:lang w:bidi="en-US"/>
        </w:rPr>
        <w:t>and zoospores</w:t>
      </w:r>
      <w:r>
        <w:rPr>
          <w:rFonts w:asciiTheme="majorHAnsi" w:hAnsiTheme="majorHAnsi"/>
          <w:color w:val="000000"/>
        </w:rPr>
        <w:t xml:space="preserve">, </w:t>
      </w:r>
      <w:r>
        <w:rPr>
          <w:rFonts w:asciiTheme="majorHAnsi" w:eastAsiaTheme="minorEastAsia" w:hAnsiTheme="majorHAnsi"/>
          <w:color w:val="000000"/>
          <w:lang w:bidi="en-US"/>
        </w:rPr>
        <w:t>Deliverable Report 7. Sand Hutton, York, UK: Forest Research.</w:t>
      </w:r>
      <w:r>
        <w:rPr>
          <w:rFonts w:asciiTheme="majorHAnsi" w:hAnsiTheme="majorHAnsi"/>
          <w:color w:val="000000"/>
        </w:rPr>
        <w:t xml:space="preserve">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t>Turner, JA, Jennings, P &amp; Humphries 2006, ‘</w:t>
      </w:r>
      <w:r>
        <w:rPr>
          <w:rFonts w:asciiTheme="majorHAnsi" w:hAnsiTheme="majorHAnsi"/>
          <w:i/>
          <w:color w:val="000000"/>
        </w:rPr>
        <w:t>P. ramorum/P. kernoviae</w:t>
      </w:r>
      <w:r>
        <w:rPr>
          <w:rFonts w:asciiTheme="majorHAnsi" w:hAnsiTheme="majorHAnsi"/>
          <w:color w:val="000000"/>
        </w:rPr>
        <w:t xml:space="preserve">: Development of post-eradication strategies for management/treatment of contaminated substrates and inoculum at outbreak sites’, </w:t>
      </w:r>
      <w:r>
        <w:rPr>
          <w:rFonts w:asciiTheme="majorHAnsi" w:hAnsiTheme="majorHAnsi"/>
          <w:i/>
          <w:color w:val="000000"/>
        </w:rPr>
        <w:t>Internal quarterly reports 1, 2 and 3</w:t>
      </w:r>
      <w:r>
        <w:rPr>
          <w:rFonts w:asciiTheme="majorHAnsi" w:hAnsiTheme="majorHAnsi"/>
          <w:color w:val="000000"/>
        </w:rPr>
        <w:t>, DEFRA Project number PH0414.</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color w:val="000000"/>
        </w:rPr>
        <w:t>Varela</w:t>
      </w:r>
      <w:r>
        <w:rPr>
          <w:rFonts w:asciiTheme="majorHAnsi" w:hAnsiTheme="majorHAnsi"/>
        </w:rPr>
        <w:t>,</w:t>
      </w:r>
      <w:r>
        <w:rPr>
          <w:rFonts w:asciiTheme="majorHAnsi" w:hAnsiTheme="majorHAnsi"/>
          <w:color w:val="000000"/>
        </w:rPr>
        <w:t xml:space="preserve"> CP, Vazquez</w:t>
      </w:r>
      <w:r>
        <w:rPr>
          <w:rFonts w:asciiTheme="majorHAnsi" w:hAnsiTheme="majorHAnsi"/>
        </w:rPr>
        <w:t>,</w:t>
      </w:r>
      <w:r>
        <w:rPr>
          <w:rFonts w:asciiTheme="majorHAnsi" w:hAnsiTheme="majorHAnsi"/>
          <w:color w:val="000000"/>
        </w:rPr>
        <w:t xml:space="preserve"> JPM, Casal</w:t>
      </w:r>
      <w:r>
        <w:rPr>
          <w:rFonts w:asciiTheme="majorHAnsi" w:hAnsiTheme="majorHAnsi"/>
        </w:rPr>
        <w:t>,</w:t>
      </w:r>
      <w:r>
        <w:rPr>
          <w:rFonts w:asciiTheme="majorHAnsi" w:hAnsiTheme="majorHAnsi"/>
          <w:color w:val="000000"/>
        </w:rPr>
        <w:t xml:space="preserve"> OA</w:t>
      </w:r>
      <w:r>
        <w:rPr>
          <w:rFonts w:asciiTheme="majorHAnsi" w:hAnsiTheme="majorHAnsi"/>
        </w:rPr>
        <w:t xml:space="preserve"> &amp;</w:t>
      </w:r>
      <w:r>
        <w:rPr>
          <w:rFonts w:asciiTheme="majorHAnsi" w:hAnsiTheme="majorHAnsi"/>
          <w:color w:val="000000"/>
        </w:rPr>
        <w:t xml:space="preserve"> Martinez</w:t>
      </w:r>
      <w:r>
        <w:rPr>
          <w:rFonts w:asciiTheme="majorHAnsi" w:hAnsiTheme="majorHAnsi"/>
        </w:rPr>
        <w:t>,</w:t>
      </w:r>
      <w:r>
        <w:rPr>
          <w:rFonts w:asciiTheme="majorHAnsi" w:hAnsiTheme="majorHAnsi"/>
          <w:color w:val="000000"/>
        </w:rPr>
        <w:t xml:space="preserve"> CR 2007</w:t>
      </w:r>
      <w:r>
        <w:rPr>
          <w:rFonts w:asciiTheme="majorHAnsi" w:hAnsiTheme="majorHAnsi"/>
        </w:rPr>
        <w:t>,</w:t>
      </w:r>
      <w:r>
        <w:rPr>
          <w:rFonts w:asciiTheme="majorHAnsi" w:hAnsiTheme="majorHAnsi"/>
          <w:color w:val="000000"/>
        </w:rPr>
        <w:t xml:space="preserve"> </w:t>
      </w:r>
      <w:r>
        <w:rPr>
          <w:rFonts w:asciiTheme="majorHAnsi" w:hAnsiTheme="majorHAnsi"/>
        </w:rPr>
        <w:t>‘</w:t>
      </w:r>
      <w:r>
        <w:rPr>
          <w:rFonts w:asciiTheme="majorHAnsi" w:hAnsiTheme="majorHAnsi"/>
          <w:color w:val="000000"/>
        </w:rPr>
        <w:t xml:space="preserve">First report of </w:t>
      </w:r>
      <w:r>
        <w:rPr>
          <w:rFonts w:asciiTheme="majorHAnsi" w:hAnsiTheme="majorHAnsi"/>
          <w:i/>
          <w:color w:val="000000"/>
        </w:rPr>
        <w:t xml:space="preserve">Phytophthora pseudosyringae </w:t>
      </w:r>
      <w:r>
        <w:rPr>
          <w:rFonts w:asciiTheme="majorHAnsi" w:hAnsiTheme="majorHAnsi"/>
        </w:rPr>
        <w:t xml:space="preserve">on chestnut nursery stock in Spain’, </w:t>
      </w:r>
      <w:r>
        <w:rPr>
          <w:rFonts w:asciiTheme="majorHAnsi" w:hAnsiTheme="majorHAnsi"/>
          <w:i/>
        </w:rPr>
        <w:t>Plant Disease</w:t>
      </w:r>
      <w:r>
        <w:rPr>
          <w:rFonts w:asciiTheme="majorHAnsi" w:hAnsiTheme="majorHAnsi"/>
        </w:rPr>
        <w:t xml:space="preserve"> 91: 1517.</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Vettraino, AM, Sukno, S, Vannini, A &amp; Garbelotto, M 2010, ‘Diagnostic sensitivity and specificity of different methods used by two laboratories for the detection of </w:t>
      </w:r>
      <w:r>
        <w:rPr>
          <w:rFonts w:asciiTheme="majorHAnsi" w:hAnsiTheme="majorHAnsi"/>
          <w:i/>
        </w:rPr>
        <w:t>Phytophthora ramorum</w:t>
      </w:r>
      <w:r>
        <w:rPr>
          <w:rFonts w:asciiTheme="majorHAnsi" w:hAnsiTheme="majorHAnsi"/>
        </w:rPr>
        <w:t xml:space="preserve"> on multiple natural hosts’, </w:t>
      </w:r>
      <w:r>
        <w:rPr>
          <w:rFonts w:asciiTheme="majorHAnsi" w:hAnsiTheme="majorHAnsi"/>
          <w:i/>
        </w:rPr>
        <w:t>Plant Pathology</w:t>
      </w:r>
      <w:r>
        <w:rPr>
          <w:rFonts w:asciiTheme="majorHAnsi" w:hAnsiTheme="majorHAnsi"/>
        </w:rPr>
        <w:t>, vol. 59, no. 2, pp. 289–300.</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Vettraino, AM, Ceccarelli, B &amp; Vannini, A 2009, ‘Susceptibility of some Italian ornamental and forestry species to </w:t>
      </w:r>
      <w:r>
        <w:rPr>
          <w:rFonts w:asciiTheme="majorHAnsi" w:hAnsiTheme="majorHAnsi"/>
          <w:i/>
        </w:rPr>
        <w:t>Phytophthora ramorum</w:t>
      </w:r>
      <w:r>
        <w:rPr>
          <w:rFonts w:asciiTheme="majorHAnsi" w:hAnsiTheme="majorHAnsi"/>
        </w:rPr>
        <w:t>,’ In: ‘</w:t>
      </w:r>
      <w:r>
        <w:rPr>
          <w:rFonts w:asciiTheme="majorHAnsi" w:hAnsiTheme="majorHAnsi"/>
          <w:i/>
          <w:color w:val="000000"/>
        </w:rPr>
        <w:t>Phytophthora</w:t>
      </w:r>
      <w:r>
        <w:rPr>
          <w:rFonts w:asciiTheme="majorHAnsi" w:hAnsiTheme="majorHAnsi"/>
        </w:rPr>
        <w:t xml:space="preserve">s in Forests and Natural Ecosystems’, </w:t>
      </w:r>
      <w:r>
        <w:rPr>
          <w:rFonts w:asciiTheme="majorHAnsi" w:hAnsiTheme="majorHAnsi"/>
          <w:i/>
          <w:color w:val="000000"/>
        </w:rPr>
        <w:t>Proceedings of the 4th Meeting of IUFRO Working Party</w:t>
      </w:r>
      <w:r>
        <w:rPr>
          <w:rFonts w:asciiTheme="majorHAnsi" w:hAnsiTheme="majorHAnsi"/>
        </w:rPr>
        <w:t xml:space="preserve"> S07.02.09, PSW-GTR-221: 137–139.</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Vettraino, AM, Hüberli, D &amp; Garbelotto, M 2008, ‘</w:t>
      </w:r>
      <w:r>
        <w:rPr>
          <w:rFonts w:asciiTheme="majorHAnsi" w:hAnsiTheme="majorHAnsi"/>
          <w:i/>
        </w:rPr>
        <w:t>Phytophthora ramorum</w:t>
      </w:r>
      <w:r>
        <w:rPr>
          <w:rFonts w:asciiTheme="majorHAnsi" w:hAnsiTheme="majorHAnsi"/>
        </w:rPr>
        <w:t xml:space="preserve"> infection of coast live oak leaves in Californian forests and its capacity to sporulate in vitro’, </w:t>
      </w:r>
      <w:r>
        <w:rPr>
          <w:rFonts w:asciiTheme="majorHAnsi" w:hAnsiTheme="majorHAnsi"/>
          <w:i/>
          <w:color w:val="000000"/>
        </w:rPr>
        <w:t>Australasian Plant Pathology</w:t>
      </w:r>
      <w:r>
        <w:rPr>
          <w:rFonts w:asciiTheme="majorHAnsi" w:hAnsiTheme="majorHAnsi"/>
        </w:rPr>
        <w:t>, 37: 72–73.</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Vettraino, AM, Hüberli, D, Swain, S, Bienapfl, JC, Smith, A &amp; Garbelotto, M 2006a, ‘First report of infection of Maiden-Hair Fern (</w:t>
      </w:r>
      <w:r>
        <w:rPr>
          <w:rFonts w:asciiTheme="majorHAnsi" w:hAnsiTheme="majorHAnsi"/>
          <w:i/>
          <w:color w:val="000000"/>
        </w:rPr>
        <w:t>Adiantum jordanii</w:t>
      </w:r>
      <w:r>
        <w:rPr>
          <w:rFonts w:asciiTheme="majorHAnsi" w:hAnsiTheme="majorHAnsi"/>
        </w:rPr>
        <w:t xml:space="preserve"> and </w:t>
      </w:r>
      <w:r>
        <w:rPr>
          <w:rFonts w:asciiTheme="majorHAnsi" w:hAnsiTheme="majorHAnsi"/>
          <w:i/>
          <w:color w:val="000000"/>
        </w:rPr>
        <w:t>A. aleuticum</w:t>
      </w:r>
      <w:r>
        <w:rPr>
          <w:rFonts w:asciiTheme="majorHAnsi" w:hAnsiTheme="majorHAnsi"/>
        </w:rPr>
        <w:t xml:space="preserve">) by </w:t>
      </w:r>
      <w:r>
        <w:rPr>
          <w:rFonts w:asciiTheme="majorHAnsi" w:hAnsiTheme="majorHAnsi"/>
          <w:i/>
        </w:rPr>
        <w:t>Phytophthora ramorum</w:t>
      </w:r>
      <w:r>
        <w:rPr>
          <w:rFonts w:asciiTheme="majorHAnsi" w:hAnsiTheme="majorHAnsi"/>
        </w:rPr>
        <w:t xml:space="preserve"> in California’, </w:t>
      </w:r>
      <w:r>
        <w:rPr>
          <w:rFonts w:asciiTheme="majorHAnsi" w:hAnsiTheme="majorHAnsi"/>
          <w:i/>
        </w:rPr>
        <w:t>Plant Disease</w:t>
      </w:r>
      <w:r>
        <w:rPr>
          <w:rFonts w:asciiTheme="majorHAnsi" w:hAnsiTheme="majorHAnsi"/>
        </w:rPr>
        <w:t>, 90: 379.</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Vettraino, AM, Hüberli, D, Swain, S, Smith, A &amp; Garbelotto, M 2006b, ‘A new report of </w:t>
      </w:r>
      <w:r>
        <w:rPr>
          <w:rFonts w:asciiTheme="majorHAnsi" w:hAnsiTheme="majorHAnsi"/>
          <w:i/>
        </w:rPr>
        <w:t>Phytophthora ramorum</w:t>
      </w:r>
      <w:r>
        <w:rPr>
          <w:rFonts w:asciiTheme="majorHAnsi" w:hAnsiTheme="majorHAnsi"/>
        </w:rPr>
        <w:t xml:space="preserve"> on </w:t>
      </w:r>
      <w:r>
        <w:rPr>
          <w:rFonts w:asciiTheme="majorHAnsi" w:hAnsiTheme="majorHAnsi"/>
          <w:i/>
          <w:color w:val="000000"/>
        </w:rPr>
        <w:t>Rhamnus purshiana</w:t>
      </w:r>
      <w:r>
        <w:rPr>
          <w:rFonts w:asciiTheme="majorHAnsi" w:hAnsiTheme="majorHAnsi"/>
        </w:rPr>
        <w:t xml:space="preserve"> in Northern California’, </w:t>
      </w:r>
      <w:r>
        <w:rPr>
          <w:rFonts w:asciiTheme="majorHAnsi" w:hAnsiTheme="majorHAnsi"/>
          <w:i/>
        </w:rPr>
        <w:t>Plant Disease</w:t>
      </w:r>
      <w:r>
        <w:rPr>
          <w:rFonts w:asciiTheme="majorHAnsi" w:hAnsiTheme="majorHAnsi"/>
        </w:rPr>
        <w:t>, 90: 246.</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Waterhouse, GM 1963, ‘</w:t>
      </w:r>
      <w:r>
        <w:rPr>
          <w:rFonts w:asciiTheme="majorHAnsi" w:hAnsiTheme="majorHAnsi"/>
          <w:i/>
        </w:rPr>
        <w:t>Key to the species of Phytophthora</w:t>
      </w:r>
      <w:r>
        <w:rPr>
          <w:rFonts w:asciiTheme="majorHAnsi" w:hAnsiTheme="majorHAnsi"/>
        </w:rPr>
        <w:t>’, Commonwealth Mycological Institute Kew, UK, 92.</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Webber, J 2010, ‘Pest risk analysis and invasion pathways for plant pathogens’, </w:t>
      </w:r>
      <w:r>
        <w:rPr>
          <w:rFonts w:asciiTheme="majorHAnsi" w:hAnsiTheme="majorHAnsi"/>
          <w:i/>
        </w:rPr>
        <w:t>New Zealand</w:t>
      </w:r>
      <w:r>
        <w:rPr>
          <w:rFonts w:asciiTheme="majorHAnsi" w:hAnsiTheme="majorHAnsi"/>
        </w:rPr>
        <w:t xml:space="preserve"> </w:t>
      </w:r>
      <w:r>
        <w:rPr>
          <w:rFonts w:asciiTheme="majorHAnsi" w:hAnsiTheme="majorHAnsi"/>
          <w:i/>
        </w:rPr>
        <w:t>Journal of Forestry Science</w:t>
      </w:r>
      <w:r>
        <w:rPr>
          <w:rFonts w:asciiTheme="majorHAnsi" w:hAnsiTheme="majorHAnsi"/>
        </w:rPr>
        <w:t>, 40: 45–55.</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Webber, JF &amp; Rose, J 2007, ‘Dissemination of aerial and root infecting </w:t>
      </w:r>
      <w:r>
        <w:rPr>
          <w:rFonts w:asciiTheme="majorHAnsi" w:hAnsiTheme="majorHAnsi"/>
          <w:i/>
        </w:rPr>
        <w:t>Phytophthora</w:t>
      </w:r>
      <w:r>
        <w:rPr>
          <w:rFonts w:asciiTheme="majorHAnsi" w:hAnsiTheme="majorHAnsi"/>
        </w:rPr>
        <w:t xml:space="preserve">s by human vectors’ [Abstract], </w:t>
      </w:r>
      <w:r>
        <w:rPr>
          <w:rFonts w:asciiTheme="majorHAnsi" w:hAnsiTheme="majorHAnsi"/>
          <w:i/>
        </w:rPr>
        <w:t>Proceedings of the Sudden Oak Death Symposium III</w:t>
      </w:r>
      <w:r>
        <w:rPr>
          <w:rFonts w:asciiTheme="majorHAnsi" w:hAnsiTheme="majorHAnsi"/>
        </w:rPr>
        <w:t xml:space="preserve">, 88: 275–278.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Webber, JF 2008, ‘Status of </w:t>
      </w:r>
      <w:r>
        <w:rPr>
          <w:rFonts w:asciiTheme="majorHAnsi" w:hAnsiTheme="majorHAnsi"/>
          <w:i/>
        </w:rPr>
        <w:t>Phytophthora ramorum</w:t>
      </w:r>
      <w:r>
        <w:rPr>
          <w:rFonts w:asciiTheme="majorHAnsi" w:hAnsiTheme="majorHAnsi"/>
        </w:rPr>
        <w:t xml:space="preserve"> and </w:t>
      </w:r>
      <w:r>
        <w:rPr>
          <w:rFonts w:asciiTheme="majorHAnsi" w:hAnsiTheme="majorHAnsi"/>
          <w:i/>
        </w:rPr>
        <w:t>P. kernoviae</w:t>
      </w:r>
      <w:r>
        <w:rPr>
          <w:rFonts w:asciiTheme="majorHAnsi" w:hAnsiTheme="majorHAnsi"/>
        </w:rPr>
        <w:t xml:space="preserve"> in Europe’, </w:t>
      </w:r>
      <w:r>
        <w:rPr>
          <w:rFonts w:asciiTheme="majorHAnsi" w:hAnsiTheme="majorHAnsi"/>
          <w:i/>
        </w:rPr>
        <w:t>Proceedings of the Sudden Oak Death 3rd Science Symposium</w:t>
      </w:r>
      <w:r>
        <w:rPr>
          <w:rFonts w:asciiTheme="majorHAnsi" w:hAnsiTheme="majorHAnsi"/>
        </w:rPr>
        <w:t>, General technical report PSW-GTR-214, 19–26.</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Webber, JF, Mullett, M &amp; Brasier, CM 2010a, ‘Dieback and mortality of plantation Japanese larch (</w:t>
      </w:r>
      <w:r>
        <w:rPr>
          <w:rFonts w:asciiTheme="majorHAnsi" w:hAnsiTheme="majorHAnsi"/>
          <w:i/>
        </w:rPr>
        <w:t>Larix kaempferi</w:t>
      </w:r>
      <w:r>
        <w:rPr>
          <w:rFonts w:asciiTheme="majorHAnsi" w:hAnsiTheme="majorHAnsi"/>
        </w:rPr>
        <w:t xml:space="preserve">) associated with infection by </w:t>
      </w:r>
      <w:r>
        <w:rPr>
          <w:rFonts w:asciiTheme="majorHAnsi" w:hAnsiTheme="majorHAnsi"/>
          <w:i/>
        </w:rPr>
        <w:t>Phytophthora ramorum</w:t>
      </w:r>
      <w:r>
        <w:rPr>
          <w:rFonts w:asciiTheme="majorHAnsi" w:hAnsiTheme="majorHAnsi"/>
        </w:rPr>
        <w:t xml:space="preserve">’, </w:t>
      </w:r>
      <w:r>
        <w:rPr>
          <w:rFonts w:asciiTheme="majorHAnsi" w:hAnsiTheme="majorHAnsi"/>
          <w:i/>
        </w:rPr>
        <w:t>New Disease Reports</w:t>
      </w:r>
      <w:r>
        <w:rPr>
          <w:rFonts w:asciiTheme="majorHAnsi" w:hAnsiTheme="majorHAnsi"/>
        </w:rPr>
        <w:t>,</w:t>
      </w:r>
      <w:r>
        <w:rPr>
          <w:rFonts w:asciiTheme="majorHAnsi" w:hAnsiTheme="majorHAnsi"/>
          <w:i/>
        </w:rPr>
        <w:t xml:space="preserve"> </w:t>
      </w:r>
      <w:r>
        <w:rPr>
          <w:rFonts w:asciiTheme="majorHAnsi" w:hAnsiTheme="majorHAnsi"/>
        </w:rPr>
        <w:t>22: 19.</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Webber, JF, Turner, J &amp; Jennings, P 2010b, ‘Report on research undertaken between October 2009 to March 2010, on </w:t>
      </w:r>
      <w:r>
        <w:rPr>
          <w:rFonts w:asciiTheme="majorHAnsi" w:hAnsiTheme="majorHAnsi"/>
          <w:i/>
        </w:rPr>
        <w:t>Phytophthora ramorum</w:t>
      </w:r>
      <w:r>
        <w:rPr>
          <w:rFonts w:asciiTheme="majorHAnsi" w:hAnsiTheme="majorHAnsi"/>
        </w:rPr>
        <w:t xml:space="preserve"> incited dieback of larch (</w:t>
      </w:r>
      <w:r>
        <w:rPr>
          <w:rFonts w:asciiTheme="majorHAnsi" w:hAnsiTheme="majorHAnsi"/>
          <w:i/>
        </w:rPr>
        <w:t>Larix kaempferi</w:t>
      </w:r>
      <w:r>
        <w:rPr>
          <w:rFonts w:asciiTheme="majorHAnsi" w:hAnsiTheme="majorHAnsi"/>
        </w:rPr>
        <w:t>)’, Forest Research (UK) Report,</w:t>
      </w:r>
      <w:r w:rsidR="007B1790">
        <w:rPr>
          <w:rFonts w:asciiTheme="majorHAnsi" w:hAnsiTheme="majorHAnsi"/>
        </w:rPr>
        <w:t xml:space="preserve"> accessed November 2013, </w:t>
      </w:r>
      <w:r>
        <w:rPr>
          <w:rFonts w:asciiTheme="majorHAnsi" w:hAnsiTheme="majorHAnsi"/>
        </w:rPr>
        <w:t>fera.defra.gov.uk/plants/plantHealth</w:t>
      </w:r>
      <w:r w:rsidR="007B1790">
        <w:rPr>
          <w:rFonts w:asciiTheme="majorHAnsi" w:hAnsiTheme="majorHAnsi"/>
        </w:rPr>
        <w:t xml:space="preserve"> </w:t>
      </w:r>
      <w:r>
        <w:rPr>
          <w:rFonts w:asciiTheme="majorHAnsi" w:hAnsiTheme="majorHAnsi"/>
        </w:rPr>
        <w:t>/pestsDiseases/phytophthora/documents/larchReport.pdf.</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lastRenderedPageBreak/>
        <w:t xml:space="preserve">Werres, S &amp; De Merlier, D 2003, ‘First detection of </w:t>
      </w:r>
      <w:r>
        <w:rPr>
          <w:rFonts w:asciiTheme="majorHAnsi" w:hAnsiTheme="majorHAnsi"/>
          <w:i/>
        </w:rPr>
        <w:t>Phytophthora ramorum</w:t>
      </w:r>
      <w:r>
        <w:rPr>
          <w:rFonts w:asciiTheme="majorHAnsi" w:hAnsiTheme="majorHAnsi"/>
        </w:rPr>
        <w:t xml:space="preserve"> mating type A2 in Europe’, </w:t>
      </w:r>
      <w:r>
        <w:rPr>
          <w:rFonts w:asciiTheme="majorHAnsi" w:hAnsiTheme="majorHAnsi"/>
          <w:i/>
        </w:rPr>
        <w:t>Plant Disease</w:t>
      </w:r>
      <w:r>
        <w:rPr>
          <w:rFonts w:asciiTheme="majorHAnsi" w:hAnsiTheme="majorHAnsi"/>
        </w:rPr>
        <w:t>, 87: 1266.</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Werres, S &amp; Kaminski, K 2005, ‘Characterisation of European and North American </w:t>
      </w:r>
      <w:r>
        <w:rPr>
          <w:rFonts w:asciiTheme="majorHAnsi" w:hAnsiTheme="majorHAnsi"/>
          <w:i/>
        </w:rPr>
        <w:t>Phytophthora ramorum</w:t>
      </w:r>
      <w:r>
        <w:rPr>
          <w:rFonts w:asciiTheme="majorHAnsi" w:hAnsiTheme="majorHAnsi"/>
        </w:rPr>
        <w:t xml:space="preserve"> isolates due to their morphology and mating behaviour in vitro with heterothallic </w:t>
      </w:r>
      <w:r>
        <w:rPr>
          <w:rFonts w:asciiTheme="majorHAnsi" w:hAnsiTheme="majorHAnsi"/>
          <w:i/>
          <w:color w:val="000000"/>
        </w:rPr>
        <w:t>Phytophthora</w:t>
      </w:r>
      <w:r>
        <w:rPr>
          <w:rFonts w:asciiTheme="majorHAnsi" w:hAnsiTheme="majorHAnsi"/>
        </w:rPr>
        <w:t xml:space="preserve"> species’, </w:t>
      </w:r>
      <w:r>
        <w:rPr>
          <w:rFonts w:asciiTheme="majorHAnsi" w:hAnsiTheme="majorHAnsi"/>
          <w:i/>
          <w:color w:val="000000"/>
        </w:rPr>
        <w:t>Mycological Research</w:t>
      </w:r>
      <w:r>
        <w:rPr>
          <w:rFonts w:asciiTheme="majorHAnsi" w:hAnsiTheme="majorHAnsi"/>
        </w:rPr>
        <w:t>, 109: 860–871.</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Werres, S &amp; Zielke, B 2003, ‘First studies on the pairing of </w:t>
      </w:r>
      <w:r>
        <w:rPr>
          <w:rFonts w:asciiTheme="majorHAnsi" w:hAnsiTheme="majorHAnsi"/>
          <w:i/>
        </w:rPr>
        <w:t>Phytophthora ramorum</w:t>
      </w:r>
      <w:r>
        <w:rPr>
          <w:rFonts w:asciiTheme="majorHAnsi" w:hAnsiTheme="majorHAnsi"/>
        </w:rPr>
        <w:t xml:space="preserve">’, </w:t>
      </w:r>
      <w:r>
        <w:rPr>
          <w:rFonts w:asciiTheme="majorHAnsi" w:hAnsiTheme="majorHAnsi"/>
          <w:i/>
        </w:rPr>
        <w:t>Journal of</w:t>
      </w:r>
      <w:r>
        <w:rPr>
          <w:rFonts w:asciiTheme="majorHAnsi" w:hAnsiTheme="majorHAnsi"/>
        </w:rPr>
        <w:t xml:space="preserve"> </w:t>
      </w:r>
      <w:r>
        <w:rPr>
          <w:rFonts w:asciiTheme="majorHAnsi" w:hAnsiTheme="majorHAnsi"/>
          <w:i/>
        </w:rPr>
        <w:t>Plant Disease</w:t>
      </w:r>
      <w:r>
        <w:rPr>
          <w:rFonts w:asciiTheme="majorHAnsi" w:hAnsiTheme="majorHAnsi"/>
        </w:rPr>
        <w:t xml:space="preserve"> </w:t>
      </w:r>
      <w:r>
        <w:rPr>
          <w:rFonts w:asciiTheme="majorHAnsi" w:hAnsiTheme="majorHAnsi"/>
          <w:i/>
        </w:rPr>
        <w:t>and Protection</w:t>
      </w:r>
      <w:r>
        <w:rPr>
          <w:rFonts w:asciiTheme="majorHAnsi" w:hAnsiTheme="majorHAnsi"/>
        </w:rPr>
        <w:t>, 110: 129–130.</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Werres, S, Marwitz, R, Man In‘T Veld, WA, De Cock, AWAM, Bonants, PJM, De Weerdt, M, Themann, K, Ilieva, E &amp; Baayen, RP 2001, ‘</w:t>
      </w:r>
      <w:r>
        <w:rPr>
          <w:rFonts w:asciiTheme="majorHAnsi" w:hAnsiTheme="majorHAnsi"/>
          <w:i/>
        </w:rPr>
        <w:t>Phytophthora ramorum</w:t>
      </w:r>
      <w:r>
        <w:rPr>
          <w:rFonts w:asciiTheme="majorHAnsi" w:hAnsiTheme="majorHAnsi"/>
        </w:rPr>
        <w:t xml:space="preserve"> sp. </w:t>
      </w:r>
      <w:r>
        <w:rPr>
          <w:rFonts w:asciiTheme="majorHAnsi" w:hAnsiTheme="majorHAnsi"/>
          <w:i/>
        </w:rPr>
        <w:t>nov</w:t>
      </w:r>
      <w:r>
        <w:rPr>
          <w:rFonts w:asciiTheme="majorHAnsi" w:hAnsiTheme="majorHAnsi"/>
        </w:rPr>
        <w:t xml:space="preserve">., a new pathogen on </w:t>
      </w:r>
      <w:r>
        <w:rPr>
          <w:rFonts w:asciiTheme="majorHAnsi" w:hAnsiTheme="majorHAnsi"/>
          <w:i/>
        </w:rPr>
        <w:t>Rhododendron</w:t>
      </w:r>
      <w:r>
        <w:rPr>
          <w:rFonts w:asciiTheme="majorHAnsi" w:hAnsiTheme="majorHAnsi"/>
        </w:rPr>
        <w:t xml:space="preserve"> and </w:t>
      </w:r>
      <w:r>
        <w:rPr>
          <w:rFonts w:asciiTheme="majorHAnsi" w:hAnsiTheme="majorHAnsi"/>
          <w:i/>
        </w:rPr>
        <w:t>Viburnum</w:t>
      </w:r>
      <w:r>
        <w:rPr>
          <w:rFonts w:asciiTheme="majorHAnsi" w:hAnsiTheme="majorHAnsi"/>
        </w:rPr>
        <w:t xml:space="preserve">’, </w:t>
      </w:r>
      <w:r>
        <w:rPr>
          <w:rFonts w:asciiTheme="majorHAnsi" w:hAnsiTheme="majorHAnsi"/>
          <w:i/>
        </w:rPr>
        <w:t>Mycological Research</w:t>
      </w:r>
      <w:r>
        <w:rPr>
          <w:rFonts w:asciiTheme="majorHAnsi" w:hAnsiTheme="majorHAnsi"/>
        </w:rPr>
        <w:t>, 105: 1155–1165.</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Weste, G &amp; Marks, GC 1987, ‘The biology of </w:t>
      </w:r>
      <w:r>
        <w:rPr>
          <w:rFonts w:asciiTheme="majorHAnsi" w:hAnsiTheme="majorHAnsi"/>
          <w:i/>
        </w:rPr>
        <w:t>Phytophthora cinnamomi</w:t>
      </w:r>
      <w:r>
        <w:rPr>
          <w:rFonts w:asciiTheme="majorHAnsi" w:hAnsiTheme="majorHAnsi"/>
        </w:rPr>
        <w:t xml:space="preserve"> in Australasian forests’, </w:t>
      </w:r>
      <w:r>
        <w:rPr>
          <w:rFonts w:asciiTheme="majorHAnsi" w:hAnsiTheme="majorHAnsi"/>
          <w:i/>
        </w:rPr>
        <w:t>Annual Review of Phytopathology</w:t>
      </w:r>
      <w:r>
        <w:rPr>
          <w:rFonts w:asciiTheme="majorHAnsi" w:hAnsiTheme="majorHAnsi"/>
        </w:rPr>
        <w:t xml:space="preserve">, 25: 207–229. </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Wickland, AC &amp; Rizzo, DM 2006, ‘Ecology of </w:t>
      </w:r>
      <w:r>
        <w:rPr>
          <w:rFonts w:asciiTheme="majorHAnsi" w:hAnsiTheme="majorHAnsi"/>
          <w:i/>
        </w:rPr>
        <w:t>Phytophthora nemorosa</w:t>
      </w:r>
      <w:r>
        <w:rPr>
          <w:rFonts w:asciiTheme="majorHAnsi" w:hAnsiTheme="majorHAnsi"/>
        </w:rPr>
        <w:t xml:space="preserve"> and </w:t>
      </w:r>
      <w:r>
        <w:rPr>
          <w:rFonts w:asciiTheme="majorHAnsi" w:hAnsiTheme="majorHAnsi"/>
          <w:i/>
        </w:rPr>
        <w:t>P. pseudosyringae</w:t>
      </w:r>
      <w:r>
        <w:rPr>
          <w:rFonts w:asciiTheme="majorHAnsi" w:hAnsiTheme="majorHAnsi"/>
        </w:rPr>
        <w:t xml:space="preserve"> in mixed evergreen forests’, </w:t>
      </w:r>
      <w:r>
        <w:rPr>
          <w:rFonts w:asciiTheme="majorHAnsi" w:hAnsiTheme="majorHAnsi"/>
          <w:i/>
        </w:rPr>
        <w:t>Proceedings of the Sudden Oak Death Second Science Symposium: The State of Our Knowledge</w:t>
      </w:r>
      <w:r>
        <w:rPr>
          <w:rFonts w:asciiTheme="majorHAnsi" w:hAnsiTheme="majorHAnsi"/>
        </w:rPr>
        <w:t>, General Technical Report PSW-GTR-196, 73.</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Wickland, AC, Jensen, CE &amp; Rizzo, DM 2008, ‘Geographic distribution, disease symptoms and pathogenicity of </w:t>
      </w:r>
      <w:r>
        <w:rPr>
          <w:rFonts w:asciiTheme="majorHAnsi" w:hAnsiTheme="majorHAnsi"/>
          <w:i/>
        </w:rPr>
        <w:t>Phytophthora nemorosa</w:t>
      </w:r>
      <w:r>
        <w:rPr>
          <w:rFonts w:asciiTheme="majorHAnsi" w:hAnsiTheme="majorHAnsi"/>
        </w:rPr>
        <w:t xml:space="preserve"> and </w:t>
      </w:r>
      <w:r>
        <w:rPr>
          <w:rFonts w:asciiTheme="majorHAnsi" w:hAnsiTheme="majorHAnsi"/>
          <w:i/>
        </w:rPr>
        <w:t>P. pseudosyringae</w:t>
      </w:r>
      <w:r>
        <w:rPr>
          <w:rFonts w:asciiTheme="majorHAnsi" w:hAnsiTheme="majorHAnsi"/>
        </w:rPr>
        <w:t xml:space="preserve"> in California, USA’, </w:t>
      </w:r>
      <w:r>
        <w:rPr>
          <w:rFonts w:asciiTheme="majorHAnsi" w:hAnsiTheme="majorHAnsi"/>
          <w:i/>
        </w:rPr>
        <w:t>Forest Pathology</w:t>
      </w:r>
      <w:r>
        <w:rPr>
          <w:rFonts w:asciiTheme="majorHAnsi" w:hAnsiTheme="majorHAnsi"/>
        </w:rPr>
        <w:t>, 38: 288–298.</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Widmer, T 2011, ‘Effect of temperature on survival of </w:t>
      </w:r>
      <w:r>
        <w:rPr>
          <w:rFonts w:asciiTheme="majorHAnsi" w:hAnsiTheme="majorHAnsi"/>
          <w:i/>
        </w:rPr>
        <w:t>Phytophthora kernoviae</w:t>
      </w:r>
      <w:r>
        <w:rPr>
          <w:rFonts w:asciiTheme="majorHAnsi" w:hAnsiTheme="majorHAnsi"/>
        </w:rPr>
        <w:t xml:space="preserve"> oospores, sporangia, and mycelium’, </w:t>
      </w:r>
      <w:r>
        <w:rPr>
          <w:rFonts w:asciiTheme="majorHAnsi" w:hAnsiTheme="majorHAnsi"/>
          <w:i/>
        </w:rPr>
        <w:t>New Zealand Journal of Forestry Science</w:t>
      </w:r>
      <w:r w:rsidR="007B1790">
        <w:rPr>
          <w:rFonts w:asciiTheme="majorHAnsi" w:hAnsiTheme="majorHAnsi"/>
        </w:rPr>
        <w:t xml:space="preserve">, 41S: S15–S23, </w:t>
      </w:r>
      <w:r>
        <w:rPr>
          <w:rFonts w:asciiTheme="majorHAnsi" w:hAnsiTheme="majorHAnsi"/>
        </w:rPr>
        <w:t>scionresearch.com/nzjfs.</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Widmer, TL 2010, ‘</w:t>
      </w:r>
      <w:r>
        <w:rPr>
          <w:rFonts w:asciiTheme="majorHAnsi" w:hAnsiTheme="majorHAnsi"/>
          <w:i/>
        </w:rPr>
        <w:t>Phytophthora kernoviae</w:t>
      </w:r>
      <w:r>
        <w:rPr>
          <w:rFonts w:asciiTheme="majorHAnsi" w:hAnsiTheme="majorHAnsi"/>
        </w:rPr>
        <w:t xml:space="preserve"> oospore maturity, germination and infection’, </w:t>
      </w:r>
      <w:r>
        <w:rPr>
          <w:rFonts w:asciiTheme="majorHAnsi" w:hAnsiTheme="majorHAnsi"/>
          <w:i/>
        </w:rPr>
        <w:t>Fungal Biology</w:t>
      </w:r>
      <w:r>
        <w:rPr>
          <w:rFonts w:asciiTheme="majorHAnsi" w:hAnsiTheme="majorHAnsi"/>
        </w:rPr>
        <w:t>, 114: 661–668.</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Wingfield, MJ, Slippers, B &amp; Wingfield, BD 2010, ‘Novel associations between pathogens, insects and tree species threaten world forests’, </w:t>
      </w:r>
      <w:r>
        <w:rPr>
          <w:rFonts w:asciiTheme="majorHAnsi" w:hAnsiTheme="majorHAnsi"/>
          <w:i/>
        </w:rPr>
        <w:t>New Zealand Journal of Forestry Science</w:t>
      </w:r>
      <w:r>
        <w:rPr>
          <w:rFonts w:asciiTheme="majorHAnsi" w:hAnsiTheme="majorHAnsi"/>
        </w:rPr>
        <w:t>, 40: 95–103.</w:t>
      </w:r>
    </w:p>
    <w:p w:rsidR="00C74066" w:rsidRDefault="00F10705">
      <w:pPr>
        <w:autoSpaceDE w:val="0"/>
        <w:autoSpaceDN w:val="0"/>
        <w:adjustRightInd w:val="0"/>
        <w:spacing w:before="120" w:after="120" w:line="271" w:lineRule="auto"/>
        <w:rPr>
          <w:rFonts w:asciiTheme="majorHAnsi" w:hAnsiTheme="majorHAnsi"/>
        </w:rPr>
      </w:pPr>
      <w:r>
        <w:rPr>
          <w:rFonts w:asciiTheme="majorHAnsi" w:hAnsiTheme="majorHAnsi"/>
        </w:rPr>
        <w:t xml:space="preserve">Wong, K 2008, ‘Canadian </w:t>
      </w:r>
      <w:r>
        <w:rPr>
          <w:rFonts w:asciiTheme="majorHAnsi" w:hAnsiTheme="majorHAnsi"/>
          <w:i/>
        </w:rPr>
        <w:t>Phytophthora ramorum</w:t>
      </w:r>
      <w:r>
        <w:rPr>
          <w:rFonts w:asciiTheme="majorHAnsi" w:hAnsiTheme="majorHAnsi"/>
        </w:rPr>
        <w:t xml:space="preserve"> 2006 Update’, </w:t>
      </w:r>
      <w:r>
        <w:rPr>
          <w:rFonts w:asciiTheme="majorHAnsi" w:hAnsiTheme="majorHAnsi"/>
          <w:i/>
        </w:rPr>
        <w:t>Proceedings of the Sudden Oak Death Third Science Symposium</w:t>
      </w:r>
      <w:r>
        <w:rPr>
          <w:rFonts w:asciiTheme="majorHAnsi" w:hAnsiTheme="majorHAnsi"/>
        </w:rPr>
        <w:t>, General technical Report PSW-GTR-214, 35–36.</w:t>
      </w:r>
    </w:p>
    <w:p w:rsidR="00C74066" w:rsidRDefault="00F10705">
      <w:pPr>
        <w:pStyle w:val="pagetitletext"/>
        <w:spacing w:before="120" w:after="120" w:afterAutospacing="0" w:line="271" w:lineRule="auto"/>
        <w:rPr>
          <w:rFonts w:asciiTheme="majorHAnsi" w:hAnsiTheme="majorHAnsi"/>
          <w:sz w:val="22"/>
          <w:szCs w:val="22"/>
          <w:lang w:val="en-AU"/>
        </w:rPr>
      </w:pPr>
      <w:r>
        <w:rPr>
          <w:rFonts w:asciiTheme="majorHAnsi" w:hAnsiTheme="majorHAnsi"/>
          <w:b w:val="0"/>
          <w:bCs w:val="0"/>
          <w:color w:val="000000"/>
          <w:sz w:val="22"/>
          <w:szCs w:val="22"/>
          <w:lang w:val="en-AU"/>
        </w:rPr>
        <w:t>WTO (World Trade Organisation) 1995, ‘Agreement on Sanitary and Phy</w:t>
      </w:r>
      <w:r w:rsidR="007B1790">
        <w:rPr>
          <w:rFonts w:asciiTheme="majorHAnsi" w:hAnsiTheme="majorHAnsi"/>
          <w:b w:val="0"/>
          <w:bCs w:val="0"/>
          <w:color w:val="000000"/>
          <w:sz w:val="22"/>
          <w:szCs w:val="22"/>
          <w:lang w:val="en-AU"/>
        </w:rPr>
        <w:t xml:space="preserve">tosanitary Measures’, </w:t>
      </w:r>
      <w:r>
        <w:rPr>
          <w:rFonts w:asciiTheme="majorHAnsi" w:hAnsiTheme="majorHAnsi"/>
          <w:b w:val="0"/>
          <w:bCs w:val="0"/>
          <w:color w:val="000000"/>
          <w:sz w:val="22"/>
          <w:szCs w:val="22"/>
          <w:lang w:val="en-AU"/>
        </w:rPr>
        <w:t>wto.org/english/res_e/booksp_e/analytic_index_e/sps_01_e.htm#pA.</w:t>
      </w:r>
    </w:p>
    <w:p w:rsidR="00C74066" w:rsidRDefault="00F10705">
      <w:pPr>
        <w:spacing w:before="120" w:after="120" w:line="271" w:lineRule="auto"/>
        <w:rPr>
          <w:rFonts w:asciiTheme="majorHAnsi" w:hAnsiTheme="majorHAnsi"/>
        </w:rPr>
      </w:pPr>
      <w:r>
        <w:rPr>
          <w:rFonts w:asciiTheme="majorHAnsi" w:hAnsiTheme="majorHAnsi"/>
        </w:rPr>
        <w:t xml:space="preserve">Yakabe, LE, Blomquist, CL, Thomas, SL &amp; MacDonald, JD 2009, ‘Identification and frequency of </w:t>
      </w:r>
      <w:r>
        <w:rPr>
          <w:rFonts w:asciiTheme="majorHAnsi" w:hAnsiTheme="majorHAnsi"/>
          <w:i/>
        </w:rPr>
        <w:t>Phytophthora</w:t>
      </w:r>
      <w:r>
        <w:rPr>
          <w:rFonts w:asciiTheme="majorHAnsi" w:hAnsiTheme="majorHAnsi"/>
        </w:rPr>
        <w:t xml:space="preserve"> species associated with foliar diseases in California ornamental nurseries’, </w:t>
      </w:r>
      <w:r>
        <w:rPr>
          <w:rFonts w:asciiTheme="majorHAnsi" w:hAnsiTheme="majorHAnsi"/>
          <w:i/>
        </w:rPr>
        <w:t>Plant Disease</w:t>
      </w:r>
      <w:r>
        <w:rPr>
          <w:rFonts w:asciiTheme="majorHAnsi" w:hAnsiTheme="majorHAnsi"/>
        </w:rPr>
        <w:t>, 93: 883–890.</w:t>
      </w:r>
    </w:p>
    <w:sectPr w:rsidR="00C74066" w:rsidSect="00C74066">
      <w:headerReference w:type="default" r:id="rId49"/>
      <w:pgSz w:w="11906" w:h="16838"/>
      <w:pgMar w:top="1418" w:right="1418" w:bottom="1418" w:left="1418" w:header="567"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933" w:rsidRDefault="007F6933">
      <w:r>
        <w:separator/>
      </w:r>
    </w:p>
  </w:endnote>
  <w:endnote w:type="continuationSeparator" w:id="0">
    <w:p w:rsidR="007F6933" w:rsidRDefault="007F6933">
      <w:r>
        <w:continuationSeparator/>
      </w:r>
    </w:p>
  </w:endnote>
  <w:endnote w:type="continuationNotice" w:id="1">
    <w:p w:rsidR="007F6933" w:rsidRDefault="007F6933">
      <w:pPr>
        <w:pStyle w:val="Footer"/>
        <w:jc w:val="left"/>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arial sans-serif small">
    <w:altName w:val="Times New Roman"/>
    <w:panose1 w:val="00000000000000000000"/>
    <w:charset w:val="00"/>
    <w:family w:val="roman"/>
    <w:notTrueType/>
    <w:pitch w:val="default"/>
    <w:sig w:usb0="00000003" w:usb1="00000000" w:usb2="00000000" w:usb3="00000000" w:csb0="00000001" w:csb1="00000000"/>
  </w:font>
  <w:font w:name="Arial Bold">
    <w:panose1 w:val="020B0704020202020204"/>
    <w:charset w:val="00"/>
    <w:family w:val="swiss"/>
    <w:notTrueType/>
    <w:pitch w:val="variable"/>
    <w:sig w:usb0="00000003" w:usb1="00000000" w:usb2="00000000" w:usb3="00000000" w:csb0="00000001" w:csb1="00000000"/>
  </w:font>
  <w:font w:name="arial sans-serif">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PCL6)">
    <w:panose1 w:val="00000000000000000000"/>
    <w:charset w:val="00"/>
    <w:family w:val="roman"/>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MDJPP J+ Adv P 1964">
    <w:altName w:val="Times New Roman"/>
    <w:panose1 w:val="00000000000000000000"/>
    <w:charset w:val="A2"/>
    <w:family w:val="roman"/>
    <w:notTrueType/>
    <w:pitch w:val="default"/>
    <w:sig w:usb0="00000001" w:usb1="00000000" w:usb2="00000000" w:usb3="00000000" w:csb0="00000011" w:csb1="00000000"/>
  </w:font>
  <w:font w:name="MDJPO D+ Adv P 1968">
    <w:altName w:val="Adv P"/>
    <w:panose1 w:val="00000000000000000000"/>
    <w:charset w:val="00"/>
    <w:family w:val="roman"/>
    <w:notTrueType/>
    <w:pitch w:val="default"/>
    <w:sig w:usb0="00000003" w:usb1="00000000" w:usb2="00000000" w:usb3="00000000" w:csb0="00000001" w:csb1="00000000"/>
  </w:font>
  <w:font w:name="NewCenturySchlbk">
    <w:altName w:val="NewCenturySchlbk"/>
    <w:panose1 w:val="00000000000000000000"/>
    <w:charset w:val="00"/>
    <w:family w:val="roman"/>
    <w:notTrueType/>
    <w:pitch w:val="default"/>
    <w:sig w:usb0="00000003" w:usb1="00000000" w:usb2="00000000" w:usb3="00000000" w:csb0="00000001" w:csb1="00000000"/>
  </w:font>
  <w:font w:name="MiloPro-Light">
    <w:altName w:val="Times New Roman"/>
    <w:charset w:val="00"/>
    <w:family w:val="auto"/>
    <w:pitch w:val="variable"/>
    <w:sig w:usb0="00000001" w:usb1="4000205B" w:usb2="00000000" w:usb3="00000000" w:csb0="00000093" w:csb1="00000000"/>
  </w:font>
  <w:font w:name="Sabon">
    <w:altName w:val="Sabo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NewRomanPSMT">
    <w:altName w:val="Arial Unicode MS"/>
    <w:panose1 w:val="00000000000000000000"/>
    <w:charset w:val="81"/>
    <w:family w:val="auto"/>
    <w:notTrueType/>
    <w:pitch w:val="default"/>
    <w:sig w:usb0="00000000" w:usb1="09060000" w:usb2="00000010" w:usb3="00000000" w:csb0="00080000"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933" w:rsidRDefault="007F6933">
    <w:pPr>
      <w:pStyle w:val="Footer"/>
      <w:tabs>
        <w:tab w:val="clear" w:pos="4536"/>
        <w:tab w:val="center" w:pos="9072"/>
      </w:tabs>
      <w:jc w:val="left"/>
      <w:rPr>
        <w:rFonts w:ascii="Cambria" w:hAnsi="Cambria"/>
      </w:rPr>
    </w:pPr>
    <w:r>
      <w:rPr>
        <w:rFonts w:ascii="Cambria" w:hAnsi="Cambria"/>
      </w:rPr>
      <w:t>Australian Government Department of Agriculture and Water Resources</w:t>
    </w:r>
    <w:r>
      <w:rPr>
        <w:rFonts w:ascii="Cambria" w:hAnsi="Cambria"/>
      </w:rPr>
      <w:tab/>
    </w:r>
    <w:r w:rsidR="00C57DCF">
      <w:rPr>
        <w:rFonts w:ascii="Cambria" w:hAnsi="Cambria"/>
      </w:rPr>
      <w:fldChar w:fldCharType="begin"/>
    </w:r>
    <w:r>
      <w:rPr>
        <w:rFonts w:ascii="Cambria" w:hAnsi="Cambria"/>
      </w:rPr>
      <w:instrText xml:space="preserve"> PAGE   \* MERGEFORMAT </w:instrText>
    </w:r>
    <w:r w:rsidR="00C57DCF">
      <w:rPr>
        <w:rFonts w:ascii="Cambria" w:hAnsi="Cambria"/>
      </w:rPr>
      <w:fldChar w:fldCharType="separate"/>
    </w:r>
    <w:r w:rsidR="00075E89">
      <w:rPr>
        <w:rFonts w:ascii="Cambria" w:hAnsi="Cambria"/>
        <w:noProof/>
      </w:rPr>
      <w:t>50</w:t>
    </w:r>
    <w:r w:rsidR="00C57DCF">
      <w:rPr>
        <w:rFonts w:ascii="Cambria" w:hAnsi="Cambria"/>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933" w:rsidRDefault="007F6933">
    <w:pPr>
      <w:pStyle w:val="Footer"/>
      <w:tabs>
        <w:tab w:val="clear" w:pos="4536"/>
        <w:tab w:val="center" w:pos="9072"/>
      </w:tabs>
      <w:jc w:val="left"/>
      <w:rPr>
        <w:rFonts w:ascii="Cambria" w:hAnsi="Cambria"/>
      </w:rPr>
    </w:pPr>
    <w:r>
      <w:rPr>
        <w:rFonts w:ascii="Cambria" w:hAnsi="Cambria"/>
      </w:rPr>
      <w:t>Australian Government Department of Agriculture and Water Resources</w:t>
    </w:r>
    <w:r>
      <w:rPr>
        <w:rFonts w:ascii="Cambria" w:hAnsi="Cambria"/>
      </w:rPr>
      <w:tab/>
    </w:r>
    <w:r w:rsidR="00C57DCF">
      <w:rPr>
        <w:rFonts w:ascii="Cambria" w:hAnsi="Cambria"/>
      </w:rPr>
      <w:fldChar w:fldCharType="begin"/>
    </w:r>
    <w:r>
      <w:rPr>
        <w:rFonts w:ascii="Cambria" w:hAnsi="Cambria"/>
      </w:rPr>
      <w:instrText xml:space="preserve"> PAGE   \* MERGEFORMAT </w:instrText>
    </w:r>
    <w:r w:rsidR="00C57DCF">
      <w:rPr>
        <w:rFonts w:ascii="Cambria" w:hAnsi="Cambria"/>
      </w:rPr>
      <w:fldChar w:fldCharType="separate"/>
    </w:r>
    <w:r w:rsidR="00075E89">
      <w:rPr>
        <w:rFonts w:ascii="Cambria" w:hAnsi="Cambria"/>
        <w:noProof/>
      </w:rPr>
      <w:t>iv</w:t>
    </w:r>
    <w:r w:rsidR="00C57DCF">
      <w:rPr>
        <w:rFonts w:ascii="Cambria" w:hAnsi="Cambria"/>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933" w:rsidRDefault="007F6933">
    <w:pPr>
      <w:pStyle w:val="Footer"/>
      <w:tabs>
        <w:tab w:val="clear" w:pos="4536"/>
        <w:tab w:val="center" w:pos="9072"/>
        <w:tab w:val="left" w:pos="13750"/>
      </w:tabs>
      <w:jc w:val="left"/>
      <w:rPr>
        <w:rFonts w:ascii="Cambria" w:hAnsi="Cambria"/>
      </w:rPr>
    </w:pPr>
    <w:r>
      <w:rPr>
        <w:rFonts w:ascii="Cambria" w:hAnsi="Cambria"/>
      </w:rPr>
      <w:t>Australian Government Department of Agriculture and Water Resources</w:t>
    </w:r>
    <w:r>
      <w:rPr>
        <w:rFonts w:ascii="Cambria" w:hAnsi="Cambria"/>
      </w:rPr>
      <w:tab/>
    </w:r>
    <w:r>
      <w:rPr>
        <w:rFonts w:ascii="Cambria" w:hAnsi="Cambria"/>
      </w:rPr>
      <w:tab/>
    </w:r>
    <w:r w:rsidR="00C57DCF">
      <w:rPr>
        <w:rFonts w:ascii="Cambria" w:hAnsi="Cambria"/>
      </w:rPr>
      <w:fldChar w:fldCharType="begin"/>
    </w:r>
    <w:r>
      <w:rPr>
        <w:rFonts w:ascii="Cambria" w:hAnsi="Cambria"/>
      </w:rPr>
      <w:instrText xml:space="preserve"> PAGE   \* MERGEFORMAT </w:instrText>
    </w:r>
    <w:r w:rsidR="00C57DCF">
      <w:rPr>
        <w:rFonts w:ascii="Cambria" w:hAnsi="Cambria"/>
      </w:rPr>
      <w:fldChar w:fldCharType="separate"/>
    </w:r>
    <w:r w:rsidR="00FC183B">
      <w:rPr>
        <w:rFonts w:ascii="Cambria" w:hAnsi="Cambria"/>
        <w:noProof/>
      </w:rPr>
      <w:t>59</w:t>
    </w:r>
    <w:r w:rsidR="00C57DCF">
      <w:rPr>
        <w:rFonts w:ascii="Cambria" w:hAnsi="Cambria"/>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933" w:rsidRDefault="007F6933">
    <w:pPr>
      <w:pStyle w:val="Footer"/>
      <w:tabs>
        <w:tab w:val="clear" w:pos="4536"/>
        <w:tab w:val="center" w:pos="9072"/>
        <w:tab w:val="left" w:pos="13750"/>
      </w:tabs>
      <w:jc w:val="left"/>
      <w:rPr>
        <w:rFonts w:ascii="Cambria" w:hAnsi="Cambria"/>
      </w:rPr>
    </w:pPr>
    <w:r>
      <w:rPr>
        <w:rFonts w:ascii="Cambria" w:hAnsi="Cambria"/>
      </w:rPr>
      <w:t>Australian Government Department of Agriculture and Water Resources</w:t>
    </w:r>
    <w:r>
      <w:rPr>
        <w:rFonts w:ascii="Cambria" w:hAnsi="Cambria"/>
      </w:rPr>
      <w:tab/>
    </w:r>
    <w:r w:rsidR="00C57DCF">
      <w:rPr>
        <w:rFonts w:ascii="Cambria" w:hAnsi="Cambria"/>
      </w:rPr>
      <w:fldChar w:fldCharType="begin"/>
    </w:r>
    <w:r>
      <w:rPr>
        <w:rFonts w:ascii="Cambria" w:hAnsi="Cambria"/>
      </w:rPr>
      <w:instrText xml:space="preserve"> PAGE   \* MERGEFORMAT </w:instrText>
    </w:r>
    <w:r w:rsidR="00C57DCF">
      <w:rPr>
        <w:rFonts w:ascii="Cambria" w:hAnsi="Cambria"/>
      </w:rPr>
      <w:fldChar w:fldCharType="separate"/>
    </w:r>
    <w:r w:rsidR="00075E89">
      <w:rPr>
        <w:rFonts w:ascii="Cambria" w:hAnsi="Cambria"/>
        <w:noProof/>
      </w:rPr>
      <w:t>70</w:t>
    </w:r>
    <w:r w:rsidR="00C57DCF">
      <w:rPr>
        <w:rFonts w:ascii="Cambria" w:hAnsi="Cambri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933" w:rsidRDefault="007F6933">
      <w:r>
        <w:separator/>
      </w:r>
    </w:p>
  </w:footnote>
  <w:footnote w:type="continuationSeparator" w:id="0">
    <w:p w:rsidR="007F6933" w:rsidRDefault="007F6933">
      <w:r>
        <w:continuationSeparator/>
      </w:r>
    </w:p>
  </w:footnote>
  <w:footnote w:type="continuationNotice" w:id="1">
    <w:p w:rsidR="007F6933" w:rsidRDefault="007F6933">
      <w:pPr>
        <w:pStyle w:val="Foote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933" w:rsidRDefault="007F6933">
    <w:pPr>
      <w:pStyle w:val="Header"/>
      <w:tabs>
        <w:tab w:val="clear" w:pos="4820"/>
        <w:tab w:val="center" w:pos="8505"/>
      </w:tabs>
      <w:jc w:val="left"/>
    </w:pPr>
    <w:r>
      <w:rPr>
        <w:noProof/>
        <w:lang w:eastAsia="en-AU"/>
      </w:rPr>
      <w:drawing>
        <wp:inline distT="0" distB="0" distL="0" distR="0">
          <wp:extent cx="2765425" cy="629285"/>
          <wp:effectExtent l="19050" t="0" r="0" b="0"/>
          <wp:docPr id="6" name="Picture 2" descr="The Australian Government Department of Agricultu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Australian Government Department of Agriculture logo"/>
                  <pic:cNvPicPr>
                    <a:picLocks noChangeAspect="1" noChangeArrowheads="1"/>
                  </pic:cNvPicPr>
                </pic:nvPicPr>
                <pic:blipFill>
                  <a:blip r:embed="rId1"/>
                  <a:srcRect/>
                  <a:stretch>
                    <a:fillRect/>
                  </a:stretch>
                </pic:blipFill>
                <pic:spPr bwMode="auto">
                  <a:xfrm>
                    <a:off x="0" y="0"/>
                    <a:ext cx="2765425" cy="629285"/>
                  </a:xfrm>
                  <a:prstGeom prst="rect">
                    <a:avLst/>
                  </a:prstGeom>
                  <a:noFill/>
                  <a:ln w="9525">
                    <a:noFill/>
                    <a:miter lim="800000"/>
                    <a:headEnd/>
                    <a:tailEnd/>
                  </a:ln>
                </pic:spPr>
              </pic:pic>
            </a:graphicData>
          </a:graphic>
        </wp:inline>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933" w:rsidRDefault="007F6933">
    <w:pPr>
      <w:pStyle w:val="Header"/>
      <w:tabs>
        <w:tab w:val="clear" w:pos="4820"/>
        <w:tab w:val="center" w:pos="8505"/>
        <w:tab w:val="center" w:pos="13041"/>
      </w:tabs>
      <w:jc w:val="left"/>
      <w:rPr>
        <w:rFonts w:ascii="Cambria" w:hAnsi="Cambria"/>
      </w:rPr>
    </w:pPr>
    <w:r>
      <w:rPr>
        <w:rFonts w:ascii="Cambria" w:hAnsi="Cambria"/>
      </w:rPr>
      <w:t xml:space="preserve">Final review of policy: </w:t>
    </w:r>
    <w:r>
      <w:rPr>
        <w:rFonts w:ascii="Cambria" w:hAnsi="Cambria"/>
        <w:i/>
      </w:rPr>
      <w:t xml:space="preserve">Phytophthora ramorum </w:t>
    </w:r>
    <w:r>
      <w:rPr>
        <w:rFonts w:ascii="Cambria" w:hAnsi="Cambria"/>
      </w:rPr>
      <w:t>host propagative material</w:t>
    </w:r>
    <w:r>
      <w:rPr>
        <w:rFonts w:ascii="Cambria" w:hAnsi="Cambria"/>
      </w:rPr>
      <w:tab/>
      <w:t>Method of pest risk analysis</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933" w:rsidRDefault="007F6933">
    <w:pPr>
      <w:pStyle w:val="Header"/>
      <w:tabs>
        <w:tab w:val="clear" w:pos="4820"/>
        <w:tab w:val="center" w:pos="8505"/>
        <w:tab w:val="center" w:pos="13041"/>
      </w:tabs>
      <w:jc w:val="left"/>
      <w:rPr>
        <w:rFonts w:ascii="Cambria" w:hAnsi="Cambria"/>
      </w:rPr>
    </w:pPr>
    <w:r>
      <w:rPr>
        <w:rFonts w:ascii="Cambria" w:hAnsi="Cambria"/>
      </w:rPr>
      <w:t xml:space="preserve">Final review of policy: </w:t>
    </w:r>
    <w:r>
      <w:rPr>
        <w:rFonts w:ascii="Cambria" w:hAnsi="Cambria"/>
        <w:i/>
      </w:rPr>
      <w:t xml:space="preserve">Phytophthora ramorum </w:t>
    </w:r>
    <w:r>
      <w:rPr>
        <w:rFonts w:ascii="Cambria" w:hAnsi="Cambria"/>
      </w:rPr>
      <w:t>host propagative material</w:t>
    </w:r>
    <w:r>
      <w:rPr>
        <w:rFonts w:ascii="Cambria" w:hAnsi="Cambria"/>
      </w:rPr>
      <w:tab/>
      <w:t>The pathogens</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13E" w:rsidRDefault="0008313E">
    <w:pPr>
      <w:pStyle w:val="Header"/>
      <w:tabs>
        <w:tab w:val="clear" w:pos="4820"/>
        <w:tab w:val="center" w:pos="8505"/>
        <w:tab w:val="center" w:pos="13041"/>
      </w:tabs>
      <w:jc w:val="left"/>
      <w:rPr>
        <w:rFonts w:ascii="Cambria" w:hAnsi="Cambria"/>
      </w:rPr>
    </w:pPr>
    <w:r>
      <w:rPr>
        <w:rFonts w:ascii="Cambria" w:hAnsi="Cambria"/>
      </w:rPr>
      <w:t xml:space="preserve">Final review of policy: </w:t>
    </w:r>
    <w:r>
      <w:rPr>
        <w:rFonts w:ascii="Cambria" w:hAnsi="Cambria"/>
        <w:i/>
      </w:rPr>
      <w:t xml:space="preserve">Phytophthora ramorum </w:t>
    </w:r>
    <w:r>
      <w:rPr>
        <w:rFonts w:ascii="Cambria" w:hAnsi="Cambria"/>
      </w:rPr>
      <w:t>host propagative material</w:t>
    </w:r>
    <w:r>
      <w:rPr>
        <w:rFonts w:ascii="Cambria" w:hAnsi="Cambria"/>
      </w:rPr>
      <w:tab/>
      <w:t>The pathogens</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13E" w:rsidRDefault="0008313E">
    <w:pPr>
      <w:pStyle w:val="Header"/>
      <w:tabs>
        <w:tab w:val="clear" w:pos="4820"/>
        <w:tab w:val="center" w:pos="8505"/>
        <w:tab w:val="center" w:pos="13041"/>
      </w:tabs>
      <w:jc w:val="left"/>
      <w:rPr>
        <w:rFonts w:ascii="Cambria" w:hAnsi="Cambria"/>
      </w:rPr>
    </w:pPr>
    <w:r>
      <w:rPr>
        <w:rFonts w:ascii="Cambria" w:hAnsi="Cambria"/>
      </w:rPr>
      <w:t xml:space="preserve">Final review of policy: </w:t>
    </w:r>
    <w:r>
      <w:rPr>
        <w:rFonts w:ascii="Cambria" w:hAnsi="Cambria"/>
        <w:i/>
      </w:rPr>
      <w:t xml:space="preserve">Phytophthora ramorum </w:t>
    </w:r>
    <w:r>
      <w:rPr>
        <w:rFonts w:ascii="Cambria" w:hAnsi="Cambria"/>
      </w:rPr>
      <w:t>host propagative material</w:t>
    </w:r>
    <w:r>
      <w:rPr>
        <w:rFonts w:ascii="Cambria" w:hAnsi="Cambria"/>
      </w:rPr>
      <w:tab/>
      <w:t>Pest risk assessment</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933" w:rsidRDefault="007F6933">
    <w:pPr>
      <w:pStyle w:val="Header"/>
      <w:tabs>
        <w:tab w:val="clear" w:pos="4820"/>
        <w:tab w:val="center" w:pos="8505"/>
        <w:tab w:val="center" w:pos="13041"/>
      </w:tabs>
      <w:jc w:val="left"/>
      <w:rPr>
        <w:rFonts w:ascii="Cambria" w:hAnsi="Cambria"/>
      </w:rPr>
    </w:pPr>
    <w:r>
      <w:rPr>
        <w:rFonts w:ascii="Cambria" w:hAnsi="Cambria"/>
      </w:rPr>
      <w:t xml:space="preserve">Final review of policy: </w:t>
    </w:r>
    <w:r>
      <w:rPr>
        <w:rFonts w:ascii="Cambria" w:hAnsi="Cambria"/>
        <w:i/>
      </w:rPr>
      <w:t xml:space="preserve">Phytophthora ramorum </w:t>
    </w:r>
    <w:r>
      <w:rPr>
        <w:rFonts w:ascii="Cambria" w:hAnsi="Cambria"/>
      </w:rPr>
      <w:t>host propagative material</w:t>
    </w:r>
    <w:r>
      <w:rPr>
        <w:rFonts w:ascii="Cambria" w:hAnsi="Cambria"/>
      </w:rPr>
      <w:tab/>
      <w:t>Pest risk management</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933" w:rsidRDefault="007F6933">
    <w:pPr>
      <w:pStyle w:val="Header"/>
      <w:tabs>
        <w:tab w:val="clear" w:pos="4820"/>
        <w:tab w:val="left" w:pos="8080"/>
        <w:tab w:val="center" w:pos="13041"/>
      </w:tabs>
      <w:jc w:val="left"/>
      <w:rPr>
        <w:rFonts w:ascii="Cambria" w:hAnsi="Cambria"/>
      </w:rPr>
    </w:pPr>
    <w:r>
      <w:rPr>
        <w:rFonts w:ascii="Cambria" w:hAnsi="Cambria"/>
      </w:rPr>
      <w:t xml:space="preserve">Final review of policy: </w:t>
    </w:r>
    <w:r>
      <w:rPr>
        <w:rFonts w:ascii="Cambria" w:hAnsi="Cambria"/>
        <w:i/>
      </w:rPr>
      <w:t xml:space="preserve">Phytophthora ramorum </w:t>
    </w:r>
    <w:r>
      <w:rPr>
        <w:rFonts w:ascii="Cambria" w:hAnsi="Cambria"/>
      </w:rPr>
      <w:t>host propagative material                     Pest risk management</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933" w:rsidRDefault="007F6933">
    <w:pPr>
      <w:pStyle w:val="Header"/>
      <w:tabs>
        <w:tab w:val="clear" w:pos="4820"/>
        <w:tab w:val="left" w:pos="8080"/>
        <w:tab w:val="center" w:pos="13041"/>
      </w:tabs>
      <w:jc w:val="left"/>
      <w:rPr>
        <w:rFonts w:ascii="Cambria" w:hAnsi="Cambria"/>
      </w:rPr>
    </w:pPr>
    <w:r>
      <w:rPr>
        <w:rFonts w:ascii="Cambria" w:hAnsi="Cambria"/>
      </w:rPr>
      <w:t xml:space="preserve">Final review of policy: </w:t>
    </w:r>
    <w:r>
      <w:rPr>
        <w:rFonts w:ascii="Cambria" w:hAnsi="Cambria"/>
        <w:i/>
      </w:rPr>
      <w:t xml:space="preserve">Phytophthora ramorum </w:t>
    </w:r>
    <w:r>
      <w:rPr>
        <w:rFonts w:ascii="Cambria" w:hAnsi="Cambria"/>
      </w:rPr>
      <w:t xml:space="preserve">host propagative material </w:t>
    </w:r>
    <w:r>
      <w:rPr>
        <w:rFonts w:ascii="Cambria" w:hAnsi="Cambria"/>
      </w:rPr>
      <w:tab/>
      <w:t>Conclusion</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933" w:rsidRDefault="007F6933">
    <w:pPr>
      <w:pStyle w:val="Header"/>
      <w:tabs>
        <w:tab w:val="clear" w:pos="4820"/>
        <w:tab w:val="center" w:pos="8505"/>
        <w:tab w:val="center" w:pos="13041"/>
      </w:tabs>
      <w:jc w:val="left"/>
      <w:rPr>
        <w:rFonts w:ascii="Cambria" w:hAnsi="Cambria"/>
      </w:rPr>
    </w:pPr>
    <w:r>
      <w:rPr>
        <w:rFonts w:ascii="Cambria" w:hAnsi="Cambria"/>
      </w:rPr>
      <w:t xml:space="preserve">Final review of policy: </w:t>
    </w:r>
    <w:r>
      <w:rPr>
        <w:rFonts w:ascii="Cambria" w:hAnsi="Cambria"/>
        <w:i/>
      </w:rPr>
      <w:t xml:space="preserve">Phytophthora ramorum </w:t>
    </w:r>
    <w:r>
      <w:rPr>
        <w:rFonts w:ascii="Cambria" w:hAnsi="Cambria"/>
      </w:rPr>
      <w:t>host propagative material</w:t>
    </w:r>
    <w:r>
      <w:rPr>
        <w:rFonts w:ascii="Cambria" w:hAnsi="Cambria"/>
      </w:rPr>
      <w:tab/>
    </w:r>
    <w:r>
      <w:rPr>
        <w:rFonts w:ascii="Cambria" w:hAnsi="Cambria"/>
      </w:rPr>
      <w:tab/>
      <w:t>Appendix A</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933" w:rsidRDefault="007F6933">
    <w:pPr>
      <w:pStyle w:val="Header"/>
      <w:tabs>
        <w:tab w:val="clear" w:pos="4820"/>
        <w:tab w:val="center" w:pos="8505"/>
        <w:tab w:val="center" w:pos="13041"/>
      </w:tabs>
      <w:jc w:val="left"/>
      <w:rPr>
        <w:rFonts w:ascii="Cambria" w:hAnsi="Cambria"/>
      </w:rPr>
    </w:pPr>
    <w:r>
      <w:rPr>
        <w:rFonts w:ascii="Cambria" w:hAnsi="Cambria"/>
      </w:rPr>
      <w:t xml:space="preserve">Final review of policy: </w:t>
    </w:r>
    <w:r>
      <w:rPr>
        <w:rFonts w:ascii="Cambria" w:hAnsi="Cambria"/>
        <w:i/>
      </w:rPr>
      <w:t xml:space="preserve">Phytophthora ramorum </w:t>
    </w:r>
    <w:r>
      <w:rPr>
        <w:rFonts w:ascii="Cambria" w:hAnsi="Cambria"/>
      </w:rPr>
      <w:t>host propagative material</w:t>
    </w:r>
    <w:r>
      <w:rPr>
        <w:rFonts w:ascii="Cambria" w:hAnsi="Cambria"/>
      </w:rPr>
      <w:tab/>
      <w:t>Appendix B</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933" w:rsidRDefault="007F6933">
    <w:pPr>
      <w:pStyle w:val="Header"/>
      <w:tabs>
        <w:tab w:val="clear" w:pos="4820"/>
        <w:tab w:val="center" w:pos="8505"/>
        <w:tab w:val="center" w:pos="13041"/>
      </w:tabs>
      <w:jc w:val="left"/>
      <w:rPr>
        <w:rFonts w:ascii="Cambria" w:hAnsi="Cambria"/>
      </w:rPr>
    </w:pPr>
    <w:r>
      <w:rPr>
        <w:rFonts w:ascii="Cambria" w:hAnsi="Cambria"/>
      </w:rPr>
      <w:t xml:space="preserve">Final review of policy: </w:t>
    </w:r>
    <w:r>
      <w:rPr>
        <w:rFonts w:ascii="Cambria" w:hAnsi="Cambria"/>
        <w:i/>
      </w:rPr>
      <w:t xml:space="preserve">Phytophthora ramorum </w:t>
    </w:r>
    <w:r>
      <w:rPr>
        <w:rFonts w:ascii="Cambria" w:hAnsi="Cambria"/>
      </w:rPr>
      <w:t>host propagative material</w:t>
    </w:r>
    <w:r>
      <w:rPr>
        <w:rFonts w:ascii="Cambria" w:hAnsi="Cambria"/>
      </w:rPr>
      <w:tab/>
      <w:t>Appendix C</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933" w:rsidRDefault="007F6933">
    <w:pPr>
      <w:pStyle w:val="Header"/>
      <w:jc w:val="lef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933" w:rsidRDefault="007F6933">
    <w:pPr>
      <w:pStyle w:val="Header"/>
      <w:tabs>
        <w:tab w:val="clear" w:pos="4820"/>
        <w:tab w:val="center" w:pos="8505"/>
        <w:tab w:val="center" w:pos="13041"/>
      </w:tabs>
      <w:jc w:val="left"/>
      <w:rPr>
        <w:rFonts w:ascii="Cambria" w:hAnsi="Cambria"/>
      </w:rPr>
    </w:pPr>
    <w:r>
      <w:rPr>
        <w:rFonts w:ascii="Cambria" w:hAnsi="Cambria"/>
      </w:rPr>
      <w:t xml:space="preserve">Final review of policy: </w:t>
    </w:r>
    <w:r>
      <w:rPr>
        <w:rFonts w:ascii="Cambria" w:hAnsi="Cambria"/>
        <w:i/>
      </w:rPr>
      <w:t xml:space="preserve">Phytophthora ramorum </w:t>
    </w:r>
    <w:r>
      <w:rPr>
        <w:rFonts w:ascii="Cambria" w:hAnsi="Cambria"/>
      </w:rPr>
      <w:t>host propagative material</w:t>
    </w:r>
    <w:r>
      <w:rPr>
        <w:rFonts w:ascii="Cambria" w:hAnsi="Cambria"/>
      </w:rPr>
      <w:tab/>
      <w:t>Glossary</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933" w:rsidRDefault="007F6933">
    <w:pPr>
      <w:pStyle w:val="Header"/>
      <w:tabs>
        <w:tab w:val="clear" w:pos="4820"/>
        <w:tab w:val="center" w:pos="8505"/>
        <w:tab w:val="center" w:pos="13041"/>
      </w:tabs>
      <w:jc w:val="left"/>
      <w:rPr>
        <w:rFonts w:ascii="Cambria" w:hAnsi="Cambria"/>
      </w:rPr>
    </w:pPr>
    <w:r>
      <w:rPr>
        <w:rFonts w:ascii="Cambria" w:hAnsi="Cambria"/>
      </w:rPr>
      <w:t xml:space="preserve">Final review of policy: </w:t>
    </w:r>
    <w:r>
      <w:rPr>
        <w:rFonts w:ascii="Cambria" w:hAnsi="Cambria"/>
        <w:i/>
      </w:rPr>
      <w:t xml:space="preserve">Phytophthora ramorum </w:t>
    </w:r>
    <w:r>
      <w:rPr>
        <w:rFonts w:ascii="Cambria" w:hAnsi="Cambria"/>
      </w:rPr>
      <w:t>host propagative material</w:t>
    </w:r>
    <w:r>
      <w:rPr>
        <w:rFonts w:ascii="Cambria" w:hAnsi="Cambria"/>
      </w:rPr>
      <w:tab/>
      <w:t>References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933" w:rsidRDefault="007F6933">
    <w:pPr>
      <w:pStyle w:val="Header"/>
      <w:tabs>
        <w:tab w:val="clear" w:pos="4820"/>
        <w:tab w:val="center" w:pos="8505"/>
      </w:tabs>
      <w:jc w:val="left"/>
      <w:rPr>
        <w:rFonts w:ascii="Cambria" w:hAnsi="Cambria"/>
      </w:rPr>
    </w:pPr>
    <w:r>
      <w:rPr>
        <w:rFonts w:ascii="Cambria" w:hAnsi="Cambria"/>
      </w:rPr>
      <w:t xml:space="preserve">Final review of policy: </w:t>
    </w:r>
    <w:r>
      <w:rPr>
        <w:rFonts w:ascii="Cambria" w:hAnsi="Cambria"/>
        <w:i/>
      </w:rPr>
      <w:t xml:space="preserve">Phytophthora </w:t>
    </w:r>
    <w:r>
      <w:rPr>
        <w:rFonts w:ascii="Cambria" w:hAnsi="Cambria"/>
      </w:rPr>
      <w:t xml:space="preserve">species host propagative material </w:t>
    </w:r>
    <w:r>
      <w:rPr>
        <w:rFonts w:ascii="Cambria" w:hAnsi="Cambria"/>
      </w:rPr>
      <w:tab/>
      <w:t>Contents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933" w:rsidRDefault="007F6933">
    <w:pPr>
      <w:pStyle w:val="Header"/>
      <w:tabs>
        <w:tab w:val="clear" w:pos="4820"/>
        <w:tab w:val="center" w:pos="8505"/>
      </w:tabs>
      <w:jc w:val="left"/>
      <w:rPr>
        <w:rFonts w:ascii="Cambria" w:hAnsi="Cambria"/>
      </w:rPr>
    </w:pPr>
    <w:r>
      <w:rPr>
        <w:rFonts w:ascii="Cambria" w:hAnsi="Cambria"/>
      </w:rPr>
      <w:t xml:space="preserve">Final review of policy: </w:t>
    </w:r>
    <w:r>
      <w:rPr>
        <w:rFonts w:ascii="Cambria" w:hAnsi="Cambria"/>
        <w:i/>
      </w:rPr>
      <w:t xml:space="preserve">Phytophthora ramorum </w:t>
    </w:r>
    <w:r>
      <w:rPr>
        <w:rFonts w:ascii="Cambria" w:hAnsi="Cambria"/>
      </w:rPr>
      <w:t xml:space="preserve">host propagative material </w:t>
    </w:r>
    <w:r>
      <w:rPr>
        <w:rFonts w:ascii="Cambria" w:hAnsi="Cambria"/>
      </w:rPr>
      <w:tab/>
      <w:t>Contents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933" w:rsidRDefault="007F6933">
    <w:pPr>
      <w:pStyle w:val="Header"/>
      <w:tabs>
        <w:tab w:val="clear" w:pos="4820"/>
        <w:tab w:val="center" w:pos="8505"/>
      </w:tabs>
      <w:jc w:val="left"/>
      <w:rPr>
        <w:rFonts w:ascii="Cambria" w:hAnsi="Cambria"/>
      </w:rPr>
    </w:pPr>
    <w:r>
      <w:rPr>
        <w:rFonts w:ascii="Cambria" w:hAnsi="Cambria"/>
      </w:rPr>
      <w:t xml:space="preserve">Final review of policy: </w:t>
    </w:r>
    <w:r>
      <w:rPr>
        <w:rFonts w:ascii="Cambria" w:hAnsi="Cambria"/>
        <w:i/>
      </w:rPr>
      <w:t xml:space="preserve">Phytophthora ramorum </w:t>
    </w:r>
    <w:r>
      <w:rPr>
        <w:rFonts w:ascii="Cambria" w:hAnsi="Cambria"/>
      </w:rPr>
      <w:t xml:space="preserve">host propagative material </w:t>
    </w:r>
    <w:r>
      <w:rPr>
        <w:rFonts w:ascii="Cambria" w:hAnsi="Cambria"/>
      </w:rPr>
      <w:tab/>
      <w:t>Contents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933" w:rsidRDefault="007F6933">
    <w:pPr>
      <w:pStyle w:val="Header"/>
      <w:tabs>
        <w:tab w:val="clear" w:pos="4820"/>
        <w:tab w:val="center" w:pos="8505"/>
      </w:tabs>
      <w:jc w:val="left"/>
      <w:rPr>
        <w:rFonts w:ascii="Cambria" w:hAnsi="Cambria"/>
      </w:rPr>
    </w:pPr>
    <w:r>
      <w:rPr>
        <w:rFonts w:ascii="Cambria" w:hAnsi="Cambria"/>
      </w:rPr>
      <w:t xml:space="preserve">Final review of policy: </w:t>
    </w:r>
    <w:r>
      <w:rPr>
        <w:rFonts w:ascii="Cambria" w:hAnsi="Cambria"/>
        <w:i/>
      </w:rPr>
      <w:t xml:space="preserve">Phytophthora ramorum </w:t>
    </w:r>
    <w:r>
      <w:rPr>
        <w:rFonts w:ascii="Cambria" w:hAnsi="Cambria"/>
      </w:rPr>
      <w:t>host propagative material</w:t>
    </w:r>
    <w:r>
      <w:rPr>
        <w:rFonts w:ascii="Cambria" w:hAnsi="Cambria"/>
      </w:rPr>
      <w:tab/>
      <w:t>Maps of Australia</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933" w:rsidRDefault="007F6933">
    <w:pPr>
      <w:pStyle w:val="Header"/>
      <w:tabs>
        <w:tab w:val="clear" w:pos="4820"/>
        <w:tab w:val="center" w:pos="8505"/>
      </w:tabs>
      <w:jc w:val="left"/>
      <w:rPr>
        <w:rFonts w:ascii="Cambria" w:hAnsi="Cambria"/>
      </w:rPr>
    </w:pPr>
    <w:r>
      <w:rPr>
        <w:rFonts w:ascii="Cambria" w:hAnsi="Cambria"/>
      </w:rPr>
      <w:t xml:space="preserve">Final review of policy: </w:t>
    </w:r>
    <w:r>
      <w:rPr>
        <w:rFonts w:ascii="Cambria" w:hAnsi="Cambria"/>
        <w:i/>
      </w:rPr>
      <w:t xml:space="preserve">Phytophthora ramorum </w:t>
    </w:r>
    <w:r>
      <w:rPr>
        <w:rFonts w:ascii="Cambria" w:hAnsi="Cambria"/>
      </w:rPr>
      <w:t>host propagative material</w:t>
    </w:r>
    <w:r>
      <w:rPr>
        <w:rFonts w:ascii="Cambria" w:hAnsi="Cambria"/>
      </w:rPr>
      <w:tab/>
      <w:t>Acronyms and abbreviations</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933" w:rsidRDefault="007F6933">
    <w:pPr>
      <w:pStyle w:val="Header"/>
      <w:tabs>
        <w:tab w:val="clear" w:pos="4820"/>
        <w:tab w:val="center" w:pos="8505"/>
        <w:tab w:val="center" w:pos="13041"/>
      </w:tabs>
      <w:jc w:val="left"/>
      <w:rPr>
        <w:rFonts w:ascii="Cambria" w:hAnsi="Cambria"/>
      </w:rPr>
    </w:pPr>
    <w:r>
      <w:rPr>
        <w:rFonts w:ascii="Cambria" w:hAnsi="Cambria"/>
      </w:rPr>
      <w:t xml:space="preserve">Final review of policy: </w:t>
    </w:r>
    <w:r>
      <w:rPr>
        <w:rFonts w:ascii="Cambria" w:hAnsi="Cambria"/>
        <w:i/>
      </w:rPr>
      <w:t xml:space="preserve">Phytophthora ramorum </w:t>
    </w:r>
    <w:r>
      <w:rPr>
        <w:rFonts w:ascii="Cambria" w:hAnsi="Cambria"/>
      </w:rPr>
      <w:t>host propagative material</w:t>
    </w:r>
    <w:r>
      <w:rPr>
        <w:rFonts w:ascii="Cambria" w:hAnsi="Cambria"/>
      </w:rPr>
      <w:tab/>
      <w:t>Summary</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933" w:rsidRDefault="007F6933">
    <w:pPr>
      <w:pStyle w:val="Header"/>
      <w:tabs>
        <w:tab w:val="clear" w:pos="4820"/>
        <w:tab w:val="center" w:pos="8505"/>
        <w:tab w:val="center" w:pos="13041"/>
      </w:tabs>
      <w:jc w:val="left"/>
      <w:rPr>
        <w:rFonts w:ascii="Cambria" w:hAnsi="Cambria"/>
      </w:rPr>
    </w:pPr>
    <w:r>
      <w:rPr>
        <w:rFonts w:ascii="Cambria" w:hAnsi="Cambria"/>
      </w:rPr>
      <w:t xml:space="preserve">Final review of policy: </w:t>
    </w:r>
    <w:r>
      <w:rPr>
        <w:rFonts w:ascii="Cambria" w:hAnsi="Cambria"/>
        <w:i/>
      </w:rPr>
      <w:t>Phytophthora</w:t>
    </w:r>
    <w:r>
      <w:rPr>
        <w:rFonts w:ascii="Cambria" w:hAnsi="Cambria"/>
      </w:rPr>
      <w:t xml:space="preserve"> </w:t>
    </w:r>
    <w:r>
      <w:rPr>
        <w:rFonts w:ascii="Cambria" w:hAnsi="Cambria"/>
        <w:i/>
      </w:rPr>
      <w:t xml:space="preserve">ramorum </w:t>
    </w:r>
    <w:r>
      <w:rPr>
        <w:rFonts w:ascii="Cambria" w:hAnsi="Cambria"/>
      </w:rPr>
      <w:t>host propagative material</w:t>
    </w:r>
    <w:r>
      <w:rPr>
        <w:rFonts w:ascii="Cambria" w:hAnsi="Cambria"/>
      </w:rPr>
      <w:tab/>
      <w:t>Introduction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C8060042"/>
    <w:lvl w:ilvl="0">
      <w:start w:val="1"/>
      <w:numFmt w:val="lowerRoman"/>
      <w:pStyle w:val="ListNumber3"/>
      <w:lvlText w:val="%1)"/>
      <w:lvlJc w:val="left"/>
      <w:pPr>
        <w:tabs>
          <w:tab w:val="num" w:pos="926"/>
        </w:tabs>
        <w:ind w:left="926" w:hanging="360"/>
      </w:pPr>
      <w:rPr>
        <w:rFonts w:hint="default"/>
      </w:rPr>
    </w:lvl>
  </w:abstractNum>
  <w:abstractNum w:abstractNumId="1">
    <w:nsid w:val="FFFFFF83"/>
    <w:multiLevelType w:val="singleLevel"/>
    <w:tmpl w:val="CA5A6F8E"/>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9"/>
    <w:multiLevelType w:val="singleLevel"/>
    <w:tmpl w:val="F6522A64"/>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3">
    <w:nsid w:val="005434FF"/>
    <w:multiLevelType w:val="multilevel"/>
    <w:tmpl w:val="B80AF110"/>
    <w:lvl w:ilvl="0">
      <w:start w:val="1"/>
      <w:numFmt w:val="decimal"/>
      <w:pStyle w:val="Heading1Egypt"/>
      <w:lvlText w:val="%1."/>
      <w:lvlJc w:val="left"/>
      <w:pPr>
        <w:tabs>
          <w:tab w:val="num" w:pos="360"/>
        </w:tabs>
        <w:ind w:left="360" w:hanging="360"/>
      </w:pPr>
      <w:rPr>
        <w:rFonts w:ascii="Arial" w:hAnsi="Arial" w:hint="default"/>
        <w:b/>
        <w:i w:val="0"/>
        <w:sz w:val="28"/>
      </w:rPr>
    </w:lvl>
    <w:lvl w:ilvl="1">
      <w:start w:val="1"/>
      <w:numFmt w:val="decimal"/>
      <w:pStyle w:val="Heading2Egypt"/>
      <w:lvlText w:val="%1.%2"/>
      <w:lvlJc w:val="left"/>
      <w:pPr>
        <w:tabs>
          <w:tab w:val="num" w:pos="720"/>
        </w:tabs>
        <w:ind w:left="357" w:hanging="357"/>
      </w:pPr>
    </w:lvl>
    <w:lvl w:ilvl="2">
      <w:start w:val="1"/>
      <w:numFmt w:val="decimal"/>
      <w:pStyle w:val="Heading3Egypt"/>
      <w:lvlText w:val="%1.%2.%3."/>
      <w:lvlJc w:val="left"/>
      <w:pPr>
        <w:tabs>
          <w:tab w:val="num" w:pos="1080"/>
        </w:tabs>
        <w:ind w:left="0" w:firstLine="0"/>
      </w:pPr>
    </w:lvl>
    <w:lvl w:ilvl="3">
      <w:start w:val="1"/>
      <w:numFmt w:val="none"/>
      <w:lvlText w:val="%1.%2.%3.%4."/>
      <w:lvlJc w:val="left"/>
      <w:pPr>
        <w:tabs>
          <w:tab w:val="num" w:pos="2880"/>
        </w:tabs>
        <w:ind w:left="1728" w:hanging="648"/>
      </w:pPr>
    </w:lvl>
    <w:lvl w:ilvl="4">
      <w:start w:val="1"/>
      <w:numFmt w:val="none"/>
      <w:lvlText w:val="%1.%2.%3.%4.%5."/>
      <w:lvlJc w:val="left"/>
      <w:pPr>
        <w:tabs>
          <w:tab w:val="num" w:pos="3960"/>
        </w:tabs>
        <w:ind w:left="2232" w:hanging="792"/>
      </w:pPr>
    </w:lvl>
    <w:lvl w:ilvl="5">
      <w:start w:val="1"/>
      <w:numFmt w:val="none"/>
      <w:lvlText w:val="%1.%2.%3.%4.%5.%6."/>
      <w:lvlJc w:val="left"/>
      <w:pPr>
        <w:tabs>
          <w:tab w:val="num" w:pos="4680"/>
        </w:tabs>
        <w:ind w:left="2736" w:hanging="936"/>
      </w:pPr>
    </w:lvl>
    <w:lvl w:ilvl="6">
      <w:start w:val="1"/>
      <w:numFmt w:val="none"/>
      <w:lvlText w:val="%1.%2.%3.%4.%5.%6.%7."/>
      <w:lvlJc w:val="left"/>
      <w:pPr>
        <w:tabs>
          <w:tab w:val="num" w:pos="5400"/>
        </w:tabs>
        <w:ind w:left="3240" w:hanging="1080"/>
      </w:pPr>
    </w:lvl>
    <w:lvl w:ilvl="7">
      <w:start w:val="1"/>
      <w:numFmt w:val="none"/>
      <w:lvlText w:val="%1.%2.%3.%4.%5.%6.%7.%8."/>
      <w:lvlJc w:val="left"/>
      <w:pPr>
        <w:tabs>
          <w:tab w:val="num" w:pos="6120"/>
        </w:tabs>
        <w:ind w:left="3744" w:hanging="1224"/>
      </w:pPr>
    </w:lvl>
    <w:lvl w:ilvl="8">
      <w:start w:val="1"/>
      <w:numFmt w:val="none"/>
      <w:lvlText w:val="%1.%2.%3.%4.%5.%6.%7.%8.%9."/>
      <w:lvlJc w:val="left"/>
      <w:pPr>
        <w:tabs>
          <w:tab w:val="num" w:pos="6840"/>
        </w:tabs>
        <w:ind w:left="4320" w:hanging="1440"/>
      </w:pPr>
    </w:lvl>
  </w:abstractNum>
  <w:abstractNum w:abstractNumId="4">
    <w:nsid w:val="01A54FCB"/>
    <w:multiLevelType w:val="multilevel"/>
    <w:tmpl w:val="259C4D5E"/>
    <w:lvl w:ilvl="0">
      <w:start w:val="1"/>
      <w:numFmt w:val="upperLetter"/>
      <w:lvlText w:val="Appendix %1."/>
      <w:lvlJc w:val="left"/>
      <w:pPr>
        <w:tabs>
          <w:tab w:val="num" w:pos="2134"/>
        </w:tabs>
        <w:ind w:left="2134" w:hanging="432"/>
      </w:pPr>
      <w:rPr>
        <w:rFonts w:hint="default"/>
      </w:rPr>
    </w:lvl>
    <w:lvl w:ilvl="1">
      <w:start w:val="1"/>
      <w:numFmt w:val="decimal"/>
      <w:pStyle w:val="BAAppend2"/>
      <w:lvlText w:val="%1.%2."/>
      <w:lvlJc w:val="left"/>
      <w:pPr>
        <w:tabs>
          <w:tab w:val="num" w:pos="1116"/>
        </w:tabs>
        <w:ind w:left="1116" w:hanging="576"/>
      </w:pPr>
      <w:rPr>
        <w:rFonts w:cs="Times New Roman"/>
        <w:b w:val="0"/>
        <w:bCs w:val="0"/>
        <w:i w:val="0"/>
        <w:iCs w:val="0"/>
        <w:caps w:val="0"/>
        <w:smallCaps w:val="0"/>
        <w:strike w:val="0"/>
        <w:dstrike w:val="0"/>
        <w:noProof w:val="0"/>
        <w:vanish w:val="0"/>
        <w:spacing w:val="0"/>
        <w:kern w:val="0"/>
        <w:position w:val="0"/>
        <w:u w:val="none"/>
        <w:vertAlign w:val="baseline"/>
        <w:em w:val="none"/>
      </w:rPr>
    </w:lvl>
    <w:lvl w:ilvl="2">
      <w:start w:val="1"/>
      <w:numFmt w:val="decimal"/>
      <w:pStyle w:val="BAAppend3"/>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090B13A5"/>
    <w:multiLevelType w:val="hybridMultilevel"/>
    <w:tmpl w:val="2E827DBA"/>
    <w:lvl w:ilvl="0" w:tplc="11F2F2E8">
      <w:start w:val="1"/>
      <w:numFmt w:val="bullet"/>
      <w:pStyle w:val="Style1dotpoints"/>
      <w:lvlText w:val=""/>
      <w:lvlJc w:val="left"/>
      <w:pPr>
        <w:tabs>
          <w:tab w:val="num" w:pos="720"/>
        </w:tabs>
        <w:ind w:left="720" w:hanging="360"/>
      </w:pPr>
      <w:rPr>
        <w:rFonts w:ascii="Symbol" w:hAnsi="Symbol" w:hint="default"/>
      </w:rPr>
    </w:lvl>
    <w:lvl w:ilvl="1" w:tplc="747A065E" w:tentative="1">
      <w:start w:val="1"/>
      <w:numFmt w:val="bullet"/>
      <w:lvlText w:val="o"/>
      <w:lvlJc w:val="left"/>
      <w:pPr>
        <w:tabs>
          <w:tab w:val="num" w:pos="1440"/>
        </w:tabs>
        <w:ind w:left="1440" w:hanging="360"/>
      </w:pPr>
      <w:rPr>
        <w:rFonts w:ascii="Courier New" w:hAnsi="Courier New" w:cs="Wingdings" w:hint="default"/>
      </w:rPr>
    </w:lvl>
    <w:lvl w:ilvl="2" w:tplc="C59208D4" w:tentative="1">
      <w:start w:val="1"/>
      <w:numFmt w:val="bullet"/>
      <w:lvlText w:val=""/>
      <w:lvlJc w:val="left"/>
      <w:pPr>
        <w:tabs>
          <w:tab w:val="num" w:pos="2160"/>
        </w:tabs>
        <w:ind w:left="2160" w:hanging="360"/>
      </w:pPr>
      <w:rPr>
        <w:rFonts w:ascii="Wingdings" w:hAnsi="Wingdings" w:hint="default"/>
      </w:rPr>
    </w:lvl>
    <w:lvl w:ilvl="3" w:tplc="1C0AF53A" w:tentative="1">
      <w:start w:val="1"/>
      <w:numFmt w:val="bullet"/>
      <w:lvlText w:val=""/>
      <w:lvlJc w:val="left"/>
      <w:pPr>
        <w:tabs>
          <w:tab w:val="num" w:pos="2880"/>
        </w:tabs>
        <w:ind w:left="2880" w:hanging="360"/>
      </w:pPr>
      <w:rPr>
        <w:rFonts w:ascii="Symbol" w:hAnsi="Symbol" w:hint="default"/>
      </w:rPr>
    </w:lvl>
    <w:lvl w:ilvl="4" w:tplc="60CC01A8" w:tentative="1">
      <w:start w:val="1"/>
      <w:numFmt w:val="bullet"/>
      <w:lvlText w:val="o"/>
      <w:lvlJc w:val="left"/>
      <w:pPr>
        <w:tabs>
          <w:tab w:val="num" w:pos="3600"/>
        </w:tabs>
        <w:ind w:left="3600" w:hanging="360"/>
      </w:pPr>
      <w:rPr>
        <w:rFonts w:ascii="Courier New" w:hAnsi="Courier New" w:cs="Wingdings" w:hint="default"/>
      </w:rPr>
    </w:lvl>
    <w:lvl w:ilvl="5" w:tplc="0B9228F8" w:tentative="1">
      <w:start w:val="1"/>
      <w:numFmt w:val="bullet"/>
      <w:lvlText w:val=""/>
      <w:lvlJc w:val="left"/>
      <w:pPr>
        <w:tabs>
          <w:tab w:val="num" w:pos="4320"/>
        </w:tabs>
        <w:ind w:left="4320" w:hanging="360"/>
      </w:pPr>
      <w:rPr>
        <w:rFonts w:ascii="Wingdings" w:hAnsi="Wingdings" w:hint="default"/>
      </w:rPr>
    </w:lvl>
    <w:lvl w:ilvl="6" w:tplc="29AC0AB6" w:tentative="1">
      <w:start w:val="1"/>
      <w:numFmt w:val="bullet"/>
      <w:lvlText w:val=""/>
      <w:lvlJc w:val="left"/>
      <w:pPr>
        <w:tabs>
          <w:tab w:val="num" w:pos="5040"/>
        </w:tabs>
        <w:ind w:left="5040" w:hanging="360"/>
      </w:pPr>
      <w:rPr>
        <w:rFonts w:ascii="Symbol" w:hAnsi="Symbol" w:hint="default"/>
      </w:rPr>
    </w:lvl>
    <w:lvl w:ilvl="7" w:tplc="61A2F294" w:tentative="1">
      <w:start w:val="1"/>
      <w:numFmt w:val="bullet"/>
      <w:lvlText w:val="o"/>
      <w:lvlJc w:val="left"/>
      <w:pPr>
        <w:tabs>
          <w:tab w:val="num" w:pos="5760"/>
        </w:tabs>
        <w:ind w:left="5760" w:hanging="360"/>
      </w:pPr>
      <w:rPr>
        <w:rFonts w:ascii="Courier New" w:hAnsi="Courier New" w:cs="Wingdings" w:hint="default"/>
      </w:rPr>
    </w:lvl>
    <w:lvl w:ilvl="8" w:tplc="C172CAB6" w:tentative="1">
      <w:start w:val="1"/>
      <w:numFmt w:val="bullet"/>
      <w:lvlText w:val=""/>
      <w:lvlJc w:val="left"/>
      <w:pPr>
        <w:tabs>
          <w:tab w:val="num" w:pos="6480"/>
        </w:tabs>
        <w:ind w:left="6480" w:hanging="360"/>
      </w:pPr>
      <w:rPr>
        <w:rFonts w:ascii="Wingdings" w:hAnsi="Wingdings" w:hint="default"/>
      </w:rPr>
    </w:lvl>
  </w:abstractNum>
  <w:abstractNum w:abstractNumId="6">
    <w:nsid w:val="0A5645C5"/>
    <w:multiLevelType w:val="singleLevel"/>
    <w:tmpl w:val="DE424BC0"/>
    <w:lvl w:ilvl="0">
      <w:start w:val="1"/>
      <w:numFmt w:val="bullet"/>
      <w:pStyle w:val="paraChar"/>
      <w:lvlText w:val=""/>
      <w:lvlJc w:val="left"/>
      <w:pPr>
        <w:tabs>
          <w:tab w:val="num" w:pos="360"/>
        </w:tabs>
        <w:ind w:left="360" w:hanging="360"/>
      </w:pPr>
      <w:rPr>
        <w:rFonts w:ascii="Symbol" w:hAnsi="Symbol" w:hint="default"/>
        <w:sz w:val="16"/>
      </w:rPr>
    </w:lvl>
  </w:abstractNum>
  <w:abstractNum w:abstractNumId="7">
    <w:nsid w:val="0D3E4203"/>
    <w:multiLevelType w:val="hybridMultilevel"/>
    <w:tmpl w:val="B7804F4E"/>
    <w:lvl w:ilvl="0" w:tplc="DCAEAB4A">
      <w:start w:val="1"/>
      <w:numFmt w:val="bullet"/>
      <w:pStyle w:val="Dot"/>
      <w:lvlText w:val=""/>
      <w:lvlJc w:val="left"/>
      <w:pPr>
        <w:tabs>
          <w:tab w:val="num" w:pos="360"/>
        </w:tabs>
        <w:ind w:left="284" w:hanging="284"/>
      </w:pPr>
      <w:rPr>
        <w:rFonts w:ascii="Wingdings" w:hAnsi="Wingdings" w:hint="default"/>
      </w:rPr>
    </w:lvl>
    <w:lvl w:ilvl="1" w:tplc="C6509A0E">
      <w:start w:val="1"/>
      <w:numFmt w:val="bullet"/>
      <w:lvlText w:val=""/>
      <w:lvlJc w:val="left"/>
      <w:pPr>
        <w:tabs>
          <w:tab w:val="num" w:pos="1440"/>
        </w:tabs>
        <w:ind w:left="1440" w:hanging="360"/>
      </w:pPr>
      <w:rPr>
        <w:rFonts w:ascii="Symbol" w:hAnsi="Symbol" w:hint="default"/>
        <w:sz w:val="16"/>
      </w:rPr>
    </w:lvl>
    <w:lvl w:ilvl="2" w:tplc="75C69CD2">
      <w:start w:val="1"/>
      <w:numFmt w:val="bullet"/>
      <w:lvlText w:val=""/>
      <w:lvlJc w:val="left"/>
      <w:pPr>
        <w:tabs>
          <w:tab w:val="num" w:pos="2160"/>
        </w:tabs>
        <w:ind w:left="2160" w:hanging="360"/>
      </w:pPr>
      <w:rPr>
        <w:rFonts w:ascii="Wingdings" w:hAnsi="Wingdings" w:hint="default"/>
      </w:rPr>
    </w:lvl>
    <w:lvl w:ilvl="3" w:tplc="B1B642E6">
      <w:start w:val="1"/>
      <w:numFmt w:val="bullet"/>
      <w:lvlText w:val=""/>
      <w:lvlJc w:val="left"/>
      <w:pPr>
        <w:tabs>
          <w:tab w:val="num" w:pos="2880"/>
        </w:tabs>
        <w:ind w:left="2880" w:hanging="360"/>
      </w:pPr>
      <w:rPr>
        <w:rFonts w:ascii="Symbol" w:hAnsi="Symbol" w:hint="default"/>
      </w:rPr>
    </w:lvl>
    <w:lvl w:ilvl="4" w:tplc="DB8288C6" w:tentative="1">
      <w:start w:val="1"/>
      <w:numFmt w:val="bullet"/>
      <w:lvlText w:val="o"/>
      <w:lvlJc w:val="left"/>
      <w:pPr>
        <w:tabs>
          <w:tab w:val="num" w:pos="3600"/>
        </w:tabs>
        <w:ind w:left="3600" w:hanging="360"/>
      </w:pPr>
      <w:rPr>
        <w:rFonts w:ascii="Courier New" w:hAnsi="Courier New" w:hint="default"/>
      </w:rPr>
    </w:lvl>
    <w:lvl w:ilvl="5" w:tplc="7464AD30" w:tentative="1">
      <w:start w:val="1"/>
      <w:numFmt w:val="bullet"/>
      <w:lvlText w:val=""/>
      <w:lvlJc w:val="left"/>
      <w:pPr>
        <w:tabs>
          <w:tab w:val="num" w:pos="4320"/>
        </w:tabs>
        <w:ind w:left="4320" w:hanging="360"/>
      </w:pPr>
      <w:rPr>
        <w:rFonts w:ascii="Wingdings" w:hAnsi="Wingdings" w:hint="default"/>
      </w:rPr>
    </w:lvl>
    <w:lvl w:ilvl="6" w:tplc="7F0697D2" w:tentative="1">
      <w:start w:val="1"/>
      <w:numFmt w:val="bullet"/>
      <w:lvlText w:val=""/>
      <w:lvlJc w:val="left"/>
      <w:pPr>
        <w:tabs>
          <w:tab w:val="num" w:pos="5040"/>
        </w:tabs>
        <w:ind w:left="5040" w:hanging="360"/>
      </w:pPr>
      <w:rPr>
        <w:rFonts w:ascii="Symbol" w:hAnsi="Symbol" w:hint="default"/>
      </w:rPr>
    </w:lvl>
    <w:lvl w:ilvl="7" w:tplc="F1C243AC" w:tentative="1">
      <w:start w:val="1"/>
      <w:numFmt w:val="bullet"/>
      <w:lvlText w:val="o"/>
      <w:lvlJc w:val="left"/>
      <w:pPr>
        <w:tabs>
          <w:tab w:val="num" w:pos="5760"/>
        </w:tabs>
        <w:ind w:left="5760" w:hanging="360"/>
      </w:pPr>
      <w:rPr>
        <w:rFonts w:ascii="Courier New" w:hAnsi="Courier New" w:hint="default"/>
      </w:rPr>
    </w:lvl>
    <w:lvl w:ilvl="8" w:tplc="7EEA365C" w:tentative="1">
      <w:start w:val="1"/>
      <w:numFmt w:val="bullet"/>
      <w:lvlText w:val=""/>
      <w:lvlJc w:val="left"/>
      <w:pPr>
        <w:tabs>
          <w:tab w:val="num" w:pos="6480"/>
        </w:tabs>
        <w:ind w:left="6480" w:hanging="360"/>
      </w:pPr>
      <w:rPr>
        <w:rFonts w:ascii="Wingdings" w:hAnsi="Wingdings" w:hint="default"/>
      </w:rPr>
    </w:lvl>
  </w:abstractNum>
  <w:abstractNum w:abstractNumId="8">
    <w:nsid w:val="0F3C1C70"/>
    <w:multiLevelType w:val="multilevel"/>
    <w:tmpl w:val="04F0B7D2"/>
    <w:styleLink w:val="Bullet"/>
    <w:lvl w:ilvl="0">
      <w:start w:val="1"/>
      <w:numFmt w:val="bullet"/>
      <w:pStyle w:val="Bulletlast"/>
      <w:lvlText w:val=""/>
      <w:lvlJc w:val="left"/>
      <w:pPr>
        <w:tabs>
          <w:tab w:val="num" w:pos="284"/>
        </w:tabs>
        <w:ind w:left="284" w:hanging="284"/>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196B606F"/>
    <w:multiLevelType w:val="hybridMultilevel"/>
    <w:tmpl w:val="E0560262"/>
    <w:lvl w:ilvl="0" w:tplc="CE4483FE">
      <w:start w:val="1"/>
      <w:numFmt w:val="bullet"/>
      <w:pStyle w:val="TableBullet"/>
      <w:lvlText w:val=""/>
      <w:lvlJc w:val="left"/>
      <w:pPr>
        <w:ind w:left="720" w:hanging="360"/>
      </w:pPr>
      <w:rPr>
        <w:rFonts w:ascii="Symbol" w:hAnsi="Symbol" w:hint="default"/>
      </w:rPr>
    </w:lvl>
    <w:lvl w:ilvl="1" w:tplc="4A16C5BE" w:tentative="1">
      <w:start w:val="1"/>
      <w:numFmt w:val="bullet"/>
      <w:lvlText w:val="o"/>
      <w:lvlJc w:val="left"/>
      <w:pPr>
        <w:ind w:left="1440" w:hanging="360"/>
      </w:pPr>
      <w:rPr>
        <w:rFonts w:ascii="Courier New" w:hAnsi="Courier New" w:cs="Courier New" w:hint="default"/>
      </w:rPr>
    </w:lvl>
    <w:lvl w:ilvl="2" w:tplc="C1DE12C8" w:tentative="1">
      <w:start w:val="1"/>
      <w:numFmt w:val="bullet"/>
      <w:lvlText w:val=""/>
      <w:lvlJc w:val="left"/>
      <w:pPr>
        <w:ind w:left="2160" w:hanging="360"/>
      </w:pPr>
      <w:rPr>
        <w:rFonts w:ascii="Wingdings" w:hAnsi="Wingdings" w:hint="default"/>
      </w:rPr>
    </w:lvl>
    <w:lvl w:ilvl="3" w:tplc="DE6A3E74" w:tentative="1">
      <w:start w:val="1"/>
      <w:numFmt w:val="bullet"/>
      <w:lvlText w:val=""/>
      <w:lvlJc w:val="left"/>
      <w:pPr>
        <w:ind w:left="2880" w:hanging="360"/>
      </w:pPr>
      <w:rPr>
        <w:rFonts w:ascii="Symbol" w:hAnsi="Symbol" w:hint="default"/>
      </w:rPr>
    </w:lvl>
    <w:lvl w:ilvl="4" w:tplc="3FF60CEA" w:tentative="1">
      <w:start w:val="1"/>
      <w:numFmt w:val="bullet"/>
      <w:lvlText w:val="o"/>
      <w:lvlJc w:val="left"/>
      <w:pPr>
        <w:ind w:left="3600" w:hanging="360"/>
      </w:pPr>
      <w:rPr>
        <w:rFonts w:ascii="Courier New" w:hAnsi="Courier New" w:cs="Courier New" w:hint="default"/>
      </w:rPr>
    </w:lvl>
    <w:lvl w:ilvl="5" w:tplc="B36019C0" w:tentative="1">
      <w:start w:val="1"/>
      <w:numFmt w:val="bullet"/>
      <w:lvlText w:val=""/>
      <w:lvlJc w:val="left"/>
      <w:pPr>
        <w:ind w:left="4320" w:hanging="360"/>
      </w:pPr>
      <w:rPr>
        <w:rFonts w:ascii="Wingdings" w:hAnsi="Wingdings" w:hint="default"/>
      </w:rPr>
    </w:lvl>
    <w:lvl w:ilvl="6" w:tplc="3EFA4EA2" w:tentative="1">
      <w:start w:val="1"/>
      <w:numFmt w:val="bullet"/>
      <w:lvlText w:val=""/>
      <w:lvlJc w:val="left"/>
      <w:pPr>
        <w:ind w:left="5040" w:hanging="360"/>
      </w:pPr>
      <w:rPr>
        <w:rFonts w:ascii="Symbol" w:hAnsi="Symbol" w:hint="default"/>
      </w:rPr>
    </w:lvl>
    <w:lvl w:ilvl="7" w:tplc="09A8ED50" w:tentative="1">
      <w:start w:val="1"/>
      <w:numFmt w:val="bullet"/>
      <w:lvlText w:val="o"/>
      <w:lvlJc w:val="left"/>
      <w:pPr>
        <w:ind w:left="5760" w:hanging="360"/>
      </w:pPr>
      <w:rPr>
        <w:rFonts w:ascii="Courier New" w:hAnsi="Courier New" w:cs="Courier New" w:hint="default"/>
      </w:rPr>
    </w:lvl>
    <w:lvl w:ilvl="8" w:tplc="B69860C0" w:tentative="1">
      <w:start w:val="1"/>
      <w:numFmt w:val="bullet"/>
      <w:lvlText w:val=""/>
      <w:lvlJc w:val="left"/>
      <w:pPr>
        <w:ind w:left="6480" w:hanging="360"/>
      </w:pPr>
      <w:rPr>
        <w:rFonts w:ascii="Wingdings" w:hAnsi="Wingdings" w:hint="default"/>
      </w:rPr>
    </w:lvl>
  </w:abstractNum>
  <w:abstractNum w:abstractNumId="10">
    <w:nsid w:val="1E7D63AA"/>
    <w:multiLevelType w:val="multilevel"/>
    <w:tmpl w:val="04F0B7D2"/>
    <w:numStyleLink w:val="Bullet"/>
  </w:abstractNum>
  <w:abstractNum w:abstractNumId="11">
    <w:nsid w:val="249802CB"/>
    <w:multiLevelType w:val="hybridMultilevel"/>
    <w:tmpl w:val="55A869CE"/>
    <w:lvl w:ilvl="0" w:tplc="F9A827B4">
      <w:start w:val="1"/>
      <w:numFmt w:val="decimal"/>
      <w:pStyle w:val="Heading1Numbered"/>
      <w:lvlText w:val="%1"/>
      <w:lvlJc w:val="left"/>
      <w:pPr>
        <w:ind w:left="720" w:hanging="360"/>
      </w:pPr>
      <w:rPr>
        <w:rFonts w:hint="default"/>
        <w:color w:val="auto"/>
      </w:rPr>
    </w:lvl>
    <w:lvl w:ilvl="1" w:tplc="E490FD18" w:tentative="1">
      <w:start w:val="1"/>
      <w:numFmt w:val="lowerLetter"/>
      <w:lvlText w:val="%2."/>
      <w:lvlJc w:val="left"/>
      <w:pPr>
        <w:ind w:left="1440" w:hanging="360"/>
      </w:pPr>
    </w:lvl>
    <w:lvl w:ilvl="2" w:tplc="29AC2208" w:tentative="1">
      <w:start w:val="1"/>
      <w:numFmt w:val="lowerRoman"/>
      <w:lvlText w:val="%3."/>
      <w:lvlJc w:val="right"/>
      <w:pPr>
        <w:ind w:left="2160" w:hanging="180"/>
      </w:pPr>
    </w:lvl>
    <w:lvl w:ilvl="3" w:tplc="D4EE2F4E" w:tentative="1">
      <w:start w:val="1"/>
      <w:numFmt w:val="decimal"/>
      <w:lvlText w:val="%4."/>
      <w:lvlJc w:val="left"/>
      <w:pPr>
        <w:ind w:left="2880" w:hanging="360"/>
      </w:pPr>
    </w:lvl>
    <w:lvl w:ilvl="4" w:tplc="2940C0EE" w:tentative="1">
      <w:start w:val="1"/>
      <w:numFmt w:val="lowerLetter"/>
      <w:lvlText w:val="%5."/>
      <w:lvlJc w:val="left"/>
      <w:pPr>
        <w:ind w:left="3600" w:hanging="360"/>
      </w:pPr>
    </w:lvl>
    <w:lvl w:ilvl="5" w:tplc="F288D2F2" w:tentative="1">
      <w:start w:val="1"/>
      <w:numFmt w:val="lowerRoman"/>
      <w:lvlText w:val="%6."/>
      <w:lvlJc w:val="right"/>
      <w:pPr>
        <w:ind w:left="4320" w:hanging="180"/>
      </w:pPr>
    </w:lvl>
    <w:lvl w:ilvl="6" w:tplc="24E82DB6" w:tentative="1">
      <w:start w:val="1"/>
      <w:numFmt w:val="decimal"/>
      <w:lvlText w:val="%7."/>
      <w:lvlJc w:val="left"/>
      <w:pPr>
        <w:ind w:left="5040" w:hanging="360"/>
      </w:pPr>
    </w:lvl>
    <w:lvl w:ilvl="7" w:tplc="F126F10C" w:tentative="1">
      <w:start w:val="1"/>
      <w:numFmt w:val="lowerLetter"/>
      <w:lvlText w:val="%8."/>
      <w:lvlJc w:val="left"/>
      <w:pPr>
        <w:ind w:left="5760" w:hanging="360"/>
      </w:pPr>
    </w:lvl>
    <w:lvl w:ilvl="8" w:tplc="F9DADECE" w:tentative="1">
      <w:start w:val="1"/>
      <w:numFmt w:val="lowerRoman"/>
      <w:lvlText w:val="%9."/>
      <w:lvlJc w:val="right"/>
      <w:pPr>
        <w:ind w:left="6480" w:hanging="180"/>
      </w:pPr>
    </w:lvl>
  </w:abstractNum>
  <w:abstractNum w:abstractNumId="12">
    <w:nsid w:val="2E221209"/>
    <w:multiLevelType w:val="multilevel"/>
    <w:tmpl w:val="40F69EB2"/>
    <w:styleLink w:val="StyleBulleted11pt"/>
    <w:lvl w:ilvl="0">
      <w:start w:val="1"/>
      <w:numFmt w:val="bullet"/>
      <w:lvlText w:val=""/>
      <w:lvlJc w:val="right"/>
      <w:pPr>
        <w:tabs>
          <w:tab w:val="num" w:pos="680"/>
        </w:tabs>
        <w:ind w:left="680" w:hanging="340"/>
      </w:pPr>
      <w:rPr>
        <w:rFonts w:ascii="Symbol" w:hAnsi="Symbol" w:hint="default"/>
        <w:i/>
        <w:sz w:val="16"/>
        <w:szCs w:val="16"/>
      </w:rPr>
    </w:lvl>
    <w:lvl w:ilvl="1">
      <w:start w:val="1"/>
      <w:numFmt w:val="bullet"/>
      <w:lvlText w:val=""/>
      <w:lvlJc w:val="left"/>
      <w:pPr>
        <w:tabs>
          <w:tab w:val="num" w:pos="2160"/>
        </w:tabs>
        <w:ind w:left="2520" w:hanging="360"/>
      </w:pPr>
      <w:rPr>
        <w:rFonts w:ascii="Symbol" w:hAnsi="Symbol" w:hint="default"/>
        <w:sz w:val="22"/>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Wingdings"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Wingdings" w:hint="default"/>
      </w:rPr>
    </w:lvl>
    <w:lvl w:ilvl="8">
      <w:start w:val="1"/>
      <w:numFmt w:val="bullet"/>
      <w:lvlText w:val=""/>
      <w:lvlJc w:val="left"/>
      <w:pPr>
        <w:tabs>
          <w:tab w:val="num" w:pos="7200"/>
        </w:tabs>
        <w:ind w:left="7200" w:hanging="360"/>
      </w:pPr>
      <w:rPr>
        <w:rFonts w:ascii="Wingdings" w:hAnsi="Wingdings" w:hint="default"/>
      </w:rPr>
    </w:lvl>
  </w:abstractNum>
  <w:abstractNum w:abstractNumId="13">
    <w:nsid w:val="38AE29D2"/>
    <w:multiLevelType w:val="multilevel"/>
    <w:tmpl w:val="2CDE8968"/>
    <w:lvl w:ilvl="0">
      <w:start w:val="1"/>
      <w:numFmt w:val="upperLetter"/>
      <w:pStyle w:val="AppendixHeading1"/>
      <w:lvlText w:val="Appendix %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3A551C78"/>
    <w:multiLevelType w:val="hybridMultilevel"/>
    <w:tmpl w:val="A6AA52EC"/>
    <w:lvl w:ilvl="0" w:tplc="F9A827B4">
      <w:start w:val="1"/>
      <w:numFmt w:val="decimal"/>
      <w:pStyle w:val="Heading2Numbered"/>
      <w:lvlText w:val="1.%1"/>
      <w:lvlJc w:val="left"/>
      <w:pPr>
        <w:ind w:left="360" w:hanging="360"/>
      </w:pPr>
      <w:rPr>
        <w:rFonts w:hint="default"/>
      </w:rPr>
    </w:lvl>
    <w:lvl w:ilvl="1" w:tplc="72E408A2" w:tentative="1">
      <w:start w:val="1"/>
      <w:numFmt w:val="lowerLetter"/>
      <w:pStyle w:val="Heading2Numbered"/>
      <w:lvlText w:val="%2."/>
      <w:lvlJc w:val="left"/>
      <w:pPr>
        <w:ind w:left="1440" w:hanging="360"/>
      </w:pPr>
    </w:lvl>
    <w:lvl w:ilvl="2" w:tplc="29AC2208" w:tentative="1">
      <w:start w:val="1"/>
      <w:numFmt w:val="lowerRoman"/>
      <w:lvlText w:val="%3."/>
      <w:lvlJc w:val="right"/>
      <w:pPr>
        <w:ind w:left="2160" w:hanging="180"/>
      </w:pPr>
    </w:lvl>
    <w:lvl w:ilvl="3" w:tplc="D4EE2F4E" w:tentative="1">
      <w:start w:val="1"/>
      <w:numFmt w:val="decimal"/>
      <w:lvlText w:val="%4."/>
      <w:lvlJc w:val="left"/>
      <w:pPr>
        <w:ind w:left="2880" w:hanging="360"/>
      </w:pPr>
    </w:lvl>
    <w:lvl w:ilvl="4" w:tplc="2940C0EE" w:tentative="1">
      <w:start w:val="1"/>
      <w:numFmt w:val="lowerLetter"/>
      <w:lvlText w:val="%5."/>
      <w:lvlJc w:val="left"/>
      <w:pPr>
        <w:ind w:left="3600" w:hanging="360"/>
      </w:pPr>
    </w:lvl>
    <w:lvl w:ilvl="5" w:tplc="F288D2F2" w:tentative="1">
      <w:start w:val="1"/>
      <w:numFmt w:val="lowerRoman"/>
      <w:lvlText w:val="%6."/>
      <w:lvlJc w:val="right"/>
      <w:pPr>
        <w:ind w:left="4320" w:hanging="180"/>
      </w:pPr>
    </w:lvl>
    <w:lvl w:ilvl="6" w:tplc="24E82DB6" w:tentative="1">
      <w:start w:val="1"/>
      <w:numFmt w:val="decimal"/>
      <w:lvlText w:val="%7."/>
      <w:lvlJc w:val="left"/>
      <w:pPr>
        <w:ind w:left="5040" w:hanging="360"/>
      </w:pPr>
    </w:lvl>
    <w:lvl w:ilvl="7" w:tplc="F126F10C" w:tentative="1">
      <w:start w:val="1"/>
      <w:numFmt w:val="lowerLetter"/>
      <w:lvlText w:val="%8."/>
      <w:lvlJc w:val="left"/>
      <w:pPr>
        <w:ind w:left="5760" w:hanging="360"/>
      </w:pPr>
    </w:lvl>
    <w:lvl w:ilvl="8" w:tplc="F9DADECE" w:tentative="1">
      <w:start w:val="1"/>
      <w:numFmt w:val="lowerRoman"/>
      <w:lvlText w:val="%9."/>
      <w:lvlJc w:val="right"/>
      <w:pPr>
        <w:ind w:left="6480" w:hanging="180"/>
      </w:pPr>
    </w:lvl>
  </w:abstractNum>
  <w:abstractNum w:abstractNumId="15">
    <w:nsid w:val="3D2A3E94"/>
    <w:multiLevelType w:val="multilevel"/>
    <w:tmpl w:val="4344E3E6"/>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6">
    <w:nsid w:val="3FDD470D"/>
    <w:multiLevelType w:val="singleLevel"/>
    <w:tmpl w:val="B664CF16"/>
    <w:lvl w:ilvl="0">
      <w:start w:val="1"/>
      <w:numFmt w:val="decimal"/>
      <w:pStyle w:val="ListNumber"/>
      <w:lvlText w:val="%1)"/>
      <w:lvlJc w:val="left"/>
      <w:pPr>
        <w:ind w:left="360" w:hanging="360"/>
      </w:pPr>
      <w:rPr>
        <w:color w:val="auto"/>
      </w:rPr>
    </w:lvl>
  </w:abstractNum>
  <w:abstractNum w:abstractNumId="17">
    <w:nsid w:val="3FF00B1A"/>
    <w:multiLevelType w:val="multilevel"/>
    <w:tmpl w:val="1DA82612"/>
    <w:lvl w:ilvl="0">
      <w:start w:val="1"/>
      <w:numFmt w:val="decimal"/>
      <w:pStyle w:val="StyleBAHeader116ptLeft0cmFirstline0cm"/>
      <w:lvlText w:val="%1"/>
      <w:lvlJc w:val="left"/>
      <w:pPr>
        <w:tabs>
          <w:tab w:val="num" w:pos="432"/>
        </w:tabs>
        <w:ind w:left="432" w:hanging="432"/>
      </w:pPr>
      <w:rPr>
        <w:rFonts w:hint="default"/>
        <w:sz w:val="20"/>
      </w:rPr>
    </w:lvl>
    <w:lvl w:ilvl="1">
      <w:start w:val="1"/>
      <w:numFmt w:val="decimal"/>
      <w:lvlText w:val="%1.%2"/>
      <w:lvlJc w:val="left"/>
      <w:pPr>
        <w:tabs>
          <w:tab w:val="num" w:pos="576"/>
        </w:tabs>
        <w:ind w:left="576" w:hanging="576"/>
      </w:pPr>
      <w:rPr>
        <w:rFonts w:hint="default"/>
        <w:sz w:val="20"/>
      </w:rPr>
    </w:lvl>
    <w:lvl w:ilvl="2">
      <w:start w:val="1"/>
      <w:numFmt w:val="decimal"/>
      <w:lvlText w:val="%1.%2.%3"/>
      <w:lvlJc w:val="left"/>
      <w:pPr>
        <w:tabs>
          <w:tab w:val="num" w:pos="720"/>
        </w:tabs>
        <w:ind w:left="720" w:hanging="720"/>
      </w:pPr>
      <w:rPr>
        <w:rFonts w:hint="default"/>
        <w:sz w:val="20"/>
      </w:rPr>
    </w:lvl>
    <w:lvl w:ilvl="3">
      <w:start w:val="1"/>
      <w:numFmt w:val="decimal"/>
      <w:lvlText w:val="%1.%2.%3.%4"/>
      <w:lvlJc w:val="left"/>
      <w:pPr>
        <w:tabs>
          <w:tab w:val="num" w:pos="864"/>
        </w:tabs>
        <w:ind w:left="864" w:hanging="864"/>
      </w:pPr>
      <w:rPr>
        <w:rFonts w:hint="default"/>
        <w:sz w:val="20"/>
      </w:rPr>
    </w:lvl>
    <w:lvl w:ilvl="4">
      <w:start w:val="1"/>
      <w:numFmt w:val="decimal"/>
      <w:lvlText w:val="%1.%2.%3.%4.%5"/>
      <w:lvlJc w:val="left"/>
      <w:pPr>
        <w:tabs>
          <w:tab w:val="num" w:pos="1008"/>
        </w:tabs>
        <w:ind w:left="1008" w:hanging="1008"/>
      </w:pPr>
      <w:rPr>
        <w:rFonts w:hint="default"/>
        <w:sz w:val="20"/>
      </w:rPr>
    </w:lvl>
    <w:lvl w:ilvl="5">
      <w:start w:val="1"/>
      <w:numFmt w:val="decimal"/>
      <w:lvlText w:val="%1.%2.%3.%4.%5.%6"/>
      <w:lvlJc w:val="left"/>
      <w:pPr>
        <w:tabs>
          <w:tab w:val="num" w:pos="1152"/>
        </w:tabs>
        <w:ind w:left="1152" w:hanging="1152"/>
      </w:pPr>
      <w:rPr>
        <w:rFonts w:hint="default"/>
        <w:sz w:val="20"/>
      </w:rPr>
    </w:lvl>
    <w:lvl w:ilvl="6">
      <w:start w:val="1"/>
      <w:numFmt w:val="decimal"/>
      <w:lvlText w:val="%1.%2.%3.%4.%5.%6.%7"/>
      <w:lvlJc w:val="left"/>
      <w:pPr>
        <w:tabs>
          <w:tab w:val="num" w:pos="1296"/>
        </w:tabs>
        <w:ind w:left="1296" w:hanging="1296"/>
      </w:pPr>
      <w:rPr>
        <w:rFonts w:hint="default"/>
        <w:sz w:val="20"/>
      </w:rPr>
    </w:lvl>
    <w:lvl w:ilvl="7">
      <w:start w:val="1"/>
      <w:numFmt w:val="decimal"/>
      <w:lvlText w:val="%1.%2.%3.%4.%5.%6.%7.%8"/>
      <w:lvlJc w:val="left"/>
      <w:pPr>
        <w:tabs>
          <w:tab w:val="num" w:pos="1440"/>
        </w:tabs>
        <w:ind w:left="1440" w:hanging="1440"/>
      </w:pPr>
      <w:rPr>
        <w:rFonts w:hint="default"/>
        <w:sz w:val="20"/>
      </w:rPr>
    </w:lvl>
    <w:lvl w:ilvl="8">
      <w:start w:val="1"/>
      <w:numFmt w:val="decimal"/>
      <w:lvlText w:val="%1.%2.%3.%4.%5.%6.%7.%8.%9"/>
      <w:lvlJc w:val="left"/>
      <w:pPr>
        <w:tabs>
          <w:tab w:val="num" w:pos="1584"/>
        </w:tabs>
        <w:ind w:left="1584" w:hanging="1584"/>
      </w:pPr>
      <w:rPr>
        <w:rFonts w:hint="default"/>
        <w:sz w:val="20"/>
      </w:rPr>
    </w:lvl>
  </w:abstractNum>
  <w:abstractNum w:abstractNumId="18">
    <w:nsid w:val="427A7CD6"/>
    <w:multiLevelType w:val="hybridMultilevel"/>
    <w:tmpl w:val="E9C27EBC"/>
    <w:lvl w:ilvl="0" w:tplc="97900EEA">
      <w:start w:val="1"/>
      <w:numFmt w:val="bullet"/>
      <w:pStyle w:val="style1dotpoints0"/>
      <w:lvlText w:val=""/>
      <w:lvlJc w:val="left"/>
      <w:pPr>
        <w:tabs>
          <w:tab w:val="num" w:pos="357"/>
        </w:tabs>
        <w:ind w:left="357" w:hanging="357"/>
      </w:pPr>
      <w:rPr>
        <w:rFonts w:ascii="Symbol" w:hAnsi="Symbol" w:hint="default"/>
      </w:rPr>
    </w:lvl>
    <w:lvl w:ilvl="1" w:tplc="95E87AD8" w:tentative="1">
      <w:start w:val="1"/>
      <w:numFmt w:val="bullet"/>
      <w:lvlText w:val="o"/>
      <w:lvlJc w:val="left"/>
      <w:pPr>
        <w:tabs>
          <w:tab w:val="num" w:pos="1440"/>
        </w:tabs>
        <w:ind w:left="1440" w:hanging="360"/>
      </w:pPr>
      <w:rPr>
        <w:rFonts w:ascii="Courier New" w:hAnsi="Courier New" w:cs="Courier New" w:hint="default"/>
      </w:rPr>
    </w:lvl>
    <w:lvl w:ilvl="2" w:tplc="281E72D0" w:tentative="1">
      <w:start w:val="1"/>
      <w:numFmt w:val="bullet"/>
      <w:lvlText w:val=""/>
      <w:lvlJc w:val="left"/>
      <w:pPr>
        <w:tabs>
          <w:tab w:val="num" w:pos="2160"/>
        </w:tabs>
        <w:ind w:left="2160" w:hanging="360"/>
      </w:pPr>
      <w:rPr>
        <w:rFonts w:ascii="Wingdings" w:hAnsi="Wingdings" w:hint="default"/>
      </w:rPr>
    </w:lvl>
    <w:lvl w:ilvl="3" w:tplc="391A09B8" w:tentative="1">
      <w:start w:val="1"/>
      <w:numFmt w:val="bullet"/>
      <w:lvlText w:val=""/>
      <w:lvlJc w:val="left"/>
      <w:pPr>
        <w:tabs>
          <w:tab w:val="num" w:pos="2880"/>
        </w:tabs>
        <w:ind w:left="2880" w:hanging="360"/>
      </w:pPr>
      <w:rPr>
        <w:rFonts w:ascii="Symbol" w:hAnsi="Symbol" w:hint="default"/>
      </w:rPr>
    </w:lvl>
    <w:lvl w:ilvl="4" w:tplc="312E337E" w:tentative="1">
      <w:start w:val="1"/>
      <w:numFmt w:val="bullet"/>
      <w:lvlText w:val="o"/>
      <w:lvlJc w:val="left"/>
      <w:pPr>
        <w:tabs>
          <w:tab w:val="num" w:pos="3600"/>
        </w:tabs>
        <w:ind w:left="3600" w:hanging="360"/>
      </w:pPr>
      <w:rPr>
        <w:rFonts w:ascii="Courier New" w:hAnsi="Courier New" w:cs="Courier New" w:hint="default"/>
      </w:rPr>
    </w:lvl>
    <w:lvl w:ilvl="5" w:tplc="B59EFB88" w:tentative="1">
      <w:start w:val="1"/>
      <w:numFmt w:val="bullet"/>
      <w:lvlText w:val=""/>
      <w:lvlJc w:val="left"/>
      <w:pPr>
        <w:tabs>
          <w:tab w:val="num" w:pos="4320"/>
        </w:tabs>
        <w:ind w:left="4320" w:hanging="360"/>
      </w:pPr>
      <w:rPr>
        <w:rFonts w:ascii="Wingdings" w:hAnsi="Wingdings" w:hint="default"/>
      </w:rPr>
    </w:lvl>
    <w:lvl w:ilvl="6" w:tplc="45AC408E" w:tentative="1">
      <w:start w:val="1"/>
      <w:numFmt w:val="bullet"/>
      <w:lvlText w:val=""/>
      <w:lvlJc w:val="left"/>
      <w:pPr>
        <w:tabs>
          <w:tab w:val="num" w:pos="5040"/>
        </w:tabs>
        <w:ind w:left="5040" w:hanging="360"/>
      </w:pPr>
      <w:rPr>
        <w:rFonts w:ascii="Symbol" w:hAnsi="Symbol" w:hint="default"/>
      </w:rPr>
    </w:lvl>
    <w:lvl w:ilvl="7" w:tplc="E91C6C98" w:tentative="1">
      <w:start w:val="1"/>
      <w:numFmt w:val="bullet"/>
      <w:lvlText w:val="o"/>
      <w:lvlJc w:val="left"/>
      <w:pPr>
        <w:tabs>
          <w:tab w:val="num" w:pos="5760"/>
        </w:tabs>
        <w:ind w:left="5760" w:hanging="360"/>
      </w:pPr>
      <w:rPr>
        <w:rFonts w:ascii="Courier New" w:hAnsi="Courier New" w:cs="Courier New" w:hint="default"/>
      </w:rPr>
    </w:lvl>
    <w:lvl w:ilvl="8" w:tplc="86EC7B42" w:tentative="1">
      <w:start w:val="1"/>
      <w:numFmt w:val="bullet"/>
      <w:lvlText w:val=""/>
      <w:lvlJc w:val="left"/>
      <w:pPr>
        <w:tabs>
          <w:tab w:val="num" w:pos="6480"/>
        </w:tabs>
        <w:ind w:left="6480" w:hanging="360"/>
      </w:pPr>
      <w:rPr>
        <w:rFonts w:ascii="Wingdings" w:hAnsi="Wingdings" w:hint="default"/>
      </w:rPr>
    </w:lvl>
  </w:abstractNum>
  <w:abstractNum w:abstractNumId="19">
    <w:nsid w:val="44C02E10"/>
    <w:multiLevelType w:val="singleLevel"/>
    <w:tmpl w:val="1BFACB44"/>
    <w:lvl w:ilvl="0">
      <w:start w:val="1"/>
      <w:numFmt w:val="bullet"/>
      <w:pStyle w:val="Dash"/>
      <w:lvlText w:val="–"/>
      <w:lvlJc w:val="left"/>
      <w:pPr>
        <w:tabs>
          <w:tab w:val="num" w:pos="1440"/>
        </w:tabs>
        <w:ind w:left="1440" w:hanging="360"/>
      </w:pPr>
      <w:rPr>
        <w:rFonts w:ascii="Times New Roman" w:hAnsi="Times New Roman" w:hint="default"/>
      </w:rPr>
    </w:lvl>
  </w:abstractNum>
  <w:abstractNum w:abstractNumId="20">
    <w:nsid w:val="468D5CD5"/>
    <w:multiLevelType w:val="singleLevel"/>
    <w:tmpl w:val="CA444706"/>
    <w:lvl w:ilvl="0">
      <w:start w:val="1"/>
      <w:numFmt w:val="bullet"/>
      <w:pStyle w:val="BodyIndent"/>
      <w:lvlText w:val=""/>
      <w:lvlJc w:val="left"/>
      <w:pPr>
        <w:tabs>
          <w:tab w:val="num" w:pos="360"/>
        </w:tabs>
        <w:ind w:left="360" w:hanging="360"/>
      </w:pPr>
      <w:rPr>
        <w:rFonts w:ascii="Symbol" w:hAnsi="Symbol" w:hint="default"/>
      </w:rPr>
    </w:lvl>
  </w:abstractNum>
  <w:abstractNum w:abstractNumId="21">
    <w:nsid w:val="48DE2E4A"/>
    <w:multiLevelType w:val="hybridMultilevel"/>
    <w:tmpl w:val="B7086130"/>
    <w:lvl w:ilvl="0" w:tplc="BC2447A6">
      <w:start w:val="1"/>
      <w:numFmt w:val="bullet"/>
      <w:pStyle w:val="BoxTextBullet"/>
      <w:lvlText w:val=""/>
      <w:lvlJc w:val="left"/>
      <w:pPr>
        <w:ind w:left="720" w:hanging="360"/>
      </w:pPr>
      <w:rPr>
        <w:rFonts w:ascii="Symbol" w:hAnsi="Symbol" w:hint="default"/>
      </w:rPr>
    </w:lvl>
    <w:lvl w:ilvl="1" w:tplc="34645BEC" w:tentative="1">
      <w:start w:val="1"/>
      <w:numFmt w:val="bullet"/>
      <w:lvlText w:val="o"/>
      <w:lvlJc w:val="left"/>
      <w:pPr>
        <w:ind w:left="1440" w:hanging="360"/>
      </w:pPr>
      <w:rPr>
        <w:rFonts w:ascii="Courier New" w:hAnsi="Courier New" w:cs="Courier New" w:hint="default"/>
      </w:rPr>
    </w:lvl>
    <w:lvl w:ilvl="2" w:tplc="E80CD6A8" w:tentative="1">
      <w:start w:val="1"/>
      <w:numFmt w:val="bullet"/>
      <w:lvlText w:val=""/>
      <w:lvlJc w:val="left"/>
      <w:pPr>
        <w:ind w:left="2160" w:hanging="360"/>
      </w:pPr>
      <w:rPr>
        <w:rFonts w:ascii="Wingdings" w:hAnsi="Wingdings" w:hint="default"/>
      </w:rPr>
    </w:lvl>
    <w:lvl w:ilvl="3" w:tplc="6D32A6B8" w:tentative="1">
      <w:start w:val="1"/>
      <w:numFmt w:val="bullet"/>
      <w:lvlText w:val=""/>
      <w:lvlJc w:val="left"/>
      <w:pPr>
        <w:ind w:left="2880" w:hanging="360"/>
      </w:pPr>
      <w:rPr>
        <w:rFonts w:ascii="Symbol" w:hAnsi="Symbol" w:hint="default"/>
      </w:rPr>
    </w:lvl>
    <w:lvl w:ilvl="4" w:tplc="684A7F5A" w:tentative="1">
      <w:start w:val="1"/>
      <w:numFmt w:val="bullet"/>
      <w:lvlText w:val="o"/>
      <w:lvlJc w:val="left"/>
      <w:pPr>
        <w:ind w:left="3600" w:hanging="360"/>
      </w:pPr>
      <w:rPr>
        <w:rFonts w:ascii="Courier New" w:hAnsi="Courier New" w:cs="Courier New" w:hint="default"/>
      </w:rPr>
    </w:lvl>
    <w:lvl w:ilvl="5" w:tplc="24F4F9E0" w:tentative="1">
      <w:start w:val="1"/>
      <w:numFmt w:val="bullet"/>
      <w:lvlText w:val=""/>
      <w:lvlJc w:val="left"/>
      <w:pPr>
        <w:ind w:left="4320" w:hanging="360"/>
      </w:pPr>
      <w:rPr>
        <w:rFonts w:ascii="Wingdings" w:hAnsi="Wingdings" w:hint="default"/>
      </w:rPr>
    </w:lvl>
    <w:lvl w:ilvl="6" w:tplc="C2F253A4" w:tentative="1">
      <w:start w:val="1"/>
      <w:numFmt w:val="bullet"/>
      <w:lvlText w:val=""/>
      <w:lvlJc w:val="left"/>
      <w:pPr>
        <w:ind w:left="5040" w:hanging="360"/>
      </w:pPr>
      <w:rPr>
        <w:rFonts w:ascii="Symbol" w:hAnsi="Symbol" w:hint="default"/>
      </w:rPr>
    </w:lvl>
    <w:lvl w:ilvl="7" w:tplc="3DCC4CEA" w:tentative="1">
      <w:start w:val="1"/>
      <w:numFmt w:val="bullet"/>
      <w:lvlText w:val="o"/>
      <w:lvlJc w:val="left"/>
      <w:pPr>
        <w:ind w:left="5760" w:hanging="360"/>
      </w:pPr>
      <w:rPr>
        <w:rFonts w:ascii="Courier New" w:hAnsi="Courier New" w:cs="Courier New" w:hint="default"/>
      </w:rPr>
    </w:lvl>
    <w:lvl w:ilvl="8" w:tplc="FFE228EE" w:tentative="1">
      <w:start w:val="1"/>
      <w:numFmt w:val="bullet"/>
      <w:lvlText w:val=""/>
      <w:lvlJc w:val="left"/>
      <w:pPr>
        <w:ind w:left="6480" w:hanging="360"/>
      </w:pPr>
      <w:rPr>
        <w:rFonts w:ascii="Wingdings" w:hAnsi="Wingdings" w:hint="default"/>
      </w:rPr>
    </w:lvl>
  </w:abstractNum>
  <w:abstractNum w:abstractNumId="22">
    <w:nsid w:val="50CA1481"/>
    <w:multiLevelType w:val="multilevel"/>
    <w:tmpl w:val="D7B850B4"/>
    <w:lvl w:ilvl="0">
      <w:start w:val="1"/>
      <w:numFmt w:val="decimal"/>
      <w:pStyle w:val="A1Heading1"/>
      <w:lvlText w:val="%1"/>
      <w:lvlJc w:val="left"/>
      <w:pPr>
        <w:tabs>
          <w:tab w:val="num" w:pos="432"/>
        </w:tabs>
        <w:ind w:left="432" w:hanging="432"/>
      </w:pPr>
      <w:rPr>
        <w:rFonts w:hint="default"/>
      </w:rPr>
    </w:lvl>
    <w:lvl w:ilvl="1">
      <w:start w:val="1"/>
      <w:numFmt w:val="decimal"/>
      <w:pStyle w:val="A1Heading2"/>
      <w:lvlText w:val="%1.%2"/>
      <w:lvlJc w:val="left"/>
      <w:pPr>
        <w:tabs>
          <w:tab w:val="num" w:pos="576"/>
        </w:tabs>
        <w:ind w:left="576" w:hanging="576"/>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none"/>
      <w:lvlText w:val=""/>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5BC964B7"/>
    <w:multiLevelType w:val="multilevel"/>
    <w:tmpl w:val="DFB0EE8A"/>
    <w:lvl w:ilvl="0">
      <w:start w:val="1"/>
      <w:numFmt w:val="upperLetter"/>
      <w:pStyle w:val="Append4"/>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5DE9790E"/>
    <w:multiLevelType w:val="hybridMultilevel"/>
    <w:tmpl w:val="A63A8898"/>
    <w:lvl w:ilvl="0" w:tplc="55B46B78">
      <w:start w:val="1"/>
      <w:numFmt w:val="bullet"/>
      <w:pStyle w:val="dot0"/>
      <w:lvlText w:val=""/>
      <w:lvlJc w:val="left"/>
      <w:pPr>
        <w:tabs>
          <w:tab w:val="num" w:pos="567"/>
        </w:tabs>
        <w:ind w:left="567" w:hanging="567"/>
      </w:pPr>
      <w:rPr>
        <w:rFonts w:ascii="Symbol" w:hAnsi="Symbol" w:hint="default"/>
        <w:sz w:val="16"/>
      </w:rPr>
    </w:lvl>
    <w:lvl w:ilvl="1" w:tplc="6C64D4D0">
      <w:start w:val="1"/>
      <w:numFmt w:val="bullet"/>
      <w:lvlText w:val=""/>
      <w:lvlJc w:val="left"/>
      <w:pPr>
        <w:tabs>
          <w:tab w:val="num" w:pos="900"/>
        </w:tabs>
        <w:ind w:left="900" w:hanging="360"/>
      </w:pPr>
      <w:rPr>
        <w:rFonts w:ascii="Symbol" w:hAnsi="Symbol" w:hint="default"/>
        <w:sz w:val="16"/>
      </w:rPr>
    </w:lvl>
    <w:lvl w:ilvl="2" w:tplc="ACD2A4A2">
      <w:start w:val="1"/>
      <w:numFmt w:val="bullet"/>
      <w:lvlText w:val=""/>
      <w:lvlJc w:val="left"/>
      <w:pPr>
        <w:tabs>
          <w:tab w:val="num" w:pos="2160"/>
        </w:tabs>
        <w:ind w:left="2160" w:hanging="360"/>
      </w:pPr>
      <w:rPr>
        <w:rFonts w:ascii="Wingdings" w:hAnsi="Wingdings" w:hint="default"/>
      </w:rPr>
    </w:lvl>
    <w:lvl w:ilvl="3" w:tplc="53E4D170" w:tentative="1">
      <w:start w:val="1"/>
      <w:numFmt w:val="bullet"/>
      <w:lvlText w:val=""/>
      <w:lvlJc w:val="left"/>
      <w:pPr>
        <w:tabs>
          <w:tab w:val="num" w:pos="2880"/>
        </w:tabs>
        <w:ind w:left="2880" w:hanging="360"/>
      </w:pPr>
      <w:rPr>
        <w:rFonts w:ascii="Symbol" w:hAnsi="Symbol" w:hint="default"/>
      </w:rPr>
    </w:lvl>
    <w:lvl w:ilvl="4" w:tplc="7286FD0A" w:tentative="1">
      <w:start w:val="1"/>
      <w:numFmt w:val="bullet"/>
      <w:lvlText w:val="o"/>
      <w:lvlJc w:val="left"/>
      <w:pPr>
        <w:tabs>
          <w:tab w:val="num" w:pos="3600"/>
        </w:tabs>
        <w:ind w:left="3600" w:hanging="360"/>
      </w:pPr>
      <w:rPr>
        <w:rFonts w:ascii="Courier New" w:hAnsi="Courier New" w:cs="Courier New" w:hint="default"/>
      </w:rPr>
    </w:lvl>
    <w:lvl w:ilvl="5" w:tplc="06148E20" w:tentative="1">
      <w:start w:val="1"/>
      <w:numFmt w:val="bullet"/>
      <w:lvlText w:val=""/>
      <w:lvlJc w:val="left"/>
      <w:pPr>
        <w:tabs>
          <w:tab w:val="num" w:pos="4320"/>
        </w:tabs>
        <w:ind w:left="4320" w:hanging="360"/>
      </w:pPr>
      <w:rPr>
        <w:rFonts w:ascii="Wingdings" w:hAnsi="Wingdings" w:hint="default"/>
      </w:rPr>
    </w:lvl>
    <w:lvl w:ilvl="6" w:tplc="D5E67598" w:tentative="1">
      <w:start w:val="1"/>
      <w:numFmt w:val="bullet"/>
      <w:lvlText w:val=""/>
      <w:lvlJc w:val="left"/>
      <w:pPr>
        <w:tabs>
          <w:tab w:val="num" w:pos="5040"/>
        </w:tabs>
        <w:ind w:left="5040" w:hanging="360"/>
      </w:pPr>
      <w:rPr>
        <w:rFonts w:ascii="Symbol" w:hAnsi="Symbol" w:hint="default"/>
      </w:rPr>
    </w:lvl>
    <w:lvl w:ilvl="7" w:tplc="CE3421E8" w:tentative="1">
      <w:start w:val="1"/>
      <w:numFmt w:val="bullet"/>
      <w:lvlText w:val="o"/>
      <w:lvlJc w:val="left"/>
      <w:pPr>
        <w:tabs>
          <w:tab w:val="num" w:pos="5760"/>
        </w:tabs>
        <w:ind w:left="5760" w:hanging="360"/>
      </w:pPr>
      <w:rPr>
        <w:rFonts w:ascii="Courier New" w:hAnsi="Courier New" w:cs="Courier New" w:hint="default"/>
      </w:rPr>
    </w:lvl>
    <w:lvl w:ilvl="8" w:tplc="275EA474" w:tentative="1">
      <w:start w:val="1"/>
      <w:numFmt w:val="bullet"/>
      <w:lvlText w:val=""/>
      <w:lvlJc w:val="left"/>
      <w:pPr>
        <w:tabs>
          <w:tab w:val="num" w:pos="6480"/>
        </w:tabs>
        <w:ind w:left="6480" w:hanging="360"/>
      </w:pPr>
      <w:rPr>
        <w:rFonts w:ascii="Wingdings" w:hAnsi="Wingdings" w:hint="default"/>
      </w:rPr>
    </w:lvl>
  </w:abstractNum>
  <w:abstractNum w:abstractNumId="25">
    <w:nsid w:val="64D6314D"/>
    <w:multiLevelType w:val="singleLevel"/>
    <w:tmpl w:val="A0E87EC0"/>
    <w:lvl w:ilvl="0">
      <w:start w:val="1"/>
      <w:numFmt w:val="bullet"/>
      <w:pStyle w:val="Bulletsingle"/>
      <w:lvlText w:val=""/>
      <w:lvlJc w:val="left"/>
      <w:pPr>
        <w:tabs>
          <w:tab w:val="num" w:pos="1080"/>
        </w:tabs>
        <w:ind w:left="1080" w:hanging="360"/>
      </w:pPr>
      <w:rPr>
        <w:rFonts w:ascii="Symbol" w:hAnsi="Symbol" w:hint="default"/>
        <w:sz w:val="20"/>
      </w:rPr>
    </w:lvl>
  </w:abstractNum>
  <w:abstractNum w:abstractNumId="26">
    <w:nsid w:val="6FC93C87"/>
    <w:multiLevelType w:val="multilevel"/>
    <w:tmpl w:val="8A12395E"/>
    <w:lvl w:ilvl="0">
      <w:start w:val="1"/>
      <w:numFmt w:val="decimal"/>
      <w:pStyle w:val="BAHeader1"/>
      <w:lvlText w:val="%1"/>
      <w:lvlJc w:val="left"/>
      <w:pPr>
        <w:tabs>
          <w:tab w:val="num" w:pos="432"/>
        </w:tabs>
        <w:ind w:left="432" w:hanging="432"/>
      </w:pPr>
      <w:rPr>
        <w:rFonts w:cs="Times New Roman" w:hint="default"/>
      </w:rPr>
    </w:lvl>
    <w:lvl w:ilvl="1">
      <w:start w:val="1"/>
      <w:numFmt w:val="decimal"/>
      <w:pStyle w:val="BAHeader2"/>
      <w:lvlText w:val="%1.%2"/>
      <w:lvlJc w:val="left"/>
      <w:pPr>
        <w:tabs>
          <w:tab w:val="num" w:pos="576"/>
        </w:tabs>
        <w:ind w:left="576" w:hanging="576"/>
      </w:pPr>
      <w:rPr>
        <w:rFonts w:cs="Times New Roman" w:hint="default"/>
      </w:rPr>
    </w:lvl>
    <w:lvl w:ilvl="2">
      <w:start w:val="1"/>
      <w:numFmt w:val="decimal"/>
      <w:pStyle w:val="BAHeader3"/>
      <w:lvlText w:val="%1.%2.%3"/>
      <w:lvlJc w:val="left"/>
      <w:pPr>
        <w:tabs>
          <w:tab w:val="num" w:pos="1145"/>
        </w:tabs>
        <w:ind w:left="1145" w:hanging="720"/>
      </w:pPr>
      <w:rPr>
        <w:rFonts w:cs="Times New Roman" w:hint="default"/>
      </w:rPr>
    </w:lvl>
    <w:lvl w:ilvl="3">
      <w:start w:val="1"/>
      <w:numFmt w:val="none"/>
      <w:lvlText w:val=""/>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7">
    <w:nsid w:val="70D330FE"/>
    <w:multiLevelType w:val="singleLevel"/>
    <w:tmpl w:val="05420F66"/>
    <w:lvl w:ilvl="0">
      <w:start w:val="1"/>
      <w:numFmt w:val="lowerLetter"/>
      <w:pStyle w:val="ListNumber2"/>
      <w:lvlText w:val="%1)"/>
      <w:lvlJc w:val="left"/>
      <w:pPr>
        <w:ind w:left="709" w:hanging="426"/>
      </w:pPr>
      <w:rPr>
        <w:rFonts w:hint="default"/>
      </w:rPr>
    </w:lvl>
  </w:abstractNum>
  <w:abstractNum w:abstractNumId="28">
    <w:nsid w:val="73D80683"/>
    <w:multiLevelType w:val="hybridMultilevel"/>
    <w:tmpl w:val="D50CB452"/>
    <w:lvl w:ilvl="0" w:tplc="B220F730">
      <w:start w:val="1"/>
      <w:numFmt w:val="bullet"/>
      <w:lvlText w:val=""/>
      <w:lvlJc w:val="left"/>
      <w:pPr>
        <w:tabs>
          <w:tab w:val="num" w:pos="360"/>
        </w:tabs>
        <w:ind w:left="360" w:hanging="360"/>
      </w:pPr>
      <w:rPr>
        <w:rFonts w:ascii="Symbol" w:hAnsi="Symbol" w:hint="default"/>
        <w:sz w:val="16"/>
      </w:rPr>
    </w:lvl>
    <w:lvl w:ilvl="1" w:tplc="A3C43AEE">
      <w:start w:val="1"/>
      <w:numFmt w:val="bullet"/>
      <w:lvlText w:val=""/>
      <w:lvlJc w:val="left"/>
      <w:pPr>
        <w:tabs>
          <w:tab w:val="num" w:pos="644"/>
        </w:tabs>
        <w:ind w:left="644" w:hanging="360"/>
      </w:pPr>
      <w:rPr>
        <w:rFonts w:ascii="Symbol" w:hAnsi="Symbol" w:hint="default"/>
        <w:sz w:val="16"/>
      </w:rPr>
    </w:lvl>
    <w:lvl w:ilvl="2" w:tplc="2730E5CA">
      <w:start w:val="1"/>
      <w:numFmt w:val="bullet"/>
      <w:lvlText w:val=""/>
      <w:lvlJc w:val="left"/>
      <w:pPr>
        <w:tabs>
          <w:tab w:val="num" w:pos="2160"/>
        </w:tabs>
        <w:ind w:left="2160" w:hanging="360"/>
      </w:pPr>
      <w:rPr>
        <w:rFonts w:ascii="Wingdings" w:hAnsi="Wingdings" w:hint="default"/>
      </w:rPr>
    </w:lvl>
    <w:lvl w:ilvl="3" w:tplc="37621CB4" w:tentative="1">
      <w:start w:val="1"/>
      <w:numFmt w:val="bullet"/>
      <w:lvlText w:val=""/>
      <w:lvlJc w:val="left"/>
      <w:pPr>
        <w:tabs>
          <w:tab w:val="num" w:pos="2880"/>
        </w:tabs>
        <w:ind w:left="2880" w:hanging="360"/>
      </w:pPr>
      <w:rPr>
        <w:rFonts w:ascii="Symbol" w:hAnsi="Symbol" w:hint="default"/>
      </w:rPr>
    </w:lvl>
    <w:lvl w:ilvl="4" w:tplc="A1E8E19C" w:tentative="1">
      <w:start w:val="1"/>
      <w:numFmt w:val="bullet"/>
      <w:lvlText w:val="o"/>
      <w:lvlJc w:val="left"/>
      <w:pPr>
        <w:tabs>
          <w:tab w:val="num" w:pos="3600"/>
        </w:tabs>
        <w:ind w:left="3600" w:hanging="360"/>
      </w:pPr>
      <w:rPr>
        <w:rFonts w:ascii="Courier New" w:hAnsi="Courier New" w:cs="Courier New" w:hint="default"/>
      </w:rPr>
    </w:lvl>
    <w:lvl w:ilvl="5" w:tplc="C330B178" w:tentative="1">
      <w:start w:val="1"/>
      <w:numFmt w:val="bullet"/>
      <w:lvlText w:val=""/>
      <w:lvlJc w:val="left"/>
      <w:pPr>
        <w:tabs>
          <w:tab w:val="num" w:pos="4320"/>
        </w:tabs>
        <w:ind w:left="4320" w:hanging="360"/>
      </w:pPr>
      <w:rPr>
        <w:rFonts w:ascii="Wingdings" w:hAnsi="Wingdings" w:hint="default"/>
      </w:rPr>
    </w:lvl>
    <w:lvl w:ilvl="6" w:tplc="CA1E7AA8" w:tentative="1">
      <w:start w:val="1"/>
      <w:numFmt w:val="bullet"/>
      <w:lvlText w:val=""/>
      <w:lvlJc w:val="left"/>
      <w:pPr>
        <w:tabs>
          <w:tab w:val="num" w:pos="5040"/>
        </w:tabs>
        <w:ind w:left="5040" w:hanging="360"/>
      </w:pPr>
      <w:rPr>
        <w:rFonts w:ascii="Symbol" w:hAnsi="Symbol" w:hint="default"/>
      </w:rPr>
    </w:lvl>
    <w:lvl w:ilvl="7" w:tplc="EDAEEBF8" w:tentative="1">
      <w:start w:val="1"/>
      <w:numFmt w:val="bullet"/>
      <w:lvlText w:val="o"/>
      <w:lvlJc w:val="left"/>
      <w:pPr>
        <w:tabs>
          <w:tab w:val="num" w:pos="5760"/>
        </w:tabs>
        <w:ind w:left="5760" w:hanging="360"/>
      </w:pPr>
      <w:rPr>
        <w:rFonts w:ascii="Courier New" w:hAnsi="Courier New" w:cs="Courier New" w:hint="default"/>
      </w:rPr>
    </w:lvl>
    <w:lvl w:ilvl="8" w:tplc="3CC83456" w:tentative="1">
      <w:start w:val="1"/>
      <w:numFmt w:val="bullet"/>
      <w:lvlText w:val=""/>
      <w:lvlJc w:val="left"/>
      <w:pPr>
        <w:tabs>
          <w:tab w:val="num" w:pos="6480"/>
        </w:tabs>
        <w:ind w:left="6480" w:hanging="360"/>
      </w:pPr>
      <w:rPr>
        <w:rFonts w:ascii="Wingdings" w:hAnsi="Wingdings" w:hint="default"/>
      </w:rPr>
    </w:lvl>
  </w:abstractNum>
  <w:abstractNum w:abstractNumId="29">
    <w:nsid w:val="74006CBB"/>
    <w:multiLevelType w:val="singleLevel"/>
    <w:tmpl w:val="63A2D460"/>
    <w:lvl w:ilvl="0">
      <w:start w:val="1"/>
      <w:numFmt w:val="decimal"/>
      <w:pStyle w:val="Table"/>
      <w:lvlText w:val="%1."/>
      <w:lvlJc w:val="left"/>
      <w:pPr>
        <w:tabs>
          <w:tab w:val="num" w:pos="360"/>
        </w:tabs>
        <w:ind w:left="360" w:hanging="360"/>
      </w:pPr>
      <w:rPr>
        <w:rFonts w:ascii="Arial" w:hAnsi="Arial" w:hint="default"/>
        <w:b/>
        <w:i w:val="0"/>
        <w:sz w:val="22"/>
      </w:rPr>
    </w:lvl>
  </w:abstractNum>
  <w:abstractNum w:abstractNumId="30">
    <w:nsid w:val="755049DD"/>
    <w:multiLevelType w:val="hybridMultilevel"/>
    <w:tmpl w:val="C4C8BB3C"/>
    <w:lvl w:ilvl="0" w:tplc="C7AEE894">
      <w:start w:val="1"/>
      <w:numFmt w:val="decimal"/>
      <w:pStyle w:val="Heading3Numbered"/>
      <w:lvlText w:val="1.%1.1"/>
      <w:lvlJc w:val="left"/>
      <w:pPr>
        <w:ind w:left="360" w:hanging="360"/>
      </w:pPr>
      <w:rPr>
        <w:rFonts w:hint="default"/>
      </w:rPr>
    </w:lvl>
    <w:lvl w:ilvl="1" w:tplc="3036D4BE" w:tentative="1">
      <w:start w:val="1"/>
      <w:numFmt w:val="lowerLetter"/>
      <w:lvlText w:val="%2."/>
      <w:lvlJc w:val="left"/>
      <w:pPr>
        <w:ind w:left="1440" w:hanging="360"/>
      </w:pPr>
    </w:lvl>
    <w:lvl w:ilvl="2" w:tplc="2E9432FE" w:tentative="1">
      <w:start w:val="1"/>
      <w:numFmt w:val="lowerRoman"/>
      <w:pStyle w:val="Heading3Numbered"/>
      <w:lvlText w:val="%3."/>
      <w:lvlJc w:val="right"/>
      <w:pPr>
        <w:ind w:left="2160" w:hanging="180"/>
      </w:pPr>
    </w:lvl>
    <w:lvl w:ilvl="3" w:tplc="9652343A" w:tentative="1">
      <w:start w:val="1"/>
      <w:numFmt w:val="decimal"/>
      <w:lvlText w:val="%4."/>
      <w:lvlJc w:val="left"/>
      <w:pPr>
        <w:ind w:left="2880" w:hanging="360"/>
      </w:pPr>
    </w:lvl>
    <w:lvl w:ilvl="4" w:tplc="F9ACF950" w:tentative="1">
      <w:start w:val="1"/>
      <w:numFmt w:val="lowerLetter"/>
      <w:lvlText w:val="%5."/>
      <w:lvlJc w:val="left"/>
      <w:pPr>
        <w:ind w:left="3600" w:hanging="360"/>
      </w:pPr>
    </w:lvl>
    <w:lvl w:ilvl="5" w:tplc="1FE02D44" w:tentative="1">
      <w:start w:val="1"/>
      <w:numFmt w:val="lowerRoman"/>
      <w:lvlText w:val="%6."/>
      <w:lvlJc w:val="right"/>
      <w:pPr>
        <w:ind w:left="4320" w:hanging="180"/>
      </w:pPr>
    </w:lvl>
    <w:lvl w:ilvl="6" w:tplc="185AB890" w:tentative="1">
      <w:start w:val="1"/>
      <w:numFmt w:val="decimal"/>
      <w:lvlText w:val="%7."/>
      <w:lvlJc w:val="left"/>
      <w:pPr>
        <w:ind w:left="5040" w:hanging="360"/>
      </w:pPr>
    </w:lvl>
    <w:lvl w:ilvl="7" w:tplc="06B8343E" w:tentative="1">
      <w:start w:val="1"/>
      <w:numFmt w:val="lowerLetter"/>
      <w:lvlText w:val="%8."/>
      <w:lvlJc w:val="left"/>
      <w:pPr>
        <w:ind w:left="5760" w:hanging="360"/>
      </w:pPr>
    </w:lvl>
    <w:lvl w:ilvl="8" w:tplc="A262FE2A" w:tentative="1">
      <w:start w:val="1"/>
      <w:numFmt w:val="lowerRoman"/>
      <w:lvlText w:val="%9."/>
      <w:lvlJc w:val="right"/>
      <w:pPr>
        <w:ind w:left="6480" w:hanging="180"/>
      </w:pPr>
    </w:lvl>
  </w:abstractNum>
  <w:abstractNum w:abstractNumId="31">
    <w:nsid w:val="7B802132"/>
    <w:multiLevelType w:val="hybridMultilevel"/>
    <w:tmpl w:val="0D1656FE"/>
    <w:lvl w:ilvl="0" w:tplc="35EE77D2">
      <w:start w:val="1"/>
      <w:numFmt w:val="decimal"/>
      <w:pStyle w:val="DSUSubparaChar"/>
      <w:lvlText w:val="%1."/>
      <w:lvlJc w:val="left"/>
      <w:pPr>
        <w:tabs>
          <w:tab w:val="num" w:pos="936"/>
        </w:tabs>
        <w:ind w:left="0" w:firstLine="0"/>
      </w:pPr>
      <w:rPr>
        <w:rFonts w:hint="default"/>
      </w:rPr>
    </w:lvl>
    <w:lvl w:ilvl="1" w:tplc="25C2CFDC">
      <w:start w:val="1"/>
      <w:numFmt w:val="bullet"/>
      <w:lvlText w:val="o"/>
      <w:lvlJc w:val="left"/>
      <w:pPr>
        <w:tabs>
          <w:tab w:val="num" w:pos="1440"/>
        </w:tabs>
        <w:ind w:left="1440" w:hanging="360"/>
      </w:pPr>
      <w:rPr>
        <w:rFonts w:ascii="Courier New" w:hAnsi="Courier New" w:cs="Courier New" w:hint="default"/>
      </w:rPr>
    </w:lvl>
    <w:lvl w:ilvl="2" w:tplc="E506C862" w:tentative="1">
      <w:start w:val="1"/>
      <w:numFmt w:val="lowerRoman"/>
      <w:lvlText w:val="%3."/>
      <w:lvlJc w:val="right"/>
      <w:pPr>
        <w:tabs>
          <w:tab w:val="num" w:pos="2160"/>
        </w:tabs>
        <w:ind w:left="2160" w:hanging="180"/>
      </w:pPr>
    </w:lvl>
    <w:lvl w:ilvl="3" w:tplc="04BE5710" w:tentative="1">
      <w:start w:val="1"/>
      <w:numFmt w:val="decimal"/>
      <w:lvlText w:val="%4."/>
      <w:lvlJc w:val="left"/>
      <w:pPr>
        <w:tabs>
          <w:tab w:val="num" w:pos="2880"/>
        </w:tabs>
        <w:ind w:left="2880" w:hanging="360"/>
      </w:pPr>
    </w:lvl>
    <w:lvl w:ilvl="4" w:tplc="9342F3A8" w:tentative="1">
      <w:start w:val="1"/>
      <w:numFmt w:val="lowerLetter"/>
      <w:lvlText w:val="%5."/>
      <w:lvlJc w:val="left"/>
      <w:pPr>
        <w:tabs>
          <w:tab w:val="num" w:pos="3600"/>
        </w:tabs>
        <w:ind w:left="3600" w:hanging="360"/>
      </w:pPr>
    </w:lvl>
    <w:lvl w:ilvl="5" w:tplc="128266DE" w:tentative="1">
      <w:start w:val="1"/>
      <w:numFmt w:val="lowerRoman"/>
      <w:lvlText w:val="%6."/>
      <w:lvlJc w:val="right"/>
      <w:pPr>
        <w:tabs>
          <w:tab w:val="num" w:pos="4320"/>
        </w:tabs>
        <w:ind w:left="4320" w:hanging="180"/>
      </w:pPr>
    </w:lvl>
    <w:lvl w:ilvl="6" w:tplc="BF4AF61A" w:tentative="1">
      <w:start w:val="1"/>
      <w:numFmt w:val="decimal"/>
      <w:lvlText w:val="%7."/>
      <w:lvlJc w:val="left"/>
      <w:pPr>
        <w:tabs>
          <w:tab w:val="num" w:pos="5040"/>
        </w:tabs>
        <w:ind w:left="5040" w:hanging="360"/>
      </w:pPr>
    </w:lvl>
    <w:lvl w:ilvl="7" w:tplc="C546AC32" w:tentative="1">
      <w:start w:val="1"/>
      <w:numFmt w:val="lowerLetter"/>
      <w:lvlText w:val="%8."/>
      <w:lvlJc w:val="left"/>
      <w:pPr>
        <w:tabs>
          <w:tab w:val="num" w:pos="5760"/>
        </w:tabs>
        <w:ind w:left="5760" w:hanging="360"/>
      </w:pPr>
    </w:lvl>
    <w:lvl w:ilvl="8" w:tplc="835C0A7E"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11"/>
  </w:num>
  <w:num w:numId="4">
    <w:abstractNumId w:val="16"/>
  </w:num>
  <w:num w:numId="5">
    <w:abstractNumId w:val="27"/>
  </w:num>
  <w:num w:numId="6">
    <w:abstractNumId w:val="0"/>
    <w:lvlOverride w:ilvl="0">
      <w:startOverride w:val="1"/>
    </w:lvlOverride>
  </w:num>
  <w:num w:numId="7">
    <w:abstractNumId w:val="21"/>
  </w:num>
  <w:num w:numId="8">
    <w:abstractNumId w:val="9"/>
  </w:num>
  <w:num w:numId="9">
    <w:abstractNumId w:val="14"/>
  </w:num>
  <w:num w:numId="10">
    <w:abstractNumId w:val="30"/>
  </w:num>
  <w:num w:numId="11">
    <w:abstractNumId w:val="26"/>
  </w:num>
  <w:num w:numId="12">
    <w:abstractNumId w:val="29"/>
  </w:num>
  <w:num w:numId="13">
    <w:abstractNumId w:val="31"/>
  </w:num>
  <w:num w:numId="14">
    <w:abstractNumId w:val="3"/>
  </w:num>
  <w:num w:numId="15">
    <w:abstractNumId w:val="6"/>
  </w:num>
  <w:num w:numId="16">
    <w:abstractNumId w:val="25"/>
  </w:num>
  <w:num w:numId="17">
    <w:abstractNumId w:val="13"/>
  </w:num>
  <w:num w:numId="18">
    <w:abstractNumId w:val="8"/>
  </w:num>
  <w:num w:numId="19">
    <w:abstractNumId w:val="10"/>
  </w:num>
  <w:num w:numId="20">
    <w:abstractNumId w:val="20"/>
  </w:num>
  <w:num w:numId="21">
    <w:abstractNumId w:val="22"/>
  </w:num>
  <w:num w:numId="22">
    <w:abstractNumId w:val="5"/>
  </w:num>
  <w:num w:numId="23">
    <w:abstractNumId w:val="17"/>
  </w:num>
  <w:num w:numId="24">
    <w:abstractNumId w:val="19"/>
  </w:num>
  <w:num w:numId="25">
    <w:abstractNumId w:val="23"/>
  </w:num>
  <w:num w:numId="26">
    <w:abstractNumId w:val="18"/>
  </w:num>
  <w:num w:numId="27">
    <w:abstractNumId w:val="12"/>
  </w:num>
  <w:num w:numId="28">
    <w:abstractNumId w:val="4"/>
  </w:num>
  <w:num w:numId="29">
    <w:abstractNumId w:val="24"/>
  </w:num>
  <w:num w:numId="30">
    <w:abstractNumId w:val="7"/>
  </w:num>
  <w:num w:numId="31">
    <w:abstractNumId w:val="28"/>
  </w:num>
  <w:num w:numId="32">
    <w:abstractNumId w:val="15"/>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removePersonalInformation/>
  <w:removeDateAndTime/>
  <w:hideSpellingErrors/>
  <w:linkStyles/>
  <w:stylePaneSortMethod w:val="0000"/>
  <w:defaultTabStop w:val="720"/>
  <w:drawingGridHorizontalSpacing w:val="110"/>
  <w:displayHorizontalDrawingGridEvery w:val="2"/>
  <w:characterSpacingControl w:val="doNotCompress"/>
  <w:hdrShapeDefaults>
    <o:shapedefaults v:ext="edit" spidmax="135169"/>
  </w:hdrShapeDefaults>
  <w:footnotePr>
    <w:footnote w:id="-1"/>
    <w:footnote w:id="0"/>
    <w:footnote w:id="1"/>
  </w:footnotePr>
  <w:endnotePr>
    <w:endnote w:id="-1"/>
    <w:endnote w:id="0"/>
    <w:endnote w:id="1"/>
  </w:endnotePr>
  <w:compat/>
  <w:rsids>
    <w:rsidRoot w:val="00C74066"/>
    <w:rsid w:val="0000614C"/>
    <w:rsid w:val="000228F0"/>
    <w:rsid w:val="0003691B"/>
    <w:rsid w:val="00052CF9"/>
    <w:rsid w:val="0006399B"/>
    <w:rsid w:val="00075E89"/>
    <w:rsid w:val="0008313E"/>
    <w:rsid w:val="00083F69"/>
    <w:rsid w:val="000A2944"/>
    <w:rsid w:val="000A667C"/>
    <w:rsid w:val="000B0F9B"/>
    <w:rsid w:val="000C2D5E"/>
    <w:rsid w:val="00100CE3"/>
    <w:rsid w:val="00100D81"/>
    <w:rsid w:val="00137F11"/>
    <w:rsid w:val="00137FF3"/>
    <w:rsid w:val="001529B2"/>
    <w:rsid w:val="00162120"/>
    <w:rsid w:val="00174133"/>
    <w:rsid w:val="0019174D"/>
    <w:rsid w:val="001943BE"/>
    <w:rsid w:val="001A700A"/>
    <w:rsid w:val="001B6119"/>
    <w:rsid w:val="001B6553"/>
    <w:rsid w:val="001C4124"/>
    <w:rsid w:val="001D44DE"/>
    <w:rsid w:val="001D7C6A"/>
    <w:rsid w:val="00204745"/>
    <w:rsid w:val="002265E8"/>
    <w:rsid w:val="0024644D"/>
    <w:rsid w:val="0025320C"/>
    <w:rsid w:val="00253AA5"/>
    <w:rsid w:val="00291A03"/>
    <w:rsid w:val="00313BF3"/>
    <w:rsid w:val="00314517"/>
    <w:rsid w:val="0033344A"/>
    <w:rsid w:val="00333F5A"/>
    <w:rsid w:val="00350EC7"/>
    <w:rsid w:val="00351AA9"/>
    <w:rsid w:val="00365420"/>
    <w:rsid w:val="0039179A"/>
    <w:rsid w:val="0039276D"/>
    <w:rsid w:val="00397634"/>
    <w:rsid w:val="003A23FB"/>
    <w:rsid w:val="003A3CFC"/>
    <w:rsid w:val="003C072D"/>
    <w:rsid w:val="003D01AB"/>
    <w:rsid w:val="003D0D1B"/>
    <w:rsid w:val="003D549C"/>
    <w:rsid w:val="003F596D"/>
    <w:rsid w:val="00437811"/>
    <w:rsid w:val="004724F9"/>
    <w:rsid w:val="00487956"/>
    <w:rsid w:val="004963DA"/>
    <w:rsid w:val="004C6BED"/>
    <w:rsid w:val="004D7502"/>
    <w:rsid w:val="004D7E3C"/>
    <w:rsid w:val="004E16B2"/>
    <w:rsid w:val="004F3ADF"/>
    <w:rsid w:val="00515062"/>
    <w:rsid w:val="005233B3"/>
    <w:rsid w:val="005277FA"/>
    <w:rsid w:val="00574929"/>
    <w:rsid w:val="005754B4"/>
    <w:rsid w:val="0058767B"/>
    <w:rsid w:val="005A5251"/>
    <w:rsid w:val="005A6406"/>
    <w:rsid w:val="005C1229"/>
    <w:rsid w:val="005C49B7"/>
    <w:rsid w:val="005D1CD6"/>
    <w:rsid w:val="005F34A8"/>
    <w:rsid w:val="00626B7A"/>
    <w:rsid w:val="006333A3"/>
    <w:rsid w:val="00651527"/>
    <w:rsid w:val="00661262"/>
    <w:rsid w:val="00666324"/>
    <w:rsid w:val="006934F1"/>
    <w:rsid w:val="00696009"/>
    <w:rsid w:val="006A6024"/>
    <w:rsid w:val="006B342B"/>
    <w:rsid w:val="006E5F66"/>
    <w:rsid w:val="00740B4E"/>
    <w:rsid w:val="00746E12"/>
    <w:rsid w:val="00747A13"/>
    <w:rsid w:val="0077118A"/>
    <w:rsid w:val="00796500"/>
    <w:rsid w:val="007B1790"/>
    <w:rsid w:val="007F6933"/>
    <w:rsid w:val="00805EA8"/>
    <w:rsid w:val="008451DB"/>
    <w:rsid w:val="008452DE"/>
    <w:rsid w:val="00850D23"/>
    <w:rsid w:val="0085332F"/>
    <w:rsid w:val="00873038"/>
    <w:rsid w:val="00875A3A"/>
    <w:rsid w:val="00880037"/>
    <w:rsid w:val="008843AB"/>
    <w:rsid w:val="008850F9"/>
    <w:rsid w:val="008A5BCD"/>
    <w:rsid w:val="008A68BC"/>
    <w:rsid w:val="008B19DF"/>
    <w:rsid w:val="008C146D"/>
    <w:rsid w:val="008C4EB6"/>
    <w:rsid w:val="008D041B"/>
    <w:rsid w:val="008D6E3B"/>
    <w:rsid w:val="008E5D9B"/>
    <w:rsid w:val="008F3AF5"/>
    <w:rsid w:val="008F3DA5"/>
    <w:rsid w:val="009064C9"/>
    <w:rsid w:val="00910023"/>
    <w:rsid w:val="009556EB"/>
    <w:rsid w:val="009574AA"/>
    <w:rsid w:val="00957654"/>
    <w:rsid w:val="00981D6B"/>
    <w:rsid w:val="00985220"/>
    <w:rsid w:val="00985A98"/>
    <w:rsid w:val="009A33C4"/>
    <w:rsid w:val="009C18DE"/>
    <w:rsid w:val="009F1E08"/>
    <w:rsid w:val="009F7A4C"/>
    <w:rsid w:val="00A20A93"/>
    <w:rsid w:val="00A709ED"/>
    <w:rsid w:val="00A72EC3"/>
    <w:rsid w:val="00A83DEA"/>
    <w:rsid w:val="00A871B7"/>
    <w:rsid w:val="00A964EB"/>
    <w:rsid w:val="00A96813"/>
    <w:rsid w:val="00AA1D4B"/>
    <w:rsid w:val="00AC4968"/>
    <w:rsid w:val="00AD762C"/>
    <w:rsid w:val="00AE4074"/>
    <w:rsid w:val="00AE5BAE"/>
    <w:rsid w:val="00AF2121"/>
    <w:rsid w:val="00B13261"/>
    <w:rsid w:val="00B142DD"/>
    <w:rsid w:val="00B40CBB"/>
    <w:rsid w:val="00B60484"/>
    <w:rsid w:val="00B833D8"/>
    <w:rsid w:val="00B933AF"/>
    <w:rsid w:val="00B933EF"/>
    <w:rsid w:val="00B96273"/>
    <w:rsid w:val="00BE6C61"/>
    <w:rsid w:val="00C1283F"/>
    <w:rsid w:val="00C13381"/>
    <w:rsid w:val="00C143F5"/>
    <w:rsid w:val="00C309C3"/>
    <w:rsid w:val="00C365FE"/>
    <w:rsid w:val="00C45F10"/>
    <w:rsid w:val="00C57DCF"/>
    <w:rsid w:val="00C64640"/>
    <w:rsid w:val="00C74066"/>
    <w:rsid w:val="00C74E50"/>
    <w:rsid w:val="00C757DB"/>
    <w:rsid w:val="00C87F6D"/>
    <w:rsid w:val="00C91B60"/>
    <w:rsid w:val="00C94339"/>
    <w:rsid w:val="00CC5243"/>
    <w:rsid w:val="00CD5428"/>
    <w:rsid w:val="00CF5491"/>
    <w:rsid w:val="00D00F8C"/>
    <w:rsid w:val="00D16043"/>
    <w:rsid w:val="00D17C49"/>
    <w:rsid w:val="00D521EA"/>
    <w:rsid w:val="00D67145"/>
    <w:rsid w:val="00DB7151"/>
    <w:rsid w:val="00DF6D81"/>
    <w:rsid w:val="00E066B3"/>
    <w:rsid w:val="00E164E8"/>
    <w:rsid w:val="00E30433"/>
    <w:rsid w:val="00E52669"/>
    <w:rsid w:val="00E53784"/>
    <w:rsid w:val="00EA7444"/>
    <w:rsid w:val="00EC02D3"/>
    <w:rsid w:val="00EC0CC2"/>
    <w:rsid w:val="00ED3DCD"/>
    <w:rsid w:val="00EE3410"/>
    <w:rsid w:val="00EF450D"/>
    <w:rsid w:val="00F10705"/>
    <w:rsid w:val="00F13D91"/>
    <w:rsid w:val="00F17E8D"/>
    <w:rsid w:val="00F3503E"/>
    <w:rsid w:val="00F45FE1"/>
    <w:rsid w:val="00F63C99"/>
    <w:rsid w:val="00F65848"/>
    <w:rsid w:val="00F8157E"/>
    <w:rsid w:val="00F83619"/>
    <w:rsid w:val="00F90F04"/>
    <w:rsid w:val="00FC183B"/>
    <w:rsid w:val="00FD5A6A"/>
    <w:rsid w:val="00FE052C"/>
    <w:rsid w:val="00FE36E0"/>
    <w:rsid w:val="00FE76D1"/>
    <w:rsid w:val="00FF108F"/>
    <w:rsid w:val="00FF60A7"/>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35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5" w:qFormat="1"/>
    <w:lsdException w:name="heading 5" w:uiPriority="6"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nhideWhenUsed="0"/>
    <w:lsdException w:name="toc 5" w:unhideWhenUsed="0"/>
    <w:lsdException w:name="toc 6" w:unhideWhenUsed="0"/>
    <w:lsdException w:name="toc 7" w:unhideWhenUsed="0"/>
    <w:lsdException w:name="toc 8" w:unhideWhenUsed="0"/>
    <w:lsdException w:name="toc 9" w:unhideWhenUsed="0"/>
    <w:lsdException w:name="caption" w:uiPriority="0" w:qFormat="1"/>
    <w:lsdException w:name="page number" w:uiPriority="0"/>
    <w:lsdException w:name="List Bullet" w:uiPriority="7" w:qFormat="1"/>
    <w:lsdException w:name="List Number" w:qFormat="1"/>
    <w:lsdException w:name="List Bullet 2" w:qFormat="1"/>
    <w:lsdException w:name="List Bullet 3" w:unhideWhenUsed="0"/>
    <w:lsdException w:name="List Bullet 4" w:unhideWhenUsed="0"/>
    <w:lsdException w:name="List Bullet 5" w:unhideWhenUsed="0"/>
    <w:lsdException w:name="List Number 2" w:uiPriority="10" w:qFormat="1"/>
    <w:lsdException w:name="List Number 3" w:uiPriority="11" w:qFormat="1"/>
    <w:lsdException w:name="List Number 4" w:unhideWhenUsed="0"/>
    <w:lsdException w:name="List Number 5" w:unhideWhenUsed="0"/>
    <w:lsdException w:name="Title" w:semiHidden="0" w:uiPriority="22" w:unhideWhenUsed="0" w:qFormat="1"/>
    <w:lsdException w:name="Default Paragraph Font" w:uiPriority="1"/>
    <w:lsdException w:name="Body Text" w:uiPriority="0"/>
    <w:lsdException w:name="Subtitle" w:uiPriority="11" w:unhideWhenUsed="0" w:qFormat="1"/>
    <w:lsdException w:name="Hyperlink" w:qFormat="1"/>
    <w:lsdException w:name="Strong" w:semiHidden="0" w:uiPriority="22" w:unhideWhenUsed="0" w:qFormat="1"/>
    <w:lsdException w:name="Emphasis" w:semiHidden="0" w:unhideWhenUsed="0" w:qFormat="1"/>
    <w:lsdException w:name="Table List 3" w:uiPriority="0"/>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03E"/>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C74066"/>
    <w:pPr>
      <w:keepNext/>
      <w:keepLines/>
      <w:pageBreakBefore/>
      <w:numPr>
        <w:numId w:val="32"/>
      </w:numPr>
      <w:spacing w:after="240"/>
      <w:outlineLvl w:val="0"/>
    </w:pPr>
    <w:rPr>
      <w:rFonts w:ascii="Calibri" w:hAnsi="Calibri"/>
      <w:bCs/>
      <w:color w:val="000000"/>
      <w:sz w:val="56"/>
      <w:szCs w:val="28"/>
    </w:rPr>
  </w:style>
  <w:style w:type="paragraph" w:styleId="Heading2">
    <w:name w:val="heading 2"/>
    <w:aliases w:val="p"/>
    <w:basedOn w:val="Normal"/>
    <w:next w:val="Normal"/>
    <w:link w:val="Heading2Char"/>
    <w:uiPriority w:val="9"/>
    <w:qFormat/>
    <w:rsid w:val="00C74066"/>
    <w:pPr>
      <w:keepNext/>
      <w:keepLines/>
      <w:numPr>
        <w:ilvl w:val="1"/>
        <w:numId w:val="32"/>
      </w:numPr>
      <w:outlineLvl w:val="1"/>
    </w:pPr>
    <w:rPr>
      <w:rFonts w:ascii="Calibri" w:hAnsi="Calibri"/>
      <w:b/>
      <w:bCs/>
      <w:sz w:val="36"/>
      <w:szCs w:val="26"/>
    </w:rPr>
  </w:style>
  <w:style w:type="paragraph" w:styleId="Heading3">
    <w:name w:val="heading 3"/>
    <w:basedOn w:val="Normal"/>
    <w:next w:val="Normal"/>
    <w:link w:val="Heading3Char"/>
    <w:qFormat/>
    <w:rsid w:val="00C74066"/>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5"/>
    <w:qFormat/>
    <w:rsid w:val="00C74066"/>
    <w:pPr>
      <w:keepNext/>
      <w:keepLines/>
      <w:outlineLvl w:val="3"/>
    </w:pPr>
    <w:rPr>
      <w:rFonts w:ascii="Calibri" w:hAnsi="Calibri"/>
      <w:b/>
      <w:bCs/>
      <w:iCs/>
    </w:rPr>
  </w:style>
  <w:style w:type="paragraph" w:styleId="Heading5">
    <w:name w:val="heading 5"/>
    <w:aliases w:val="s,s1,s2,s3,s4,s5"/>
    <w:basedOn w:val="Normal"/>
    <w:next w:val="Normal"/>
    <w:link w:val="Heading5Char"/>
    <w:uiPriority w:val="6"/>
    <w:qFormat/>
    <w:rsid w:val="00C74066"/>
    <w:pPr>
      <w:keepNext/>
      <w:keepLines/>
      <w:outlineLvl w:val="4"/>
    </w:pPr>
    <w:rPr>
      <w:rFonts w:ascii="Calibri" w:hAnsi="Calibri"/>
      <w:b/>
      <w:i/>
    </w:rPr>
  </w:style>
  <w:style w:type="paragraph" w:styleId="Heading6">
    <w:name w:val="heading 6"/>
    <w:basedOn w:val="Normal"/>
    <w:next w:val="Normal"/>
    <w:link w:val="Heading6Char"/>
    <w:uiPriority w:val="9"/>
    <w:qFormat/>
    <w:rsid w:val="00C74066"/>
    <w:pPr>
      <w:keepNext/>
      <w:tabs>
        <w:tab w:val="num" w:pos="1152"/>
      </w:tabs>
      <w:ind w:left="1152" w:hanging="1152"/>
      <w:outlineLvl w:val="5"/>
    </w:pPr>
    <w:rPr>
      <w:rFonts w:ascii="Arial" w:hAnsi="Arial"/>
      <w:b/>
      <w:szCs w:val="20"/>
    </w:rPr>
  </w:style>
  <w:style w:type="paragraph" w:styleId="Heading7">
    <w:name w:val="heading 7"/>
    <w:basedOn w:val="Normal"/>
    <w:next w:val="Normal"/>
    <w:link w:val="Heading7Char"/>
    <w:uiPriority w:val="9"/>
    <w:qFormat/>
    <w:rsid w:val="00C74066"/>
    <w:pPr>
      <w:keepNext/>
      <w:tabs>
        <w:tab w:val="num" w:pos="1296"/>
      </w:tabs>
      <w:spacing w:before="20" w:after="20" w:line="240" w:lineRule="atLeast"/>
      <w:ind w:left="1296" w:hanging="1296"/>
      <w:jc w:val="center"/>
      <w:outlineLvl w:val="6"/>
    </w:pPr>
    <w:rPr>
      <w:rFonts w:ascii="Arial" w:hAnsi="Arial" w:cs="Arial"/>
      <w:b/>
      <w:bCs/>
      <w:sz w:val="20"/>
    </w:rPr>
  </w:style>
  <w:style w:type="paragraph" w:styleId="Heading8">
    <w:name w:val="heading 8"/>
    <w:basedOn w:val="Normal"/>
    <w:next w:val="Normal"/>
    <w:link w:val="Heading8Char"/>
    <w:uiPriority w:val="9"/>
    <w:qFormat/>
    <w:rsid w:val="00C74066"/>
    <w:pPr>
      <w:keepNext/>
      <w:tabs>
        <w:tab w:val="num" w:pos="1440"/>
      </w:tabs>
      <w:ind w:left="1440" w:hanging="1440"/>
      <w:outlineLvl w:val="7"/>
    </w:pPr>
    <w:rPr>
      <w:rFonts w:ascii="Helvetica" w:hAnsi="Helvetica"/>
      <w:b/>
      <w:bCs/>
      <w:sz w:val="20"/>
    </w:rPr>
  </w:style>
  <w:style w:type="paragraph" w:styleId="Heading9">
    <w:name w:val="heading 9"/>
    <w:basedOn w:val="Normal"/>
    <w:next w:val="Normal"/>
    <w:link w:val="Heading9Char"/>
    <w:uiPriority w:val="9"/>
    <w:qFormat/>
    <w:rsid w:val="00C74066"/>
    <w:pPr>
      <w:tabs>
        <w:tab w:val="num" w:pos="1584"/>
      </w:tabs>
      <w:spacing w:before="240" w:after="60"/>
      <w:ind w:left="1584" w:hanging="1584"/>
      <w:outlineLvl w:val="8"/>
    </w:pPr>
    <w:rPr>
      <w:rFonts w:ascii="Arial" w:hAnsi="Arial" w:cs="Arial"/>
    </w:rPr>
  </w:style>
  <w:style w:type="character" w:default="1" w:styleId="DefaultParagraphFont">
    <w:name w:val="Default Paragraph Font"/>
    <w:uiPriority w:val="1"/>
    <w:semiHidden/>
    <w:unhideWhenUsed/>
    <w:rsid w:val="00F3503E"/>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F3503E"/>
  </w:style>
  <w:style w:type="paragraph" w:styleId="CommentText">
    <w:name w:val="annotation text"/>
    <w:basedOn w:val="Normal"/>
    <w:link w:val="CommentTextChar"/>
    <w:uiPriority w:val="99"/>
    <w:unhideWhenUsed/>
    <w:rsid w:val="00C74066"/>
    <w:rPr>
      <w:sz w:val="20"/>
      <w:szCs w:val="20"/>
    </w:rPr>
  </w:style>
  <w:style w:type="character" w:customStyle="1" w:styleId="CommentTextChar">
    <w:name w:val="Comment Text Char"/>
    <w:basedOn w:val="DefaultParagraphFont"/>
    <w:link w:val="CommentText"/>
    <w:uiPriority w:val="99"/>
    <w:rsid w:val="00C74066"/>
    <w:rPr>
      <w:rFonts w:eastAsia="Times New Roman"/>
      <w:sz w:val="20"/>
      <w:szCs w:val="20"/>
    </w:rPr>
  </w:style>
  <w:style w:type="paragraph" w:styleId="Header">
    <w:name w:val="header"/>
    <w:basedOn w:val="Normal"/>
    <w:link w:val="HeaderChar"/>
    <w:uiPriority w:val="99"/>
    <w:rsid w:val="00C74066"/>
    <w:pPr>
      <w:tabs>
        <w:tab w:val="center" w:pos="4820"/>
      </w:tabs>
      <w:jc w:val="center"/>
    </w:pPr>
    <w:rPr>
      <w:rFonts w:ascii="Calibri" w:hAnsi="Calibri"/>
      <w:sz w:val="20"/>
    </w:rPr>
  </w:style>
  <w:style w:type="character" w:customStyle="1" w:styleId="HeaderChar">
    <w:name w:val="Header Char"/>
    <w:basedOn w:val="DefaultParagraphFont"/>
    <w:link w:val="Header"/>
    <w:uiPriority w:val="99"/>
    <w:rsid w:val="00C74066"/>
    <w:rPr>
      <w:rFonts w:ascii="Calibri" w:eastAsia="Times New Roman" w:hAnsi="Calibri"/>
      <w:sz w:val="20"/>
      <w:szCs w:val="24"/>
      <w:lang w:eastAsia="en-US"/>
    </w:rPr>
  </w:style>
  <w:style w:type="paragraph" w:styleId="Footer">
    <w:name w:val="footer"/>
    <w:basedOn w:val="Normal"/>
    <w:link w:val="FooterChar"/>
    <w:uiPriority w:val="99"/>
    <w:rsid w:val="00C74066"/>
    <w:pPr>
      <w:tabs>
        <w:tab w:val="center" w:pos="4536"/>
      </w:tabs>
      <w:spacing w:after="120"/>
      <w:jc w:val="center"/>
    </w:pPr>
    <w:rPr>
      <w:rFonts w:ascii="Calibri" w:hAnsi="Calibri"/>
      <w:sz w:val="20"/>
    </w:rPr>
  </w:style>
  <w:style w:type="character" w:customStyle="1" w:styleId="FooterChar">
    <w:name w:val="Footer Char"/>
    <w:basedOn w:val="DefaultParagraphFont"/>
    <w:link w:val="Footer"/>
    <w:uiPriority w:val="99"/>
    <w:rsid w:val="00C74066"/>
    <w:rPr>
      <w:rFonts w:ascii="Calibri" w:eastAsia="Times New Roman" w:hAnsi="Calibri"/>
      <w:sz w:val="20"/>
      <w:szCs w:val="24"/>
      <w:lang w:eastAsia="en-US"/>
    </w:rPr>
  </w:style>
  <w:style w:type="character" w:styleId="CommentReference">
    <w:name w:val="annotation reference"/>
    <w:basedOn w:val="DefaultParagraphFont"/>
    <w:uiPriority w:val="99"/>
    <w:unhideWhenUsed/>
    <w:rsid w:val="00C74066"/>
    <w:rPr>
      <w:sz w:val="16"/>
      <w:szCs w:val="16"/>
    </w:rPr>
  </w:style>
  <w:style w:type="paragraph" w:styleId="CommentSubject">
    <w:name w:val="annotation subject"/>
    <w:basedOn w:val="CommentText"/>
    <w:next w:val="CommentText"/>
    <w:link w:val="CommentSubjectChar"/>
    <w:uiPriority w:val="99"/>
    <w:unhideWhenUsed/>
    <w:rsid w:val="00C74066"/>
    <w:rPr>
      <w:b/>
      <w:bCs/>
    </w:rPr>
  </w:style>
  <w:style w:type="character" w:customStyle="1" w:styleId="CommentSubjectChar">
    <w:name w:val="Comment Subject Char"/>
    <w:basedOn w:val="CommentTextChar"/>
    <w:link w:val="CommentSubject"/>
    <w:uiPriority w:val="99"/>
    <w:rsid w:val="00C74066"/>
    <w:rPr>
      <w:rFonts w:eastAsia="Times New Roman"/>
      <w:b/>
      <w:bCs/>
      <w:sz w:val="20"/>
      <w:szCs w:val="20"/>
    </w:rPr>
  </w:style>
  <w:style w:type="paragraph" w:styleId="BalloonText">
    <w:name w:val="Balloon Text"/>
    <w:basedOn w:val="Normal"/>
    <w:link w:val="BalloonTextChar"/>
    <w:uiPriority w:val="99"/>
    <w:unhideWhenUsed/>
    <w:rsid w:val="00C74066"/>
    <w:rPr>
      <w:rFonts w:ascii="Calibri" w:hAnsi="Calibri"/>
      <w:sz w:val="18"/>
      <w:szCs w:val="18"/>
    </w:rPr>
  </w:style>
  <w:style w:type="character" w:customStyle="1" w:styleId="BalloonTextChar">
    <w:name w:val="Balloon Text Char"/>
    <w:basedOn w:val="DefaultParagraphFont"/>
    <w:link w:val="BalloonText"/>
    <w:uiPriority w:val="99"/>
    <w:rsid w:val="00C74066"/>
    <w:rPr>
      <w:rFonts w:ascii="Calibri" w:eastAsia="Times New Roman" w:hAnsi="Calibri"/>
      <w:sz w:val="18"/>
      <w:szCs w:val="18"/>
      <w:lang w:eastAsia="en-US"/>
    </w:rPr>
  </w:style>
  <w:style w:type="table" w:styleId="TableGrid">
    <w:name w:val="Table Grid"/>
    <w:basedOn w:val="TableNormal"/>
    <w:uiPriority w:val="99"/>
    <w:rsid w:val="00C74066"/>
    <w:pPr>
      <w:spacing w:before="60" w:after="60"/>
    </w:pPr>
    <w:rPr>
      <w:rFonts w:eastAsia="Times New Roman"/>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address">
    <w:name w:val="Footer address"/>
    <w:basedOn w:val="Footer"/>
    <w:semiHidden/>
    <w:qFormat/>
    <w:rsid w:val="00C74066"/>
    <w:rPr>
      <w:sz w:val="16"/>
    </w:rPr>
  </w:style>
  <w:style w:type="character" w:customStyle="1" w:styleId="Heading1NumberedChar">
    <w:name w:val="Heading 1 Numbered Char"/>
    <w:basedOn w:val="Heading1Char"/>
    <w:link w:val="Heading1Numbered"/>
    <w:uiPriority w:val="2"/>
    <w:rsid w:val="00C74066"/>
  </w:style>
  <w:style w:type="character" w:customStyle="1" w:styleId="Heading1Char">
    <w:name w:val="Heading 1 Char"/>
    <w:basedOn w:val="DefaultParagraphFont"/>
    <w:link w:val="Heading1"/>
    <w:uiPriority w:val="9"/>
    <w:rsid w:val="00C74066"/>
    <w:rPr>
      <w:rFonts w:ascii="Calibri" w:eastAsiaTheme="minorHAnsi" w:hAnsi="Calibri" w:cstheme="minorBidi"/>
      <w:bCs/>
      <w:color w:val="000000"/>
      <w:sz w:val="56"/>
      <w:szCs w:val="28"/>
      <w:lang w:eastAsia="en-US"/>
    </w:rPr>
  </w:style>
  <w:style w:type="paragraph" w:customStyle="1" w:styleId="Heading1Numbered">
    <w:name w:val="Heading 1 Numbered"/>
    <w:basedOn w:val="Heading1"/>
    <w:next w:val="Normal"/>
    <w:link w:val="Heading1NumberedChar"/>
    <w:uiPriority w:val="2"/>
    <w:qFormat/>
    <w:rsid w:val="00C74066"/>
    <w:pPr>
      <w:numPr>
        <w:numId w:val="3"/>
      </w:numPr>
      <w:ind w:left="709" w:hanging="709"/>
    </w:pPr>
  </w:style>
  <w:style w:type="character" w:customStyle="1" w:styleId="Heading2Char">
    <w:name w:val="Heading 2 Char"/>
    <w:aliases w:val="p Char"/>
    <w:basedOn w:val="DefaultParagraphFont"/>
    <w:link w:val="Heading2"/>
    <w:uiPriority w:val="9"/>
    <w:rsid w:val="00C74066"/>
    <w:rPr>
      <w:rFonts w:ascii="Calibri" w:eastAsiaTheme="minorHAnsi" w:hAnsi="Calibri" w:cstheme="minorBidi"/>
      <w:b/>
      <w:bCs/>
      <w:sz w:val="36"/>
      <w:szCs w:val="26"/>
      <w:lang w:eastAsia="en-US"/>
    </w:rPr>
  </w:style>
  <w:style w:type="character" w:customStyle="1" w:styleId="Heading3Char">
    <w:name w:val="Heading 3 Char"/>
    <w:basedOn w:val="DefaultParagraphFont"/>
    <w:link w:val="Heading3"/>
    <w:rsid w:val="00C74066"/>
    <w:rPr>
      <w:rFonts w:ascii="Arial" w:eastAsia="Times New Roman" w:hAnsi="Arial" w:cs="Arial"/>
      <w:b/>
      <w:bCs/>
      <w:noProof/>
      <w:sz w:val="26"/>
      <w:szCs w:val="26"/>
    </w:rPr>
  </w:style>
  <w:style w:type="character" w:customStyle="1" w:styleId="Heading4Char">
    <w:name w:val="Heading 4 Char"/>
    <w:basedOn w:val="DefaultParagraphFont"/>
    <w:link w:val="Heading4"/>
    <w:uiPriority w:val="9"/>
    <w:rsid w:val="00C74066"/>
    <w:rPr>
      <w:rFonts w:ascii="Calibri" w:eastAsia="Times New Roman" w:hAnsi="Calibri"/>
      <w:b/>
      <w:bCs/>
      <w:iCs/>
      <w:sz w:val="24"/>
      <w:szCs w:val="24"/>
      <w:lang w:eastAsia="en-US"/>
    </w:rPr>
  </w:style>
  <w:style w:type="character" w:customStyle="1" w:styleId="Heading5Char">
    <w:name w:val="Heading 5 Char"/>
    <w:aliases w:val="s Char,s1 Char,s2 Char,s3 Char,s4 Char,s5 Char"/>
    <w:basedOn w:val="DefaultParagraphFont"/>
    <w:link w:val="Heading5"/>
    <w:uiPriority w:val="9"/>
    <w:rsid w:val="00C74066"/>
    <w:rPr>
      <w:rFonts w:ascii="Calibri" w:eastAsia="Times New Roman" w:hAnsi="Calibri"/>
      <w:b/>
      <w:i/>
      <w:sz w:val="24"/>
      <w:szCs w:val="24"/>
      <w:lang w:eastAsia="en-US"/>
    </w:rPr>
  </w:style>
  <w:style w:type="paragraph" w:styleId="Quote">
    <w:name w:val="Quote"/>
    <w:basedOn w:val="Normal"/>
    <w:next w:val="Normal"/>
    <w:link w:val="QuoteChar"/>
    <w:uiPriority w:val="29"/>
    <w:qFormat/>
    <w:rsid w:val="00C74066"/>
    <w:pPr>
      <w:ind w:left="709" w:right="567"/>
    </w:pPr>
    <w:rPr>
      <w:iCs/>
      <w:color w:val="000000"/>
    </w:rPr>
  </w:style>
  <w:style w:type="character" w:customStyle="1" w:styleId="QuoteChar">
    <w:name w:val="Quote Char"/>
    <w:basedOn w:val="DefaultParagraphFont"/>
    <w:link w:val="Quote"/>
    <w:uiPriority w:val="29"/>
    <w:rsid w:val="00C74066"/>
    <w:rPr>
      <w:rFonts w:eastAsia="Times New Roman"/>
      <w:iCs/>
      <w:color w:val="000000"/>
      <w:szCs w:val="24"/>
      <w:lang w:eastAsia="en-US"/>
    </w:rPr>
  </w:style>
  <w:style w:type="paragraph" w:customStyle="1" w:styleId="BoxText">
    <w:name w:val="Box Text"/>
    <w:basedOn w:val="Normal"/>
    <w:uiPriority w:val="19"/>
    <w:qFormat/>
    <w:rsid w:val="00C74066"/>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link w:val="CaptionChar"/>
    <w:qFormat/>
    <w:rsid w:val="00C74066"/>
    <w:pPr>
      <w:keepNext/>
      <w:spacing w:after="120"/>
    </w:pPr>
    <w:rPr>
      <w:rFonts w:ascii="Calibri" w:hAnsi="Calibri"/>
      <w:b/>
      <w:bCs/>
      <w:szCs w:val="18"/>
    </w:rPr>
  </w:style>
  <w:style w:type="paragraph" w:customStyle="1" w:styleId="FigureTableNoteSource">
    <w:name w:val="Figure/Table Note/Source"/>
    <w:basedOn w:val="Normal"/>
    <w:next w:val="Normal"/>
    <w:uiPriority w:val="16"/>
    <w:qFormat/>
    <w:rsid w:val="00C74066"/>
    <w:pPr>
      <w:spacing w:before="120" w:line="264" w:lineRule="auto"/>
      <w:contextualSpacing/>
    </w:pPr>
    <w:rPr>
      <w:rFonts w:ascii="Calibri" w:hAnsi="Calibri"/>
      <w:sz w:val="18"/>
    </w:rPr>
  </w:style>
  <w:style w:type="paragraph" w:styleId="Title">
    <w:name w:val="Title"/>
    <w:aliases w:val="Title 1"/>
    <w:basedOn w:val="Normal"/>
    <w:next w:val="Subtitle"/>
    <w:link w:val="TitleChar"/>
    <w:uiPriority w:val="22"/>
    <w:qFormat/>
    <w:rsid w:val="00C74066"/>
    <w:pPr>
      <w:spacing w:before="240" w:after="120"/>
    </w:pPr>
    <w:rPr>
      <w:rFonts w:ascii="Calibri" w:hAnsi="Calibri"/>
      <w:b/>
      <w:sz w:val="72"/>
      <w:szCs w:val="72"/>
    </w:rPr>
  </w:style>
  <w:style w:type="character" w:customStyle="1" w:styleId="TitleChar">
    <w:name w:val="Title Char"/>
    <w:aliases w:val="Title 1 Char"/>
    <w:basedOn w:val="DefaultParagraphFont"/>
    <w:link w:val="Title"/>
    <w:uiPriority w:val="22"/>
    <w:rsid w:val="00C74066"/>
    <w:rPr>
      <w:rFonts w:ascii="Calibri" w:eastAsia="Times New Roman" w:hAnsi="Calibri"/>
      <w:b/>
      <w:sz w:val="72"/>
      <w:szCs w:val="72"/>
      <w:lang w:eastAsia="en-US"/>
    </w:rPr>
  </w:style>
  <w:style w:type="paragraph" w:styleId="Subtitle">
    <w:name w:val="Subtitle"/>
    <w:basedOn w:val="Normal"/>
    <w:next w:val="Normal"/>
    <w:link w:val="SubtitleChar"/>
    <w:uiPriority w:val="11"/>
    <w:qFormat/>
    <w:rsid w:val="00C74066"/>
    <w:pPr>
      <w:spacing w:after="840"/>
    </w:pPr>
    <w:rPr>
      <w:rFonts w:ascii="Calibri" w:hAnsi="Calibri" w:cs="Calibri"/>
      <w:sz w:val="68"/>
      <w:szCs w:val="72"/>
    </w:rPr>
  </w:style>
  <w:style w:type="character" w:customStyle="1" w:styleId="SubtitleChar">
    <w:name w:val="Subtitle Char"/>
    <w:basedOn w:val="DefaultParagraphFont"/>
    <w:link w:val="Subtitle"/>
    <w:uiPriority w:val="11"/>
    <w:rsid w:val="00C74066"/>
    <w:rPr>
      <w:rFonts w:ascii="Calibri" w:eastAsia="Times New Roman" w:hAnsi="Calibri" w:cs="Calibri"/>
      <w:sz w:val="68"/>
      <w:szCs w:val="72"/>
      <w:lang w:eastAsia="en-US"/>
    </w:rPr>
  </w:style>
  <w:style w:type="paragraph" w:styleId="TOCHeading">
    <w:name w:val="TOC Heading"/>
    <w:basedOn w:val="Heading1"/>
    <w:next w:val="Normal"/>
    <w:uiPriority w:val="39"/>
    <w:qFormat/>
    <w:rsid w:val="00C74066"/>
    <w:pPr>
      <w:numPr>
        <w:numId w:val="0"/>
      </w:numPr>
      <w:spacing w:before="480" w:after="0"/>
      <w:outlineLvl w:val="9"/>
    </w:pPr>
    <w:rPr>
      <w:lang w:val="en-US"/>
    </w:rPr>
  </w:style>
  <w:style w:type="paragraph" w:styleId="TOC1">
    <w:name w:val="toc 1"/>
    <w:basedOn w:val="Normal"/>
    <w:next w:val="Normal"/>
    <w:uiPriority w:val="39"/>
    <w:unhideWhenUsed/>
    <w:rsid w:val="00C74066"/>
    <w:pPr>
      <w:tabs>
        <w:tab w:val="left" w:pos="426"/>
        <w:tab w:val="right" w:leader="dot" w:pos="9072"/>
      </w:tabs>
      <w:spacing w:before="120" w:after="120"/>
    </w:pPr>
    <w:rPr>
      <w:b/>
    </w:rPr>
  </w:style>
  <w:style w:type="paragraph" w:styleId="TOC2">
    <w:name w:val="toc 2"/>
    <w:basedOn w:val="Normal"/>
    <w:next w:val="Normal"/>
    <w:uiPriority w:val="39"/>
    <w:unhideWhenUsed/>
    <w:rsid w:val="00C74066"/>
    <w:pPr>
      <w:tabs>
        <w:tab w:val="right" w:leader="dot" w:pos="9060"/>
      </w:tabs>
      <w:spacing w:before="120" w:after="120"/>
      <w:ind w:firstLine="425"/>
    </w:pPr>
  </w:style>
  <w:style w:type="paragraph" w:styleId="TOC3">
    <w:name w:val="toc 3"/>
    <w:basedOn w:val="Normal"/>
    <w:next w:val="Normal"/>
    <w:uiPriority w:val="39"/>
    <w:unhideWhenUsed/>
    <w:rsid w:val="00C74066"/>
    <w:pPr>
      <w:tabs>
        <w:tab w:val="right" w:leader="dot" w:pos="9072"/>
      </w:tabs>
      <w:spacing w:before="120" w:after="120"/>
      <w:ind w:firstLine="851"/>
    </w:pPr>
  </w:style>
  <w:style w:type="character" w:styleId="Hyperlink">
    <w:name w:val="Hyperlink"/>
    <w:basedOn w:val="DefaultParagraphFont"/>
    <w:uiPriority w:val="99"/>
    <w:qFormat/>
    <w:rsid w:val="00C74066"/>
    <w:rPr>
      <w:color w:val="165788"/>
      <w:u w:val="single"/>
    </w:rPr>
  </w:style>
  <w:style w:type="paragraph" w:styleId="ListBullet">
    <w:name w:val="List Bullet"/>
    <w:basedOn w:val="Normal"/>
    <w:uiPriority w:val="7"/>
    <w:qFormat/>
    <w:rsid w:val="00C74066"/>
    <w:pPr>
      <w:numPr>
        <w:numId w:val="1"/>
      </w:numPr>
      <w:spacing w:before="120" w:after="120"/>
    </w:pPr>
  </w:style>
  <w:style w:type="paragraph" w:styleId="TableofFigures">
    <w:name w:val="table of figures"/>
    <w:aliases w:val="Table of Tables,Tables and Figures"/>
    <w:basedOn w:val="Normal"/>
    <w:next w:val="Normal"/>
    <w:uiPriority w:val="99"/>
    <w:rsid w:val="00C74066"/>
    <w:pPr>
      <w:spacing w:before="120" w:after="120"/>
    </w:pPr>
  </w:style>
  <w:style w:type="paragraph" w:styleId="ListBullet2">
    <w:name w:val="List Bullet 2"/>
    <w:basedOn w:val="Normal"/>
    <w:uiPriority w:val="99"/>
    <w:qFormat/>
    <w:rsid w:val="00C74066"/>
    <w:pPr>
      <w:numPr>
        <w:numId w:val="2"/>
      </w:numPr>
      <w:tabs>
        <w:tab w:val="clear" w:pos="643"/>
        <w:tab w:val="num" w:pos="567"/>
      </w:tabs>
      <w:spacing w:before="120" w:after="120"/>
      <w:ind w:left="568" w:hanging="284"/>
      <w:contextualSpacing/>
    </w:pPr>
  </w:style>
  <w:style w:type="paragraph" w:styleId="ListNumber">
    <w:name w:val="List Number"/>
    <w:basedOn w:val="Normal"/>
    <w:uiPriority w:val="9"/>
    <w:qFormat/>
    <w:rsid w:val="00C74066"/>
    <w:pPr>
      <w:numPr>
        <w:numId w:val="4"/>
      </w:numPr>
      <w:tabs>
        <w:tab w:val="left" w:pos="284"/>
      </w:tabs>
      <w:spacing w:before="120" w:after="120"/>
      <w:ind w:left="284" w:hanging="284"/>
    </w:pPr>
  </w:style>
  <w:style w:type="paragraph" w:styleId="ListNumber2">
    <w:name w:val="List Number 2"/>
    <w:uiPriority w:val="10"/>
    <w:qFormat/>
    <w:rsid w:val="00C74066"/>
    <w:pPr>
      <w:numPr>
        <w:numId w:val="5"/>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rsid w:val="00C74066"/>
    <w:pPr>
      <w:numPr>
        <w:numId w:val="6"/>
      </w:numPr>
      <w:tabs>
        <w:tab w:val="clear" w:pos="926"/>
        <w:tab w:val="num" w:pos="851"/>
      </w:tabs>
      <w:spacing w:before="120" w:after="120" w:line="264" w:lineRule="auto"/>
      <w:ind w:left="851" w:hanging="284"/>
    </w:pPr>
    <w:rPr>
      <w:rFonts w:eastAsia="Times New Roman"/>
      <w:sz w:val="22"/>
      <w:szCs w:val="24"/>
      <w:lang w:eastAsia="en-US"/>
    </w:rPr>
  </w:style>
  <w:style w:type="table" w:customStyle="1" w:styleId="LightShading1">
    <w:name w:val="Light Shading1"/>
    <w:basedOn w:val="TableNormal"/>
    <w:uiPriority w:val="60"/>
    <w:rsid w:val="00C7406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C74066"/>
    <w:rPr>
      <w:color w:val="E36C0A"/>
      <w:lang w:val="en-US" w:eastAsia="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13"/>
    <w:qFormat/>
    <w:rsid w:val="00C74066"/>
    <w:pPr>
      <w:spacing w:before="60" w:after="60"/>
    </w:pPr>
    <w:rPr>
      <w:sz w:val="18"/>
    </w:rPr>
  </w:style>
  <w:style w:type="table" w:styleId="TableGrid1">
    <w:name w:val="Table Grid 1"/>
    <w:basedOn w:val="TableNormal"/>
    <w:uiPriority w:val="99"/>
    <w:semiHidden/>
    <w:unhideWhenUsed/>
    <w:rsid w:val="00C74066"/>
    <w:pPr>
      <w:spacing w:after="200"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C74066"/>
    <w:pPr>
      <w:keepNext/>
    </w:pPr>
    <w:rPr>
      <w:b/>
    </w:rPr>
  </w:style>
  <w:style w:type="character" w:styleId="PlaceholderText">
    <w:name w:val="Placeholder Text"/>
    <w:basedOn w:val="DefaultParagraphFont"/>
    <w:uiPriority w:val="99"/>
    <w:semiHidden/>
    <w:rsid w:val="00C74066"/>
    <w:rPr>
      <w:color w:val="808080"/>
    </w:rPr>
  </w:style>
  <w:style w:type="paragraph" w:customStyle="1" w:styleId="Author">
    <w:name w:val="Author"/>
    <w:basedOn w:val="Normal"/>
    <w:next w:val="Normal"/>
    <w:uiPriority w:val="24"/>
    <w:qFormat/>
    <w:rsid w:val="00C74066"/>
    <w:pPr>
      <w:spacing w:after="60"/>
    </w:pPr>
    <w:rPr>
      <w:b/>
      <w:sz w:val="28"/>
      <w:szCs w:val="28"/>
    </w:rPr>
  </w:style>
  <w:style w:type="paragraph" w:customStyle="1" w:styleId="AuthorOrganisationAffiliation">
    <w:name w:val="Author Organisation/Affiliation"/>
    <w:basedOn w:val="Normal"/>
    <w:next w:val="Normal"/>
    <w:uiPriority w:val="25"/>
    <w:qFormat/>
    <w:rsid w:val="00C74066"/>
    <w:pPr>
      <w:spacing w:after="720"/>
    </w:pPr>
  </w:style>
  <w:style w:type="character" w:styleId="Strong">
    <w:name w:val="Strong"/>
    <w:basedOn w:val="DefaultParagraphFont"/>
    <w:uiPriority w:val="22"/>
    <w:qFormat/>
    <w:rsid w:val="00C74066"/>
    <w:rPr>
      <w:b/>
      <w:bCs/>
    </w:rPr>
  </w:style>
  <w:style w:type="paragraph" w:customStyle="1" w:styleId="Glossary">
    <w:name w:val="Glossary"/>
    <w:basedOn w:val="Normal"/>
    <w:link w:val="GlossaryChar"/>
    <w:uiPriority w:val="28"/>
    <w:qFormat/>
    <w:rsid w:val="00C74066"/>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sid w:val="00C74066"/>
    <w:rPr>
      <w:rFonts w:eastAsia="Calibri"/>
      <w:color w:val="000000"/>
      <w:lang w:eastAsia="en-US"/>
    </w:rPr>
  </w:style>
  <w:style w:type="character" w:styleId="Emphasis">
    <w:name w:val="Emphasis"/>
    <w:basedOn w:val="DefaultParagraphFont"/>
    <w:uiPriority w:val="99"/>
    <w:qFormat/>
    <w:rsid w:val="00C74066"/>
    <w:rPr>
      <w:i/>
      <w:iCs/>
    </w:rPr>
  </w:style>
  <w:style w:type="paragraph" w:styleId="TOAHeading">
    <w:name w:val="toa heading"/>
    <w:basedOn w:val="Heading1"/>
    <w:next w:val="Normal"/>
    <w:uiPriority w:val="99"/>
    <w:semiHidden/>
    <w:unhideWhenUsed/>
    <w:rsid w:val="00C74066"/>
    <w:pPr>
      <w:spacing w:before="120"/>
    </w:pPr>
    <w:rPr>
      <w:b/>
      <w:bCs w:val="0"/>
      <w:sz w:val="24"/>
    </w:rPr>
  </w:style>
  <w:style w:type="paragraph" w:styleId="NormalWeb">
    <w:name w:val="Normal (Web)"/>
    <w:basedOn w:val="Normal"/>
    <w:uiPriority w:val="99"/>
    <w:unhideWhenUsed/>
    <w:rsid w:val="00C74066"/>
    <w:pPr>
      <w:spacing w:after="168" w:line="168" w:lineRule="atLeast"/>
      <w:jc w:val="both"/>
    </w:pPr>
    <w:rPr>
      <w:sz w:val="13"/>
      <w:szCs w:val="13"/>
    </w:rPr>
  </w:style>
  <w:style w:type="paragraph" w:customStyle="1" w:styleId="BoxTextBullet">
    <w:name w:val="Box Text Bullet"/>
    <w:basedOn w:val="BoxText"/>
    <w:uiPriority w:val="21"/>
    <w:qFormat/>
    <w:rsid w:val="00C74066"/>
    <w:pPr>
      <w:numPr>
        <w:numId w:val="7"/>
      </w:numPr>
      <w:ind w:left="357" w:hanging="357"/>
    </w:pPr>
  </w:style>
  <w:style w:type="paragraph" w:customStyle="1" w:styleId="TableBullet">
    <w:name w:val="Table Bullet"/>
    <w:basedOn w:val="TableText"/>
    <w:uiPriority w:val="15"/>
    <w:qFormat/>
    <w:rsid w:val="00C74066"/>
    <w:pPr>
      <w:numPr>
        <w:numId w:val="8"/>
      </w:numPr>
    </w:pPr>
  </w:style>
  <w:style w:type="paragraph" w:styleId="DocumentMap">
    <w:name w:val="Document Map"/>
    <w:basedOn w:val="Normal"/>
    <w:link w:val="DocumentMapChar"/>
    <w:uiPriority w:val="99"/>
    <w:unhideWhenUsed/>
    <w:rsid w:val="00C74066"/>
    <w:rPr>
      <w:rFonts w:ascii="Tahoma" w:hAnsi="Tahoma" w:cs="Tahoma"/>
      <w:sz w:val="16"/>
      <w:szCs w:val="16"/>
    </w:rPr>
  </w:style>
  <w:style w:type="character" w:customStyle="1" w:styleId="DocumentMapChar">
    <w:name w:val="Document Map Char"/>
    <w:basedOn w:val="DefaultParagraphFont"/>
    <w:link w:val="DocumentMap"/>
    <w:uiPriority w:val="99"/>
    <w:rsid w:val="00C74066"/>
    <w:rPr>
      <w:rFonts w:ascii="Tahoma" w:eastAsia="Times New Roman" w:hAnsi="Tahoma" w:cs="Tahoma"/>
      <w:sz w:val="16"/>
      <w:szCs w:val="16"/>
    </w:rPr>
  </w:style>
  <w:style w:type="paragraph" w:customStyle="1" w:styleId="TOCHeadingsamepage">
    <w:name w:val="TOC Heading (same page)"/>
    <w:basedOn w:val="TOCHeading"/>
    <w:next w:val="Normal"/>
    <w:uiPriority w:val="39"/>
    <w:rsid w:val="00C74066"/>
    <w:pPr>
      <w:pageBreakBefore w:val="0"/>
    </w:pPr>
  </w:style>
  <w:style w:type="paragraph" w:customStyle="1" w:styleId="BoxHeading">
    <w:name w:val="Box Heading"/>
    <w:basedOn w:val="BoxText"/>
    <w:uiPriority w:val="20"/>
    <w:qFormat/>
    <w:rsid w:val="00C74066"/>
    <w:rPr>
      <w:b/>
    </w:rPr>
  </w:style>
  <w:style w:type="paragraph" w:customStyle="1" w:styleId="Picture">
    <w:name w:val="Picture"/>
    <w:basedOn w:val="Normal"/>
    <w:uiPriority w:val="17"/>
    <w:qFormat/>
    <w:rsid w:val="00C74066"/>
    <w:pPr>
      <w:spacing w:before="120" w:after="120"/>
    </w:pPr>
  </w:style>
  <w:style w:type="paragraph" w:customStyle="1" w:styleId="Securityclassification">
    <w:name w:val="Security classification"/>
    <w:basedOn w:val="Header"/>
    <w:next w:val="Header"/>
    <w:uiPriority w:val="26"/>
    <w:qFormat/>
    <w:rsid w:val="00C74066"/>
    <w:rPr>
      <w:b/>
      <w:caps/>
      <w:color w:val="FF0000"/>
      <w:sz w:val="36"/>
      <w:szCs w:val="36"/>
    </w:rPr>
  </w:style>
  <w:style w:type="paragraph" w:customStyle="1" w:styleId="DisseminationLimitingMarker">
    <w:name w:val="Dissemination Limiting Marker"/>
    <w:basedOn w:val="Header"/>
    <w:next w:val="Header"/>
    <w:uiPriority w:val="27"/>
    <w:qFormat/>
    <w:rsid w:val="00C74066"/>
    <w:rPr>
      <w:b/>
      <w:color w:val="FF0000"/>
      <w:sz w:val="36"/>
      <w:szCs w:val="36"/>
    </w:rPr>
  </w:style>
  <w:style w:type="paragraph" w:styleId="FootnoteText">
    <w:name w:val="footnote text"/>
    <w:basedOn w:val="Normal"/>
    <w:link w:val="FootnoteTextChar"/>
    <w:uiPriority w:val="99"/>
    <w:unhideWhenUsed/>
    <w:rsid w:val="00C74066"/>
    <w:pPr>
      <w:spacing w:after="60" w:line="264" w:lineRule="auto"/>
    </w:pPr>
    <w:rPr>
      <w:sz w:val="20"/>
      <w:szCs w:val="20"/>
    </w:rPr>
  </w:style>
  <w:style w:type="character" w:customStyle="1" w:styleId="FootnoteTextChar">
    <w:name w:val="Footnote Text Char"/>
    <w:basedOn w:val="DefaultParagraphFont"/>
    <w:link w:val="FootnoteText"/>
    <w:uiPriority w:val="99"/>
    <w:rsid w:val="00C74066"/>
    <w:rPr>
      <w:rFonts w:eastAsia="Times New Roman"/>
      <w:sz w:val="20"/>
      <w:szCs w:val="20"/>
    </w:rPr>
  </w:style>
  <w:style w:type="character" w:styleId="FootnoteReference">
    <w:name w:val="footnote reference"/>
    <w:basedOn w:val="DefaultParagraphFont"/>
    <w:uiPriority w:val="99"/>
    <w:unhideWhenUsed/>
    <w:rsid w:val="00C74066"/>
    <w:rPr>
      <w:vertAlign w:val="superscript"/>
    </w:rPr>
  </w:style>
  <w:style w:type="paragraph" w:styleId="EndnoteText">
    <w:name w:val="endnote text"/>
    <w:basedOn w:val="Normal"/>
    <w:link w:val="EndnoteTextChar"/>
    <w:uiPriority w:val="99"/>
    <w:unhideWhenUsed/>
    <w:rsid w:val="00C74066"/>
    <w:pPr>
      <w:spacing w:after="60" w:line="264" w:lineRule="auto"/>
    </w:pPr>
    <w:rPr>
      <w:sz w:val="20"/>
      <w:szCs w:val="20"/>
    </w:rPr>
  </w:style>
  <w:style w:type="character" w:customStyle="1" w:styleId="EndnoteTextChar">
    <w:name w:val="Endnote Text Char"/>
    <w:basedOn w:val="DefaultParagraphFont"/>
    <w:link w:val="EndnoteText"/>
    <w:uiPriority w:val="99"/>
    <w:rsid w:val="00C74066"/>
    <w:rPr>
      <w:rFonts w:eastAsia="Times New Roman"/>
      <w:sz w:val="20"/>
      <w:szCs w:val="20"/>
    </w:rPr>
  </w:style>
  <w:style w:type="character" w:styleId="EndnoteReference">
    <w:name w:val="endnote reference"/>
    <w:basedOn w:val="DefaultParagraphFont"/>
    <w:uiPriority w:val="99"/>
    <w:unhideWhenUsed/>
    <w:rsid w:val="00C74066"/>
    <w:rPr>
      <w:vertAlign w:val="superscript"/>
    </w:rPr>
  </w:style>
  <w:style w:type="character" w:styleId="FollowedHyperlink">
    <w:name w:val="FollowedHyperlink"/>
    <w:basedOn w:val="DefaultParagraphFont"/>
    <w:uiPriority w:val="99"/>
    <w:unhideWhenUsed/>
    <w:rsid w:val="00C74066"/>
    <w:rPr>
      <w:color w:val="800080"/>
      <w:u w:val="single"/>
    </w:rPr>
  </w:style>
  <w:style w:type="paragraph" w:customStyle="1" w:styleId="BoxSource">
    <w:name w:val="Box Source"/>
    <w:basedOn w:val="FigureTableNoteSource"/>
    <w:uiPriority w:val="22"/>
    <w:qFormat/>
    <w:rsid w:val="00C74066"/>
    <w:pPr>
      <w:pBdr>
        <w:top w:val="single" w:sz="4" w:space="10" w:color="auto"/>
        <w:left w:val="single" w:sz="4" w:space="10" w:color="auto"/>
        <w:bottom w:val="single" w:sz="4" w:space="10" w:color="auto"/>
        <w:right w:val="single" w:sz="4" w:space="10" w:color="auto"/>
      </w:pBdr>
    </w:pPr>
    <w:rPr>
      <w:lang w:val="en-US"/>
    </w:rPr>
  </w:style>
  <w:style w:type="paragraph" w:customStyle="1" w:styleId="Heading2Numbered">
    <w:name w:val="Heading 2 Numbered"/>
    <w:basedOn w:val="Heading2"/>
    <w:next w:val="Normal"/>
    <w:qFormat/>
    <w:rsid w:val="00C74066"/>
    <w:pPr>
      <w:numPr>
        <w:numId w:val="9"/>
      </w:numPr>
    </w:pPr>
  </w:style>
  <w:style w:type="paragraph" w:customStyle="1" w:styleId="Heading3Numbered">
    <w:name w:val="Heading 3 Numbered"/>
    <w:basedOn w:val="Heading3"/>
    <w:next w:val="Normal"/>
    <w:link w:val="Heading3NumberedChar"/>
    <w:qFormat/>
    <w:rsid w:val="00C74066"/>
    <w:pPr>
      <w:numPr>
        <w:numId w:val="10"/>
      </w:numPr>
    </w:pPr>
  </w:style>
  <w:style w:type="character" w:customStyle="1" w:styleId="Heading3NumberedChar">
    <w:name w:val="Heading 3 Numbered Char"/>
    <w:basedOn w:val="Heading3Char"/>
    <w:link w:val="Heading3Numbered"/>
    <w:rsid w:val="00C74066"/>
    <w:rPr>
      <w:rFonts w:eastAsiaTheme="minorHAnsi"/>
      <w:b/>
      <w:bCs/>
      <w:lang w:eastAsia="en-US"/>
    </w:rPr>
  </w:style>
  <w:style w:type="paragraph" w:customStyle="1" w:styleId="TableText0">
    <w:name w:val="TableText"/>
    <w:basedOn w:val="Normal"/>
    <w:link w:val="TableTextChar0"/>
    <w:rsid w:val="00C74066"/>
    <w:pPr>
      <w:keepNext/>
      <w:spacing w:before="60" w:after="60"/>
    </w:pPr>
    <w:rPr>
      <w:color w:val="000000"/>
      <w:sz w:val="16"/>
      <w:szCs w:val="20"/>
    </w:rPr>
  </w:style>
  <w:style w:type="character" w:customStyle="1" w:styleId="TableTextChar0">
    <w:name w:val="TableText Char"/>
    <w:basedOn w:val="DefaultParagraphFont"/>
    <w:link w:val="TableText0"/>
    <w:rsid w:val="00C74066"/>
    <w:rPr>
      <w:rFonts w:ascii="Times New Roman" w:eastAsia="Times New Roman" w:hAnsi="Times New Roman"/>
      <w:color w:val="000000"/>
      <w:sz w:val="16"/>
      <w:lang w:eastAsia="en-US"/>
    </w:rPr>
  </w:style>
  <w:style w:type="paragraph" w:customStyle="1" w:styleId="TableNotes">
    <w:name w:val="TableNotes"/>
    <w:basedOn w:val="Normal"/>
    <w:link w:val="TableNotesChar"/>
    <w:uiPriority w:val="99"/>
    <w:rsid w:val="00C74066"/>
    <w:pPr>
      <w:spacing w:before="40" w:after="180"/>
    </w:pPr>
    <w:rPr>
      <w:rFonts w:ascii="Arial Narrow" w:hAnsi="Arial Narrow"/>
      <w:color w:val="000000"/>
      <w:sz w:val="16"/>
    </w:rPr>
  </w:style>
  <w:style w:type="character" w:customStyle="1" w:styleId="TableNotesChar">
    <w:name w:val="TableNotes Char"/>
    <w:basedOn w:val="DefaultParagraphFont"/>
    <w:link w:val="TableNotes"/>
    <w:rsid w:val="00C74066"/>
    <w:rPr>
      <w:rFonts w:ascii="Arial Narrow" w:eastAsia="Times New Roman" w:hAnsi="Arial Narrow"/>
      <w:color w:val="000000"/>
      <w:sz w:val="16"/>
      <w:szCs w:val="24"/>
      <w:lang w:eastAsia="en-US"/>
    </w:rPr>
  </w:style>
  <w:style w:type="paragraph" w:customStyle="1" w:styleId="AQISNum">
    <w:name w:val="AQIS Num"/>
    <w:basedOn w:val="Normal"/>
    <w:next w:val="Normal"/>
    <w:link w:val="AQISNumChar"/>
    <w:uiPriority w:val="99"/>
    <w:rsid w:val="00C74066"/>
    <w:pPr>
      <w:spacing w:before="60" w:line="280" w:lineRule="atLeast"/>
    </w:pPr>
    <w:rPr>
      <w:szCs w:val="20"/>
    </w:rPr>
  </w:style>
  <w:style w:type="character" w:customStyle="1" w:styleId="TableTextChar">
    <w:name w:val="Table Text Char"/>
    <w:basedOn w:val="DefaultParagraphFont"/>
    <w:link w:val="TableText"/>
    <w:uiPriority w:val="13"/>
    <w:rsid w:val="00C74066"/>
    <w:rPr>
      <w:rFonts w:eastAsia="Times New Roman"/>
      <w:sz w:val="18"/>
      <w:szCs w:val="24"/>
      <w:lang w:eastAsia="en-US"/>
    </w:rPr>
  </w:style>
  <w:style w:type="character" w:customStyle="1" w:styleId="AQISNumChar">
    <w:name w:val="AQIS Num Char"/>
    <w:basedOn w:val="DefaultParagraphFont"/>
    <w:link w:val="AQISNum"/>
    <w:uiPriority w:val="99"/>
    <w:rsid w:val="00C74066"/>
    <w:rPr>
      <w:rFonts w:ascii="Times New Roman" w:eastAsia="Times New Roman" w:hAnsi="Times New Roman"/>
      <w:sz w:val="24"/>
      <w:lang w:eastAsia="en-US"/>
    </w:rPr>
  </w:style>
  <w:style w:type="paragraph" w:styleId="ListParagraph">
    <w:name w:val="List Paragraph"/>
    <w:basedOn w:val="Normal"/>
    <w:uiPriority w:val="34"/>
    <w:qFormat/>
    <w:rsid w:val="00C74066"/>
    <w:pPr>
      <w:overflowPunct w:val="0"/>
      <w:autoSpaceDE w:val="0"/>
      <w:autoSpaceDN w:val="0"/>
      <w:adjustRightInd w:val="0"/>
      <w:ind w:left="720"/>
      <w:contextualSpacing/>
      <w:textAlignment w:val="baseline"/>
    </w:pPr>
    <w:rPr>
      <w:szCs w:val="20"/>
    </w:rPr>
  </w:style>
  <w:style w:type="paragraph" w:customStyle="1" w:styleId="AQISBullet">
    <w:name w:val="AQIS Bullet"/>
    <w:basedOn w:val="Normal"/>
    <w:next w:val="Normal"/>
    <w:uiPriority w:val="99"/>
    <w:rsid w:val="00C74066"/>
    <w:pPr>
      <w:widowControl w:val="0"/>
      <w:tabs>
        <w:tab w:val="num" w:pos="360"/>
      </w:tabs>
      <w:adjustRightInd w:val="0"/>
      <w:spacing w:before="60" w:line="280" w:lineRule="atLeast"/>
      <w:ind w:left="360" w:hanging="360"/>
      <w:jc w:val="both"/>
      <w:textAlignment w:val="baseline"/>
    </w:pPr>
    <w:rPr>
      <w:szCs w:val="20"/>
    </w:rPr>
  </w:style>
  <w:style w:type="paragraph" w:customStyle="1" w:styleId="AQISTable">
    <w:name w:val="AQIS Table"/>
    <w:basedOn w:val="Normal"/>
    <w:next w:val="Normal"/>
    <w:uiPriority w:val="99"/>
    <w:rsid w:val="00C74066"/>
    <w:pPr>
      <w:widowControl w:val="0"/>
      <w:tabs>
        <w:tab w:val="num" w:pos="360"/>
      </w:tabs>
      <w:adjustRightInd w:val="0"/>
      <w:spacing w:before="360" w:after="360" w:line="280" w:lineRule="atLeast"/>
      <w:ind w:left="360" w:hanging="360"/>
      <w:jc w:val="center"/>
      <w:textAlignment w:val="baseline"/>
    </w:pPr>
    <w:rPr>
      <w:rFonts w:ascii="Arial" w:hAnsi="Arial"/>
      <w:b/>
      <w:szCs w:val="20"/>
    </w:rPr>
  </w:style>
  <w:style w:type="paragraph" w:customStyle="1" w:styleId="Bullets">
    <w:name w:val="Bullets"/>
    <w:basedOn w:val="Normal"/>
    <w:link w:val="BulletsChar"/>
    <w:uiPriority w:val="99"/>
    <w:qFormat/>
    <w:rsid w:val="00C74066"/>
    <w:pPr>
      <w:spacing w:after="60" w:line="280" w:lineRule="atLeast"/>
      <w:jc w:val="both"/>
    </w:pPr>
  </w:style>
  <w:style w:type="character" w:customStyle="1" w:styleId="BulletsChar">
    <w:name w:val="Bullets Char"/>
    <w:basedOn w:val="DefaultParagraphFont"/>
    <w:link w:val="Bullets"/>
    <w:uiPriority w:val="99"/>
    <w:locked/>
    <w:rsid w:val="00C74066"/>
    <w:rPr>
      <w:rFonts w:ascii="Times New Roman" w:eastAsia="Times New Roman" w:hAnsi="Times New Roman"/>
      <w:sz w:val="24"/>
      <w:szCs w:val="24"/>
      <w:lang w:eastAsia="en-US"/>
    </w:rPr>
  </w:style>
  <w:style w:type="paragraph" w:customStyle="1" w:styleId="AQISText">
    <w:name w:val="AQIS Text"/>
    <w:basedOn w:val="Normal"/>
    <w:link w:val="AQISTextChar"/>
    <w:uiPriority w:val="99"/>
    <w:rsid w:val="00C74066"/>
    <w:pPr>
      <w:widowControl w:val="0"/>
      <w:adjustRightInd w:val="0"/>
      <w:spacing w:before="160" w:line="280" w:lineRule="atLeast"/>
      <w:jc w:val="both"/>
      <w:textAlignment w:val="baseline"/>
    </w:pPr>
    <w:rPr>
      <w:szCs w:val="20"/>
    </w:rPr>
  </w:style>
  <w:style w:type="character" w:customStyle="1" w:styleId="AQISTextChar">
    <w:name w:val="AQIS Text Char"/>
    <w:basedOn w:val="DefaultParagraphFont"/>
    <w:link w:val="AQISText"/>
    <w:uiPriority w:val="99"/>
    <w:rsid w:val="00C74066"/>
    <w:rPr>
      <w:rFonts w:ascii="Times New Roman" w:eastAsia="Times New Roman" w:hAnsi="Times New Roman"/>
      <w:sz w:val="22"/>
      <w:lang w:eastAsia="en-US"/>
    </w:rPr>
  </w:style>
  <w:style w:type="paragraph" w:styleId="BodyText2">
    <w:name w:val="Body Text 2"/>
    <w:basedOn w:val="Normal"/>
    <w:link w:val="BodyText2Char"/>
    <w:uiPriority w:val="99"/>
    <w:rsid w:val="00C74066"/>
    <w:pPr>
      <w:spacing w:line="288" w:lineRule="auto"/>
      <w:jc w:val="both"/>
    </w:pPr>
    <w:rPr>
      <w:szCs w:val="20"/>
    </w:rPr>
  </w:style>
  <w:style w:type="character" w:customStyle="1" w:styleId="BodyText2Char">
    <w:name w:val="Body Text 2 Char"/>
    <w:basedOn w:val="DefaultParagraphFont"/>
    <w:link w:val="BodyText2"/>
    <w:uiPriority w:val="99"/>
    <w:rsid w:val="00C74066"/>
    <w:rPr>
      <w:rFonts w:ascii="Times New Roman" w:eastAsia="Times New Roman" w:hAnsi="Times New Roman"/>
      <w:sz w:val="24"/>
      <w:lang w:eastAsia="en-US"/>
    </w:rPr>
  </w:style>
  <w:style w:type="paragraph" w:customStyle="1" w:styleId="BAHeader3">
    <w:name w:val="BA Header 3"/>
    <w:basedOn w:val="Normal"/>
    <w:next w:val="Normal"/>
    <w:link w:val="BAHeader3CharChar"/>
    <w:uiPriority w:val="99"/>
    <w:rsid w:val="00C74066"/>
    <w:pPr>
      <w:keepNext/>
      <w:keepLines/>
      <w:numPr>
        <w:ilvl w:val="2"/>
        <w:numId w:val="11"/>
      </w:numPr>
      <w:spacing w:before="360" w:after="120" w:line="340" w:lineRule="atLeast"/>
      <w:outlineLvl w:val="2"/>
    </w:pPr>
    <w:rPr>
      <w:rFonts w:ascii="Arial" w:hAnsi="Arial"/>
      <w:b/>
    </w:rPr>
  </w:style>
  <w:style w:type="paragraph" w:customStyle="1" w:styleId="BAHeader1">
    <w:name w:val="BA Header 1"/>
    <w:basedOn w:val="Normal"/>
    <w:next w:val="Normal"/>
    <w:link w:val="BAHeader1CharChar"/>
    <w:uiPriority w:val="99"/>
    <w:rsid w:val="00C74066"/>
    <w:pPr>
      <w:pageBreakBefore/>
      <w:widowControl w:val="0"/>
      <w:numPr>
        <w:numId w:val="11"/>
      </w:numPr>
      <w:pBdr>
        <w:bottom w:val="single" w:sz="4" w:space="1" w:color="auto"/>
      </w:pBdr>
      <w:spacing w:before="120" w:after="360" w:line="340" w:lineRule="atLeast"/>
      <w:outlineLvl w:val="0"/>
    </w:pPr>
    <w:rPr>
      <w:rFonts w:ascii="Arial" w:hAnsi="Arial"/>
      <w:b/>
      <w:sz w:val="28"/>
      <w:szCs w:val="28"/>
    </w:rPr>
  </w:style>
  <w:style w:type="paragraph" w:customStyle="1" w:styleId="BAHeader2">
    <w:name w:val="BA Header 2"/>
    <w:basedOn w:val="Normal"/>
    <w:next w:val="Normal"/>
    <w:link w:val="BAHeader2CharChar"/>
    <w:uiPriority w:val="99"/>
    <w:rsid w:val="00C74066"/>
    <w:pPr>
      <w:keepNext/>
      <w:keepLines/>
      <w:widowControl w:val="0"/>
      <w:numPr>
        <w:ilvl w:val="1"/>
        <w:numId w:val="11"/>
      </w:numPr>
      <w:spacing w:before="360" w:after="120" w:line="340" w:lineRule="atLeast"/>
      <w:outlineLvl w:val="1"/>
    </w:pPr>
    <w:rPr>
      <w:rFonts w:ascii="Arial" w:hAnsi="Arial"/>
      <w:b/>
      <w:sz w:val="28"/>
      <w:szCs w:val="28"/>
    </w:rPr>
  </w:style>
  <w:style w:type="character" w:customStyle="1" w:styleId="BAHeader2CharChar">
    <w:name w:val="BA Header 2 Char Char"/>
    <w:basedOn w:val="DefaultParagraphFont"/>
    <w:link w:val="BAHeader2"/>
    <w:uiPriority w:val="99"/>
    <w:rsid w:val="00C74066"/>
    <w:rPr>
      <w:rFonts w:ascii="Arial" w:eastAsiaTheme="minorHAnsi" w:hAnsi="Arial" w:cstheme="minorBidi"/>
      <w:b/>
      <w:sz w:val="28"/>
      <w:szCs w:val="28"/>
      <w:lang w:eastAsia="en-US"/>
    </w:rPr>
  </w:style>
  <w:style w:type="paragraph" w:customStyle="1" w:styleId="Default">
    <w:name w:val="Default"/>
    <w:rsid w:val="00C74066"/>
    <w:pPr>
      <w:autoSpaceDE w:val="0"/>
      <w:autoSpaceDN w:val="0"/>
      <w:adjustRightInd w:val="0"/>
    </w:pPr>
    <w:rPr>
      <w:rFonts w:ascii="Times New Roman" w:eastAsia="Times New Roman" w:hAnsi="Times New Roman"/>
      <w:color w:val="000000"/>
      <w:sz w:val="24"/>
      <w:szCs w:val="24"/>
    </w:rPr>
  </w:style>
  <w:style w:type="paragraph" w:styleId="BodyTextIndent">
    <w:name w:val="Body Text Indent"/>
    <w:basedOn w:val="Normal"/>
    <w:link w:val="BodyTextIndentChar"/>
    <w:uiPriority w:val="99"/>
    <w:unhideWhenUsed/>
    <w:rsid w:val="00C74066"/>
    <w:pPr>
      <w:spacing w:after="120"/>
      <w:ind w:left="283"/>
    </w:pPr>
  </w:style>
  <w:style w:type="character" w:customStyle="1" w:styleId="BodyTextIndentChar">
    <w:name w:val="Body Text Indent Char"/>
    <w:basedOn w:val="DefaultParagraphFont"/>
    <w:link w:val="BodyTextIndent"/>
    <w:uiPriority w:val="99"/>
    <w:rsid w:val="00C74066"/>
    <w:rPr>
      <w:rFonts w:eastAsia="Times New Roman"/>
      <w:sz w:val="22"/>
      <w:szCs w:val="24"/>
      <w:lang w:eastAsia="en-US"/>
    </w:rPr>
  </w:style>
  <w:style w:type="character" w:customStyle="1" w:styleId="Heading6Char">
    <w:name w:val="Heading 6 Char"/>
    <w:basedOn w:val="DefaultParagraphFont"/>
    <w:link w:val="Heading6"/>
    <w:uiPriority w:val="9"/>
    <w:rsid w:val="00C74066"/>
    <w:rPr>
      <w:rFonts w:ascii="Arial" w:eastAsia="Times New Roman" w:hAnsi="Arial"/>
      <w:b/>
      <w:sz w:val="22"/>
      <w:lang w:eastAsia="en-US"/>
    </w:rPr>
  </w:style>
  <w:style w:type="character" w:customStyle="1" w:styleId="Heading7Char">
    <w:name w:val="Heading 7 Char"/>
    <w:basedOn w:val="DefaultParagraphFont"/>
    <w:link w:val="Heading7"/>
    <w:uiPriority w:val="9"/>
    <w:rsid w:val="00C74066"/>
    <w:rPr>
      <w:rFonts w:ascii="Arial" w:eastAsia="Times New Roman" w:hAnsi="Arial" w:cs="Arial"/>
      <w:b/>
      <w:bCs/>
      <w:szCs w:val="24"/>
      <w:lang w:eastAsia="en-US"/>
    </w:rPr>
  </w:style>
  <w:style w:type="character" w:customStyle="1" w:styleId="Heading8Char">
    <w:name w:val="Heading 8 Char"/>
    <w:basedOn w:val="DefaultParagraphFont"/>
    <w:link w:val="Heading8"/>
    <w:uiPriority w:val="9"/>
    <w:rsid w:val="00C74066"/>
    <w:rPr>
      <w:rFonts w:ascii="Helvetica" w:eastAsia="Times New Roman" w:hAnsi="Helvetica"/>
      <w:b/>
      <w:bCs/>
      <w:szCs w:val="24"/>
      <w:lang w:eastAsia="en-US"/>
    </w:rPr>
  </w:style>
  <w:style w:type="character" w:customStyle="1" w:styleId="Heading9Char">
    <w:name w:val="Heading 9 Char"/>
    <w:basedOn w:val="DefaultParagraphFont"/>
    <w:link w:val="Heading9"/>
    <w:uiPriority w:val="9"/>
    <w:rsid w:val="00C74066"/>
    <w:rPr>
      <w:rFonts w:ascii="Arial" w:eastAsia="Times New Roman" w:hAnsi="Arial" w:cs="Arial"/>
      <w:sz w:val="22"/>
      <w:szCs w:val="22"/>
      <w:lang w:eastAsia="en-US"/>
    </w:rPr>
  </w:style>
  <w:style w:type="paragraph" w:styleId="ListBullet3">
    <w:name w:val="List Bullet 3"/>
    <w:basedOn w:val="Normal"/>
    <w:autoRedefine/>
    <w:uiPriority w:val="99"/>
    <w:rsid w:val="00C74066"/>
    <w:pPr>
      <w:widowControl w:val="0"/>
      <w:tabs>
        <w:tab w:val="num" w:pos="0"/>
      </w:tabs>
      <w:spacing w:before="40" w:after="40" w:line="240" w:lineRule="atLeast"/>
      <w:ind w:left="72"/>
    </w:pPr>
    <w:rPr>
      <w:rFonts w:ascii="Verdana" w:hAnsi="Verdana" w:cs="Arial"/>
      <w:b/>
      <w:sz w:val="18"/>
      <w:szCs w:val="18"/>
    </w:rPr>
  </w:style>
  <w:style w:type="paragraph" w:customStyle="1" w:styleId="AQISPlate">
    <w:name w:val="AQIS Plate"/>
    <w:basedOn w:val="Normal"/>
    <w:next w:val="Normal"/>
    <w:uiPriority w:val="99"/>
    <w:rsid w:val="00C74066"/>
    <w:pPr>
      <w:tabs>
        <w:tab w:val="num" w:pos="720"/>
      </w:tabs>
      <w:spacing w:before="240" w:after="120" w:line="340" w:lineRule="atLeast"/>
      <w:ind w:left="360" w:hanging="360"/>
      <w:jc w:val="center"/>
    </w:pPr>
    <w:rPr>
      <w:b/>
      <w:szCs w:val="20"/>
    </w:rPr>
  </w:style>
  <w:style w:type="paragraph" w:customStyle="1" w:styleId="DotPoint">
    <w:name w:val="DotPoint"/>
    <w:basedOn w:val="Normal"/>
    <w:uiPriority w:val="99"/>
    <w:rsid w:val="00C74066"/>
    <w:pPr>
      <w:tabs>
        <w:tab w:val="num" w:pos="1557"/>
      </w:tabs>
      <w:overflowPunct w:val="0"/>
      <w:autoSpaceDE w:val="0"/>
      <w:autoSpaceDN w:val="0"/>
      <w:adjustRightInd w:val="0"/>
      <w:ind w:left="1557" w:hanging="425"/>
      <w:textAlignment w:val="baseline"/>
    </w:pPr>
    <w:rPr>
      <w:szCs w:val="20"/>
    </w:rPr>
  </w:style>
  <w:style w:type="paragraph" w:customStyle="1" w:styleId="Table">
    <w:name w:val="Table"/>
    <w:basedOn w:val="Normal"/>
    <w:uiPriority w:val="99"/>
    <w:qFormat/>
    <w:rsid w:val="00C74066"/>
    <w:pPr>
      <w:widowControl w:val="0"/>
      <w:numPr>
        <w:numId w:val="12"/>
      </w:numPr>
      <w:spacing w:line="340" w:lineRule="atLeast"/>
      <w:jc w:val="center"/>
    </w:pPr>
    <w:rPr>
      <w:rFonts w:ascii="Arial" w:hAnsi="Arial"/>
      <w:b/>
      <w:sz w:val="20"/>
      <w:szCs w:val="20"/>
    </w:rPr>
  </w:style>
  <w:style w:type="paragraph" w:styleId="BodyText3">
    <w:name w:val="Body Text 3"/>
    <w:basedOn w:val="Normal"/>
    <w:link w:val="BodyText3Char"/>
    <w:uiPriority w:val="99"/>
    <w:rsid w:val="00C74066"/>
    <w:pPr>
      <w:widowControl w:val="0"/>
      <w:spacing w:before="120" w:after="240" w:line="340" w:lineRule="atLeast"/>
    </w:pPr>
    <w:rPr>
      <w:rFonts w:ascii="Arial" w:hAnsi="Arial"/>
      <w:b/>
      <w:sz w:val="28"/>
      <w:szCs w:val="20"/>
    </w:rPr>
  </w:style>
  <w:style w:type="character" w:customStyle="1" w:styleId="BodyText3Char">
    <w:name w:val="Body Text 3 Char"/>
    <w:basedOn w:val="DefaultParagraphFont"/>
    <w:link w:val="BodyText3"/>
    <w:uiPriority w:val="99"/>
    <w:rsid w:val="00C74066"/>
    <w:rPr>
      <w:rFonts w:ascii="Arial" w:eastAsia="Times New Roman" w:hAnsi="Arial"/>
      <w:b/>
      <w:sz w:val="28"/>
      <w:lang w:eastAsia="en-US"/>
    </w:rPr>
  </w:style>
  <w:style w:type="paragraph" w:customStyle="1" w:styleId="AQIS3">
    <w:name w:val="AQIS3"/>
    <w:basedOn w:val="Normal"/>
    <w:next w:val="AQISText"/>
    <w:uiPriority w:val="99"/>
    <w:rsid w:val="00C74066"/>
    <w:pPr>
      <w:keepNext/>
      <w:keepLines/>
      <w:spacing w:before="600" w:after="120" w:line="340" w:lineRule="atLeast"/>
    </w:pPr>
    <w:rPr>
      <w:rFonts w:ascii="Arial" w:hAnsi="Arial"/>
      <w:b/>
      <w:caps/>
      <w:szCs w:val="20"/>
    </w:rPr>
  </w:style>
  <w:style w:type="paragraph" w:customStyle="1" w:styleId="AQISTextCharCharChar">
    <w:name w:val="AQIS Text Char Char Char"/>
    <w:basedOn w:val="Normal"/>
    <w:uiPriority w:val="99"/>
    <w:rsid w:val="00C74066"/>
    <w:pPr>
      <w:spacing w:before="160" w:line="280" w:lineRule="atLeast"/>
    </w:pPr>
  </w:style>
  <w:style w:type="paragraph" w:customStyle="1" w:styleId="AQISTableText">
    <w:name w:val="AQIS Table Text"/>
    <w:basedOn w:val="AQISText"/>
    <w:link w:val="AQISTableTextChar"/>
    <w:uiPriority w:val="99"/>
    <w:rsid w:val="00C74066"/>
    <w:pPr>
      <w:widowControl/>
      <w:adjustRightInd/>
      <w:spacing w:before="60" w:after="60"/>
      <w:jc w:val="left"/>
      <w:textAlignment w:val="auto"/>
    </w:pPr>
    <w:rPr>
      <w:sz w:val="20"/>
    </w:rPr>
  </w:style>
  <w:style w:type="paragraph" w:customStyle="1" w:styleId="AQIS6">
    <w:name w:val="AQIS6"/>
    <w:basedOn w:val="AQISText"/>
    <w:next w:val="AQISText"/>
    <w:uiPriority w:val="99"/>
    <w:rsid w:val="00C74066"/>
    <w:pPr>
      <w:keepNext/>
      <w:keepLines/>
      <w:widowControl/>
      <w:adjustRightInd/>
      <w:spacing w:before="360"/>
      <w:jc w:val="left"/>
      <w:textAlignment w:val="auto"/>
    </w:pPr>
    <w:rPr>
      <w:rFonts w:ascii="Arial" w:hAnsi="Arial"/>
      <w:b/>
    </w:rPr>
  </w:style>
  <w:style w:type="paragraph" w:styleId="BodyText">
    <w:name w:val="Body Text"/>
    <w:basedOn w:val="Normal"/>
    <w:link w:val="BodyTextChar"/>
    <w:rsid w:val="00C74066"/>
    <w:pPr>
      <w:widowControl w:val="0"/>
      <w:spacing w:before="240" w:after="120" w:line="340" w:lineRule="atLeast"/>
      <w:jc w:val="center"/>
    </w:pPr>
    <w:rPr>
      <w:b/>
      <w:sz w:val="28"/>
      <w:szCs w:val="20"/>
    </w:rPr>
  </w:style>
  <w:style w:type="character" w:customStyle="1" w:styleId="BodyTextChar">
    <w:name w:val="Body Text Char"/>
    <w:basedOn w:val="DefaultParagraphFont"/>
    <w:link w:val="BodyText"/>
    <w:rsid w:val="00C74066"/>
    <w:rPr>
      <w:rFonts w:ascii="Times New Roman" w:eastAsia="Times New Roman" w:hAnsi="Times New Roman"/>
      <w:b/>
      <w:sz w:val="28"/>
      <w:lang w:eastAsia="en-US"/>
    </w:rPr>
  </w:style>
  <w:style w:type="paragraph" w:customStyle="1" w:styleId="AQISsub2">
    <w:name w:val="AQISsub 2"/>
    <w:basedOn w:val="Normal"/>
    <w:next w:val="Normal"/>
    <w:uiPriority w:val="99"/>
    <w:rsid w:val="00C74066"/>
    <w:pPr>
      <w:keepNext/>
      <w:keepLines/>
      <w:widowControl w:val="0"/>
      <w:tabs>
        <w:tab w:val="num" w:pos="360"/>
      </w:tabs>
      <w:spacing w:before="120" w:after="60" w:line="340" w:lineRule="atLeast"/>
      <w:ind w:left="360" w:hanging="360"/>
    </w:pPr>
    <w:rPr>
      <w:rFonts w:ascii="Arial" w:hAnsi="Arial"/>
      <w:b/>
      <w:sz w:val="20"/>
      <w:szCs w:val="20"/>
    </w:rPr>
  </w:style>
  <w:style w:type="paragraph" w:customStyle="1" w:styleId="AQIS2">
    <w:name w:val="AQIS2"/>
    <w:basedOn w:val="AQIS1"/>
    <w:uiPriority w:val="99"/>
    <w:rsid w:val="00C74066"/>
    <w:pPr>
      <w:pBdr>
        <w:bottom w:val="single" w:sz="8" w:space="1" w:color="auto"/>
      </w:pBdr>
      <w:spacing w:after="480"/>
    </w:pPr>
    <w:rPr>
      <w:sz w:val="26"/>
    </w:rPr>
  </w:style>
  <w:style w:type="paragraph" w:customStyle="1" w:styleId="AQIS1">
    <w:name w:val="AQIS1"/>
    <w:basedOn w:val="Normal"/>
    <w:next w:val="AQISText"/>
    <w:uiPriority w:val="99"/>
    <w:rsid w:val="00C74066"/>
    <w:pPr>
      <w:widowControl w:val="0"/>
      <w:pBdr>
        <w:bottom w:val="single" w:sz="4" w:space="1" w:color="auto"/>
      </w:pBdr>
      <w:spacing w:before="120" w:after="360" w:line="340" w:lineRule="atLeast"/>
      <w:jc w:val="right"/>
    </w:pPr>
    <w:rPr>
      <w:rFonts w:ascii="Arial" w:hAnsi="Arial"/>
      <w:b/>
      <w:caps/>
      <w:sz w:val="28"/>
      <w:szCs w:val="20"/>
    </w:rPr>
  </w:style>
  <w:style w:type="paragraph" w:styleId="BodyTextIndent3">
    <w:name w:val="Body Text Indent 3"/>
    <w:basedOn w:val="Normal"/>
    <w:link w:val="BodyTextIndent3Char"/>
    <w:uiPriority w:val="99"/>
    <w:rsid w:val="00C74066"/>
    <w:pPr>
      <w:ind w:left="1440" w:hanging="1440"/>
      <w:jc w:val="both"/>
    </w:pPr>
  </w:style>
  <w:style w:type="character" w:customStyle="1" w:styleId="BodyTextIndent3Char">
    <w:name w:val="Body Text Indent 3 Char"/>
    <w:basedOn w:val="DefaultParagraphFont"/>
    <w:link w:val="BodyTextIndent3"/>
    <w:uiPriority w:val="99"/>
    <w:rsid w:val="00C74066"/>
    <w:rPr>
      <w:rFonts w:ascii="Times New Roman" w:eastAsia="Times New Roman" w:hAnsi="Times New Roman"/>
      <w:sz w:val="24"/>
      <w:szCs w:val="24"/>
      <w:lang w:eastAsia="en-US"/>
    </w:rPr>
  </w:style>
  <w:style w:type="paragraph" w:customStyle="1" w:styleId="References">
    <w:name w:val="References"/>
    <w:basedOn w:val="BodyText"/>
    <w:link w:val="ReferencesChar"/>
    <w:uiPriority w:val="99"/>
    <w:rsid w:val="00C74066"/>
    <w:pPr>
      <w:widowControl/>
      <w:tabs>
        <w:tab w:val="left" w:pos="567"/>
        <w:tab w:val="left" w:pos="1134"/>
        <w:tab w:val="left" w:pos="1701"/>
        <w:tab w:val="left" w:pos="2268"/>
        <w:tab w:val="left" w:pos="2835"/>
        <w:tab w:val="left" w:pos="3402"/>
        <w:tab w:val="left" w:pos="3969"/>
      </w:tabs>
      <w:spacing w:before="0" w:line="288" w:lineRule="auto"/>
      <w:ind w:left="284" w:hanging="284"/>
      <w:jc w:val="both"/>
    </w:pPr>
    <w:rPr>
      <w:rFonts w:ascii="Arial" w:hAnsi="Arial"/>
      <w:b w:val="0"/>
      <w:sz w:val="22"/>
    </w:rPr>
  </w:style>
  <w:style w:type="character" w:styleId="PageNumber">
    <w:name w:val="page number"/>
    <w:basedOn w:val="DefaultParagraphFont"/>
    <w:rsid w:val="00C74066"/>
  </w:style>
  <w:style w:type="paragraph" w:customStyle="1" w:styleId="para">
    <w:name w:val="para"/>
    <w:basedOn w:val="Normal"/>
    <w:next w:val="Normal"/>
    <w:uiPriority w:val="99"/>
    <w:rsid w:val="00C74066"/>
    <w:pPr>
      <w:spacing w:before="120" w:after="240"/>
    </w:pPr>
    <w:rPr>
      <w:szCs w:val="20"/>
    </w:rPr>
  </w:style>
  <w:style w:type="paragraph" w:styleId="BodyTextIndent2">
    <w:name w:val="Body Text Indent 2"/>
    <w:basedOn w:val="Normal"/>
    <w:link w:val="BodyTextIndent2Char"/>
    <w:uiPriority w:val="99"/>
    <w:rsid w:val="00C74066"/>
    <w:pPr>
      <w:spacing w:before="160" w:after="120" w:line="300" w:lineRule="atLeast"/>
      <w:ind w:left="1259" w:hanging="1259"/>
      <w:jc w:val="both"/>
    </w:pPr>
    <w:rPr>
      <w:rFonts w:ascii="Arial" w:hAnsi="Arial" w:cs="Arial"/>
      <w:b/>
      <w:bCs/>
    </w:rPr>
  </w:style>
  <w:style w:type="character" w:customStyle="1" w:styleId="BodyTextIndent2Char">
    <w:name w:val="Body Text Indent 2 Char"/>
    <w:basedOn w:val="DefaultParagraphFont"/>
    <w:link w:val="BodyTextIndent2"/>
    <w:uiPriority w:val="99"/>
    <w:rsid w:val="00C74066"/>
    <w:rPr>
      <w:rFonts w:ascii="Arial" w:eastAsia="Times New Roman" w:hAnsi="Arial" w:cs="Arial"/>
      <w:b/>
      <w:bCs/>
      <w:sz w:val="22"/>
      <w:szCs w:val="24"/>
      <w:lang w:eastAsia="en-US"/>
    </w:rPr>
  </w:style>
  <w:style w:type="paragraph" w:customStyle="1" w:styleId="AQIS5">
    <w:name w:val="AQIS5"/>
    <w:basedOn w:val="Normal"/>
    <w:next w:val="AQISText"/>
    <w:link w:val="AQIS5Char"/>
    <w:uiPriority w:val="99"/>
    <w:rsid w:val="00C74066"/>
    <w:pPr>
      <w:keepNext/>
      <w:keepLines/>
      <w:widowControl w:val="0"/>
      <w:spacing w:before="360" w:line="340" w:lineRule="atLeast"/>
    </w:pPr>
    <w:rPr>
      <w:rFonts w:ascii="Arial" w:hAnsi="Arial"/>
      <w:b/>
      <w:szCs w:val="20"/>
    </w:rPr>
  </w:style>
  <w:style w:type="paragraph" w:styleId="TOC4">
    <w:name w:val="toc 4"/>
    <w:basedOn w:val="Normal"/>
    <w:next w:val="Normal"/>
    <w:autoRedefine/>
    <w:uiPriority w:val="99"/>
    <w:semiHidden/>
    <w:rsid w:val="00C74066"/>
    <w:pPr>
      <w:tabs>
        <w:tab w:val="left" w:pos="1800"/>
        <w:tab w:val="right" w:leader="dot" w:pos="8755"/>
      </w:tabs>
      <w:spacing w:before="20" w:after="20" w:line="240" w:lineRule="atLeast"/>
      <w:ind w:left="1800" w:hanging="1080"/>
    </w:pPr>
    <w:rPr>
      <w:rFonts w:ascii="Helvetica" w:hAnsi="Helvetica"/>
      <w:i/>
      <w:sz w:val="20"/>
      <w:szCs w:val="20"/>
    </w:rPr>
  </w:style>
  <w:style w:type="paragraph" w:styleId="TOC5">
    <w:name w:val="toc 5"/>
    <w:basedOn w:val="Normal"/>
    <w:next w:val="Normal"/>
    <w:autoRedefine/>
    <w:uiPriority w:val="99"/>
    <w:semiHidden/>
    <w:rsid w:val="00C74066"/>
    <w:pPr>
      <w:tabs>
        <w:tab w:val="left" w:pos="2040"/>
        <w:tab w:val="right" w:leader="dot" w:pos="8755"/>
      </w:tabs>
      <w:ind w:left="960"/>
    </w:pPr>
    <w:rPr>
      <w:rFonts w:ascii="Arial" w:hAnsi="Arial" w:cs="Arial"/>
      <w:sz w:val="20"/>
      <w:szCs w:val="20"/>
    </w:rPr>
  </w:style>
  <w:style w:type="paragraph" w:styleId="TOC6">
    <w:name w:val="toc 6"/>
    <w:basedOn w:val="Normal"/>
    <w:next w:val="Normal"/>
    <w:autoRedefine/>
    <w:uiPriority w:val="99"/>
    <w:semiHidden/>
    <w:rsid w:val="00C74066"/>
    <w:pPr>
      <w:ind w:left="1200"/>
    </w:pPr>
  </w:style>
  <w:style w:type="paragraph" w:styleId="TOC7">
    <w:name w:val="toc 7"/>
    <w:basedOn w:val="Normal"/>
    <w:next w:val="Normal"/>
    <w:autoRedefine/>
    <w:uiPriority w:val="99"/>
    <w:semiHidden/>
    <w:rsid w:val="00C74066"/>
    <w:pPr>
      <w:ind w:left="1440"/>
    </w:pPr>
  </w:style>
  <w:style w:type="paragraph" w:styleId="TOC8">
    <w:name w:val="toc 8"/>
    <w:basedOn w:val="Normal"/>
    <w:next w:val="Normal"/>
    <w:autoRedefine/>
    <w:uiPriority w:val="99"/>
    <w:semiHidden/>
    <w:rsid w:val="00C74066"/>
    <w:pPr>
      <w:ind w:left="1680"/>
    </w:pPr>
  </w:style>
  <w:style w:type="paragraph" w:styleId="TOC9">
    <w:name w:val="toc 9"/>
    <w:basedOn w:val="Normal"/>
    <w:next w:val="Normal"/>
    <w:autoRedefine/>
    <w:uiPriority w:val="99"/>
    <w:semiHidden/>
    <w:rsid w:val="00C74066"/>
    <w:pPr>
      <w:ind w:left="1920"/>
    </w:pPr>
  </w:style>
  <w:style w:type="character" w:customStyle="1" w:styleId="goohl0">
    <w:name w:val="goohl0"/>
    <w:basedOn w:val="DefaultParagraphFont"/>
    <w:uiPriority w:val="99"/>
    <w:rsid w:val="00C74066"/>
  </w:style>
  <w:style w:type="character" w:customStyle="1" w:styleId="goohl1">
    <w:name w:val="goohl1"/>
    <w:basedOn w:val="DefaultParagraphFont"/>
    <w:uiPriority w:val="99"/>
    <w:rsid w:val="00C74066"/>
  </w:style>
  <w:style w:type="character" w:customStyle="1" w:styleId="goohl2">
    <w:name w:val="goohl2"/>
    <w:basedOn w:val="DefaultParagraphFont"/>
    <w:uiPriority w:val="99"/>
    <w:rsid w:val="00C74066"/>
  </w:style>
  <w:style w:type="character" w:customStyle="1" w:styleId="goohl3">
    <w:name w:val="goohl3"/>
    <w:basedOn w:val="DefaultParagraphFont"/>
    <w:uiPriority w:val="99"/>
    <w:rsid w:val="00C74066"/>
  </w:style>
  <w:style w:type="character" w:customStyle="1" w:styleId="homesmall">
    <w:name w:val="homesmall"/>
    <w:basedOn w:val="DefaultParagraphFont"/>
    <w:uiPriority w:val="99"/>
    <w:rsid w:val="00C74066"/>
  </w:style>
  <w:style w:type="paragraph" w:styleId="PlainText">
    <w:name w:val="Plain Text"/>
    <w:basedOn w:val="Normal"/>
    <w:link w:val="PlainTextChar"/>
    <w:uiPriority w:val="99"/>
    <w:rsid w:val="00C74066"/>
    <w:rPr>
      <w:rFonts w:ascii="Courier New" w:hAnsi="Courier New"/>
      <w:sz w:val="20"/>
      <w:szCs w:val="20"/>
    </w:rPr>
  </w:style>
  <w:style w:type="character" w:customStyle="1" w:styleId="PlainTextChar">
    <w:name w:val="Plain Text Char"/>
    <w:basedOn w:val="DefaultParagraphFont"/>
    <w:link w:val="PlainText"/>
    <w:uiPriority w:val="99"/>
    <w:rsid w:val="00C74066"/>
    <w:rPr>
      <w:rFonts w:ascii="Courier New" w:eastAsia="Times New Roman" w:hAnsi="Courier New"/>
      <w:lang w:eastAsia="en-US"/>
    </w:rPr>
  </w:style>
  <w:style w:type="paragraph" w:styleId="NormalIndent">
    <w:name w:val="Normal Indent"/>
    <w:basedOn w:val="Normal"/>
    <w:uiPriority w:val="99"/>
    <w:rsid w:val="00C74066"/>
    <w:pPr>
      <w:widowControl w:val="0"/>
      <w:spacing w:line="340" w:lineRule="atLeast"/>
      <w:ind w:left="720"/>
    </w:pPr>
    <w:rPr>
      <w:szCs w:val="20"/>
    </w:rPr>
  </w:style>
  <w:style w:type="paragraph" w:customStyle="1" w:styleId="DSUSubparaChar">
    <w:name w:val="DSU Sub para Char"/>
    <w:basedOn w:val="Normal"/>
    <w:rsid w:val="00C74066"/>
    <w:pPr>
      <w:numPr>
        <w:numId w:val="13"/>
      </w:numPr>
      <w:autoSpaceDE w:val="0"/>
      <w:autoSpaceDN w:val="0"/>
      <w:adjustRightInd w:val="0"/>
      <w:spacing w:before="240" w:after="240"/>
    </w:pPr>
    <w:rPr>
      <w:rFonts w:ascii="TimesNewRoman" w:eastAsia="SimSun" w:hAnsi="TimesNewRoman"/>
      <w:lang w:eastAsia="zh-CN"/>
    </w:rPr>
  </w:style>
  <w:style w:type="paragraph" w:customStyle="1" w:styleId="Heading1Egypt">
    <w:name w:val="Heading 1 Egypt"/>
    <w:basedOn w:val="Heading4"/>
    <w:next w:val="AQISText"/>
    <w:autoRedefine/>
    <w:rsid w:val="00C74066"/>
    <w:pPr>
      <w:keepLines w:val="0"/>
      <w:widowControl w:val="0"/>
      <w:numPr>
        <w:numId w:val="14"/>
      </w:numPr>
      <w:tabs>
        <w:tab w:val="clear" w:pos="360"/>
        <w:tab w:val="num" w:pos="432"/>
      </w:tabs>
      <w:spacing w:before="240" w:after="60" w:line="340" w:lineRule="atLeast"/>
      <w:ind w:left="432" w:hanging="432"/>
    </w:pPr>
    <w:rPr>
      <w:rFonts w:ascii="Arial" w:hAnsi="Arial"/>
      <w:bCs w:val="0"/>
      <w:iCs w:val="0"/>
      <w:caps/>
      <w:sz w:val="28"/>
      <w:szCs w:val="20"/>
    </w:rPr>
  </w:style>
  <w:style w:type="paragraph" w:customStyle="1" w:styleId="Heading3Egypt">
    <w:name w:val="Heading 3 Egypt"/>
    <w:basedOn w:val="Heading2"/>
    <w:autoRedefine/>
    <w:rsid w:val="00C74066"/>
    <w:pPr>
      <w:keepLines w:val="0"/>
      <w:numPr>
        <w:ilvl w:val="2"/>
        <w:numId w:val="14"/>
      </w:numPr>
      <w:tabs>
        <w:tab w:val="left" w:pos="1134"/>
      </w:tabs>
      <w:spacing w:before="240" w:after="60"/>
    </w:pPr>
    <w:rPr>
      <w:rFonts w:ascii="Arial" w:hAnsi="Arial"/>
      <w:bCs w:val="0"/>
      <w:i/>
      <w:sz w:val="24"/>
      <w:szCs w:val="20"/>
    </w:rPr>
  </w:style>
  <w:style w:type="paragraph" w:customStyle="1" w:styleId="Heading2Egypt">
    <w:name w:val="Heading 2 Egypt"/>
    <w:basedOn w:val="Heading1Egypt"/>
    <w:next w:val="AQISText"/>
    <w:autoRedefine/>
    <w:rsid w:val="00C74066"/>
    <w:pPr>
      <w:numPr>
        <w:ilvl w:val="1"/>
      </w:numPr>
      <w:tabs>
        <w:tab w:val="clear" w:pos="720"/>
        <w:tab w:val="num" w:pos="576"/>
      </w:tabs>
      <w:ind w:left="576" w:hanging="576"/>
      <w:outlineLvl w:val="1"/>
    </w:pPr>
    <w:rPr>
      <w:caps w:val="0"/>
      <w:sz w:val="24"/>
    </w:rPr>
  </w:style>
  <w:style w:type="paragraph" w:customStyle="1" w:styleId="AQIS4">
    <w:name w:val="AQIS4"/>
    <w:basedOn w:val="Normal"/>
    <w:next w:val="AQISText"/>
    <w:link w:val="AQIS4Char"/>
    <w:uiPriority w:val="99"/>
    <w:rsid w:val="00C74066"/>
    <w:pPr>
      <w:keepNext/>
      <w:keepLines/>
      <w:widowControl w:val="0"/>
      <w:spacing w:before="360" w:line="340" w:lineRule="atLeast"/>
    </w:pPr>
    <w:rPr>
      <w:rFonts w:ascii="Arial" w:hAnsi="Arial"/>
      <w:b/>
      <w:szCs w:val="20"/>
    </w:rPr>
  </w:style>
  <w:style w:type="paragraph" w:customStyle="1" w:styleId="BAText1">
    <w:name w:val="BA Text 1"/>
    <w:basedOn w:val="Normal"/>
    <w:link w:val="BAText1Char"/>
    <w:rsid w:val="00C74066"/>
    <w:pPr>
      <w:spacing w:line="280" w:lineRule="atLeast"/>
      <w:jc w:val="both"/>
    </w:pPr>
    <w:rPr>
      <w:rFonts w:ascii="Times" w:hAnsi="Times"/>
    </w:rPr>
  </w:style>
  <w:style w:type="character" w:customStyle="1" w:styleId="BAText1Char">
    <w:name w:val="BA Text 1 Char"/>
    <w:basedOn w:val="DefaultParagraphFont"/>
    <w:link w:val="BAText1"/>
    <w:rsid w:val="00C74066"/>
    <w:rPr>
      <w:rFonts w:ascii="Times" w:eastAsia="Times New Roman" w:hAnsi="Times"/>
      <w:sz w:val="24"/>
      <w:szCs w:val="24"/>
      <w:lang w:eastAsia="en-US"/>
    </w:rPr>
  </w:style>
  <w:style w:type="paragraph" w:customStyle="1" w:styleId="BAText">
    <w:name w:val="BA Text"/>
    <w:basedOn w:val="Normal"/>
    <w:link w:val="BATextCharChar"/>
    <w:uiPriority w:val="99"/>
    <w:rsid w:val="00C74066"/>
    <w:pPr>
      <w:spacing w:after="120" w:line="260" w:lineRule="atLeast"/>
    </w:pPr>
    <w:rPr>
      <w:bCs/>
      <w:szCs w:val="20"/>
    </w:rPr>
  </w:style>
  <w:style w:type="character" w:customStyle="1" w:styleId="BATextCharChar">
    <w:name w:val="BA Text Char Char"/>
    <w:basedOn w:val="DefaultParagraphFont"/>
    <w:link w:val="BAText"/>
    <w:uiPriority w:val="99"/>
    <w:rsid w:val="00C74066"/>
    <w:rPr>
      <w:rFonts w:ascii="Times New Roman" w:eastAsia="Times New Roman" w:hAnsi="Times New Roman"/>
      <w:bCs/>
      <w:sz w:val="22"/>
      <w:lang w:eastAsia="en-US"/>
    </w:rPr>
  </w:style>
  <w:style w:type="paragraph" w:customStyle="1" w:styleId="BAText1bullet">
    <w:name w:val="BA Text 1 bullet"/>
    <w:basedOn w:val="BAText1"/>
    <w:link w:val="BAText1bulletChar"/>
    <w:rsid w:val="00C74066"/>
  </w:style>
  <w:style w:type="paragraph" w:customStyle="1" w:styleId="BAReftext1">
    <w:name w:val="BA Ref text 1"/>
    <w:basedOn w:val="Normal"/>
    <w:link w:val="BAReftext1Char"/>
    <w:uiPriority w:val="99"/>
    <w:rsid w:val="00C74066"/>
    <w:pPr>
      <w:tabs>
        <w:tab w:val="left" w:pos="360"/>
      </w:tabs>
      <w:spacing w:before="180" w:line="200" w:lineRule="atLeast"/>
      <w:ind w:left="357" w:hanging="357"/>
      <w:jc w:val="both"/>
    </w:pPr>
    <w:rPr>
      <w:rFonts w:ascii="Times" w:hAnsi="Times"/>
    </w:rPr>
  </w:style>
  <w:style w:type="character" w:customStyle="1" w:styleId="BAReftext1Char">
    <w:name w:val="BA Ref text 1 Char"/>
    <w:basedOn w:val="DefaultParagraphFont"/>
    <w:link w:val="BAReftext1"/>
    <w:uiPriority w:val="99"/>
    <w:rsid w:val="00C74066"/>
    <w:rPr>
      <w:rFonts w:ascii="Times" w:eastAsia="Times New Roman" w:hAnsi="Times"/>
      <w:sz w:val="24"/>
      <w:szCs w:val="22"/>
      <w:lang w:eastAsia="en-US"/>
    </w:rPr>
  </w:style>
  <w:style w:type="paragraph" w:customStyle="1" w:styleId="references0">
    <w:name w:val="references"/>
    <w:basedOn w:val="paraChar"/>
    <w:uiPriority w:val="99"/>
    <w:rsid w:val="00C74066"/>
    <w:pPr>
      <w:numPr>
        <w:numId w:val="0"/>
      </w:numPr>
      <w:tabs>
        <w:tab w:val="num" w:pos="567"/>
      </w:tabs>
      <w:ind w:left="851" w:hanging="851"/>
    </w:pPr>
  </w:style>
  <w:style w:type="paragraph" w:customStyle="1" w:styleId="paraChar">
    <w:name w:val="para Char"/>
    <w:basedOn w:val="Normal"/>
    <w:next w:val="Normal"/>
    <w:uiPriority w:val="99"/>
    <w:rsid w:val="00C74066"/>
    <w:pPr>
      <w:numPr>
        <w:numId w:val="15"/>
      </w:numPr>
      <w:tabs>
        <w:tab w:val="clear" w:pos="360"/>
      </w:tabs>
      <w:spacing w:before="120" w:after="240"/>
      <w:ind w:left="0" w:firstLine="0"/>
    </w:pPr>
    <w:rPr>
      <w:szCs w:val="20"/>
    </w:rPr>
  </w:style>
  <w:style w:type="character" w:customStyle="1" w:styleId="bigger1">
    <w:name w:val="bigger1"/>
    <w:basedOn w:val="DefaultParagraphFont"/>
    <w:uiPriority w:val="99"/>
    <w:rsid w:val="00C74066"/>
    <w:rPr>
      <w:sz w:val="27"/>
      <w:szCs w:val="27"/>
    </w:rPr>
  </w:style>
  <w:style w:type="paragraph" w:customStyle="1" w:styleId="fieldvalue">
    <w:name w:val="fieldvalue"/>
    <w:basedOn w:val="Normal"/>
    <w:uiPriority w:val="99"/>
    <w:rsid w:val="00C74066"/>
    <w:pPr>
      <w:spacing w:before="15" w:after="45"/>
      <w:ind w:right="90"/>
    </w:pPr>
    <w:rPr>
      <w:rFonts w:ascii="Verdana" w:hAnsi="Verdana"/>
      <w:color w:val="000000"/>
      <w:sz w:val="17"/>
      <w:szCs w:val="17"/>
    </w:rPr>
  </w:style>
  <w:style w:type="paragraph" w:customStyle="1" w:styleId="hangingnoindent">
    <w:name w:val="hangingnoindent"/>
    <w:basedOn w:val="Normal"/>
    <w:uiPriority w:val="99"/>
    <w:rsid w:val="00C74066"/>
    <w:pPr>
      <w:spacing w:after="120"/>
      <w:ind w:left="480" w:hanging="480"/>
    </w:pPr>
    <w:rPr>
      <w:sz w:val="19"/>
      <w:szCs w:val="19"/>
    </w:rPr>
  </w:style>
  <w:style w:type="paragraph" w:customStyle="1" w:styleId="AQISReferences">
    <w:name w:val="AQIS References"/>
    <w:basedOn w:val="Normal"/>
    <w:link w:val="AQISReferencesCharChar"/>
    <w:uiPriority w:val="99"/>
    <w:rsid w:val="00C74066"/>
    <w:pPr>
      <w:tabs>
        <w:tab w:val="left" w:pos="567"/>
        <w:tab w:val="left" w:pos="1134"/>
        <w:tab w:val="left" w:pos="1701"/>
        <w:tab w:val="left" w:pos="2268"/>
        <w:tab w:val="left" w:pos="2835"/>
        <w:tab w:val="left" w:pos="3402"/>
        <w:tab w:val="left" w:pos="3969"/>
      </w:tabs>
      <w:spacing w:after="120" w:line="288" w:lineRule="auto"/>
      <w:ind w:left="284" w:hanging="284"/>
    </w:pPr>
  </w:style>
  <w:style w:type="character" w:customStyle="1" w:styleId="AQISReferencesCharChar">
    <w:name w:val="AQIS References Char Char"/>
    <w:basedOn w:val="DefaultParagraphFont"/>
    <w:link w:val="AQISReferences"/>
    <w:uiPriority w:val="99"/>
    <w:rsid w:val="00C74066"/>
    <w:rPr>
      <w:rFonts w:ascii="Times New Roman" w:eastAsia="Times New Roman" w:hAnsi="Times New Roman"/>
      <w:sz w:val="24"/>
      <w:szCs w:val="24"/>
      <w:lang w:eastAsia="en-US"/>
    </w:rPr>
  </w:style>
  <w:style w:type="paragraph" w:customStyle="1" w:styleId="AQISFigure">
    <w:name w:val="AQIS Figure"/>
    <w:basedOn w:val="AQISText"/>
    <w:next w:val="AQISText"/>
    <w:uiPriority w:val="99"/>
    <w:rsid w:val="00C74066"/>
    <w:pPr>
      <w:widowControl/>
      <w:tabs>
        <w:tab w:val="left" w:pos="1134"/>
        <w:tab w:val="left" w:pos="1418"/>
      </w:tabs>
      <w:adjustRightInd/>
      <w:spacing w:before="360" w:after="360"/>
      <w:jc w:val="center"/>
      <w:textAlignment w:val="auto"/>
    </w:pPr>
    <w:rPr>
      <w:rFonts w:ascii="Arial" w:hAnsi="Arial"/>
      <w:b/>
    </w:rPr>
  </w:style>
  <w:style w:type="character" w:customStyle="1" w:styleId="BAHeader3CharChar">
    <w:name w:val="BA Header 3 Char Char"/>
    <w:basedOn w:val="DefaultParagraphFont"/>
    <w:link w:val="BAHeader3"/>
    <w:uiPriority w:val="99"/>
    <w:rsid w:val="00C74066"/>
    <w:rPr>
      <w:rFonts w:ascii="Arial" w:eastAsiaTheme="minorHAnsi" w:hAnsi="Arial" w:cstheme="minorBidi"/>
      <w:b/>
      <w:sz w:val="22"/>
      <w:szCs w:val="22"/>
      <w:lang w:eastAsia="en-US"/>
    </w:rPr>
  </w:style>
  <w:style w:type="paragraph" w:customStyle="1" w:styleId="Bulletsingle">
    <w:name w:val="Bullet (single)"/>
    <w:basedOn w:val="Normal"/>
    <w:uiPriority w:val="99"/>
    <w:rsid w:val="00C74066"/>
    <w:pPr>
      <w:widowControl w:val="0"/>
      <w:numPr>
        <w:numId w:val="16"/>
      </w:numPr>
      <w:spacing w:before="60" w:line="340" w:lineRule="atLeast"/>
    </w:pPr>
    <w:rPr>
      <w:szCs w:val="20"/>
    </w:rPr>
  </w:style>
  <w:style w:type="paragraph" w:customStyle="1" w:styleId="dot0">
    <w:name w:val="dot"/>
    <w:basedOn w:val="Normal"/>
    <w:uiPriority w:val="99"/>
    <w:rsid w:val="00C74066"/>
    <w:pPr>
      <w:numPr>
        <w:numId w:val="29"/>
      </w:numPr>
    </w:pPr>
  </w:style>
  <w:style w:type="paragraph" w:customStyle="1" w:styleId="aqisnum0">
    <w:name w:val="aqisnum"/>
    <w:basedOn w:val="Normal"/>
    <w:uiPriority w:val="99"/>
    <w:rsid w:val="00C74066"/>
    <w:pPr>
      <w:spacing w:before="100" w:beforeAutospacing="1" w:after="100" w:afterAutospacing="1"/>
    </w:pPr>
  </w:style>
  <w:style w:type="table" w:styleId="TableSimple1">
    <w:name w:val="Table Simple 1"/>
    <w:basedOn w:val="TableNormal"/>
    <w:uiPriority w:val="99"/>
    <w:rsid w:val="00C74066"/>
    <w:pPr>
      <w:widowControl w:val="0"/>
      <w:spacing w:line="340" w:lineRule="atLeast"/>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listdetail1">
    <w:name w:val="listdetail1"/>
    <w:basedOn w:val="DefaultParagraphFont"/>
    <w:uiPriority w:val="99"/>
    <w:rsid w:val="00C74066"/>
    <w:rPr>
      <w:rFonts w:ascii="arial sans-serif small" w:hAnsi="arial sans-serif small" w:hint="default"/>
      <w:color w:val="333333"/>
      <w:sz w:val="20"/>
      <w:szCs w:val="20"/>
    </w:rPr>
  </w:style>
  <w:style w:type="paragraph" w:customStyle="1" w:styleId="AppendixHeading1">
    <w:name w:val="Appendix Heading 1."/>
    <w:basedOn w:val="Heading1"/>
    <w:next w:val="Normal"/>
    <w:uiPriority w:val="99"/>
    <w:rsid w:val="00C74066"/>
    <w:pPr>
      <w:keepNext w:val="0"/>
      <w:keepLines w:val="0"/>
      <w:pageBreakBefore w:val="0"/>
      <w:widowControl w:val="0"/>
      <w:numPr>
        <w:numId w:val="17"/>
      </w:numPr>
      <w:pBdr>
        <w:bottom w:val="single" w:sz="4" w:space="1" w:color="auto"/>
      </w:pBdr>
      <w:tabs>
        <w:tab w:val="left" w:pos="1980"/>
      </w:tabs>
      <w:spacing w:before="120" w:after="360" w:line="340" w:lineRule="atLeast"/>
      <w:jc w:val="both"/>
    </w:pPr>
    <w:rPr>
      <w:rFonts w:ascii="Arial" w:hAnsi="Arial"/>
      <w:b/>
      <w:bCs w:val="0"/>
      <w:color w:val="auto"/>
      <w:sz w:val="28"/>
    </w:rPr>
  </w:style>
  <w:style w:type="paragraph" w:customStyle="1" w:styleId="Char1">
    <w:name w:val="Char1"/>
    <w:basedOn w:val="Normal"/>
    <w:uiPriority w:val="99"/>
    <w:rsid w:val="00C74066"/>
    <w:rPr>
      <w:rFonts w:ascii="Arial" w:hAnsi="Arial"/>
      <w:szCs w:val="20"/>
    </w:rPr>
  </w:style>
  <w:style w:type="paragraph" w:customStyle="1" w:styleId="BAAppend1">
    <w:name w:val="BA Append 1"/>
    <w:basedOn w:val="BAHeader1"/>
    <w:uiPriority w:val="99"/>
    <w:rsid w:val="00C74066"/>
    <w:pPr>
      <w:numPr>
        <w:numId w:val="0"/>
      </w:numPr>
    </w:pPr>
  </w:style>
  <w:style w:type="paragraph" w:customStyle="1" w:styleId="BAFigureHeading">
    <w:name w:val="BA Figure Heading"/>
    <w:basedOn w:val="Normal"/>
    <w:autoRedefine/>
    <w:uiPriority w:val="99"/>
    <w:rsid w:val="00C74066"/>
    <w:pPr>
      <w:spacing w:before="60" w:after="60"/>
    </w:pPr>
    <w:rPr>
      <w:rFonts w:ascii="Arial" w:hAnsi="Arial"/>
      <w:b/>
      <w:bCs/>
    </w:rPr>
  </w:style>
  <w:style w:type="character" w:customStyle="1" w:styleId="BAHeader1CharChar">
    <w:name w:val="BA Header 1 Char Char"/>
    <w:basedOn w:val="DefaultParagraphFont"/>
    <w:link w:val="BAHeader1"/>
    <w:uiPriority w:val="99"/>
    <w:rsid w:val="00C74066"/>
    <w:rPr>
      <w:rFonts w:ascii="Arial" w:eastAsiaTheme="minorHAnsi" w:hAnsi="Arial" w:cstheme="minorBidi"/>
      <w:b/>
      <w:sz w:val="28"/>
      <w:szCs w:val="28"/>
      <w:lang w:eastAsia="en-US"/>
    </w:rPr>
  </w:style>
  <w:style w:type="paragraph" w:customStyle="1" w:styleId="Headernonumb">
    <w:name w:val="Header no numb"/>
    <w:basedOn w:val="BAHeader1"/>
    <w:uiPriority w:val="99"/>
    <w:rsid w:val="00C74066"/>
    <w:pPr>
      <w:numPr>
        <w:numId w:val="0"/>
      </w:numPr>
    </w:pPr>
  </w:style>
  <w:style w:type="paragraph" w:customStyle="1" w:styleId="NormalBulletafter">
    <w:name w:val="Normal Bullet after"/>
    <w:basedOn w:val="Normal"/>
    <w:uiPriority w:val="99"/>
    <w:rsid w:val="00C74066"/>
    <w:pPr>
      <w:spacing w:after="120"/>
    </w:pPr>
  </w:style>
  <w:style w:type="numbering" w:customStyle="1" w:styleId="Bullet">
    <w:name w:val="Bullet"/>
    <w:basedOn w:val="NoList"/>
    <w:link w:val="BulletChar"/>
    <w:rsid w:val="00C74066"/>
    <w:pPr>
      <w:numPr>
        <w:numId w:val="18"/>
      </w:numPr>
    </w:pPr>
  </w:style>
  <w:style w:type="paragraph" w:customStyle="1" w:styleId="Bulletlast">
    <w:name w:val="Bullet last"/>
    <w:basedOn w:val="Normal"/>
    <w:uiPriority w:val="99"/>
    <w:rsid w:val="00C74066"/>
    <w:pPr>
      <w:numPr>
        <w:numId w:val="19"/>
      </w:numPr>
      <w:spacing w:after="240"/>
    </w:pPr>
  </w:style>
  <w:style w:type="character" w:customStyle="1" w:styleId="bluetitle">
    <w:name w:val="bluetitle"/>
    <w:basedOn w:val="DefaultParagraphFont"/>
    <w:uiPriority w:val="99"/>
    <w:rsid w:val="00C74066"/>
  </w:style>
  <w:style w:type="paragraph" w:customStyle="1" w:styleId="BATableheader">
    <w:name w:val="BA Table header"/>
    <w:basedOn w:val="AQISText"/>
    <w:next w:val="AQISText"/>
    <w:uiPriority w:val="99"/>
    <w:rsid w:val="00C74066"/>
    <w:pPr>
      <w:widowControl/>
      <w:tabs>
        <w:tab w:val="num" w:pos="1134"/>
      </w:tabs>
      <w:adjustRightInd/>
      <w:spacing w:before="360" w:after="60"/>
      <w:ind w:left="1134" w:hanging="1134"/>
      <w:jc w:val="left"/>
      <w:textAlignment w:val="auto"/>
    </w:pPr>
    <w:rPr>
      <w:rFonts w:ascii="Arial" w:hAnsi="Arial"/>
      <w:b/>
    </w:rPr>
  </w:style>
  <w:style w:type="paragraph" w:customStyle="1" w:styleId="BAHeader4">
    <w:name w:val="BA Header 4"/>
    <w:link w:val="BAHeader4CharChar"/>
    <w:uiPriority w:val="99"/>
    <w:rsid w:val="00C74066"/>
    <w:pPr>
      <w:keepNext/>
      <w:spacing w:before="240" w:after="120"/>
    </w:pPr>
    <w:rPr>
      <w:rFonts w:ascii="Times New Roman" w:eastAsia="Times New Roman" w:hAnsi="Times New Roman"/>
      <w:b/>
      <w:sz w:val="24"/>
      <w:szCs w:val="22"/>
      <w:lang w:eastAsia="en-US"/>
    </w:rPr>
  </w:style>
  <w:style w:type="paragraph" w:customStyle="1" w:styleId="BAHeader5">
    <w:name w:val="BA Header 5"/>
    <w:basedOn w:val="BAHeader3"/>
    <w:link w:val="BAHeader5Char"/>
    <w:uiPriority w:val="99"/>
    <w:rsid w:val="00C74066"/>
    <w:pPr>
      <w:numPr>
        <w:ilvl w:val="0"/>
        <w:numId w:val="0"/>
      </w:numPr>
      <w:tabs>
        <w:tab w:val="num" w:pos="1620"/>
      </w:tabs>
      <w:outlineLvl w:val="9"/>
    </w:pPr>
    <w:rPr>
      <w:sz w:val="20"/>
      <w:szCs w:val="20"/>
      <w:u w:val="single"/>
    </w:rPr>
  </w:style>
  <w:style w:type="paragraph" w:customStyle="1" w:styleId="Heading2a">
    <w:name w:val="Heading 2a"/>
    <w:basedOn w:val="Heading2"/>
    <w:uiPriority w:val="99"/>
    <w:rsid w:val="00C74066"/>
    <w:pPr>
      <w:keepLines w:val="0"/>
      <w:overflowPunct w:val="0"/>
      <w:autoSpaceDE w:val="0"/>
      <w:autoSpaceDN w:val="0"/>
      <w:adjustRightInd w:val="0"/>
      <w:spacing w:before="360" w:after="120" w:line="340" w:lineRule="atLeast"/>
      <w:textAlignment w:val="baseline"/>
      <w:outlineLvl w:val="9"/>
    </w:pPr>
    <w:rPr>
      <w:rFonts w:ascii="Arial" w:hAnsi="Arial" w:cs="Arial"/>
      <w:color w:val="000000"/>
      <w:sz w:val="28"/>
      <w:szCs w:val="20"/>
    </w:rPr>
  </w:style>
  <w:style w:type="paragraph" w:customStyle="1" w:styleId="BodyIndent">
    <w:name w:val="BodyIndent"/>
    <w:basedOn w:val="Normal"/>
    <w:uiPriority w:val="99"/>
    <w:rsid w:val="00C74066"/>
    <w:pPr>
      <w:numPr>
        <w:numId w:val="20"/>
      </w:numPr>
      <w:tabs>
        <w:tab w:val="left" w:pos="567"/>
        <w:tab w:val="left" w:pos="1134"/>
        <w:tab w:val="left" w:pos="1701"/>
        <w:tab w:val="left" w:pos="2268"/>
        <w:tab w:val="left" w:pos="2835"/>
        <w:tab w:val="left" w:pos="3402"/>
        <w:tab w:val="left" w:pos="3969"/>
      </w:tabs>
      <w:spacing w:before="120" w:after="120"/>
      <w:jc w:val="both"/>
    </w:pPr>
    <w:rPr>
      <w:szCs w:val="20"/>
    </w:rPr>
  </w:style>
  <w:style w:type="character" w:customStyle="1" w:styleId="BAHeader5Char">
    <w:name w:val="BA Header 5 Char"/>
    <w:basedOn w:val="DefaultParagraphFont"/>
    <w:link w:val="BAHeader5"/>
    <w:uiPriority w:val="99"/>
    <w:rsid w:val="00C74066"/>
    <w:rPr>
      <w:rFonts w:ascii="Arial" w:eastAsia="Times New Roman" w:hAnsi="Arial"/>
      <w:b/>
      <w:u w:val="single"/>
      <w:lang w:eastAsia="en-US"/>
    </w:rPr>
  </w:style>
  <w:style w:type="character" w:customStyle="1" w:styleId="BAHeader4CharChar">
    <w:name w:val="BA Header 4 Char Char"/>
    <w:basedOn w:val="BAHeader3CharChar"/>
    <w:link w:val="BAHeader4"/>
    <w:uiPriority w:val="99"/>
    <w:locked/>
    <w:rsid w:val="00C74066"/>
    <w:rPr>
      <w:rFonts w:ascii="Times New Roman" w:eastAsia="Times New Roman" w:hAnsi="Times New Roman"/>
      <w:b/>
      <w:sz w:val="24"/>
      <w:szCs w:val="22"/>
      <w:lang w:eastAsia="en-US"/>
    </w:rPr>
  </w:style>
  <w:style w:type="paragraph" w:customStyle="1" w:styleId="FigureName">
    <w:name w:val="FigureName"/>
    <w:basedOn w:val="Normal"/>
    <w:uiPriority w:val="99"/>
    <w:rsid w:val="00C74066"/>
    <w:pPr>
      <w:keepNext/>
      <w:keepLines/>
      <w:tabs>
        <w:tab w:val="left" w:pos="1276"/>
      </w:tabs>
      <w:spacing w:before="360" w:after="360" w:line="240" w:lineRule="atLeast"/>
      <w:ind w:left="1276" w:hanging="1276"/>
      <w:outlineLvl w:val="8"/>
    </w:pPr>
    <w:rPr>
      <w:rFonts w:ascii="Arial" w:hAnsi="Arial"/>
      <w:b/>
      <w:color w:val="000000"/>
    </w:rPr>
  </w:style>
  <w:style w:type="paragraph" w:customStyle="1" w:styleId="TableName">
    <w:name w:val="TableName"/>
    <w:basedOn w:val="Normal"/>
    <w:rsid w:val="00C74066"/>
    <w:pPr>
      <w:keepNext/>
      <w:keepLines/>
      <w:tabs>
        <w:tab w:val="left" w:pos="1440"/>
      </w:tabs>
      <w:spacing w:before="240" w:after="120"/>
      <w:ind w:left="1440" w:hanging="1440"/>
    </w:pPr>
    <w:rPr>
      <w:rFonts w:ascii="Arial Bold" w:hAnsi="Arial Bold"/>
      <w:b/>
      <w:color w:val="000000"/>
    </w:rPr>
  </w:style>
  <w:style w:type="character" w:customStyle="1" w:styleId="nlmyear">
    <w:name w:val="nlm_year"/>
    <w:basedOn w:val="DefaultParagraphFont"/>
    <w:uiPriority w:val="99"/>
    <w:rsid w:val="00C74066"/>
  </w:style>
  <w:style w:type="character" w:customStyle="1" w:styleId="citationsource-book1">
    <w:name w:val="citation_source-book1"/>
    <w:basedOn w:val="DefaultParagraphFont"/>
    <w:uiPriority w:val="99"/>
    <w:rsid w:val="00C74066"/>
    <w:rPr>
      <w:i/>
      <w:iCs/>
    </w:rPr>
  </w:style>
  <w:style w:type="character" w:customStyle="1" w:styleId="nlmpublisher-name">
    <w:name w:val="nlm_publisher-name"/>
    <w:basedOn w:val="DefaultParagraphFont"/>
    <w:uiPriority w:val="99"/>
    <w:rsid w:val="00C74066"/>
  </w:style>
  <w:style w:type="character" w:customStyle="1" w:styleId="nlmpublisher-loc">
    <w:name w:val="nlm_publisher-loc"/>
    <w:basedOn w:val="DefaultParagraphFont"/>
    <w:uiPriority w:val="99"/>
    <w:rsid w:val="00C74066"/>
  </w:style>
  <w:style w:type="character" w:customStyle="1" w:styleId="nlmarticle-title">
    <w:name w:val="nlm_article-title"/>
    <w:basedOn w:val="DefaultParagraphFont"/>
    <w:uiPriority w:val="99"/>
    <w:rsid w:val="00C74066"/>
  </w:style>
  <w:style w:type="character" w:customStyle="1" w:styleId="citationsource-journal1">
    <w:name w:val="citation_source-journal1"/>
    <w:basedOn w:val="DefaultParagraphFont"/>
    <w:uiPriority w:val="99"/>
    <w:rsid w:val="00C74066"/>
    <w:rPr>
      <w:i/>
      <w:iCs/>
    </w:rPr>
  </w:style>
  <w:style w:type="character" w:customStyle="1" w:styleId="nlmfpage">
    <w:name w:val="nlm_fpage"/>
    <w:basedOn w:val="DefaultParagraphFont"/>
    <w:uiPriority w:val="99"/>
    <w:rsid w:val="00C74066"/>
  </w:style>
  <w:style w:type="character" w:customStyle="1" w:styleId="nlmlpage">
    <w:name w:val="nlm_lpage"/>
    <w:basedOn w:val="DefaultParagraphFont"/>
    <w:uiPriority w:val="99"/>
    <w:rsid w:val="00C74066"/>
  </w:style>
  <w:style w:type="paragraph" w:customStyle="1" w:styleId="CharChar1Char">
    <w:name w:val="Char Char1 Char"/>
    <w:basedOn w:val="Normal"/>
    <w:uiPriority w:val="99"/>
    <w:rsid w:val="00C74066"/>
    <w:rPr>
      <w:rFonts w:ascii="Arial" w:hAnsi="Arial"/>
      <w:szCs w:val="20"/>
    </w:rPr>
  </w:style>
  <w:style w:type="paragraph" w:customStyle="1" w:styleId="A1Heading1">
    <w:name w:val="A1Heading 1"/>
    <w:basedOn w:val="Heading1"/>
    <w:link w:val="A1Heading1Char"/>
    <w:uiPriority w:val="99"/>
    <w:rsid w:val="00C74066"/>
    <w:pPr>
      <w:keepLines w:val="0"/>
      <w:pageBreakBefore w:val="0"/>
      <w:numPr>
        <w:numId w:val="21"/>
      </w:numPr>
      <w:tabs>
        <w:tab w:val="left" w:pos="1276"/>
      </w:tabs>
      <w:spacing w:before="300"/>
    </w:pPr>
    <w:rPr>
      <w:rFonts w:ascii="Arial" w:hAnsi="Arial"/>
      <w:b/>
      <w:color w:val="auto"/>
      <w:sz w:val="28"/>
      <w:szCs w:val="20"/>
    </w:rPr>
  </w:style>
  <w:style w:type="character" w:customStyle="1" w:styleId="A1Heading1Char">
    <w:name w:val="A1Heading 1 Char"/>
    <w:basedOn w:val="DefaultParagraphFont"/>
    <w:link w:val="A1Heading1"/>
    <w:uiPriority w:val="99"/>
    <w:rsid w:val="00C74066"/>
    <w:rPr>
      <w:rFonts w:ascii="Arial" w:eastAsiaTheme="minorHAnsi" w:hAnsi="Arial" w:cstheme="minorBidi"/>
      <w:b/>
      <w:bCs/>
      <w:sz w:val="28"/>
      <w:lang w:eastAsia="en-US"/>
    </w:rPr>
  </w:style>
  <w:style w:type="paragraph" w:customStyle="1" w:styleId="A1Heading2">
    <w:name w:val="A1Heading 2"/>
    <w:basedOn w:val="Heading2"/>
    <w:uiPriority w:val="99"/>
    <w:rsid w:val="00C74066"/>
    <w:pPr>
      <w:keepLines w:val="0"/>
      <w:numPr>
        <w:numId w:val="21"/>
      </w:numPr>
      <w:spacing w:before="360" w:after="120"/>
      <w:jc w:val="both"/>
    </w:pPr>
    <w:rPr>
      <w:rFonts w:ascii="Arial" w:hAnsi="Arial"/>
      <w:b w:val="0"/>
      <w:bCs w:val="0"/>
      <w:sz w:val="28"/>
      <w:szCs w:val="20"/>
    </w:rPr>
  </w:style>
  <w:style w:type="paragraph" w:customStyle="1" w:styleId="A1Heading3">
    <w:name w:val="A1Heading 3"/>
    <w:basedOn w:val="Heading3"/>
    <w:uiPriority w:val="99"/>
    <w:rsid w:val="00C74066"/>
    <w:pPr>
      <w:tabs>
        <w:tab w:val="num" w:pos="432"/>
      </w:tabs>
      <w:spacing w:before="120" w:after="120"/>
      <w:ind w:left="432" w:hanging="432"/>
    </w:pPr>
    <w:rPr>
      <w:bCs w:val="0"/>
      <w:sz w:val="24"/>
      <w:szCs w:val="20"/>
    </w:rPr>
  </w:style>
  <w:style w:type="paragraph" w:customStyle="1" w:styleId="Style1dotpoints">
    <w:name w:val="Style1dotpoints"/>
    <w:basedOn w:val="Normal"/>
    <w:uiPriority w:val="99"/>
    <w:rsid w:val="00C74066"/>
    <w:pPr>
      <w:numPr>
        <w:numId w:val="22"/>
      </w:numPr>
      <w:spacing w:before="160"/>
      <w:ind w:left="714" w:hanging="357"/>
      <w:jc w:val="both"/>
    </w:pPr>
    <w:rPr>
      <w:b/>
      <w:szCs w:val="20"/>
    </w:rPr>
  </w:style>
  <w:style w:type="paragraph" w:customStyle="1" w:styleId="StyleBAHeader116ptLeft0cmFirstline0cm">
    <w:name w:val="Style BA Header 1 + 16 pt Left:  0 cm First line:  0 cm"/>
    <w:basedOn w:val="Normal"/>
    <w:uiPriority w:val="99"/>
    <w:rsid w:val="00C74066"/>
    <w:pPr>
      <w:pageBreakBefore/>
      <w:widowControl w:val="0"/>
      <w:numPr>
        <w:numId w:val="23"/>
      </w:numPr>
      <w:pBdr>
        <w:bottom w:val="single" w:sz="4" w:space="1" w:color="auto"/>
      </w:pBdr>
      <w:spacing w:before="120" w:after="360" w:line="340" w:lineRule="atLeast"/>
      <w:outlineLvl w:val="0"/>
    </w:pPr>
    <w:rPr>
      <w:rFonts w:ascii="Arial" w:hAnsi="Arial"/>
      <w:b/>
      <w:bCs/>
      <w:sz w:val="32"/>
      <w:szCs w:val="20"/>
    </w:rPr>
  </w:style>
  <w:style w:type="character" w:customStyle="1" w:styleId="info1">
    <w:name w:val="info1"/>
    <w:basedOn w:val="DefaultParagraphFont"/>
    <w:uiPriority w:val="99"/>
    <w:rsid w:val="00C74066"/>
    <w:rPr>
      <w:rFonts w:ascii="arial sans-serif" w:hAnsi="arial sans-serif" w:hint="default"/>
      <w:color w:val="000000"/>
      <w:sz w:val="20"/>
      <w:szCs w:val="20"/>
    </w:rPr>
  </w:style>
  <w:style w:type="character" w:customStyle="1" w:styleId="listnote1">
    <w:name w:val="listnote1"/>
    <w:basedOn w:val="DefaultParagraphFont"/>
    <w:uiPriority w:val="99"/>
    <w:rsid w:val="00C74066"/>
    <w:rPr>
      <w:rFonts w:ascii="arial sans-serif" w:hAnsi="arial sans-serif" w:hint="default"/>
      <w:i/>
      <w:iCs/>
      <w:sz w:val="20"/>
      <w:szCs w:val="20"/>
    </w:rPr>
  </w:style>
  <w:style w:type="paragraph" w:customStyle="1" w:styleId="PARAGSUIVANT">
    <w:name w:val="PARAG. SUIVANT"/>
    <w:basedOn w:val="Default"/>
    <w:next w:val="Default"/>
    <w:uiPriority w:val="99"/>
    <w:rsid w:val="00C74066"/>
    <w:rPr>
      <w:color w:val="auto"/>
    </w:rPr>
  </w:style>
  <w:style w:type="character" w:customStyle="1" w:styleId="BAText1bulletChar">
    <w:name w:val="BA Text 1 bullet Char"/>
    <w:basedOn w:val="BAText1Char"/>
    <w:link w:val="BAText1bullet"/>
    <w:locked/>
    <w:rsid w:val="00C74066"/>
    <w:rPr>
      <w:rFonts w:ascii="Times" w:eastAsia="Times New Roman" w:hAnsi="Times"/>
      <w:sz w:val="24"/>
      <w:szCs w:val="22"/>
      <w:lang w:eastAsia="en-US"/>
    </w:rPr>
  </w:style>
  <w:style w:type="paragraph" w:customStyle="1" w:styleId="text-body">
    <w:name w:val="text-body"/>
    <w:basedOn w:val="Normal"/>
    <w:uiPriority w:val="99"/>
    <w:rsid w:val="00C74066"/>
    <w:pPr>
      <w:spacing w:before="100" w:beforeAutospacing="1" w:after="100" w:afterAutospacing="1"/>
    </w:pPr>
    <w:rPr>
      <w:rFonts w:ascii="Arial" w:hAnsi="Arial" w:cs="Arial"/>
      <w:sz w:val="18"/>
      <w:szCs w:val="18"/>
    </w:rPr>
  </w:style>
  <w:style w:type="character" w:customStyle="1" w:styleId="text-body1">
    <w:name w:val="text-body1"/>
    <w:basedOn w:val="DefaultParagraphFont"/>
    <w:uiPriority w:val="99"/>
    <w:rsid w:val="00C74066"/>
    <w:rPr>
      <w:rFonts w:ascii="Arial" w:hAnsi="Arial" w:cs="Arial" w:hint="default"/>
      <w:b w:val="0"/>
      <w:bCs w:val="0"/>
      <w:strike w:val="0"/>
      <w:dstrike w:val="0"/>
      <w:sz w:val="18"/>
      <w:szCs w:val="18"/>
      <w:u w:val="none"/>
      <w:effect w:val="none"/>
    </w:rPr>
  </w:style>
  <w:style w:type="character" w:customStyle="1" w:styleId="BulletChar">
    <w:name w:val="Bullet Char"/>
    <w:basedOn w:val="DefaultParagraphFont"/>
    <w:link w:val="Bullet"/>
    <w:rsid w:val="00C74066"/>
    <w:rPr>
      <w:color w:val="000000"/>
      <w:sz w:val="24"/>
      <w:szCs w:val="24"/>
      <w:lang w:eastAsia="en-US"/>
    </w:rPr>
  </w:style>
  <w:style w:type="paragraph" w:customStyle="1" w:styleId="Heading1appendix">
    <w:name w:val="Heading 1 (appendix)"/>
    <w:basedOn w:val="Normal"/>
    <w:uiPriority w:val="99"/>
    <w:rsid w:val="00C74066"/>
    <w:pPr>
      <w:keepNext/>
      <w:pageBreakBefore/>
      <w:widowControl w:val="0"/>
      <w:pBdr>
        <w:bottom w:val="single" w:sz="4" w:space="1" w:color="auto"/>
      </w:pBdr>
      <w:tabs>
        <w:tab w:val="num" w:pos="2160"/>
      </w:tabs>
      <w:spacing w:before="120" w:after="360" w:line="340" w:lineRule="atLeast"/>
      <w:ind w:left="2160" w:right="-230" w:hanging="2160"/>
      <w:outlineLvl w:val="0"/>
    </w:pPr>
    <w:rPr>
      <w:rFonts w:ascii="Arial" w:hAnsi="Arial"/>
      <w:b/>
      <w:color w:val="000000"/>
      <w:sz w:val="28"/>
      <w:szCs w:val="28"/>
    </w:rPr>
  </w:style>
  <w:style w:type="character" w:customStyle="1" w:styleId="Italiccharacters">
    <w:name w:val="Italic characters"/>
    <w:basedOn w:val="DefaultParagraphFont"/>
    <w:uiPriority w:val="99"/>
    <w:rsid w:val="00C74066"/>
    <w:rPr>
      <w:sz w:val="22"/>
      <w:lang w:val="en-AU" w:eastAsia="en-US" w:bidi="ar-SA"/>
    </w:rPr>
  </w:style>
  <w:style w:type="paragraph" w:customStyle="1" w:styleId="Heading2b">
    <w:name w:val="Heading 2b"/>
    <w:basedOn w:val="Normal"/>
    <w:uiPriority w:val="99"/>
    <w:rsid w:val="00C74066"/>
    <w:pPr>
      <w:widowControl w:val="0"/>
      <w:pBdr>
        <w:bottom w:val="single" w:sz="4" w:space="1" w:color="auto"/>
      </w:pBdr>
      <w:spacing w:before="120" w:after="360" w:line="340" w:lineRule="atLeast"/>
      <w:outlineLvl w:val="0"/>
    </w:pPr>
    <w:rPr>
      <w:rFonts w:ascii="Arial" w:hAnsi="Arial"/>
      <w:b/>
      <w:color w:val="000000"/>
      <w:sz w:val="28"/>
      <w:szCs w:val="28"/>
    </w:rPr>
  </w:style>
  <w:style w:type="paragraph" w:customStyle="1" w:styleId="Dash">
    <w:name w:val="Dash"/>
    <w:basedOn w:val="Normal"/>
    <w:uiPriority w:val="99"/>
    <w:rsid w:val="00C74066"/>
    <w:pPr>
      <w:numPr>
        <w:numId w:val="24"/>
      </w:numPr>
      <w:tabs>
        <w:tab w:val="clear" w:pos="1440"/>
        <w:tab w:val="num" w:pos="720"/>
      </w:tabs>
      <w:spacing w:after="180" w:line="275" w:lineRule="atLeast"/>
      <w:ind w:left="720"/>
    </w:pPr>
    <w:rPr>
      <w:color w:val="000000"/>
    </w:rPr>
  </w:style>
  <w:style w:type="paragraph" w:customStyle="1" w:styleId="TableHeadings">
    <w:name w:val="TableHeadings"/>
    <w:basedOn w:val="TableText0"/>
    <w:uiPriority w:val="99"/>
    <w:rsid w:val="00C74066"/>
    <w:pPr>
      <w:spacing w:before="40"/>
    </w:pPr>
    <w:rPr>
      <w:rFonts w:ascii="Arial" w:hAnsi="Arial"/>
      <w:b/>
    </w:rPr>
  </w:style>
  <w:style w:type="paragraph" w:customStyle="1" w:styleId="Body">
    <w:name w:val="Body"/>
    <w:basedOn w:val="Normal"/>
    <w:link w:val="BodyChar"/>
    <w:uiPriority w:val="99"/>
    <w:qFormat/>
    <w:rsid w:val="00C74066"/>
    <w:pPr>
      <w:spacing w:before="120"/>
      <w:jc w:val="both"/>
    </w:pPr>
    <w:rPr>
      <w:szCs w:val="20"/>
    </w:rPr>
  </w:style>
  <w:style w:type="paragraph" w:customStyle="1" w:styleId="mainheading">
    <w:name w:val="mainheading"/>
    <w:basedOn w:val="Normal"/>
    <w:uiPriority w:val="99"/>
    <w:rsid w:val="00C74066"/>
    <w:pPr>
      <w:spacing w:before="100" w:beforeAutospacing="1" w:after="100" w:afterAutospacing="1"/>
    </w:pPr>
    <w:rPr>
      <w:sz w:val="19"/>
      <w:szCs w:val="19"/>
    </w:rPr>
  </w:style>
  <w:style w:type="character" w:customStyle="1" w:styleId="taxoclass">
    <w:name w:val="taxoclass"/>
    <w:basedOn w:val="DefaultParagraphFont"/>
    <w:uiPriority w:val="99"/>
    <w:rsid w:val="00C74066"/>
  </w:style>
  <w:style w:type="character" w:customStyle="1" w:styleId="AQISTableTextChar">
    <w:name w:val="AQIS Table Text Char"/>
    <w:basedOn w:val="AQISTextChar"/>
    <w:link w:val="AQISTableText"/>
    <w:uiPriority w:val="99"/>
    <w:rsid w:val="00C74066"/>
    <w:rPr>
      <w:rFonts w:ascii="Times New Roman" w:eastAsia="Times New Roman" w:hAnsi="Times New Roman"/>
      <w:sz w:val="22"/>
      <w:lang w:eastAsia="en-US"/>
    </w:rPr>
  </w:style>
  <w:style w:type="character" w:customStyle="1" w:styleId="AQIS5Char">
    <w:name w:val="AQIS5 Char"/>
    <w:basedOn w:val="DefaultParagraphFont"/>
    <w:link w:val="AQIS5"/>
    <w:uiPriority w:val="99"/>
    <w:rsid w:val="00C74066"/>
    <w:rPr>
      <w:rFonts w:ascii="Arial" w:eastAsia="Times New Roman" w:hAnsi="Arial"/>
      <w:b/>
      <w:sz w:val="24"/>
      <w:lang w:eastAsia="en-US"/>
    </w:rPr>
  </w:style>
  <w:style w:type="paragraph" w:customStyle="1" w:styleId="Append4">
    <w:name w:val="Append 4"/>
    <w:basedOn w:val="Normal"/>
    <w:uiPriority w:val="99"/>
    <w:rsid w:val="00C74066"/>
    <w:pPr>
      <w:numPr>
        <w:numId w:val="25"/>
      </w:numPr>
    </w:pPr>
  </w:style>
  <w:style w:type="character" w:customStyle="1" w:styleId="smaller1">
    <w:name w:val="smaller1"/>
    <w:basedOn w:val="DefaultParagraphFont"/>
    <w:uiPriority w:val="99"/>
    <w:rsid w:val="00C74066"/>
    <w:rPr>
      <w:sz w:val="20"/>
      <w:szCs w:val="20"/>
    </w:rPr>
  </w:style>
  <w:style w:type="character" w:customStyle="1" w:styleId="cpctext1">
    <w:name w:val="cpctext1"/>
    <w:basedOn w:val="DefaultParagraphFont"/>
    <w:uiPriority w:val="99"/>
    <w:rsid w:val="00C74066"/>
    <w:rPr>
      <w:rFonts w:ascii="Arial" w:hAnsi="Arial" w:cs="Arial" w:hint="default"/>
      <w:sz w:val="20"/>
      <w:szCs w:val="20"/>
    </w:rPr>
  </w:style>
  <w:style w:type="character" w:customStyle="1" w:styleId="bluetitle1">
    <w:name w:val="bluetitle1"/>
    <w:basedOn w:val="DefaultParagraphFont"/>
    <w:uiPriority w:val="99"/>
    <w:rsid w:val="00C74066"/>
    <w:rPr>
      <w:b/>
      <w:bCs/>
      <w:color w:val="00BAE2"/>
    </w:rPr>
  </w:style>
  <w:style w:type="character" w:customStyle="1" w:styleId="author1">
    <w:name w:val="author1"/>
    <w:basedOn w:val="DefaultParagraphFont"/>
    <w:uiPriority w:val="99"/>
    <w:rsid w:val="00C74066"/>
    <w:rPr>
      <w:rFonts w:ascii="Arial" w:hAnsi="Arial" w:cs="Arial" w:hint="default"/>
      <w:color w:val="777777"/>
      <w:sz w:val="20"/>
      <w:szCs w:val="20"/>
    </w:rPr>
  </w:style>
  <w:style w:type="character" w:customStyle="1" w:styleId="bigblkbld1">
    <w:name w:val="bigblkbld1"/>
    <w:basedOn w:val="DefaultParagraphFont"/>
    <w:uiPriority w:val="99"/>
    <w:rsid w:val="00C74066"/>
    <w:rPr>
      <w:rFonts w:ascii="Arial" w:hAnsi="Arial" w:cs="Arial" w:hint="default"/>
      <w:b/>
      <w:bCs/>
      <w:i w:val="0"/>
      <w:iCs w:val="0"/>
      <w:color w:val="000000"/>
      <w:sz w:val="24"/>
      <w:szCs w:val="24"/>
    </w:rPr>
  </w:style>
  <w:style w:type="paragraph" w:customStyle="1" w:styleId="main">
    <w:name w:val="main"/>
    <w:basedOn w:val="Normal"/>
    <w:uiPriority w:val="99"/>
    <w:rsid w:val="00C74066"/>
    <w:pPr>
      <w:spacing w:before="240"/>
    </w:pPr>
    <w:rPr>
      <w:rFonts w:ascii="Tahoma" w:hAnsi="Tahoma" w:cs="Tahoma"/>
      <w:b/>
      <w:bCs/>
      <w:color w:val="660000"/>
      <w:sz w:val="34"/>
      <w:szCs w:val="34"/>
    </w:rPr>
  </w:style>
  <w:style w:type="character" w:customStyle="1" w:styleId="caps1">
    <w:name w:val="caps1"/>
    <w:basedOn w:val="DefaultParagraphFont"/>
    <w:uiPriority w:val="99"/>
    <w:rsid w:val="00C74066"/>
    <w:rPr>
      <w:caps/>
    </w:rPr>
  </w:style>
  <w:style w:type="character" w:customStyle="1" w:styleId="lowercase-small-caps1">
    <w:name w:val="lowercase-small-caps1"/>
    <w:basedOn w:val="DefaultParagraphFont"/>
    <w:uiPriority w:val="99"/>
    <w:rsid w:val="00C74066"/>
    <w:rPr>
      <w:smallCaps/>
    </w:rPr>
  </w:style>
  <w:style w:type="paragraph" w:customStyle="1" w:styleId="signed">
    <w:name w:val="signed"/>
    <w:basedOn w:val="Normal"/>
    <w:uiPriority w:val="99"/>
    <w:rsid w:val="00C74066"/>
    <w:pPr>
      <w:spacing w:before="100" w:beforeAutospacing="1" w:after="100" w:afterAutospacing="1"/>
    </w:pPr>
  </w:style>
  <w:style w:type="character" w:customStyle="1" w:styleId="small-caps1">
    <w:name w:val="small-caps1"/>
    <w:basedOn w:val="DefaultParagraphFont"/>
    <w:uiPriority w:val="99"/>
    <w:rsid w:val="00C74066"/>
    <w:rPr>
      <w:smallCaps/>
    </w:rPr>
  </w:style>
  <w:style w:type="paragraph" w:customStyle="1" w:styleId="byline">
    <w:name w:val="byline"/>
    <w:basedOn w:val="Normal"/>
    <w:uiPriority w:val="99"/>
    <w:rsid w:val="00C74066"/>
    <w:pPr>
      <w:spacing w:before="100" w:beforeAutospacing="1" w:after="100" w:afterAutospacing="1"/>
    </w:pPr>
  </w:style>
  <w:style w:type="paragraph" w:customStyle="1" w:styleId="style1dotpoints0">
    <w:name w:val="style1dotpoints"/>
    <w:basedOn w:val="Normal"/>
    <w:uiPriority w:val="99"/>
    <w:rsid w:val="00C74066"/>
    <w:pPr>
      <w:numPr>
        <w:numId w:val="26"/>
      </w:numPr>
      <w:spacing w:before="160"/>
      <w:jc w:val="both"/>
    </w:pPr>
    <w:rPr>
      <w:szCs w:val="20"/>
    </w:rPr>
  </w:style>
  <w:style w:type="numbering" w:customStyle="1" w:styleId="StyleBulleted11pt">
    <w:name w:val="Style Bulleted 11 pt"/>
    <w:basedOn w:val="NoList"/>
    <w:rsid w:val="00C74066"/>
    <w:pPr>
      <w:numPr>
        <w:numId w:val="27"/>
      </w:numPr>
    </w:pPr>
  </w:style>
  <w:style w:type="paragraph" w:customStyle="1" w:styleId="BAAppend2">
    <w:name w:val="BA Append 2"/>
    <w:basedOn w:val="BAHeader2"/>
    <w:uiPriority w:val="99"/>
    <w:rsid w:val="00C74066"/>
    <w:pPr>
      <w:numPr>
        <w:numId w:val="28"/>
      </w:numPr>
      <w:tabs>
        <w:tab w:val="clear" w:pos="1116"/>
        <w:tab w:val="num" w:pos="1440"/>
      </w:tabs>
      <w:ind w:left="1440" w:hanging="360"/>
    </w:pPr>
  </w:style>
  <w:style w:type="paragraph" w:customStyle="1" w:styleId="BAAppend3">
    <w:name w:val="BA Append 3"/>
    <w:basedOn w:val="BAHeader3"/>
    <w:uiPriority w:val="99"/>
    <w:rsid w:val="00C74066"/>
    <w:pPr>
      <w:numPr>
        <w:numId w:val="28"/>
      </w:numPr>
      <w:tabs>
        <w:tab w:val="clear" w:pos="720"/>
        <w:tab w:val="num" w:pos="2160"/>
      </w:tabs>
      <w:ind w:left="2160" w:hanging="360"/>
    </w:pPr>
  </w:style>
  <w:style w:type="character" w:customStyle="1" w:styleId="sCharChar">
    <w:name w:val="s Char Char"/>
    <w:basedOn w:val="DefaultParagraphFont"/>
    <w:uiPriority w:val="99"/>
    <w:semiHidden/>
    <w:locked/>
    <w:rsid w:val="00C74066"/>
    <w:rPr>
      <w:bCs/>
      <w:i/>
      <w:iCs/>
      <w:color w:val="000000"/>
      <w:sz w:val="24"/>
      <w:szCs w:val="26"/>
      <w:lang w:val="en-AU" w:eastAsia="en-US" w:bidi="ar-SA"/>
    </w:rPr>
  </w:style>
  <w:style w:type="character" w:customStyle="1" w:styleId="CharChar5">
    <w:name w:val="Char Char5"/>
    <w:basedOn w:val="DefaultParagraphFont"/>
    <w:uiPriority w:val="99"/>
    <w:semiHidden/>
    <w:locked/>
    <w:rsid w:val="00C74066"/>
    <w:rPr>
      <w:rFonts w:cs="Times New Roman"/>
      <w:sz w:val="20"/>
      <w:szCs w:val="20"/>
      <w:lang w:eastAsia="en-US"/>
    </w:rPr>
  </w:style>
  <w:style w:type="character" w:customStyle="1" w:styleId="BAHeader5CharChar">
    <w:name w:val="BA Header 5 Char Char"/>
    <w:basedOn w:val="DefaultParagraphFont"/>
    <w:uiPriority w:val="99"/>
    <w:locked/>
    <w:rsid w:val="00C74066"/>
    <w:rPr>
      <w:rFonts w:cs="Times New Roman"/>
      <w:b/>
      <w:i/>
      <w:sz w:val="24"/>
      <w:lang w:val="en-AU" w:eastAsia="en-US" w:bidi="ar-SA"/>
    </w:rPr>
  </w:style>
  <w:style w:type="paragraph" w:customStyle="1" w:styleId="BAHeader1-unnumbered">
    <w:name w:val="BA Header 1 - unnumbered"/>
    <w:basedOn w:val="Normal"/>
    <w:next w:val="Normal"/>
    <w:link w:val="BAHeader1-unnumberedCharChar"/>
    <w:uiPriority w:val="99"/>
    <w:rsid w:val="00C74066"/>
    <w:pPr>
      <w:pageBreakBefore/>
      <w:widowControl w:val="0"/>
      <w:pBdr>
        <w:bottom w:val="single" w:sz="4" w:space="1" w:color="auto"/>
      </w:pBdr>
      <w:spacing w:before="120" w:after="360" w:line="340" w:lineRule="atLeast"/>
      <w:outlineLvl w:val="0"/>
    </w:pPr>
    <w:rPr>
      <w:rFonts w:ascii="Arial" w:hAnsi="Arial"/>
      <w:b/>
      <w:sz w:val="28"/>
      <w:szCs w:val="28"/>
    </w:rPr>
  </w:style>
  <w:style w:type="character" w:customStyle="1" w:styleId="BAHeader1-unnumberedCharChar">
    <w:name w:val="BA Header 1 - unnumbered Char Char"/>
    <w:basedOn w:val="DefaultParagraphFont"/>
    <w:link w:val="BAHeader1-unnumbered"/>
    <w:uiPriority w:val="99"/>
    <w:locked/>
    <w:rsid w:val="00C74066"/>
    <w:rPr>
      <w:rFonts w:ascii="Arial" w:eastAsia="Times New Roman" w:hAnsi="Arial"/>
      <w:b/>
      <w:sz w:val="28"/>
      <w:szCs w:val="28"/>
      <w:lang w:eastAsia="en-US"/>
    </w:rPr>
  </w:style>
  <w:style w:type="paragraph" w:customStyle="1" w:styleId="BAFiguretext">
    <w:name w:val="BA Figure text"/>
    <w:basedOn w:val="BATableheader"/>
    <w:next w:val="Normal"/>
    <w:uiPriority w:val="99"/>
    <w:rsid w:val="00C74066"/>
    <w:pPr>
      <w:tabs>
        <w:tab w:val="num" w:pos="1276"/>
      </w:tabs>
      <w:autoSpaceDE w:val="0"/>
      <w:autoSpaceDN w:val="0"/>
      <w:adjustRightInd w:val="0"/>
      <w:spacing w:before="0" w:after="240"/>
      <w:ind w:left="1276" w:hanging="1276"/>
      <w:jc w:val="both"/>
    </w:pPr>
  </w:style>
  <w:style w:type="paragraph" w:customStyle="1" w:styleId="BIBLIOGRAPHIE">
    <w:name w:val="BIBLIOGRAPHIE"/>
    <w:basedOn w:val="Default"/>
    <w:next w:val="Default"/>
    <w:uiPriority w:val="99"/>
    <w:rsid w:val="00C74066"/>
    <w:rPr>
      <w:color w:val="auto"/>
    </w:rPr>
  </w:style>
  <w:style w:type="character" w:customStyle="1" w:styleId="highlightedsearchterm">
    <w:name w:val="highlightedsearchterm"/>
    <w:basedOn w:val="DefaultParagraphFont"/>
    <w:uiPriority w:val="99"/>
    <w:rsid w:val="00C74066"/>
    <w:rPr>
      <w:rFonts w:cs="Times New Roman"/>
    </w:rPr>
  </w:style>
  <w:style w:type="paragraph" w:customStyle="1" w:styleId="Style1">
    <w:name w:val="Style1"/>
    <w:basedOn w:val="Heading3"/>
    <w:rsid w:val="00C74066"/>
    <w:pPr>
      <w:tabs>
        <w:tab w:val="left" w:pos="1260"/>
      </w:tabs>
      <w:spacing w:before="180" w:after="120" w:line="280" w:lineRule="atLeast"/>
    </w:pPr>
    <w:rPr>
      <w:rFonts w:ascii="Verdana" w:hAnsi="Verdana"/>
      <w:bCs w:val="0"/>
      <w:i/>
    </w:rPr>
  </w:style>
  <w:style w:type="character" w:customStyle="1" w:styleId="common3">
    <w:name w:val="common3"/>
    <w:basedOn w:val="DefaultParagraphFont"/>
    <w:uiPriority w:val="99"/>
    <w:rsid w:val="00C74066"/>
    <w:rPr>
      <w:rFonts w:ascii="Arial" w:hAnsi="Arial" w:cs="Arial"/>
      <w:sz w:val="17"/>
      <w:szCs w:val="17"/>
    </w:rPr>
  </w:style>
  <w:style w:type="paragraph" w:customStyle="1" w:styleId="AQISTitle">
    <w:name w:val="AQIS Title"/>
    <w:basedOn w:val="Title"/>
    <w:next w:val="Normal"/>
    <w:uiPriority w:val="99"/>
    <w:rsid w:val="00C74066"/>
    <w:pPr>
      <w:spacing w:before="720" w:after="360"/>
      <w:jc w:val="center"/>
    </w:pPr>
    <w:rPr>
      <w:rFonts w:ascii="Arial" w:hAnsi="Arial"/>
      <w:b w:val="0"/>
      <w:sz w:val="52"/>
      <w:szCs w:val="20"/>
    </w:rPr>
  </w:style>
  <w:style w:type="paragraph" w:customStyle="1" w:styleId="TOC41">
    <w:name w:val="TOC 41"/>
    <w:basedOn w:val="TOC1"/>
    <w:uiPriority w:val="99"/>
    <w:rsid w:val="00C74066"/>
    <w:pPr>
      <w:tabs>
        <w:tab w:val="clear" w:pos="426"/>
        <w:tab w:val="clear" w:pos="9072"/>
        <w:tab w:val="left" w:pos="900"/>
        <w:tab w:val="left" w:pos="1800"/>
        <w:tab w:val="right" w:leader="dot" w:pos="9000"/>
        <w:tab w:val="right" w:leader="dot" w:pos="9060"/>
      </w:tabs>
      <w:spacing w:before="240" w:after="0"/>
      <w:ind w:left="902" w:right="82" w:hanging="902"/>
    </w:pPr>
    <w:rPr>
      <w:rFonts w:ascii="Arial" w:hAnsi="Arial" w:cs="Arial"/>
      <w:szCs w:val="28"/>
    </w:rPr>
  </w:style>
  <w:style w:type="character" w:customStyle="1" w:styleId="family">
    <w:name w:val="family"/>
    <w:basedOn w:val="DefaultParagraphFont"/>
    <w:uiPriority w:val="99"/>
    <w:rsid w:val="00C74066"/>
  </w:style>
  <w:style w:type="paragraph" w:customStyle="1" w:styleId="Blotinmargin">
    <w:name w:val="Blot in margin"/>
    <w:basedOn w:val="Default"/>
    <w:next w:val="Default"/>
    <w:uiPriority w:val="99"/>
    <w:rsid w:val="00C74066"/>
    <w:rPr>
      <w:color w:val="auto"/>
    </w:rPr>
  </w:style>
  <w:style w:type="character" w:customStyle="1" w:styleId="addmd1">
    <w:name w:val="addmd1"/>
    <w:basedOn w:val="DefaultParagraphFont"/>
    <w:uiPriority w:val="99"/>
    <w:rsid w:val="00C74066"/>
    <w:rPr>
      <w:rFonts w:ascii="Arial" w:hAnsi="Arial" w:cs="Arial" w:hint="default"/>
      <w:sz w:val="20"/>
      <w:szCs w:val="20"/>
    </w:rPr>
  </w:style>
  <w:style w:type="character" w:customStyle="1" w:styleId="black9pt1">
    <w:name w:val="black9pt1"/>
    <w:basedOn w:val="DefaultParagraphFont"/>
    <w:uiPriority w:val="99"/>
    <w:rsid w:val="00C74066"/>
    <w:rPr>
      <w:color w:val="000000"/>
      <w:sz w:val="18"/>
      <w:szCs w:val="18"/>
    </w:rPr>
  </w:style>
  <w:style w:type="character" w:customStyle="1" w:styleId="a">
    <w:name w:val="a"/>
    <w:basedOn w:val="DefaultParagraphFont"/>
    <w:rsid w:val="00C74066"/>
  </w:style>
  <w:style w:type="paragraph" w:customStyle="1" w:styleId="Header1">
    <w:name w:val="Header1"/>
    <w:basedOn w:val="Normal"/>
    <w:uiPriority w:val="99"/>
    <w:rsid w:val="00C74066"/>
    <w:rPr>
      <w:rFonts w:ascii="Verdana" w:hAnsi="Verdana"/>
      <w:sz w:val="15"/>
      <w:szCs w:val="15"/>
    </w:rPr>
  </w:style>
  <w:style w:type="paragraph" w:customStyle="1" w:styleId="sub2">
    <w:name w:val="sub2"/>
    <w:basedOn w:val="Normal"/>
    <w:uiPriority w:val="99"/>
    <w:rsid w:val="00C74066"/>
    <w:rPr>
      <w:rFonts w:ascii="Verdana" w:hAnsi="Verdana" w:cs="Times"/>
      <w:b/>
      <w:bCs/>
      <w:color w:val="666699"/>
      <w:sz w:val="13"/>
      <w:szCs w:val="13"/>
    </w:rPr>
  </w:style>
  <w:style w:type="character" w:customStyle="1" w:styleId="doi">
    <w:name w:val="doi"/>
    <w:basedOn w:val="DefaultParagraphFont"/>
    <w:uiPriority w:val="99"/>
    <w:rsid w:val="00C74066"/>
  </w:style>
  <w:style w:type="character" w:customStyle="1" w:styleId="value">
    <w:name w:val="value"/>
    <w:basedOn w:val="DefaultParagraphFont"/>
    <w:uiPriority w:val="99"/>
    <w:rsid w:val="00C74066"/>
  </w:style>
  <w:style w:type="character" w:customStyle="1" w:styleId="label1">
    <w:name w:val="label1"/>
    <w:basedOn w:val="DefaultParagraphFont"/>
    <w:uiPriority w:val="99"/>
    <w:rsid w:val="00C74066"/>
  </w:style>
  <w:style w:type="character" w:customStyle="1" w:styleId="pagination">
    <w:name w:val="pagination"/>
    <w:basedOn w:val="DefaultParagraphFont"/>
    <w:uiPriority w:val="99"/>
    <w:rsid w:val="00C74066"/>
  </w:style>
  <w:style w:type="paragraph" w:customStyle="1" w:styleId="authornames">
    <w:name w:val="authornames"/>
    <w:basedOn w:val="Normal"/>
    <w:uiPriority w:val="99"/>
    <w:rsid w:val="00C74066"/>
    <w:pPr>
      <w:spacing w:before="100" w:beforeAutospacing="1" w:after="100" w:afterAutospacing="1"/>
    </w:pPr>
    <w:rPr>
      <w:rFonts w:ascii="Arial Unicode MS" w:eastAsia="Arial Unicode MS" w:hAnsi="Arial Unicode MS" w:cs="Arial Unicode MS"/>
      <w:b/>
      <w:bCs/>
      <w:color w:val="000000"/>
    </w:rPr>
  </w:style>
  <w:style w:type="character" w:customStyle="1" w:styleId="highlight">
    <w:name w:val="highlight"/>
    <w:basedOn w:val="DefaultParagraphFont"/>
    <w:uiPriority w:val="99"/>
    <w:rsid w:val="00C74066"/>
  </w:style>
  <w:style w:type="character" w:customStyle="1" w:styleId="CharChar6">
    <w:name w:val="Char Char6"/>
    <w:basedOn w:val="DefaultParagraphFont"/>
    <w:uiPriority w:val="99"/>
    <w:semiHidden/>
    <w:rsid w:val="00C74066"/>
    <w:rPr>
      <w:rFonts w:ascii="Times New Roman" w:eastAsia="Times New Roman" w:hAnsi="Times New Roman" w:cs="Times New Roman"/>
      <w:sz w:val="20"/>
      <w:szCs w:val="20"/>
      <w:lang w:val="en-AU"/>
    </w:rPr>
  </w:style>
  <w:style w:type="paragraph" w:customStyle="1" w:styleId="plain">
    <w:name w:val="plain"/>
    <w:basedOn w:val="Normal"/>
    <w:uiPriority w:val="99"/>
    <w:rsid w:val="00C74066"/>
    <w:pPr>
      <w:spacing w:before="100" w:beforeAutospacing="1" w:after="100" w:afterAutospacing="1"/>
      <w:ind w:right="720"/>
    </w:pPr>
    <w:rPr>
      <w:sz w:val="19"/>
      <w:szCs w:val="19"/>
    </w:rPr>
  </w:style>
  <w:style w:type="character" w:customStyle="1" w:styleId="ReferencesChar">
    <w:name w:val="References Char"/>
    <w:basedOn w:val="DefaultParagraphFont"/>
    <w:link w:val="References"/>
    <w:uiPriority w:val="99"/>
    <w:rsid w:val="00C74066"/>
    <w:rPr>
      <w:rFonts w:ascii="Arial" w:eastAsia="Times New Roman" w:hAnsi="Arial"/>
      <w:sz w:val="22"/>
      <w:lang w:eastAsia="en-US"/>
    </w:rPr>
  </w:style>
  <w:style w:type="character" w:styleId="HTMLCite">
    <w:name w:val="HTML Cite"/>
    <w:basedOn w:val="DefaultParagraphFont"/>
    <w:uiPriority w:val="99"/>
    <w:unhideWhenUsed/>
    <w:rsid w:val="00C74066"/>
    <w:rPr>
      <w:i/>
      <w:iCs/>
    </w:rPr>
  </w:style>
  <w:style w:type="paragraph" w:customStyle="1" w:styleId="articleref">
    <w:name w:val="articleref"/>
    <w:basedOn w:val="Normal"/>
    <w:uiPriority w:val="99"/>
    <w:rsid w:val="00C74066"/>
    <w:pPr>
      <w:spacing w:after="240"/>
    </w:pPr>
    <w:rPr>
      <w:rFonts w:ascii="Verdana" w:hAnsi="Verdana"/>
      <w:color w:val="58595B"/>
      <w:sz w:val="20"/>
      <w:szCs w:val="20"/>
    </w:rPr>
  </w:style>
  <w:style w:type="paragraph" w:customStyle="1" w:styleId="articlecitation">
    <w:name w:val="articlecitation"/>
    <w:basedOn w:val="Normal"/>
    <w:uiPriority w:val="99"/>
    <w:rsid w:val="00C74066"/>
    <w:pPr>
      <w:spacing w:before="150" w:after="75"/>
    </w:pPr>
    <w:rPr>
      <w:rFonts w:ascii="Verdana" w:hAnsi="Verdana"/>
      <w:color w:val="231F20"/>
      <w:sz w:val="20"/>
      <w:szCs w:val="20"/>
    </w:rPr>
  </w:style>
  <w:style w:type="paragraph" w:customStyle="1" w:styleId="KonuBasligi">
    <w:name w:val="Konu Basligi"/>
    <w:basedOn w:val="Default"/>
    <w:next w:val="Default"/>
    <w:uiPriority w:val="99"/>
    <w:rsid w:val="00C74066"/>
    <w:rPr>
      <w:rFonts w:ascii="Arial" w:hAnsi="Arial" w:cs="Arial"/>
      <w:color w:val="auto"/>
    </w:rPr>
  </w:style>
  <w:style w:type="character" w:customStyle="1" w:styleId="largefont1">
    <w:name w:val="largefont1"/>
    <w:basedOn w:val="DefaultParagraphFont"/>
    <w:uiPriority w:val="99"/>
    <w:rsid w:val="00C74066"/>
    <w:rPr>
      <w:sz w:val="26"/>
      <w:szCs w:val="26"/>
    </w:rPr>
  </w:style>
  <w:style w:type="character" w:customStyle="1" w:styleId="authorname3">
    <w:name w:val="authorname3"/>
    <w:basedOn w:val="DefaultParagraphFont"/>
    <w:rsid w:val="00C74066"/>
    <w:rPr>
      <w:b/>
      <w:bCs/>
    </w:rPr>
  </w:style>
  <w:style w:type="paragraph" w:customStyle="1" w:styleId="FicheInfo">
    <w:name w:val="Fiche Info"/>
    <w:basedOn w:val="Default"/>
    <w:next w:val="Default"/>
    <w:uiPriority w:val="99"/>
    <w:rsid w:val="00C74066"/>
    <w:rPr>
      <w:color w:val="auto"/>
    </w:rPr>
  </w:style>
  <w:style w:type="character" w:customStyle="1" w:styleId="binomial">
    <w:name w:val="binomial"/>
    <w:basedOn w:val="DefaultParagraphFont"/>
    <w:uiPriority w:val="99"/>
    <w:rsid w:val="00C74066"/>
  </w:style>
  <w:style w:type="paragraph" w:customStyle="1" w:styleId="TableText2">
    <w:name w:val="Table Text 2"/>
    <w:basedOn w:val="Normal"/>
    <w:uiPriority w:val="99"/>
    <w:rsid w:val="00C74066"/>
    <w:pPr>
      <w:widowControl w:val="0"/>
      <w:adjustRightInd w:val="0"/>
      <w:spacing w:line="360" w:lineRule="atLeast"/>
      <w:jc w:val="both"/>
      <w:textAlignment w:val="baseline"/>
    </w:pPr>
    <w:rPr>
      <w:rFonts w:ascii="Arial" w:hAnsi="Arial"/>
      <w:sz w:val="16"/>
      <w:szCs w:val="20"/>
      <w:lang w:val="en-US"/>
    </w:rPr>
  </w:style>
  <w:style w:type="character" w:customStyle="1" w:styleId="ms-rtecustom-photocaption1">
    <w:name w:val="ms-rtecustom-photocaption1"/>
    <w:basedOn w:val="DefaultParagraphFont"/>
    <w:uiPriority w:val="99"/>
    <w:rsid w:val="00C74066"/>
    <w:rPr>
      <w:sz w:val="13"/>
      <w:szCs w:val="13"/>
    </w:rPr>
  </w:style>
  <w:style w:type="paragraph" w:customStyle="1" w:styleId="Pa5">
    <w:name w:val="Pa5"/>
    <w:basedOn w:val="Default"/>
    <w:next w:val="Default"/>
    <w:rsid w:val="00C74066"/>
    <w:pPr>
      <w:spacing w:line="241" w:lineRule="atLeast"/>
    </w:pPr>
    <w:rPr>
      <w:color w:val="auto"/>
    </w:rPr>
  </w:style>
  <w:style w:type="character" w:customStyle="1" w:styleId="A4">
    <w:name w:val="A4"/>
    <w:uiPriority w:val="99"/>
    <w:rsid w:val="00C74066"/>
    <w:rPr>
      <w:b/>
      <w:bCs/>
      <w:color w:val="000000"/>
      <w:sz w:val="36"/>
      <w:szCs w:val="36"/>
    </w:rPr>
  </w:style>
  <w:style w:type="character" w:customStyle="1" w:styleId="A1">
    <w:name w:val="A1"/>
    <w:uiPriority w:val="99"/>
    <w:rsid w:val="00C74066"/>
    <w:rPr>
      <w:color w:val="000000"/>
      <w:sz w:val="21"/>
      <w:szCs w:val="21"/>
    </w:rPr>
  </w:style>
  <w:style w:type="paragraph" w:customStyle="1" w:styleId="Pa0">
    <w:name w:val="Pa0"/>
    <w:basedOn w:val="Default"/>
    <w:next w:val="Default"/>
    <w:rsid w:val="00C74066"/>
    <w:pPr>
      <w:spacing w:line="201" w:lineRule="atLeast"/>
    </w:pPr>
    <w:rPr>
      <w:rFonts w:ascii="Arial" w:hAnsi="Arial" w:cs="Arial"/>
      <w:color w:val="auto"/>
    </w:rPr>
  </w:style>
  <w:style w:type="character" w:customStyle="1" w:styleId="A0">
    <w:name w:val="A0"/>
    <w:uiPriority w:val="99"/>
    <w:rsid w:val="00C74066"/>
    <w:rPr>
      <w:color w:val="000000"/>
      <w:sz w:val="16"/>
      <w:szCs w:val="16"/>
    </w:rPr>
  </w:style>
  <w:style w:type="paragraph" w:customStyle="1" w:styleId="AQISTableTitle">
    <w:name w:val="AQIS Table Title"/>
    <w:basedOn w:val="AQISTableText"/>
    <w:next w:val="AQISTableText"/>
    <w:uiPriority w:val="99"/>
    <w:rsid w:val="00C74066"/>
    <w:pPr>
      <w:widowControl w:val="0"/>
      <w:adjustRightInd w:val="0"/>
      <w:jc w:val="both"/>
      <w:textAlignment w:val="baseline"/>
    </w:pPr>
    <w:rPr>
      <w:rFonts w:ascii="Arial" w:hAnsi="Arial"/>
      <w:b/>
    </w:rPr>
  </w:style>
  <w:style w:type="character" w:customStyle="1" w:styleId="AQIS4Char">
    <w:name w:val="AQIS4 Char"/>
    <w:basedOn w:val="DefaultParagraphFont"/>
    <w:link w:val="AQIS4"/>
    <w:uiPriority w:val="99"/>
    <w:rsid w:val="00C74066"/>
    <w:rPr>
      <w:rFonts w:ascii="Arial" w:eastAsia="Times New Roman" w:hAnsi="Arial"/>
      <w:b/>
      <w:sz w:val="24"/>
      <w:lang w:eastAsia="en-US"/>
    </w:rPr>
  </w:style>
  <w:style w:type="paragraph" w:customStyle="1" w:styleId="Char">
    <w:name w:val="Char"/>
    <w:basedOn w:val="Normal"/>
    <w:uiPriority w:val="99"/>
    <w:rsid w:val="00C74066"/>
    <w:pPr>
      <w:widowControl w:val="0"/>
      <w:adjustRightInd w:val="0"/>
      <w:spacing w:line="360" w:lineRule="atLeast"/>
      <w:jc w:val="both"/>
      <w:textAlignment w:val="baseline"/>
    </w:pPr>
    <w:rPr>
      <w:rFonts w:ascii="Arial" w:hAnsi="Arial"/>
      <w:szCs w:val="20"/>
    </w:rPr>
  </w:style>
  <w:style w:type="character" w:customStyle="1" w:styleId="authorname">
    <w:name w:val="authorname"/>
    <w:basedOn w:val="DefaultParagraphFont"/>
    <w:uiPriority w:val="99"/>
    <w:rsid w:val="00C74066"/>
  </w:style>
  <w:style w:type="character" w:customStyle="1" w:styleId="singleaffiliation">
    <w:name w:val="singleaffiliation"/>
    <w:basedOn w:val="DefaultParagraphFont"/>
    <w:uiPriority w:val="99"/>
    <w:rsid w:val="00C74066"/>
  </w:style>
  <w:style w:type="character" w:customStyle="1" w:styleId="CommentTextChar1">
    <w:name w:val="Comment Text Char1"/>
    <w:basedOn w:val="DefaultParagraphFont"/>
    <w:uiPriority w:val="99"/>
    <w:semiHidden/>
    <w:locked/>
    <w:rsid w:val="00C74066"/>
    <w:rPr>
      <w:rFonts w:cs="Times New Roman"/>
      <w:lang w:val="en-AU" w:eastAsia="en-US" w:bidi="ar-SA"/>
    </w:rPr>
  </w:style>
  <w:style w:type="paragraph" w:customStyle="1" w:styleId="Overskrift4">
    <w:name w:val="Overskrift 4"/>
    <w:basedOn w:val="Default"/>
    <w:next w:val="Default"/>
    <w:uiPriority w:val="99"/>
    <w:rsid w:val="00C74066"/>
    <w:pPr>
      <w:widowControl w:val="0"/>
      <w:spacing w:line="360" w:lineRule="atLeast"/>
      <w:jc w:val="both"/>
      <w:textAlignment w:val="baseline"/>
    </w:pPr>
    <w:rPr>
      <w:color w:val="auto"/>
    </w:rPr>
  </w:style>
  <w:style w:type="character" w:customStyle="1" w:styleId="matchhighlight1">
    <w:name w:val="matchhighlight1"/>
    <w:basedOn w:val="DefaultParagraphFont"/>
    <w:uiPriority w:val="99"/>
    <w:rsid w:val="00C74066"/>
    <w:rPr>
      <w:rFonts w:cs="Times New Roman"/>
      <w:b/>
      <w:bCs/>
      <w:color w:val="333366"/>
      <w:u w:val="single"/>
    </w:rPr>
  </w:style>
  <w:style w:type="paragraph" w:styleId="HTMLPreformatted">
    <w:name w:val="HTML Preformatted"/>
    <w:basedOn w:val="Normal"/>
    <w:link w:val="HTMLPreformattedChar"/>
    <w:uiPriority w:val="99"/>
    <w:rsid w:val="00C740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jc w:val="both"/>
      <w:textAlignment w:val="baseline"/>
    </w:pPr>
    <w:rPr>
      <w:rFonts w:ascii="Courier New" w:hAnsi="Courier New" w:cs="Courier New"/>
      <w:sz w:val="18"/>
      <w:szCs w:val="18"/>
    </w:rPr>
  </w:style>
  <w:style w:type="character" w:customStyle="1" w:styleId="HTMLPreformattedChar">
    <w:name w:val="HTML Preformatted Char"/>
    <w:basedOn w:val="DefaultParagraphFont"/>
    <w:link w:val="HTMLPreformatted"/>
    <w:uiPriority w:val="99"/>
    <w:rsid w:val="00C74066"/>
    <w:rPr>
      <w:rFonts w:ascii="Courier New" w:eastAsia="Times New Roman" w:hAnsi="Courier New" w:cs="Courier New"/>
      <w:sz w:val="18"/>
      <w:szCs w:val="18"/>
    </w:rPr>
  </w:style>
  <w:style w:type="character" w:customStyle="1" w:styleId="mainarea">
    <w:name w:val="mainarea"/>
    <w:basedOn w:val="DefaultParagraphFont"/>
    <w:uiPriority w:val="99"/>
    <w:rsid w:val="00C74066"/>
    <w:rPr>
      <w:rFonts w:cs="Times New Roman"/>
    </w:rPr>
  </w:style>
  <w:style w:type="paragraph" w:customStyle="1" w:styleId="CM3">
    <w:name w:val="CM3"/>
    <w:basedOn w:val="Default"/>
    <w:next w:val="Default"/>
    <w:uiPriority w:val="99"/>
    <w:rsid w:val="00C74066"/>
    <w:pPr>
      <w:widowControl w:val="0"/>
      <w:spacing w:line="360" w:lineRule="atLeast"/>
      <w:jc w:val="both"/>
      <w:textAlignment w:val="baseline"/>
    </w:pPr>
    <w:rPr>
      <w:color w:val="auto"/>
    </w:rPr>
  </w:style>
  <w:style w:type="paragraph" w:customStyle="1" w:styleId="CM23">
    <w:name w:val="CM23"/>
    <w:basedOn w:val="Default"/>
    <w:next w:val="Default"/>
    <w:uiPriority w:val="99"/>
    <w:rsid w:val="00C74066"/>
    <w:pPr>
      <w:widowControl w:val="0"/>
      <w:spacing w:line="360" w:lineRule="atLeast"/>
      <w:jc w:val="both"/>
      <w:textAlignment w:val="baseline"/>
    </w:pPr>
    <w:rPr>
      <w:color w:val="auto"/>
    </w:rPr>
  </w:style>
  <w:style w:type="paragraph" w:customStyle="1" w:styleId="CM24">
    <w:name w:val="CM24"/>
    <w:basedOn w:val="Default"/>
    <w:next w:val="Default"/>
    <w:uiPriority w:val="99"/>
    <w:rsid w:val="00C74066"/>
    <w:pPr>
      <w:widowControl w:val="0"/>
      <w:spacing w:line="360" w:lineRule="atLeast"/>
      <w:jc w:val="both"/>
      <w:textAlignment w:val="baseline"/>
    </w:pPr>
    <w:rPr>
      <w:color w:val="auto"/>
    </w:rPr>
  </w:style>
  <w:style w:type="paragraph" w:customStyle="1" w:styleId="Char12">
    <w:name w:val="Char12"/>
    <w:basedOn w:val="Normal"/>
    <w:uiPriority w:val="99"/>
    <w:rsid w:val="00C74066"/>
    <w:pPr>
      <w:widowControl w:val="0"/>
      <w:adjustRightInd w:val="0"/>
      <w:spacing w:line="360" w:lineRule="atLeast"/>
      <w:jc w:val="both"/>
      <w:textAlignment w:val="baseline"/>
    </w:pPr>
    <w:rPr>
      <w:rFonts w:ascii="Arial" w:hAnsi="Arial"/>
      <w:szCs w:val="20"/>
    </w:rPr>
  </w:style>
  <w:style w:type="paragraph" w:customStyle="1" w:styleId="Char11">
    <w:name w:val="Char11"/>
    <w:basedOn w:val="Normal"/>
    <w:uiPriority w:val="99"/>
    <w:rsid w:val="00C74066"/>
    <w:pPr>
      <w:widowControl w:val="0"/>
      <w:adjustRightInd w:val="0"/>
      <w:spacing w:line="360" w:lineRule="atLeast"/>
      <w:jc w:val="both"/>
      <w:textAlignment w:val="baseline"/>
    </w:pPr>
    <w:rPr>
      <w:rFonts w:ascii="Arial" w:hAnsi="Arial"/>
      <w:szCs w:val="20"/>
    </w:rPr>
  </w:style>
  <w:style w:type="paragraph" w:customStyle="1" w:styleId="StilOverskrift3IkkeKapitler">
    <w:name w:val="Stil Overskrift 3 + Ikke Kapitéler"/>
    <w:basedOn w:val="Default"/>
    <w:next w:val="Default"/>
    <w:uiPriority w:val="99"/>
    <w:rsid w:val="00C74066"/>
    <w:pPr>
      <w:widowControl w:val="0"/>
      <w:spacing w:line="360" w:lineRule="atLeast"/>
      <w:jc w:val="both"/>
      <w:textAlignment w:val="baseline"/>
    </w:pPr>
    <w:rPr>
      <w:color w:val="auto"/>
    </w:rPr>
  </w:style>
  <w:style w:type="paragraph" w:customStyle="1" w:styleId="CM123">
    <w:name w:val="CM123"/>
    <w:basedOn w:val="Default"/>
    <w:next w:val="Default"/>
    <w:uiPriority w:val="99"/>
    <w:rsid w:val="00C74066"/>
    <w:pPr>
      <w:widowControl w:val="0"/>
      <w:spacing w:line="360" w:lineRule="atLeast"/>
      <w:jc w:val="both"/>
      <w:textAlignment w:val="baseline"/>
    </w:pPr>
    <w:rPr>
      <w:color w:val="auto"/>
    </w:rPr>
  </w:style>
  <w:style w:type="character" w:customStyle="1" w:styleId="ti">
    <w:name w:val="ti"/>
    <w:basedOn w:val="DefaultParagraphFont"/>
    <w:uiPriority w:val="99"/>
    <w:rsid w:val="00C74066"/>
  </w:style>
  <w:style w:type="character" w:customStyle="1" w:styleId="forenames">
    <w:name w:val="forenames"/>
    <w:basedOn w:val="DefaultParagraphFont"/>
    <w:uiPriority w:val="99"/>
    <w:rsid w:val="00C74066"/>
  </w:style>
  <w:style w:type="paragraph" w:customStyle="1" w:styleId="authors">
    <w:name w:val="authors"/>
    <w:basedOn w:val="Normal"/>
    <w:rsid w:val="00C74066"/>
    <w:pPr>
      <w:widowControl w:val="0"/>
      <w:adjustRightInd w:val="0"/>
      <w:spacing w:before="100" w:beforeAutospacing="1" w:after="100" w:afterAutospacing="1" w:line="360" w:lineRule="atLeast"/>
      <w:jc w:val="both"/>
      <w:textAlignment w:val="baseline"/>
    </w:pPr>
  </w:style>
  <w:style w:type="character" w:customStyle="1" w:styleId="name">
    <w:name w:val="name"/>
    <w:basedOn w:val="DefaultParagraphFont"/>
    <w:uiPriority w:val="99"/>
    <w:rsid w:val="00C74066"/>
  </w:style>
  <w:style w:type="character" w:customStyle="1" w:styleId="cit-print-date">
    <w:name w:val="cit-print-date"/>
    <w:basedOn w:val="DefaultParagraphFont"/>
    <w:uiPriority w:val="99"/>
    <w:rsid w:val="00C74066"/>
  </w:style>
  <w:style w:type="character" w:customStyle="1" w:styleId="cit-vol3">
    <w:name w:val="cit-vol3"/>
    <w:basedOn w:val="DefaultParagraphFont"/>
    <w:uiPriority w:val="99"/>
    <w:rsid w:val="00C74066"/>
  </w:style>
  <w:style w:type="character" w:customStyle="1" w:styleId="cit-sep2">
    <w:name w:val="cit-sep2"/>
    <w:basedOn w:val="DefaultParagraphFont"/>
    <w:uiPriority w:val="99"/>
    <w:rsid w:val="00C74066"/>
  </w:style>
  <w:style w:type="character" w:customStyle="1" w:styleId="cit-first-page">
    <w:name w:val="cit-first-page"/>
    <w:basedOn w:val="DefaultParagraphFont"/>
    <w:uiPriority w:val="99"/>
    <w:rsid w:val="00C74066"/>
  </w:style>
  <w:style w:type="character" w:customStyle="1" w:styleId="cit-last-page2">
    <w:name w:val="cit-last-page2"/>
    <w:basedOn w:val="DefaultParagraphFont"/>
    <w:uiPriority w:val="99"/>
    <w:rsid w:val="00C74066"/>
  </w:style>
  <w:style w:type="character" w:customStyle="1" w:styleId="f2">
    <w:name w:val="f2"/>
    <w:basedOn w:val="DefaultParagraphFont"/>
    <w:uiPriority w:val="99"/>
    <w:rsid w:val="00C74066"/>
    <w:rPr>
      <w:color w:val="767676"/>
    </w:rPr>
  </w:style>
  <w:style w:type="character" w:customStyle="1" w:styleId="gl1">
    <w:name w:val="gl1"/>
    <w:basedOn w:val="DefaultParagraphFont"/>
    <w:uiPriority w:val="99"/>
    <w:rsid w:val="00C74066"/>
    <w:rPr>
      <w:color w:val="767676"/>
    </w:rPr>
  </w:style>
  <w:style w:type="character" w:customStyle="1" w:styleId="pubauthornone">
    <w:name w:val="pub_author_none"/>
    <w:basedOn w:val="DefaultParagraphFont"/>
    <w:uiPriority w:val="99"/>
    <w:rsid w:val="00C74066"/>
  </w:style>
  <w:style w:type="character" w:customStyle="1" w:styleId="cit-auth2">
    <w:name w:val="cit-auth2"/>
    <w:basedOn w:val="DefaultParagraphFont"/>
    <w:uiPriority w:val="99"/>
    <w:rsid w:val="00C74066"/>
  </w:style>
  <w:style w:type="character" w:customStyle="1" w:styleId="cit-vol">
    <w:name w:val="cit-vol"/>
    <w:basedOn w:val="DefaultParagraphFont"/>
    <w:uiPriority w:val="99"/>
    <w:rsid w:val="00C74066"/>
  </w:style>
  <w:style w:type="character" w:customStyle="1" w:styleId="printhide">
    <w:name w:val="printhide"/>
    <w:basedOn w:val="DefaultParagraphFont"/>
    <w:uiPriority w:val="99"/>
    <w:rsid w:val="00C74066"/>
  </w:style>
  <w:style w:type="paragraph" w:customStyle="1" w:styleId="IPPTitle18pt">
    <w:name w:val="IPP Title18pt"/>
    <w:basedOn w:val="Default"/>
    <w:next w:val="Default"/>
    <w:uiPriority w:val="99"/>
    <w:rsid w:val="00C74066"/>
    <w:pPr>
      <w:widowControl w:val="0"/>
      <w:spacing w:line="360" w:lineRule="atLeast"/>
      <w:jc w:val="both"/>
      <w:textAlignment w:val="baseline"/>
    </w:pPr>
    <w:rPr>
      <w:rFonts w:ascii="Arial" w:hAnsi="Arial" w:cs="Arial"/>
      <w:color w:val="auto"/>
    </w:rPr>
  </w:style>
  <w:style w:type="paragraph" w:customStyle="1" w:styleId="IPPNormalCloseSpace">
    <w:name w:val="IPP NormalCloseSpace"/>
    <w:basedOn w:val="Default"/>
    <w:next w:val="Default"/>
    <w:uiPriority w:val="99"/>
    <w:rsid w:val="00C74066"/>
    <w:pPr>
      <w:widowControl w:val="0"/>
      <w:spacing w:line="360" w:lineRule="atLeast"/>
      <w:jc w:val="both"/>
      <w:textAlignment w:val="baseline"/>
    </w:pPr>
    <w:rPr>
      <w:color w:val="auto"/>
    </w:rPr>
  </w:style>
  <w:style w:type="character" w:customStyle="1" w:styleId="apple-style-span">
    <w:name w:val="apple-style-span"/>
    <w:basedOn w:val="DefaultParagraphFont"/>
    <w:uiPriority w:val="99"/>
    <w:rsid w:val="00C74066"/>
  </w:style>
  <w:style w:type="character" w:customStyle="1" w:styleId="apple-converted-space">
    <w:name w:val="apple-converted-space"/>
    <w:basedOn w:val="DefaultParagraphFont"/>
    <w:rsid w:val="00C74066"/>
  </w:style>
  <w:style w:type="character" w:styleId="HTMLAcronym">
    <w:name w:val="HTML Acronym"/>
    <w:basedOn w:val="DefaultParagraphFont"/>
    <w:uiPriority w:val="99"/>
    <w:rsid w:val="00C74066"/>
  </w:style>
  <w:style w:type="character" w:customStyle="1" w:styleId="kwd-text">
    <w:name w:val="kwd-text"/>
    <w:basedOn w:val="DefaultParagraphFont"/>
    <w:uiPriority w:val="99"/>
    <w:rsid w:val="00C74066"/>
  </w:style>
  <w:style w:type="character" w:customStyle="1" w:styleId="searchterm01">
    <w:name w:val="searchterm01"/>
    <w:basedOn w:val="DefaultParagraphFont"/>
    <w:uiPriority w:val="99"/>
    <w:rsid w:val="00C74066"/>
    <w:rPr>
      <w:b/>
      <w:bCs/>
      <w:color w:val="000000"/>
      <w:shd w:val="clear" w:color="auto" w:fill="FFFF66"/>
    </w:rPr>
  </w:style>
  <w:style w:type="character" w:customStyle="1" w:styleId="searchterm11">
    <w:name w:val="searchterm11"/>
    <w:basedOn w:val="DefaultParagraphFont"/>
    <w:uiPriority w:val="99"/>
    <w:rsid w:val="00C74066"/>
    <w:rPr>
      <w:b/>
      <w:bCs/>
      <w:color w:val="000000"/>
      <w:shd w:val="clear" w:color="auto" w:fill="A0FFFF"/>
    </w:rPr>
  </w:style>
  <w:style w:type="character" w:customStyle="1" w:styleId="searchterm21">
    <w:name w:val="searchterm21"/>
    <w:basedOn w:val="DefaultParagraphFont"/>
    <w:uiPriority w:val="99"/>
    <w:rsid w:val="00C74066"/>
    <w:rPr>
      <w:b/>
      <w:bCs/>
      <w:color w:val="000000"/>
      <w:shd w:val="clear" w:color="auto" w:fill="99FF99"/>
    </w:rPr>
  </w:style>
  <w:style w:type="paragraph" w:customStyle="1" w:styleId="SYN1ERELIGNE">
    <w:name w:val="SYN.1ERE LIGNE"/>
    <w:basedOn w:val="Default"/>
    <w:next w:val="Default"/>
    <w:uiPriority w:val="99"/>
    <w:rsid w:val="00C74066"/>
    <w:pPr>
      <w:widowControl w:val="0"/>
      <w:spacing w:line="360" w:lineRule="atLeast"/>
      <w:jc w:val="both"/>
      <w:textAlignment w:val="baseline"/>
    </w:pPr>
    <w:rPr>
      <w:color w:val="auto"/>
    </w:rPr>
  </w:style>
  <w:style w:type="paragraph" w:customStyle="1" w:styleId="SYNONYMES">
    <w:name w:val="SYNONYMES"/>
    <w:basedOn w:val="Default"/>
    <w:next w:val="Default"/>
    <w:uiPriority w:val="99"/>
    <w:rsid w:val="00C74066"/>
    <w:pPr>
      <w:widowControl w:val="0"/>
      <w:spacing w:line="360" w:lineRule="atLeast"/>
      <w:jc w:val="both"/>
      <w:textAlignment w:val="baseline"/>
    </w:pPr>
    <w:rPr>
      <w:color w:val="auto"/>
    </w:rPr>
  </w:style>
  <w:style w:type="paragraph" w:customStyle="1" w:styleId="NC1ERELIGNE">
    <w:name w:val="NC 1ERE LIGNE"/>
    <w:basedOn w:val="Default"/>
    <w:next w:val="Default"/>
    <w:uiPriority w:val="99"/>
    <w:rsid w:val="00C74066"/>
    <w:pPr>
      <w:widowControl w:val="0"/>
      <w:spacing w:line="360" w:lineRule="atLeast"/>
      <w:jc w:val="both"/>
      <w:textAlignment w:val="baseline"/>
    </w:pPr>
    <w:rPr>
      <w:color w:val="auto"/>
    </w:rPr>
  </w:style>
  <w:style w:type="paragraph" w:styleId="Revision">
    <w:name w:val="Revision"/>
    <w:hidden/>
    <w:uiPriority w:val="99"/>
    <w:semiHidden/>
    <w:rsid w:val="00C74066"/>
    <w:pPr>
      <w:widowControl w:val="0"/>
      <w:adjustRightInd w:val="0"/>
      <w:spacing w:line="360" w:lineRule="atLeast"/>
      <w:jc w:val="both"/>
      <w:textAlignment w:val="baseline"/>
    </w:pPr>
    <w:rPr>
      <w:rFonts w:ascii="Times New Roman" w:eastAsia="Times New Roman" w:hAnsi="Times New Roman"/>
      <w:sz w:val="24"/>
      <w:szCs w:val="24"/>
      <w:lang w:eastAsia="en-US"/>
    </w:rPr>
  </w:style>
  <w:style w:type="character" w:customStyle="1" w:styleId="genera1">
    <w:name w:val="genera1"/>
    <w:basedOn w:val="DefaultParagraphFont"/>
    <w:rsid w:val="00C74066"/>
    <w:rPr>
      <w:rFonts w:cs="Times New Roman"/>
      <w:i/>
      <w:iCs/>
    </w:rPr>
  </w:style>
  <w:style w:type="character" w:customStyle="1" w:styleId="txtlrg1">
    <w:name w:val="txtlrg1"/>
    <w:basedOn w:val="DefaultParagraphFont"/>
    <w:rsid w:val="00C74066"/>
    <w:rPr>
      <w:rFonts w:ascii="Verdana" w:hAnsi="Verdana" w:cs="Verdana"/>
      <w:sz w:val="20"/>
      <w:szCs w:val="20"/>
    </w:rPr>
  </w:style>
  <w:style w:type="character" w:customStyle="1" w:styleId="fieldheader1">
    <w:name w:val="fieldheader1"/>
    <w:basedOn w:val="DefaultParagraphFont"/>
    <w:rsid w:val="00C74066"/>
    <w:rPr>
      <w:rFonts w:ascii="Verdana" w:hAnsi="Verdana" w:cs="Verdana"/>
      <w:b/>
      <w:bCs/>
      <w:color w:val="auto"/>
      <w:sz w:val="17"/>
      <w:szCs w:val="17"/>
    </w:rPr>
  </w:style>
  <w:style w:type="character" w:customStyle="1" w:styleId="searchmatch">
    <w:name w:val="searchmatch"/>
    <w:basedOn w:val="DefaultParagraphFont"/>
    <w:rsid w:val="00C74066"/>
  </w:style>
  <w:style w:type="paragraph" w:customStyle="1" w:styleId="hanging">
    <w:name w:val="hanging"/>
    <w:basedOn w:val="Normal"/>
    <w:uiPriority w:val="99"/>
    <w:rsid w:val="00C74066"/>
    <w:pPr>
      <w:widowControl w:val="0"/>
      <w:adjustRightInd w:val="0"/>
      <w:spacing w:before="100" w:beforeAutospacing="1" w:after="100" w:afterAutospacing="1" w:line="360" w:lineRule="atLeast"/>
      <w:jc w:val="both"/>
      <w:textAlignment w:val="baseline"/>
    </w:pPr>
    <w:rPr>
      <w:sz w:val="19"/>
      <w:szCs w:val="19"/>
    </w:rPr>
  </w:style>
  <w:style w:type="paragraph" w:customStyle="1" w:styleId="tabletext1">
    <w:name w:val="tabletext"/>
    <w:basedOn w:val="Normal"/>
    <w:rsid w:val="00C74066"/>
    <w:pPr>
      <w:widowControl w:val="0"/>
      <w:adjustRightInd w:val="0"/>
      <w:spacing w:line="288" w:lineRule="auto"/>
      <w:jc w:val="center"/>
      <w:textAlignment w:val="baseline"/>
    </w:pPr>
    <w:rPr>
      <w:rFonts w:ascii="Palatino (PCL6)" w:hAnsi="Palatino (PCL6)"/>
      <w:sz w:val="18"/>
      <w:szCs w:val="18"/>
    </w:rPr>
  </w:style>
  <w:style w:type="paragraph" w:customStyle="1" w:styleId="Navaden">
    <w:name w:val="Navaden"/>
    <w:basedOn w:val="Normal"/>
    <w:next w:val="Normal"/>
    <w:rsid w:val="00C74066"/>
    <w:pPr>
      <w:widowControl w:val="0"/>
      <w:autoSpaceDE w:val="0"/>
      <w:autoSpaceDN w:val="0"/>
      <w:adjustRightInd w:val="0"/>
      <w:spacing w:before="60" w:line="360" w:lineRule="atLeast"/>
      <w:jc w:val="both"/>
      <w:textAlignment w:val="baseline"/>
    </w:pPr>
  </w:style>
  <w:style w:type="paragraph" w:customStyle="1" w:styleId="table0">
    <w:name w:val="table"/>
    <w:basedOn w:val="Normal"/>
    <w:rsid w:val="00C74066"/>
    <w:pPr>
      <w:keepLines/>
      <w:widowControl w:val="0"/>
      <w:tabs>
        <w:tab w:val="left" w:pos="142"/>
        <w:tab w:val="left" w:pos="284"/>
        <w:tab w:val="left" w:pos="426"/>
        <w:tab w:val="left" w:pos="1985"/>
        <w:tab w:val="left" w:pos="2268"/>
        <w:tab w:val="left" w:pos="2552"/>
        <w:tab w:val="left" w:pos="2835"/>
      </w:tabs>
      <w:adjustRightInd w:val="0"/>
      <w:spacing w:before="80" w:after="80" w:line="340" w:lineRule="atLeast"/>
      <w:jc w:val="both"/>
      <w:textAlignment w:val="baseline"/>
    </w:pPr>
    <w:rPr>
      <w:rFonts w:ascii="Palatino" w:hAnsi="Palatino"/>
      <w:color w:val="000080"/>
      <w:sz w:val="20"/>
      <w:szCs w:val="20"/>
      <w:lang w:val="en-US"/>
    </w:rPr>
  </w:style>
  <w:style w:type="character" w:customStyle="1" w:styleId="content">
    <w:name w:val="content"/>
    <w:basedOn w:val="DefaultParagraphFont"/>
    <w:rsid w:val="00C74066"/>
  </w:style>
  <w:style w:type="paragraph" w:customStyle="1" w:styleId="StyleBAText1bulletItalic">
    <w:name w:val="Style BA Text 1 bullet + Italic"/>
    <w:basedOn w:val="Normal"/>
    <w:rsid w:val="00C74066"/>
    <w:pPr>
      <w:widowControl w:val="0"/>
      <w:adjustRightInd w:val="0"/>
      <w:spacing w:line="280" w:lineRule="atLeast"/>
      <w:jc w:val="both"/>
      <w:textAlignment w:val="baseline"/>
    </w:pPr>
    <w:rPr>
      <w:rFonts w:ascii="Times" w:hAnsi="Times"/>
      <w:i/>
      <w:iCs/>
    </w:rPr>
  </w:style>
  <w:style w:type="paragraph" w:customStyle="1" w:styleId="StyleBAText1Italic">
    <w:name w:val="Style BA Text 1 + Italic"/>
    <w:basedOn w:val="Normal"/>
    <w:rsid w:val="00C74066"/>
    <w:pPr>
      <w:widowControl w:val="0"/>
      <w:adjustRightInd w:val="0"/>
      <w:spacing w:line="280" w:lineRule="atLeast"/>
      <w:jc w:val="both"/>
      <w:textAlignment w:val="baseline"/>
    </w:pPr>
    <w:rPr>
      <w:rFonts w:ascii="Times" w:hAnsi="Times"/>
      <w:i/>
      <w:iCs/>
    </w:rPr>
  </w:style>
  <w:style w:type="paragraph" w:customStyle="1" w:styleId="Tableheader">
    <w:name w:val="Table header"/>
    <w:basedOn w:val="Normal"/>
    <w:link w:val="TableheaderCharChar"/>
    <w:rsid w:val="00C74066"/>
    <w:pPr>
      <w:keepNext/>
      <w:keepLines/>
      <w:widowControl w:val="0"/>
      <w:adjustRightInd w:val="0"/>
      <w:spacing w:before="360" w:after="120" w:line="240" w:lineRule="atLeast"/>
      <w:jc w:val="both"/>
      <w:textAlignment w:val="baseline"/>
      <w:outlineLvl w:val="8"/>
    </w:pPr>
    <w:rPr>
      <w:rFonts w:ascii="Arial" w:hAnsi="Arial"/>
      <w:b/>
      <w:bCs/>
    </w:rPr>
  </w:style>
  <w:style w:type="character" w:customStyle="1" w:styleId="TableheaderCharChar">
    <w:name w:val="Table header Char Char"/>
    <w:basedOn w:val="DefaultParagraphFont"/>
    <w:link w:val="Tableheader"/>
    <w:rsid w:val="00C74066"/>
    <w:rPr>
      <w:rFonts w:ascii="Arial" w:eastAsia="Times New Roman" w:hAnsi="Arial"/>
      <w:b/>
      <w:bCs/>
      <w:sz w:val="22"/>
      <w:szCs w:val="24"/>
      <w:lang w:eastAsia="en-US"/>
    </w:rPr>
  </w:style>
  <w:style w:type="table" w:styleId="TableList3">
    <w:name w:val="Table List 3"/>
    <w:basedOn w:val="TableNormal"/>
    <w:rsid w:val="00C74066"/>
    <w:pPr>
      <w:widowControl w:val="0"/>
      <w:spacing w:line="340" w:lineRule="atLeast"/>
    </w:pPr>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CM7">
    <w:name w:val="CM7"/>
    <w:basedOn w:val="Default"/>
    <w:next w:val="Default"/>
    <w:rsid w:val="00C74066"/>
    <w:pPr>
      <w:widowControl w:val="0"/>
      <w:spacing w:after="358" w:line="360" w:lineRule="atLeast"/>
      <w:jc w:val="both"/>
      <w:textAlignment w:val="baseline"/>
    </w:pPr>
    <w:rPr>
      <w:color w:val="auto"/>
    </w:rPr>
  </w:style>
  <w:style w:type="character" w:customStyle="1" w:styleId="sn">
    <w:name w:val="sn"/>
    <w:basedOn w:val="DefaultParagraphFont"/>
    <w:rsid w:val="00C74066"/>
  </w:style>
  <w:style w:type="character" w:customStyle="1" w:styleId="subject1">
    <w:name w:val="subject1"/>
    <w:basedOn w:val="DefaultParagraphFont"/>
    <w:rsid w:val="00C74066"/>
    <w:rPr>
      <w:b/>
      <w:bCs/>
    </w:rPr>
  </w:style>
  <w:style w:type="paragraph" w:customStyle="1" w:styleId="text">
    <w:name w:val="text"/>
    <w:basedOn w:val="Normal"/>
    <w:rsid w:val="00C74066"/>
    <w:pPr>
      <w:widowControl w:val="0"/>
      <w:adjustRightInd w:val="0"/>
      <w:spacing w:before="100" w:beforeAutospacing="1" w:after="100" w:afterAutospacing="1" w:line="360" w:lineRule="atLeast"/>
      <w:jc w:val="both"/>
      <w:textAlignment w:val="baseline"/>
    </w:pPr>
    <w:rPr>
      <w:rFonts w:ascii="Arial" w:hAnsi="Arial" w:cs="Arial"/>
    </w:rPr>
  </w:style>
  <w:style w:type="paragraph" w:customStyle="1" w:styleId="noskip">
    <w:name w:val="noskip"/>
    <w:basedOn w:val="Normal"/>
    <w:uiPriority w:val="99"/>
    <w:rsid w:val="00C74066"/>
    <w:pPr>
      <w:widowControl w:val="0"/>
      <w:adjustRightInd w:val="0"/>
      <w:spacing w:after="100" w:afterAutospacing="1" w:line="360" w:lineRule="atLeast"/>
      <w:jc w:val="both"/>
      <w:textAlignment w:val="baseline"/>
    </w:pPr>
  </w:style>
  <w:style w:type="character" w:customStyle="1" w:styleId="smallcaps3">
    <w:name w:val="smallcaps3"/>
    <w:basedOn w:val="DefaultParagraphFont"/>
    <w:rsid w:val="00C74066"/>
    <w:rPr>
      <w:smallCaps/>
    </w:rPr>
  </w:style>
  <w:style w:type="character" w:customStyle="1" w:styleId="defaultcontent1">
    <w:name w:val="default_content1"/>
    <w:basedOn w:val="DefaultParagraphFont"/>
    <w:rsid w:val="00C74066"/>
    <w:rPr>
      <w:rFonts w:ascii="Arial" w:hAnsi="Arial" w:cs="Arial" w:hint="default"/>
      <w:b w:val="0"/>
      <w:bCs w:val="0"/>
      <w:color w:val="000000"/>
      <w:sz w:val="15"/>
      <w:szCs w:val="15"/>
    </w:rPr>
  </w:style>
  <w:style w:type="character" w:customStyle="1" w:styleId="contenttitle1">
    <w:name w:val="content_title1"/>
    <w:basedOn w:val="DefaultParagraphFont"/>
    <w:rsid w:val="00C74066"/>
    <w:rPr>
      <w:rFonts w:ascii="Arial" w:hAnsi="Arial" w:cs="Arial" w:hint="default"/>
      <w:b/>
      <w:bCs/>
      <w:color w:val="0066AA"/>
      <w:sz w:val="22"/>
      <w:szCs w:val="22"/>
    </w:rPr>
  </w:style>
  <w:style w:type="character" w:customStyle="1" w:styleId="header011">
    <w:name w:val="header011"/>
    <w:basedOn w:val="DefaultParagraphFont"/>
    <w:rsid w:val="00C74066"/>
    <w:rPr>
      <w:rFonts w:ascii="Arial" w:hAnsi="Arial" w:cs="Arial" w:hint="default"/>
      <w:color w:val="007437"/>
      <w:sz w:val="24"/>
      <w:szCs w:val="24"/>
    </w:rPr>
  </w:style>
  <w:style w:type="character" w:customStyle="1" w:styleId="f1">
    <w:name w:val="f1"/>
    <w:basedOn w:val="DefaultParagraphFont"/>
    <w:rsid w:val="00C74066"/>
    <w:rPr>
      <w:color w:val="666666"/>
    </w:rPr>
  </w:style>
  <w:style w:type="paragraph" w:customStyle="1" w:styleId="Titre1">
    <w:name w:val="Titre 1"/>
    <w:basedOn w:val="Default"/>
    <w:next w:val="Default"/>
    <w:rsid w:val="00C74066"/>
    <w:pPr>
      <w:widowControl w:val="0"/>
      <w:spacing w:before="120" w:after="600" w:line="360" w:lineRule="atLeast"/>
      <w:jc w:val="both"/>
      <w:textAlignment w:val="baseline"/>
    </w:pPr>
    <w:rPr>
      <w:color w:val="auto"/>
    </w:rPr>
  </w:style>
  <w:style w:type="character" w:customStyle="1" w:styleId="title3">
    <w:name w:val="title3"/>
    <w:basedOn w:val="DefaultParagraphFont"/>
    <w:rsid w:val="00C74066"/>
  </w:style>
  <w:style w:type="character" w:customStyle="1" w:styleId="journal2">
    <w:name w:val="journal2"/>
    <w:basedOn w:val="DefaultParagraphFont"/>
    <w:rsid w:val="00C74066"/>
  </w:style>
  <w:style w:type="paragraph" w:customStyle="1" w:styleId="articledetails">
    <w:name w:val="articledetails"/>
    <w:basedOn w:val="Normal"/>
    <w:rsid w:val="00C74066"/>
    <w:pPr>
      <w:widowControl w:val="0"/>
      <w:adjustRightInd w:val="0"/>
      <w:spacing w:before="100" w:beforeAutospacing="1" w:after="100" w:afterAutospacing="1" w:line="360" w:lineRule="atLeast"/>
      <w:jc w:val="both"/>
      <w:textAlignment w:val="baseline"/>
    </w:pPr>
  </w:style>
  <w:style w:type="character" w:customStyle="1" w:styleId="articlepagesstyle">
    <w:name w:val="articlepagesstyle"/>
    <w:basedOn w:val="DefaultParagraphFont"/>
    <w:uiPriority w:val="99"/>
    <w:rsid w:val="00C74066"/>
  </w:style>
  <w:style w:type="character" w:customStyle="1" w:styleId="style111">
    <w:name w:val="style111"/>
    <w:basedOn w:val="DefaultParagraphFont"/>
    <w:rsid w:val="00C74066"/>
    <w:rPr>
      <w:rFonts w:ascii="Verdana" w:hAnsi="Verdana" w:hint="default"/>
      <w:b/>
      <w:bCs/>
      <w:color w:val="581E79"/>
      <w:sz w:val="21"/>
      <w:szCs w:val="21"/>
    </w:rPr>
  </w:style>
  <w:style w:type="character" w:customStyle="1" w:styleId="gsa1">
    <w:name w:val="gs_a1"/>
    <w:basedOn w:val="DefaultParagraphFont"/>
    <w:uiPriority w:val="99"/>
    <w:rsid w:val="00C74066"/>
    <w:rPr>
      <w:color w:val="008000"/>
    </w:rPr>
  </w:style>
  <w:style w:type="paragraph" w:customStyle="1" w:styleId="simkop1">
    <w:name w:val="simkop1"/>
    <w:basedOn w:val="Normal"/>
    <w:rsid w:val="00C74066"/>
    <w:pPr>
      <w:widowControl w:val="0"/>
      <w:autoSpaceDE w:val="0"/>
      <w:autoSpaceDN w:val="0"/>
      <w:adjustRightInd w:val="0"/>
      <w:spacing w:line="360" w:lineRule="atLeast"/>
      <w:jc w:val="both"/>
      <w:textAlignment w:val="baseline"/>
    </w:pPr>
    <w:rPr>
      <w:rFonts w:ascii="Arial" w:hAnsi="Arial" w:cs="Arial"/>
      <w:b/>
      <w:bCs/>
      <w:spacing w:val="-3"/>
      <w:sz w:val="32"/>
      <w:szCs w:val="32"/>
    </w:rPr>
  </w:style>
  <w:style w:type="character" w:customStyle="1" w:styleId="personname3">
    <w:name w:val="person_name3"/>
    <w:basedOn w:val="DefaultParagraphFont"/>
    <w:rsid w:val="00C74066"/>
  </w:style>
  <w:style w:type="character" w:customStyle="1" w:styleId="journalabstracttitle1">
    <w:name w:val="journal_abstract_title1"/>
    <w:basedOn w:val="DefaultParagraphFont"/>
    <w:rsid w:val="00C74066"/>
    <w:rPr>
      <w:rFonts w:ascii="Arial" w:hAnsi="Arial" w:cs="Arial" w:hint="default"/>
      <w:b/>
      <w:bCs/>
      <w:caps w:val="0"/>
      <w:sz w:val="23"/>
      <w:szCs w:val="23"/>
    </w:rPr>
  </w:style>
  <w:style w:type="character" w:customStyle="1" w:styleId="author0">
    <w:name w:val="author"/>
    <w:basedOn w:val="DefaultParagraphFont"/>
    <w:uiPriority w:val="99"/>
    <w:rsid w:val="00C74066"/>
  </w:style>
  <w:style w:type="paragraph" w:customStyle="1" w:styleId="H5">
    <w:name w:val="H5"/>
    <w:basedOn w:val="Normal"/>
    <w:next w:val="Normal"/>
    <w:rsid w:val="00C74066"/>
    <w:pPr>
      <w:keepNext/>
      <w:widowControl w:val="0"/>
      <w:adjustRightInd w:val="0"/>
      <w:spacing w:before="100" w:after="100" w:line="360" w:lineRule="atLeast"/>
      <w:jc w:val="both"/>
      <w:textAlignment w:val="baseline"/>
      <w:outlineLvl w:val="5"/>
    </w:pPr>
    <w:rPr>
      <w:b/>
      <w:snapToGrid w:val="0"/>
      <w:sz w:val="20"/>
      <w:szCs w:val="20"/>
    </w:rPr>
  </w:style>
  <w:style w:type="paragraph" w:customStyle="1" w:styleId="DefinitionTerm">
    <w:name w:val="Definition Term"/>
    <w:basedOn w:val="Normal"/>
    <w:next w:val="Normal"/>
    <w:rsid w:val="00C74066"/>
    <w:pPr>
      <w:widowControl w:val="0"/>
      <w:adjustRightInd w:val="0"/>
      <w:spacing w:line="360" w:lineRule="atLeast"/>
      <w:jc w:val="both"/>
      <w:textAlignment w:val="baseline"/>
    </w:pPr>
    <w:rPr>
      <w:snapToGrid w:val="0"/>
      <w:sz w:val="20"/>
      <w:szCs w:val="20"/>
    </w:rPr>
  </w:style>
  <w:style w:type="paragraph" w:customStyle="1" w:styleId="articletitle">
    <w:name w:val="articletitle"/>
    <w:basedOn w:val="Normal"/>
    <w:rsid w:val="00C74066"/>
    <w:pPr>
      <w:widowControl w:val="0"/>
      <w:adjustRightInd w:val="0"/>
      <w:spacing w:before="100" w:beforeAutospacing="1" w:after="100" w:afterAutospacing="1" w:line="360" w:lineRule="atLeast"/>
      <w:jc w:val="both"/>
      <w:textAlignment w:val="baseline"/>
    </w:pPr>
    <w:rPr>
      <w:rFonts w:ascii="Arial Unicode MS" w:eastAsia="Arial Unicode MS" w:hAnsi="Arial Unicode MS" w:cs="Arial Unicode MS"/>
      <w:b/>
      <w:bCs/>
      <w:color w:val="000000"/>
      <w:sz w:val="36"/>
      <w:szCs w:val="36"/>
    </w:rPr>
  </w:style>
  <w:style w:type="character" w:customStyle="1" w:styleId="pubyear">
    <w:name w:val="pubyear"/>
    <w:basedOn w:val="DefaultParagraphFont"/>
    <w:rsid w:val="00C74066"/>
  </w:style>
  <w:style w:type="character" w:customStyle="1" w:styleId="journaltitle2">
    <w:name w:val="journaltitle2"/>
    <w:basedOn w:val="DefaultParagraphFont"/>
    <w:rsid w:val="00C74066"/>
    <w:rPr>
      <w:i/>
      <w:iCs/>
    </w:rPr>
  </w:style>
  <w:style w:type="character" w:customStyle="1" w:styleId="vol2">
    <w:name w:val="vol2"/>
    <w:basedOn w:val="DefaultParagraphFont"/>
    <w:rsid w:val="00C74066"/>
    <w:rPr>
      <w:b/>
      <w:bCs/>
    </w:rPr>
  </w:style>
  <w:style w:type="character" w:customStyle="1" w:styleId="pagefirst">
    <w:name w:val="pagefirst"/>
    <w:basedOn w:val="DefaultParagraphFont"/>
    <w:rsid w:val="00C74066"/>
  </w:style>
  <w:style w:type="character" w:customStyle="1" w:styleId="pagelast">
    <w:name w:val="pagelast"/>
    <w:basedOn w:val="DefaultParagraphFont"/>
    <w:rsid w:val="00C74066"/>
  </w:style>
  <w:style w:type="character" w:customStyle="1" w:styleId="othertitle">
    <w:name w:val="othertitle"/>
    <w:basedOn w:val="DefaultParagraphFont"/>
    <w:rsid w:val="00C74066"/>
  </w:style>
  <w:style w:type="character" w:customStyle="1" w:styleId="mixed-citation">
    <w:name w:val="mixed-citation"/>
    <w:basedOn w:val="DefaultParagraphFont"/>
    <w:rsid w:val="00C74066"/>
  </w:style>
  <w:style w:type="character" w:customStyle="1" w:styleId="ref-title">
    <w:name w:val="ref-title"/>
    <w:basedOn w:val="DefaultParagraphFont"/>
    <w:rsid w:val="00C74066"/>
  </w:style>
  <w:style w:type="character" w:customStyle="1" w:styleId="ref-journal1">
    <w:name w:val="ref-journal1"/>
    <w:basedOn w:val="DefaultParagraphFont"/>
    <w:rsid w:val="00C74066"/>
    <w:rPr>
      <w:i/>
      <w:iCs/>
    </w:rPr>
  </w:style>
  <w:style w:type="character" w:customStyle="1" w:styleId="ref-vol">
    <w:name w:val="ref-vol"/>
    <w:basedOn w:val="DefaultParagraphFont"/>
    <w:rsid w:val="00C74066"/>
  </w:style>
  <w:style w:type="paragraph" w:customStyle="1" w:styleId="CM2">
    <w:name w:val="CM2"/>
    <w:basedOn w:val="Default"/>
    <w:next w:val="Default"/>
    <w:uiPriority w:val="99"/>
    <w:rsid w:val="00C74066"/>
    <w:pPr>
      <w:widowControl w:val="0"/>
      <w:spacing w:line="360" w:lineRule="atLeast"/>
      <w:jc w:val="both"/>
      <w:textAlignment w:val="baseline"/>
    </w:pPr>
    <w:rPr>
      <w:rFonts w:ascii="MDJPP J+ Adv P 1964" w:hAnsi="MDJPP J+ Adv P 1964"/>
      <w:color w:val="auto"/>
    </w:rPr>
  </w:style>
  <w:style w:type="paragraph" w:customStyle="1" w:styleId="CM17">
    <w:name w:val="CM17"/>
    <w:basedOn w:val="Default"/>
    <w:next w:val="Default"/>
    <w:uiPriority w:val="99"/>
    <w:rsid w:val="00C74066"/>
    <w:pPr>
      <w:widowControl w:val="0"/>
      <w:spacing w:line="360" w:lineRule="atLeast"/>
      <w:jc w:val="both"/>
      <w:textAlignment w:val="baseline"/>
    </w:pPr>
    <w:rPr>
      <w:rFonts w:ascii="MDJPP J+ Adv P 1964" w:hAnsi="MDJPP J+ Adv P 1964"/>
      <w:color w:val="auto"/>
    </w:rPr>
  </w:style>
  <w:style w:type="paragraph" w:customStyle="1" w:styleId="CM16">
    <w:name w:val="CM16"/>
    <w:basedOn w:val="Default"/>
    <w:next w:val="Default"/>
    <w:uiPriority w:val="99"/>
    <w:rsid w:val="00C74066"/>
    <w:pPr>
      <w:widowControl w:val="0"/>
      <w:spacing w:line="360" w:lineRule="atLeast"/>
      <w:jc w:val="both"/>
      <w:textAlignment w:val="baseline"/>
    </w:pPr>
    <w:rPr>
      <w:rFonts w:ascii="MDJPP J+ Adv P 1964" w:hAnsi="MDJPP J+ Adv P 1964"/>
      <w:color w:val="auto"/>
    </w:rPr>
  </w:style>
  <w:style w:type="paragraph" w:customStyle="1" w:styleId="CM1">
    <w:name w:val="CM1"/>
    <w:basedOn w:val="Default"/>
    <w:next w:val="Default"/>
    <w:uiPriority w:val="99"/>
    <w:rsid w:val="00C74066"/>
    <w:pPr>
      <w:widowControl w:val="0"/>
      <w:spacing w:line="360" w:lineRule="atLeast"/>
      <w:jc w:val="both"/>
      <w:textAlignment w:val="baseline"/>
    </w:pPr>
    <w:rPr>
      <w:rFonts w:ascii="MDJPO D+ Adv P 1968" w:hAnsi="MDJPO D+ Adv P 1968"/>
      <w:color w:val="auto"/>
    </w:rPr>
  </w:style>
  <w:style w:type="character" w:customStyle="1" w:styleId="cit-pub-date1">
    <w:name w:val="cit-pub-date1"/>
    <w:basedOn w:val="DefaultParagraphFont"/>
    <w:uiPriority w:val="99"/>
    <w:rsid w:val="00C74066"/>
    <w:rPr>
      <w:b/>
      <w:bCs/>
    </w:rPr>
  </w:style>
  <w:style w:type="character" w:customStyle="1" w:styleId="Subtitle1">
    <w:name w:val="Subtitle1"/>
    <w:basedOn w:val="DefaultParagraphFont"/>
    <w:rsid w:val="00C74066"/>
  </w:style>
  <w:style w:type="character" w:customStyle="1" w:styleId="description1">
    <w:name w:val="description1"/>
    <w:basedOn w:val="DefaultParagraphFont"/>
    <w:rsid w:val="00C74066"/>
    <w:rPr>
      <w:sz w:val="20"/>
      <w:szCs w:val="20"/>
    </w:rPr>
  </w:style>
  <w:style w:type="character" w:customStyle="1" w:styleId="fn">
    <w:name w:val="fn"/>
    <w:basedOn w:val="DefaultParagraphFont"/>
    <w:rsid w:val="00C74066"/>
  </w:style>
  <w:style w:type="paragraph" w:styleId="HTMLAddress">
    <w:name w:val="HTML Address"/>
    <w:basedOn w:val="Normal"/>
    <w:link w:val="HTMLAddressChar"/>
    <w:uiPriority w:val="99"/>
    <w:unhideWhenUsed/>
    <w:rsid w:val="00C74066"/>
    <w:pPr>
      <w:widowControl w:val="0"/>
      <w:adjustRightInd w:val="0"/>
      <w:spacing w:line="360" w:lineRule="atLeast"/>
      <w:jc w:val="both"/>
      <w:textAlignment w:val="baseline"/>
    </w:pPr>
    <w:rPr>
      <w:i/>
      <w:iCs/>
    </w:rPr>
  </w:style>
  <w:style w:type="character" w:customStyle="1" w:styleId="HTMLAddressChar">
    <w:name w:val="HTML Address Char"/>
    <w:basedOn w:val="DefaultParagraphFont"/>
    <w:link w:val="HTMLAddress"/>
    <w:uiPriority w:val="99"/>
    <w:rsid w:val="00C74066"/>
    <w:rPr>
      <w:rFonts w:ascii="Times New Roman" w:eastAsia="Times New Roman" w:hAnsi="Times New Roman"/>
      <w:i/>
      <w:iCs/>
      <w:sz w:val="24"/>
      <w:szCs w:val="24"/>
    </w:rPr>
  </w:style>
  <w:style w:type="paragraph" w:customStyle="1" w:styleId="BodyText5">
    <w:name w:val="Body Text+5"/>
    <w:basedOn w:val="Default"/>
    <w:next w:val="Default"/>
    <w:uiPriority w:val="99"/>
    <w:rsid w:val="00C74066"/>
    <w:pPr>
      <w:widowControl w:val="0"/>
      <w:spacing w:line="360" w:lineRule="atLeast"/>
      <w:jc w:val="both"/>
      <w:textAlignment w:val="baseline"/>
    </w:pPr>
    <w:rPr>
      <w:rFonts w:ascii="Arial" w:hAnsi="Arial" w:cs="Arial"/>
      <w:color w:val="auto"/>
    </w:rPr>
  </w:style>
  <w:style w:type="character" w:customStyle="1" w:styleId="hit">
    <w:name w:val="hit"/>
    <w:basedOn w:val="DefaultParagraphFont"/>
    <w:rsid w:val="00C74066"/>
    <w:rPr>
      <w:sz w:val="24"/>
      <w:szCs w:val="24"/>
      <w:bdr w:val="none" w:sz="0" w:space="0" w:color="auto" w:frame="1"/>
      <w:shd w:val="clear" w:color="auto" w:fill="FFFFDD"/>
      <w:vertAlign w:val="baseline"/>
    </w:rPr>
  </w:style>
  <w:style w:type="character" w:customStyle="1" w:styleId="sectiontitle1">
    <w:name w:val="sectiontitle1"/>
    <w:basedOn w:val="DefaultParagraphFont"/>
    <w:rsid w:val="00C74066"/>
    <w:rPr>
      <w:rFonts w:ascii="Verdana" w:hAnsi="Verdana" w:hint="default"/>
      <w:b/>
      <w:bCs/>
      <w:i w:val="0"/>
      <w:iCs w:val="0"/>
      <w:color w:val="284469"/>
      <w:spacing w:val="30"/>
      <w:sz w:val="24"/>
      <w:szCs w:val="24"/>
    </w:rPr>
  </w:style>
  <w:style w:type="paragraph" w:customStyle="1" w:styleId="Dot">
    <w:name w:val="Dot"/>
    <w:basedOn w:val="Normal"/>
    <w:uiPriority w:val="99"/>
    <w:rsid w:val="00C74066"/>
    <w:pPr>
      <w:widowControl w:val="0"/>
      <w:numPr>
        <w:numId w:val="30"/>
      </w:numPr>
      <w:adjustRightInd w:val="0"/>
      <w:spacing w:line="360" w:lineRule="atLeast"/>
      <w:jc w:val="both"/>
      <w:textAlignment w:val="baseline"/>
    </w:pPr>
    <w:rPr>
      <w:szCs w:val="20"/>
    </w:rPr>
  </w:style>
  <w:style w:type="paragraph" w:customStyle="1" w:styleId="Pa1">
    <w:name w:val="Pa1"/>
    <w:basedOn w:val="Default"/>
    <w:next w:val="Default"/>
    <w:uiPriority w:val="99"/>
    <w:rsid w:val="00C74066"/>
    <w:pPr>
      <w:widowControl w:val="0"/>
      <w:spacing w:line="241" w:lineRule="atLeast"/>
      <w:jc w:val="both"/>
      <w:textAlignment w:val="baseline"/>
    </w:pPr>
    <w:rPr>
      <w:rFonts w:ascii="NewCenturySchlbk" w:hAnsi="NewCenturySchlbk"/>
      <w:color w:val="auto"/>
    </w:rPr>
  </w:style>
  <w:style w:type="character" w:customStyle="1" w:styleId="A8">
    <w:name w:val="A8"/>
    <w:uiPriority w:val="99"/>
    <w:rsid w:val="00C74066"/>
    <w:rPr>
      <w:rFonts w:cs="NewCenturySchlbk"/>
      <w:color w:val="000000"/>
      <w:sz w:val="16"/>
      <w:szCs w:val="16"/>
    </w:rPr>
  </w:style>
  <w:style w:type="character" w:customStyle="1" w:styleId="st1">
    <w:name w:val="st1"/>
    <w:basedOn w:val="DefaultParagraphFont"/>
    <w:rsid w:val="00C74066"/>
  </w:style>
  <w:style w:type="character" w:customStyle="1" w:styleId="maintitle">
    <w:name w:val="maintitle"/>
    <w:basedOn w:val="DefaultParagraphFont"/>
    <w:uiPriority w:val="99"/>
    <w:rsid w:val="00C74066"/>
  </w:style>
  <w:style w:type="paragraph" w:styleId="z-TopofForm">
    <w:name w:val="HTML Top of Form"/>
    <w:basedOn w:val="Normal"/>
    <w:next w:val="Normal"/>
    <w:link w:val="z-TopofFormChar"/>
    <w:hidden/>
    <w:uiPriority w:val="99"/>
    <w:unhideWhenUsed/>
    <w:rsid w:val="00C74066"/>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C7406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C74066"/>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C74066"/>
    <w:rPr>
      <w:rFonts w:ascii="Arial" w:eastAsia="Times New Roman" w:hAnsi="Arial" w:cs="Arial"/>
      <w:vanish/>
      <w:sz w:val="16"/>
      <w:szCs w:val="16"/>
    </w:rPr>
  </w:style>
  <w:style w:type="character" w:customStyle="1" w:styleId="A5">
    <w:name w:val="A5"/>
    <w:uiPriority w:val="99"/>
    <w:rsid w:val="00C74066"/>
    <w:rPr>
      <w:color w:val="000000"/>
      <w:sz w:val="14"/>
      <w:szCs w:val="14"/>
    </w:rPr>
  </w:style>
  <w:style w:type="paragraph" w:customStyle="1" w:styleId="SP245776">
    <w:name w:val="SP245776"/>
    <w:basedOn w:val="Default"/>
    <w:next w:val="Default"/>
    <w:uiPriority w:val="99"/>
    <w:rsid w:val="00C74066"/>
    <w:rPr>
      <w:rFonts w:eastAsiaTheme="minorHAnsi"/>
      <w:color w:val="auto"/>
      <w:lang w:eastAsia="en-US"/>
    </w:rPr>
  </w:style>
  <w:style w:type="paragraph" w:customStyle="1" w:styleId="SP245785">
    <w:name w:val="SP245785"/>
    <w:basedOn w:val="Default"/>
    <w:next w:val="Default"/>
    <w:uiPriority w:val="99"/>
    <w:rsid w:val="00C74066"/>
    <w:rPr>
      <w:rFonts w:eastAsiaTheme="minorHAnsi"/>
      <w:color w:val="auto"/>
      <w:lang w:eastAsia="en-US"/>
    </w:rPr>
  </w:style>
  <w:style w:type="character" w:customStyle="1" w:styleId="SC1660">
    <w:name w:val="SC1660"/>
    <w:uiPriority w:val="99"/>
    <w:rsid w:val="00C74066"/>
    <w:rPr>
      <w:color w:val="000000"/>
      <w:sz w:val="21"/>
      <w:szCs w:val="21"/>
    </w:rPr>
  </w:style>
  <w:style w:type="character" w:customStyle="1" w:styleId="singlehighlightclass">
    <w:name w:val="single_highlight_class"/>
    <w:basedOn w:val="DefaultParagraphFont"/>
    <w:rsid w:val="00C74066"/>
  </w:style>
  <w:style w:type="character" w:customStyle="1" w:styleId="big1">
    <w:name w:val="big1"/>
    <w:basedOn w:val="DefaultParagraphFont"/>
    <w:rsid w:val="00C74066"/>
    <w:rPr>
      <w:rFonts w:ascii="Verdana" w:hAnsi="Verdana" w:hint="default"/>
      <w:sz w:val="19"/>
      <w:szCs w:val="19"/>
    </w:rPr>
  </w:style>
  <w:style w:type="character" w:customStyle="1" w:styleId="ms-rtecustom-creditcaption1">
    <w:name w:val="ms-rtecustom-creditcaption1"/>
    <w:basedOn w:val="DefaultParagraphFont"/>
    <w:rsid w:val="00C74066"/>
    <w:rPr>
      <w:sz w:val="12"/>
      <w:szCs w:val="12"/>
    </w:rPr>
  </w:style>
  <w:style w:type="paragraph" w:customStyle="1" w:styleId="CharCharCarCharCarCharCarCharCarChar">
    <w:name w:val="Char Char Car Char Car Char Car Char Car Char"/>
    <w:basedOn w:val="Normal"/>
    <w:rsid w:val="00C74066"/>
    <w:pPr>
      <w:autoSpaceDE w:val="0"/>
      <w:autoSpaceDN w:val="0"/>
      <w:spacing w:after="160" w:line="240" w:lineRule="exact"/>
    </w:pPr>
    <w:rPr>
      <w:rFonts w:ascii="Arial" w:hAnsi="Arial" w:cs="Arial"/>
      <w:sz w:val="20"/>
      <w:szCs w:val="20"/>
      <w:lang w:val="en-US"/>
    </w:rPr>
  </w:style>
  <w:style w:type="character" w:customStyle="1" w:styleId="normaltext1">
    <w:name w:val="normaltext1"/>
    <w:basedOn w:val="DefaultParagraphFont"/>
    <w:rsid w:val="00C74066"/>
    <w:rPr>
      <w:b w:val="0"/>
      <w:bCs w:val="0"/>
      <w:color w:val="32393D"/>
      <w:sz w:val="15"/>
      <w:szCs w:val="15"/>
    </w:rPr>
  </w:style>
  <w:style w:type="character" w:customStyle="1" w:styleId="nlmx">
    <w:name w:val="nlm_x"/>
    <w:basedOn w:val="DefaultParagraphFont"/>
    <w:uiPriority w:val="99"/>
    <w:rsid w:val="00C74066"/>
  </w:style>
  <w:style w:type="paragraph" w:customStyle="1" w:styleId="Description">
    <w:name w:val="Description"/>
    <w:basedOn w:val="Normal"/>
    <w:rsid w:val="00C74066"/>
    <w:pPr>
      <w:widowControl w:val="0"/>
      <w:autoSpaceDE w:val="0"/>
      <w:autoSpaceDN w:val="0"/>
      <w:ind w:firstLine="340"/>
      <w:jc w:val="both"/>
    </w:pPr>
    <w:rPr>
      <w:sz w:val="20"/>
      <w:szCs w:val="20"/>
    </w:rPr>
  </w:style>
  <w:style w:type="paragraph" w:customStyle="1" w:styleId="Title2">
    <w:name w:val="Title 2"/>
    <w:basedOn w:val="Normal"/>
    <w:rsid w:val="00C74066"/>
    <w:pPr>
      <w:jc w:val="center"/>
    </w:pPr>
    <w:rPr>
      <w:rFonts w:ascii="Times" w:hAnsi="Times"/>
      <w:b/>
      <w:sz w:val="36"/>
      <w:szCs w:val="20"/>
    </w:rPr>
  </w:style>
  <w:style w:type="character" w:customStyle="1" w:styleId="citation">
    <w:name w:val="citation"/>
    <w:basedOn w:val="DefaultParagraphFont"/>
    <w:rsid w:val="00C74066"/>
  </w:style>
  <w:style w:type="character" w:customStyle="1" w:styleId="ref-journal">
    <w:name w:val="ref-journal"/>
    <w:basedOn w:val="DefaultParagraphFont"/>
    <w:rsid w:val="00C74066"/>
  </w:style>
  <w:style w:type="paragraph" w:customStyle="1" w:styleId="intro">
    <w:name w:val="intro"/>
    <w:basedOn w:val="Normal"/>
    <w:rsid w:val="00C74066"/>
    <w:pPr>
      <w:spacing w:before="100" w:beforeAutospacing="1" w:after="100" w:afterAutospacing="1"/>
    </w:pPr>
  </w:style>
  <w:style w:type="character" w:customStyle="1" w:styleId="pageheading1">
    <w:name w:val="page_heading1"/>
    <w:basedOn w:val="DefaultParagraphFont"/>
    <w:rsid w:val="00C74066"/>
    <w:rPr>
      <w:b/>
      <w:bCs/>
      <w:color w:val="980000"/>
      <w:sz w:val="34"/>
      <w:szCs w:val="34"/>
    </w:rPr>
  </w:style>
  <w:style w:type="character" w:customStyle="1" w:styleId="ms-rtecustom-edctrdoi1">
    <w:name w:val="ms-rtecustom-edctrdoi1"/>
    <w:basedOn w:val="DefaultParagraphFont"/>
    <w:uiPriority w:val="99"/>
    <w:rsid w:val="00C74066"/>
    <w:rPr>
      <w:sz w:val="10"/>
      <w:szCs w:val="10"/>
    </w:rPr>
  </w:style>
  <w:style w:type="paragraph" w:customStyle="1" w:styleId="caus-symp-txt">
    <w:name w:val="caus-symp-txt"/>
    <w:basedOn w:val="Normal"/>
    <w:rsid w:val="00C74066"/>
    <w:pPr>
      <w:spacing w:before="240" w:after="240"/>
    </w:pPr>
  </w:style>
  <w:style w:type="character" w:customStyle="1" w:styleId="element-citation">
    <w:name w:val="element-citation"/>
    <w:basedOn w:val="DefaultParagraphFont"/>
    <w:rsid w:val="00C74066"/>
  </w:style>
  <w:style w:type="character" w:customStyle="1" w:styleId="citation-abbreviation">
    <w:name w:val="citation-abbreviation"/>
    <w:basedOn w:val="DefaultParagraphFont"/>
    <w:rsid w:val="00C74066"/>
  </w:style>
  <w:style w:type="character" w:customStyle="1" w:styleId="citation-publication-date">
    <w:name w:val="citation-publication-date"/>
    <w:basedOn w:val="DefaultParagraphFont"/>
    <w:rsid w:val="00C74066"/>
  </w:style>
  <w:style w:type="character" w:customStyle="1" w:styleId="citation-volume">
    <w:name w:val="citation-volume"/>
    <w:basedOn w:val="DefaultParagraphFont"/>
    <w:rsid w:val="00C74066"/>
  </w:style>
  <w:style w:type="character" w:customStyle="1" w:styleId="citation-flpages">
    <w:name w:val="citation-flpages"/>
    <w:basedOn w:val="DefaultParagraphFont"/>
    <w:rsid w:val="00C74066"/>
  </w:style>
  <w:style w:type="character" w:customStyle="1" w:styleId="publication-title">
    <w:name w:val="publication-title"/>
    <w:basedOn w:val="DefaultParagraphFont"/>
    <w:rsid w:val="00C74066"/>
  </w:style>
  <w:style w:type="character" w:customStyle="1" w:styleId="BodyChar">
    <w:name w:val="Body Char"/>
    <w:basedOn w:val="DefaultParagraphFont"/>
    <w:link w:val="Body"/>
    <w:rsid w:val="00C74066"/>
    <w:rPr>
      <w:rFonts w:ascii="Times New Roman" w:eastAsia="Times New Roman" w:hAnsi="Times New Roman"/>
      <w:sz w:val="24"/>
      <w:lang w:eastAsia="en-US"/>
    </w:rPr>
  </w:style>
  <w:style w:type="paragraph" w:customStyle="1" w:styleId="articlecategory">
    <w:name w:val="articlecategory"/>
    <w:basedOn w:val="Normal"/>
    <w:rsid w:val="00C74066"/>
    <w:pPr>
      <w:spacing w:before="100" w:beforeAutospacing="1" w:after="100" w:afterAutospacing="1"/>
    </w:pPr>
  </w:style>
  <w:style w:type="character" w:customStyle="1" w:styleId="generaltextvvsmall1">
    <w:name w:val="generaltextvvsmall1"/>
    <w:basedOn w:val="DefaultParagraphFont"/>
    <w:uiPriority w:val="99"/>
    <w:rsid w:val="00C74066"/>
    <w:rPr>
      <w:rFonts w:ascii="Arial" w:hAnsi="Arial" w:cs="Arial" w:hint="default"/>
      <w:color w:val="000000"/>
      <w:sz w:val="17"/>
      <w:szCs w:val="17"/>
    </w:rPr>
  </w:style>
  <w:style w:type="paragraph" w:customStyle="1" w:styleId="Tabletext3">
    <w:name w:val="Table text"/>
    <w:basedOn w:val="Normal"/>
    <w:uiPriority w:val="99"/>
    <w:rsid w:val="00C74066"/>
    <w:pPr>
      <w:spacing w:before="60" w:after="60" w:line="280" w:lineRule="atLeast"/>
    </w:pPr>
    <w:rPr>
      <w:rFonts w:ascii="Arial" w:eastAsiaTheme="minorEastAsia" w:hAnsi="Arial" w:cs="Arial"/>
      <w:sz w:val="18"/>
      <w:szCs w:val="18"/>
      <w:lang w:val="en-GB" w:bidi="en-US"/>
    </w:rPr>
  </w:style>
  <w:style w:type="paragraph" w:customStyle="1" w:styleId="last">
    <w:name w:val="last"/>
    <w:basedOn w:val="Normal"/>
    <w:uiPriority w:val="99"/>
    <w:rsid w:val="00C74066"/>
    <w:pPr>
      <w:spacing w:before="100" w:beforeAutospacing="1" w:after="100" w:afterAutospacing="1"/>
    </w:pPr>
    <w:rPr>
      <w:rFonts w:ascii="Verdana" w:eastAsiaTheme="minorEastAsia" w:hAnsi="Verdana" w:cs="Verdana"/>
      <w:sz w:val="16"/>
      <w:szCs w:val="16"/>
      <w:lang w:val="en-US" w:bidi="en-US"/>
    </w:rPr>
  </w:style>
  <w:style w:type="paragraph" w:customStyle="1" w:styleId="Preformatted">
    <w:name w:val="Preformatted"/>
    <w:basedOn w:val="Normal"/>
    <w:uiPriority w:val="99"/>
    <w:rsid w:val="00C74066"/>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heme="minorEastAsia" w:hAnsi="Courier New" w:cs="Courier New"/>
      <w:sz w:val="20"/>
      <w:szCs w:val="20"/>
      <w:lang w:val="en-US" w:bidi="en-US"/>
    </w:rPr>
  </w:style>
  <w:style w:type="paragraph" w:styleId="NoSpacing">
    <w:name w:val="No Spacing"/>
    <w:basedOn w:val="Normal"/>
    <w:uiPriority w:val="1"/>
    <w:qFormat/>
    <w:rsid w:val="00C74066"/>
    <w:rPr>
      <w:rFonts w:eastAsiaTheme="minorEastAsia"/>
      <w:lang w:val="en-US" w:bidi="en-US"/>
    </w:rPr>
  </w:style>
  <w:style w:type="paragraph" w:customStyle="1" w:styleId="bio">
    <w:name w:val="bio"/>
    <w:basedOn w:val="Normal"/>
    <w:uiPriority w:val="99"/>
    <w:rsid w:val="00C74066"/>
    <w:pPr>
      <w:spacing w:before="136" w:after="136"/>
    </w:pPr>
    <w:rPr>
      <w:rFonts w:eastAsiaTheme="minorEastAsia"/>
      <w:lang w:val="en-US" w:bidi="en-US"/>
    </w:rPr>
  </w:style>
  <w:style w:type="character" w:customStyle="1" w:styleId="byline2">
    <w:name w:val="byline2"/>
    <w:basedOn w:val="DefaultParagraphFont"/>
    <w:uiPriority w:val="99"/>
    <w:rsid w:val="00C74066"/>
    <w:rPr>
      <w:color w:val="auto"/>
    </w:rPr>
  </w:style>
  <w:style w:type="character" w:customStyle="1" w:styleId="about2">
    <w:name w:val="about2"/>
    <w:basedOn w:val="DefaultParagraphFont"/>
    <w:uiPriority w:val="99"/>
    <w:rsid w:val="00C74066"/>
  </w:style>
  <w:style w:type="paragraph" w:customStyle="1" w:styleId="Titlepageheading">
    <w:name w:val="Title page heading"/>
    <w:basedOn w:val="Title"/>
    <w:link w:val="TitlepageheadingChar"/>
    <w:uiPriority w:val="99"/>
    <w:locked/>
    <w:rsid w:val="00C74066"/>
    <w:pPr>
      <w:pBdr>
        <w:bottom w:val="single" w:sz="4" w:space="1" w:color="auto"/>
      </w:pBdr>
      <w:spacing w:before="0" w:after="200"/>
      <w:ind w:left="426"/>
      <w:contextualSpacing/>
    </w:pPr>
    <w:rPr>
      <w:rFonts w:eastAsiaTheme="majorEastAsia" w:cs="Calibri"/>
      <w:bCs/>
      <w:spacing w:val="5"/>
      <w:kern w:val="28"/>
      <w:sz w:val="54"/>
      <w:szCs w:val="54"/>
      <w:lang w:val="en-US" w:eastAsia="ja-JP" w:bidi="en-US"/>
    </w:rPr>
  </w:style>
  <w:style w:type="character" w:customStyle="1" w:styleId="TitlepageheadingChar">
    <w:name w:val="Title page heading Char"/>
    <w:basedOn w:val="DefaultParagraphFont"/>
    <w:link w:val="Titlepageheading"/>
    <w:uiPriority w:val="99"/>
    <w:locked/>
    <w:rsid w:val="00C74066"/>
    <w:rPr>
      <w:rFonts w:ascii="Calibri" w:eastAsiaTheme="majorEastAsia" w:hAnsi="Calibri" w:cs="Calibri"/>
      <w:b/>
      <w:bCs/>
      <w:spacing w:val="5"/>
      <w:kern w:val="28"/>
      <w:sz w:val="54"/>
      <w:szCs w:val="54"/>
      <w:lang w:val="en-US" w:eastAsia="ja-JP" w:bidi="en-US"/>
    </w:rPr>
  </w:style>
  <w:style w:type="paragraph" w:customStyle="1" w:styleId="AuthorsNameBookCoversFrontcover">
    <w:name w:val="Author's Name (Book Covers:Front cover)"/>
    <w:basedOn w:val="Normal"/>
    <w:uiPriority w:val="99"/>
    <w:rsid w:val="00C74066"/>
    <w:pPr>
      <w:widowControl w:val="0"/>
      <w:suppressAutoHyphens/>
      <w:autoSpaceDE w:val="0"/>
      <w:autoSpaceDN w:val="0"/>
      <w:adjustRightInd w:val="0"/>
      <w:spacing w:before="227" w:line="300" w:lineRule="atLeast"/>
      <w:textAlignment w:val="center"/>
    </w:pPr>
    <w:rPr>
      <w:rFonts w:ascii="MiloPro-Light" w:eastAsiaTheme="minorEastAsia" w:hAnsi="MiloPro-Light" w:cs="MiloPro-Light"/>
      <w:lang w:val="en-GB" w:bidi="en-US"/>
    </w:rPr>
  </w:style>
  <w:style w:type="paragraph" w:customStyle="1" w:styleId="Char14">
    <w:name w:val="Char14"/>
    <w:basedOn w:val="Normal"/>
    <w:uiPriority w:val="99"/>
    <w:rsid w:val="00C74066"/>
    <w:rPr>
      <w:rFonts w:ascii="Arial" w:eastAsiaTheme="minorEastAsia" w:hAnsi="Arial" w:cs="Arial"/>
      <w:lang w:val="en-US" w:bidi="en-US"/>
    </w:rPr>
  </w:style>
  <w:style w:type="paragraph" w:customStyle="1" w:styleId="CharChar1Char3">
    <w:name w:val="Char Char1 Char3"/>
    <w:basedOn w:val="Normal"/>
    <w:uiPriority w:val="99"/>
    <w:rsid w:val="00C74066"/>
    <w:rPr>
      <w:rFonts w:ascii="Arial" w:eastAsiaTheme="minorEastAsia" w:hAnsi="Arial" w:cs="Arial"/>
      <w:lang w:val="en-US" w:bidi="en-US"/>
    </w:rPr>
  </w:style>
  <w:style w:type="character" w:customStyle="1" w:styleId="CharChar52">
    <w:name w:val="Char Char52"/>
    <w:basedOn w:val="DefaultParagraphFont"/>
    <w:uiPriority w:val="99"/>
    <w:semiHidden/>
    <w:locked/>
    <w:rsid w:val="00C74066"/>
    <w:rPr>
      <w:sz w:val="20"/>
      <w:szCs w:val="20"/>
      <w:lang w:eastAsia="en-US"/>
    </w:rPr>
  </w:style>
  <w:style w:type="paragraph" w:customStyle="1" w:styleId="Header12">
    <w:name w:val="Header12"/>
    <w:basedOn w:val="Normal"/>
    <w:uiPriority w:val="99"/>
    <w:rsid w:val="00C74066"/>
    <w:rPr>
      <w:rFonts w:ascii="Verdana" w:eastAsiaTheme="minorEastAsia" w:hAnsi="Verdana" w:cs="Verdana"/>
      <w:sz w:val="15"/>
      <w:szCs w:val="15"/>
      <w:lang w:val="en-US" w:bidi="en-US"/>
    </w:rPr>
  </w:style>
  <w:style w:type="character" w:customStyle="1" w:styleId="CharChar62">
    <w:name w:val="Char Char62"/>
    <w:basedOn w:val="DefaultParagraphFont"/>
    <w:uiPriority w:val="99"/>
    <w:semiHidden/>
    <w:rsid w:val="00C74066"/>
    <w:rPr>
      <w:rFonts w:ascii="Times New Roman" w:hAnsi="Times New Roman" w:cs="Times New Roman"/>
      <w:sz w:val="20"/>
      <w:szCs w:val="20"/>
      <w:lang w:val="en-AU"/>
    </w:rPr>
  </w:style>
  <w:style w:type="character" w:customStyle="1" w:styleId="links1">
    <w:name w:val="links1"/>
    <w:basedOn w:val="DefaultParagraphFont"/>
    <w:uiPriority w:val="99"/>
    <w:rsid w:val="00C74066"/>
    <w:rPr>
      <w:rFonts w:ascii="Arial" w:hAnsi="Arial" w:cs="Arial"/>
      <w:sz w:val="20"/>
      <w:szCs w:val="20"/>
    </w:rPr>
  </w:style>
  <w:style w:type="paragraph" w:customStyle="1" w:styleId="style21">
    <w:name w:val="style21"/>
    <w:basedOn w:val="Normal"/>
    <w:uiPriority w:val="99"/>
    <w:rsid w:val="00C74066"/>
    <w:pPr>
      <w:spacing w:before="100" w:beforeAutospacing="1" w:after="100" w:afterAutospacing="1"/>
    </w:pPr>
    <w:rPr>
      <w:rFonts w:ascii="Arial" w:eastAsiaTheme="minorEastAsia" w:hAnsi="Arial" w:cs="Arial"/>
      <w:b/>
      <w:bCs/>
      <w:sz w:val="20"/>
      <w:szCs w:val="20"/>
      <w:lang w:val="en-US" w:bidi="en-US"/>
    </w:rPr>
  </w:style>
  <w:style w:type="character" w:customStyle="1" w:styleId="pest-scientific-name2">
    <w:name w:val="pest-scientific-name2"/>
    <w:basedOn w:val="DefaultParagraphFont"/>
    <w:uiPriority w:val="99"/>
    <w:rsid w:val="00C74066"/>
    <w:rPr>
      <w:b/>
      <w:bCs/>
      <w:i/>
      <w:iCs/>
    </w:rPr>
  </w:style>
  <w:style w:type="character" w:customStyle="1" w:styleId="pest-taxonomy2">
    <w:name w:val="pest-taxonomy2"/>
    <w:basedOn w:val="DefaultParagraphFont"/>
    <w:uiPriority w:val="99"/>
    <w:rsid w:val="00C74066"/>
    <w:rPr>
      <w:b/>
      <w:bCs/>
    </w:rPr>
  </w:style>
  <w:style w:type="character" w:customStyle="1" w:styleId="pest-scientific-author2">
    <w:name w:val="pest-scientific-author2"/>
    <w:basedOn w:val="DefaultParagraphFont"/>
    <w:uiPriority w:val="99"/>
    <w:rsid w:val="00C74066"/>
    <w:rPr>
      <w:b/>
      <w:bCs/>
    </w:rPr>
  </w:style>
  <w:style w:type="paragraph" w:customStyle="1" w:styleId="AppendixHeading">
    <w:name w:val="Appendix Heading"/>
    <w:basedOn w:val="Normal"/>
    <w:uiPriority w:val="99"/>
    <w:rsid w:val="00C74066"/>
    <w:pPr>
      <w:pBdr>
        <w:bottom w:val="thinThickThinSmallGap" w:sz="24" w:space="1" w:color="008000"/>
      </w:pBdr>
      <w:jc w:val="center"/>
    </w:pPr>
    <w:rPr>
      <w:rFonts w:ascii="Verdana" w:eastAsiaTheme="minorEastAsia" w:hAnsi="Verdana" w:cs="Verdana"/>
      <w:b/>
      <w:bCs/>
      <w:sz w:val="52"/>
      <w:szCs w:val="52"/>
      <w:lang w:val="en-US" w:bidi="en-US"/>
    </w:rPr>
  </w:style>
  <w:style w:type="character" w:customStyle="1" w:styleId="style31">
    <w:name w:val="style31"/>
    <w:basedOn w:val="DefaultParagraphFont"/>
    <w:uiPriority w:val="99"/>
    <w:rsid w:val="00C74066"/>
    <w:rPr>
      <w:rFonts w:ascii="Arial" w:hAnsi="Arial" w:cs="Arial"/>
      <w:sz w:val="18"/>
      <w:szCs w:val="18"/>
    </w:rPr>
  </w:style>
  <w:style w:type="character" w:customStyle="1" w:styleId="style41">
    <w:name w:val="style41"/>
    <w:basedOn w:val="DefaultParagraphFont"/>
    <w:uiPriority w:val="99"/>
    <w:rsid w:val="00C74066"/>
    <w:rPr>
      <w:rFonts w:ascii="Arial" w:hAnsi="Arial" w:cs="Arial"/>
      <w:b/>
      <w:bCs/>
      <w:color w:val="FFFFFF"/>
      <w:sz w:val="24"/>
      <w:szCs w:val="24"/>
    </w:rPr>
  </w:style>
  <w:style w:type="paragraph" w:customStyle="1" w:styleId="SingleSpace">
    <w:name w:val="Single Space"/>
    <w:basedOn w:val="Normal"/>
    <w:uiPriority w:val="99"/>
    <w:locked/>
    <w:rsid w:val="00C74066"/>
    <w:pPr>
      <w:tabs>
        <w:tab w:val="left" w:pos="1134"/>
      </w:tabs>
    </w:pPr>
    <w:rPr>
      <w:rFonts w:eastAsiaTheme="minorEastAsia"/>
      <w:lang w:val="en-US" w:bidi="en-US"/>
    </w:rPr>
  </w:style>
  <w:style w:type="paragraph" w:customStyle="1" w:styleId="StyleBAHeader1Verdana10ptNotBold">
    <w:name w:val="Style BA Header 1 + Verdana 10 pt Not Bold"/>
    <w:basedOn w:val="BAHeader1"/>
    <w:uiPriority w:val="99"/>
    <w:rsid w:val="00C74066"/>
    <w:pPr>
      <w:numPr>
        <w:numId w:val="0"/>
      </w:numPr>
      <w:tabs>
        <w:tab w:val="num" w:pos="432"/>
      </w:tabs>
      <w:ind w:left="432" w:hanging="432"/>
    </w:pPr>
    <w:rPr>
      <w:rFonts w:ascii="Verdana" w:eastAsiaTheme="minorEastAsia" w:hAnsi="Verdana" w:cs="Verdana"/>
      <w:bCs/>
      <w:sz w:val="32"/>
      <w:szCs w:val="32"/>
      <w:lang w:val="en-US" w:bidi="en-US"/>
    </w:rPr>
  </w:style>
  <w:style w:type="character" w:customStyle="1" w:styleId="other-scientific-name1">
    <w:name w:val="other-scientific-name1"/>
    <w:basedOn w:val="DefaultParagraphFont"/>
    <w:uiPriority w:val="99"/>
    <w:rsid w:val="00C74066"/>
    <w:rPr>
      <w:i/>
      <w:iCs/>
    </w:rPr>
  </w:style>
  <w:style w:type="character" w:customStyle="1" w:styleId="copyright1">
    <w:name w:val="copyright1"/>
    <w:basedOn w:val="DefaultParagraphFont"/>
    <w:uiPriority w:val="99"/>
    <w:rsid w:val="00C74066"/>
    <w:rPr>
      <w:color w:val="auto"/>
      <w:sz w:val="18"/>
      <w:szCs w:val="18"/>
      <w:u w:val="none"/>
      <w:effect w:val="none"/>
    </w:rPr>
  </w:style>
  <w:style w:type="character" w:customStyle="1" w:styleId="header10">
    <w:name w:val="header1"/>
    <w:basedOn w:val="DefaultParagraphFont"/>
    <w:uiPriority w:val="99"/>
    <w:rsid w:val="00C74066"/>
    <w:rPr>
      <w:sz w:val="27"/>
      <w:szCs w:val="27"/>
    </w:rPr>
  </w:style>
  <w:style w:type="character" w:customStyle="1" w:styleId="FootnoteTextChar1">
    <w:name w:val="Footnote Text Char1"/>
    <w:uiPriority w:val="99"/>
    <w:locked/>
    <w:rsid w:val="00C74066"/>
    <w:rPr>
      <w:rFonts w:ascii="Arial" w:hAnsi="Arial" w:cs="Arial"/>
      <w:sz w:val="18"/>
      <w:szCs w:val="18"/>
      <w:lang w:val="en-AU" w:eastAsia="en-US"/>
    </w:rPr>
  </w:style>
  <w:style w:type="paragraph" w:customStyle="1" w:styleId="Char13">
    <w:name w:val="Char13"/>
    <w:basedOn w:val="Normal"/>
    <w:uiPriority w:val="99"/>
    <w:rsid w:val="00C74066"/>
    <w:rPr>
      <w:rFonts w:ascii="Arial" w:eastAsiaTheme="minorEastAsia" w:hAnsi="Arial" w:cs="Arial"/>
      <w:lang w:val="en-US" w:bidi="en-US"/>
    </w:rPr>
  </w:style>
  <w:style w:type="paragraph" w:customStyle="1" w:styleId="CharChar1Char2">
    <w:name w:val="Char Char1 Char2"/>
    <w:basedOn w:val="Normal"/>
    <w:uiPriority w:val="99"/>
    <w:rsid w:val="00C74066"/>
    <w:rPr>
      <w:rFonts w:ascii="Arial" w:eastAsiaTheme="minorEastAsia" w:hAnsi="Arial" w:cs="Arial"/>
      <w:lang w:val="en-US" w:bidi="en-US"/>
    </w:rPr>
  </w:style>
  <w:style w:type="character" w:customStyle="1" w:styleId="CharChar51">
    <w:name w:val="Char Char51"/>
    <w:uiPriority w:val="99"/>
    <w:semiHidden/>
    <w:locked/>
    <w:rsid w:val="00C74066"/>
    <w:rPr>
      <w:sz w:val="20"/>
      <w:szCs w:val="20"/>
      <w:lang w:eastAsia="en-US"/>
    </w:rPr>
  </w:style>
  <w:style w:type="paragraph" w:customStyle="1" w:styleId="Header11">
    <w:name w:val="Header11"/>
    <w:basedOn w:val="Normal"/>
    <w:uiPriority w:val="99"/>
    <w:rsid w:val="00C74066"/>
    <w:rPr>
      <w:rFonts w:ascii="Verdana" w:eastAsiaTheme="minorEastAsia" w:hAnsi="Verdana" w:cs="Verdana"/>
      <w:sz w:val="15"/>
      <w:szCs w:val="15"/>
      <w:lang w:val="en-US" w:bidi="en-US"/>
    </w:rPr>
  </w:style>
  <w:style w:type="character" w:customStyle="1" w:styleId="CharChar61">
    <w:name w:val="Char Char61"/>
    <w:uiPriority w:val="99"/>
    <w:semiHidden/>
    <w:rsid w:val="00C74066"/>
    <w:rPr>
      <w:rFonts w:ascii="Times New Roman" w:hAnsi="Times New Roman" w:cs="Times New Roman"/>
      <w:sz w:val="20"/>
      <w:szCs w:val="20"/>
      <w:lang w:val="en-AU"/>
    </w:rPr>
  </w:style>
  <w:style w:type="character" w:customStyle="1" w:styleId="xref-sep2">
    <w:name w:val="xref-sep2"/>
    <w:uiPriority w:val="99"/>
    <w:rsid w:val="00C74066"/>
  </w:style>
  <w:style w:type="character" w:customStyle="1" w:styleId="slug-pub-date3">
    <w:name w:val="slug-pub-date3"/>
    <w:uiPriority w:val="99"/>
    <w:rsid w:val="00C74066"/>
    <w:rPr>
      <w:b/>
      <w:bCs/>
    </w:rPr>
  </w:style>
  <w:style w:type="character" w:customStyle="1" w:styleId="slug-vol">
    <w:name w:val="slug-vol"/>
    <w:uiPriority w:val="99"/>
    <w:rsid w:val="00C74066"/>
  </w:style>
  <w:style w:type="character" w:customStyle="1" w:styleId="slug-issue">
    <w:name w:val="slug-issue"/>
    <w:uiPriority w:val="99"/>
    <w:rsid w:val="00C74066"/>
  </w:style>
  <w:style w:type="character" w:customStyle="1" w:styleId="slug-pages3">
    <w:name w:val="slug-pages3"/>
    <w:uiPriority w:val="99"/>
    <w:rsid w:val="00C74066"/>
    <w:rPr>
      <w:b/>
      <w:bCs/>
    </w:rPr>
  </w:style>
  <w:style w:type="character" w:customStyle="1" w:styleId="container2">
    <w:name w:val="container2"/>
    <w:uiPriority w:val="99"/>
    <w:rsid w:val="00C74066"/>
  </w:style>
  <w:style w:type="character" w:customStyle="1" w:styleId="year">
    <w:name w:val="year"/>
    <w:uiPriority w:val="99"/>
    <w:rsid w:val="00C74066"/>
  </w:style>
  <w:style w:type="character" w:customStyle="1" w:styleId="info3">
    <w:name w:val="info3"/>
    <w:uiPriority w:val="99"/>
    <w:rsid w:val="00C74066"/>
  </w:style>
  <w:style w:type="character" w:customStyle="1" w:styleId="volume">
    <w:name w:val="volume"/>
    <w:uiPriority w:val="99"/>
    <w:rsid w:val="00C74066"/>
  </w:style>
  <w:style w:type="character" w:customStyle="1" w:styleId="issue">
    <w:name w:val="issue"/>
    <w:uiPriority w:val="99"/>
    <w:rsid w:val="00C74066"/>
  </w:style>
  <w:style w:type="character" w:customStyle="1" w:styleId="pages">
    <w:name w:val="pages"/>
    <w:uiPriority w:val="99"/>
    <w:rsid w:val="00C74066"/>
  </w:style>
  <w:style w:type="character" w:customStyle="1" w:styleId="cit-source">
    <w:name w:val="cit-source"/>
    <w:uiPriority w:val="99"/>
    <w:rsid w:val="00C74066"/>
  </w:style>
  <w:style w:type="character" w:customStyle="1" w:styleId="cit-fpage">
    <w:name w:val="cit-fpage"/>
    <w:uiPriority w:val="99"/>
    <w:rsid w:val="00C74066"/>
  </w:style>
  <w:style w:type="character" w:customStyle="1" w:styleId="bold1">
    <w:name w:val="bold1"/>
    <w:uiPriority w:val="99"/>
    <w:rsid w:val="00C74066"/>
    <w:rPr>
      <w:b/>
      <w:bCs/>
    </w:rPr>
  </w:style>
  <w:style w:type="paragraph" w:customStyle="1" w:styleId="CharChar1Char1">
    <w:name w:val="Char Char1 Char1"/>
    <w:basedOn w:val="Normal"/>
    <w:uiPriority w:val="99"/>
    <w:rsid w:val="00C74066"/>
    <w:rPr>
      <w:rFonts w:ascii="Arial" w:eastAsiaTheme="minorEastAsia" w:hAnsi="Arial" w:cs="Arial"/>
      <w:lang w:val="en-US" w:bidi="en-US"/>
    </w:rPr>
  </w:style>
  <w:style w:type="character" w:customStyle="1" w:styleId="search1">
    <w:name w:val="search1"/>
    <w:uiPriority w:val="99"/>
    <w:rsid w:val="00C74066"/>
    <w:rPr>
      <w:color w:val="auto"/>
    </w:rPr>
  </w:style>
  <w:style w:type="character" w:customStyle="1" w:styleId="popup1">
    <w:name w:val="popup1"/>
    <w:uiPriority w:val="99"/>
    <w:rsid w:val="00C74066"/>
    <w:rPr>
      <w:color w:val="auto"/>
      <w:u w:val="none"/>
      <w:effect w:val="none"/>
    </w:rPr>
  </w:style>
  <w:style w:type="character" w:customStyle="1" w:styleId="generaltitletext1">
    <w:name w:val="generaltitletext1"/>
    <w:uiPriority w:val="99"/>
    <w:rsid w:val="00C74066"/>
    <w:rPr>
      <w:rFonts w:ascii="Arial" w:hAnsi="Arial" w:cs="Arial"/>
      <w:b/>
      <w:bCs/>
      <w:caps/>
      <w:color w:val="auto"/>
      <w:sz w:val="24"/>
      <w:szCs w:val="24"/>
    </w:rPr>
  </w:style>
  <w:style w:type="character" w:customStyle="1" w:styleId="searchterm1">
    <w:name w:val="searchterm1"/>
    <w:uiPriority w:val="99"/>
    <w:rsid w:val="00C74066"/>
  </w:style>
  <w:style w:type="character" w:customStyle="1" w:styleId="personname">
    <w:name w:val="person_name"/>
    <w:uiPriority w:val="99"/>
    <w:rsid w:val="00C74066"/>
  </w:style>
  <w:style w:type="paragraph" w:customStyle="1" w:styleId="Pa20">
    <w:name w:val="Pa20"/>
    <w:basedOn w:val="Default"/>
    <w:next w:val="Default"/>
    <w:uiPriority w:val="99"/>
    <w:rsid w:val="00C74066"/>
    <w:pPr>
      <w:spacing w:line="181" w:lineRule="atLeast"/>
    </w:pPr>
    <w:rPr>
      <w:rFonts w:ascii="Sabon" w:eastAsiaTheme="minorEastAsia" w:hAnsi="Sabon" w:cs="Sabon"/>
      <w:color w:val="auto"/>
      <w:lang w:val="en-US" w:eastAsia="en-US" w:bidi="en-US"/>
    </w:rPr>
  </w:style>
  <w:style w:type="paragraph" w:customStyle="1" w:styleId="side1">
    <w:name w:val="side1"/>
    <w:basedOn w:val="Normal"/>
    <w:uiPriority w:val="99"/>
    <w:rsid w:val="00C74066"/>
    <w:pPr>
      <w:spacing w:before="75"/>
      <w:ind w:left="150"/>
    </w:pPr>
    <w:rPr>
      <w:rFonts w:ascii="Arial" w:eastAsiaTheme="minorEastAsia" w:hAnsi="Arial" w:cs="Arial"/>
      <w:color w:val="330066"/>
      <w:lang w:val="en-US" w:bidi="en-US"/>
    </w:rPr>
  </w:style>
  <w:style w:type="paragraph" w:customStyle="1" w:styleId="StyleBodyTextBodyTextCharCharJustified">
    <w:name w:val="Style Body TextBody Text Char Char + Justified"/>
    <w:basedOn w:val="BodyText"/>
    <w:uiPriority w:val="99"/>
    <w:rsid w:val="00C74066"/>
    <w:pPr>
      <w:widowControl/>
      <w:spacing w:after="240" w:line="278" w:lineRule="auto"/>
      <w:jc w:val="both"/>
    </w:pPr>
    <w:rPr>
      <w:rFonts w:ascii="Georgia" w:eastAsiaTheme="minorEastAsia" w:hAnsi="Georgia" w:cs="Georgia"/>
      <w:b w:val="0"/>
      <w:kern w:val="28"/>
      <w:sz w:val="20"/>
      <w:lang w:val="en-CA" w:eastAsia="en-CA" w:bidi="en-US"/>
    </w:rPr>
  </w:style>
  <w:style w:type="paragraph" w:customStyle="1" w:styleId="TextBoxTitle">
    <w:name w:val="Text Box Title"/>
    <w:basedOn w:val="Normal"/>
    <w:uiPriority w:val="99"/>
    <w:rsid w:val="00C74066"/>
    <w:pPr>
      <w:spacing w:before="100" w:after="60" w:line="278" w:lineRule="auto"/>
      <w:jc w:val="center"/>
    </w:pPr>
    <w:rPr>
      <w:rFonts w:ascii="Georgia" w:eastAsiaTheme="minorEastAsia" w:cs="Georgia"/>
      <w:b/>
      <w:bCs/>
      <w:kern w:val="28"/>
      <w:sz w:val="20"/>
      <w:szCs w:val="20"/>
      <w:lang w:val="en-CA" w:eastAsia="en-CA" w:bidi="en-US"/>
    </w:rPr>
  </w:style>
  <w:style w:type="paragraph" w:customStyle="1" w:styleId="TextBoxText">
    <w:name w:val="Text Box Text"/>
    <w:basedOn w:val="Normal"/>
    <w:uiPriority w:val="99"/>
    <w:rsid w:val="00C74066"/>
    <w:pPr>
      <w:spacing w:before="100" w:after="100" w:line="278" w:lineRule="auto"/>
    </w:pPr>
    <w:rPr>
      <w:rFonts w:ascii="Georgia" w:eastAsiaTheme="minorEastAsia" w:hAnsi="Georgia" w:cs="Georgia"/>
      <w:kern w:val="28"/>
      <w:sz w:val="20"/>
      <w:szCs w:val="20"/>
      <w:lang w:val="en-CA" w:eastAsia="en-CA" w:bidi="en-US"/>
    </w:rPr>
  </w:style>
  <w:style w:type="paragraph" w:customStyle="1" w:styleId="NormalText">
    <w:name w:val="Normal Text"/>
    <w:uiPriority w:val="99"/>
    <w:rsid w:val="00C74066"/>
    <w:pPr>
      <w:autoSpaceDE w:val="0"/>
      <w:autoSpaceDN w:val="0"/>
      <w:adjustRightInd w:val="0"/>
      <w:spacing w:after="200" w:line="276" w:lineRule="auto"/>
    </w:pPr>
    <w:rPr>
      <w:rFonts w:asciiTheme="minorHAnsi" w:eastAsiaTheme="minorEastAsia" w:hAnsiTheme="minorHAnsi" w:cstheme="minorBidi"/>
      <w:lang w:val="en-US" w:eastAsia="en-US" w:bidi="en-US"/>
    </w:rPr>
  </w:style>
  <w:style w:type="character" w:customStyle="1" w:styleId="style14">
    <w:name w:val="style14"/>
    <w:uiPriority w:val="99"/>
    <w:rsid w:val="00C74066"/>
  </w:style>
  <w:style w:type="character" w:customStyle="1" w:styleId="style25">
    <w:name w:val="style25"/>
    <w:uiPriority w:val="99"/>
    <w:rsid w:val="00C74066"/>
  </w:style>
  <w:style w:type="paragraph" w:styleId="Index1">
    <w:name w:val="index 1"/>
    <w:basedOn w:val="Normal"/>
    <w:next w:val="Normal"/>
    <w:autoRedefine/>
    <w:uiPriority w:val="99"/>
    <w:semiHidden/>
    <w:rsid w:val="00C74066"/>
    <w:pPr>
      <w:overflowPunct w:val="0"/>
      <w:autoSpaceDE w:val="0"/>
      <w:autoSpaceDN w:val="0"/>
      <w:adjustRightInd w:val="0"/>
      <w:textAlignment w:val="baseline"/>
    </w:pPr>
    <w:rPr>
      <w:rFonts w:eastAsiaTheme="minorEastAsia"/>
      <w:sz w:val="16"/>
      <w:szCs w:val="16"/>
      <w:lang w:val="en-GB" w:bidi="en-US"/>
    </w:rPr>
  </w:style>
  <w:style w:type="character" w:customStyle="1" w:styleId="search">
    <w:name w:val="search"/>
    <w:uiPriority w:val="99"/>
    <w:rsid w:val="00C74066"/>
  </w:style>
  <w:style w:type="paragraph" w:customStyle="1" w:styleId="caption-value">
    <w:name w:val="caption-value"/>
    <w:basedOn w:val="Normal"/>
    <w:uiPriority w:val="99"/>
    <w:rsid w:val="00C74066"/>
    <w:pPr>
      <w:spacing w:before="100" w:beforeAutospacing="1" w:after="100" w:afterAutospacing="1"/>
    </w:pPr>
    <w:rPr>
      <w:rFonts w:eastAsiaTheme="minorEastAsia"/>
      <w:lang w:val="en-US" w:bidi="en-US"/>
    </w:rPr>
  </w:style>
  <w:style w:type="character" w:customStyle="1" w:styleId="l9">
    <w:name w:val="l9"/>
    <w:basedOn w:val="DefaultParagraphFont"/>
    <w:rsid w:val="00C74066"/>
  </w:style>
  <w:style w:type="character" w:customStyle="1" w:styleId="l8">
    <w:name w:val="l8"/>
    <w:basedOn w:val="DefaultParagraphFont"/>
    <w:rsid w:val="00C74066"/>
  </w:style>
  <w:style w:type="character" w:customStyle="1" w:styleId="l10">
    <w:name w:val="l10"/>
    <w:basedOn w:val="DefaultParagraphFont"/>
    <w:rsid w:val="00C74066"/>
  </w:style>
  <w:style w:type="character" w:customStyle="1" w:styleId="l11">
    <w:name w:val="l11"/>
    <w:basedOn w:val="DefaultParagraphFont"/>
    <w:rsid w:val="00C74066"/>
  </w:style>
  <w:style w:type="character" w:customStyle="1" w:styleId="l12">
    <w:name w:val="l12"/>
    <w:basedOn w:val="DefaultParagraphFont"/>
    <w:rsid w:val="00C74066"/>
  </w:style>
  <w:style w:type="character" w:customStyle="1" w:styleId="l">
    <w:name w:val="l"/>
    <w:basedOn w:val="DefaultParagraphFont"/>
    <w:rsid w:val="00C74066"/>
  </w:style>
  <w:style w:type="paragraph" w:customStyle="1" w:styleId="pagetitletext">
    <w:name w:val="pagetitletext"/>
    <w:basedOn w:val="Normal"/>
    <w:rsid w:val="00C74066"/>
    <w:pPr>
      <w:spacing w:after="100" w:afterAutospacing="1"/>
    </w:pPr>
    <w:rPr>
      <w:rFonts w:eastAsiaTheme="minorEastAsia"/>
      <w:b/>
      <w:bCs/>
      <w:color w:val="008080"/>
      <w:sz w:val="36"/>
      <w:szCs w:val="36"/>
      <w:lang w:val="en-US" w:bidi="en-US"/>
    </w:rPr>
  </w:style>
  <w:style w:type="paragraph" w:styleId="IntenseQuote">
    <w:name w:val="Intense Quote"/>
    <w:basedOn w:val="Normal"/>
    <w:next w:val="Normal"/>
    <w:link w:val="IntenseQuoteChar"/>
    <w:uiPriority w:val="30"/>
    <w:qFormat/>
    <w:rsid w:val="00C74066"/>
    <w:pPr>
      <w:pBdr>
        <w:bottom w:val="single" w:sz="4" w:space="1" w:color="auto"/>
      </w:pBdr>
      <w:spacing w:after="280"/>
      <w:ind w:left="1008" w:right="1152"/>
      <w:jc w:val="both"/>
    </w:pPr>
    <w:rPr>
      <w:rFonts w:eastAsiaTheme="minorEastAsia"/>
      <w:b/>
      <w:bCs/>
      <w:i/>
      <w:iCs/>
      <w:lang w:val="en-US" w:bidi="en-US"/>
    </w:rPr>
  </w:style>
  <w:style w:type="character" w:customStyle="1" w:styleId="IntenseQuoteChar">
    <w:name w:val="Intense Quote Char"/>
    <w:basedOn w:val="DefaultParagraphFont"/>
    <w:link w:val="IntenseQuote"/>
    <w:uiPriority w:val="30"/>
    <w:rsid w:val="00C74066"/>
    <w:rPr>
      <w:rFonts w:asciiTheme="minorHAnsi" w:eastAsiaTheme="minorEastAsia" w:hAnsiTheme="minorHAnsi" w:cstheme="minorBidi"/>
      <w:b/>
      <w:bCs/>
      <w:i/>
      <w:iCs/>
      <w:sz w:val="22"/>
      <w:szCs w:val="22"/>
      <w:lang w:val="en-US" w:eastAsia="en-US" w:bidi="en-US"/>
    </w:rPr>
  </w:style>
  <w:style w:type="character" w:styleId="SubtleEmphasis">
    <w:name w:val="Subtle Emphasis"/>
    <w:uiPriority w:val="19"/>
    <w:qFormat/>
    <w:rsid w:val="00C74066"/>
    <w:rPr>
      <w:i/>
      <w:iCs/>
    </w:rPr>
  </w:style>
  <w:style w:type="character" w:styleId="IntenseEmphasis">
    <w:name w:val="Intense Emphasis"/>
    <w:uiPriority w:val="21"/>
    <w:qFormat/>
    <w:rsid w:val="00C74066"/>
    <w:rPr>
      <w:b/>
      <w:bCs/>
    </w:rPr>
  </w:style>
  <w:style w:type="character" w:styleId="SubtleReference">
    <w:name w:val="Subtle Reference"/>
    <w:uiPriority w:val="31"/>
    <w:qFormat/>
    <w:rsid w:val="00C74066"/>
    <w:rPr>
      <w:smallCaps/>
    </w:rPr>
  </w:style>
  <w:style w:type="character" w:styleId="IntenseReference">
    <w:name w:val="Intense Reference"/>
    <w:uiPriority w:val="32"/>
    <w:qFormat/>
    <w:rsid w:val="00C74066"/>
    <w:rPr>
      <w:smallCaps/>
      <w:spacing w:val="5"/>
      <w:u w:val="single"/>
    </w:rPr>
  </w:style>
  <w:style w:type="character" w:styleId="BookTitle">
    <w:name w:val="Book Title"/>
    <w:uiPriority w:val="33"/>
    <w:qFormat/>
    <w:rsid w:val="00C74066"/>
    <w:rPr>
      <w:i/>
      <w:iCs/>
      <w:smallCaps/>
      <w:spacing w:val="5"/>
    </w:rPr>
  </w:style>
  <w:style w:type="paragraph" w:customStyle="1" w:styleId="Heading1nonumbers">
    <w:name w:val="Heading 1 (no numbers)"/>
    <w:basedOn w:val="Heading1"/>
    <w:qFormat/>
    <w:rsid w:val="00C74066"/>
    <w:pPr>
      <w:pageBreakBefore w:val="0"/>
      <w:numPr>
        <w:numId w:val="0"/>
      </w:numPr>
      <w:spacing w:before="480" w:after="120"/>
    </w:pPr>
    <w:rPr>
      <w:rFonts w:eastAsiaTheme="majorEastAsia" w:cstheme="majorBidi"/>
      <w:b/>
      <w:color w:val="D52B1E"/>
      <w:sz w:val="34"/>
      <w:lang w:val="en-US"/>
    </w:rPr>
  </w:style>
  <w:style w:type="paragraph" w:customStyle="1" w:styleId="Heading3Nonumber">
    <w:name w:val="Heading 3 No number"/>
    <w:basedOn w:val="Heading3"/>
    <w:qFormat/>
    <w:rsid w:val="00C74066"/>
    <w:pPr>
      <w:keepLines/>
      <w:spacing w:before="120" w:after="200"/>
    </w:pPr>
    <w:rPr>
      <w:rFonts w:ascii="Calibri" w:hAnsi="Calibri" w:cstheme="minorBidi"/>
      <w:sz w:val="24"/>
      <w:szCs w:val="22"/>
    </w:rPr>
  </w:style>
  <w:style w:type="paragraph" w:customStyle="1" w:styleId="batext10">
    <w:name w:val="batext1"/>
    <w:basedOn w:val="Normal"/>
    <w:rsid w:val="00C7406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aptionChar">
    <w:name w:val="Caption Char"/>
    <w:basedOn w:val="Heading1Char"/>
    <w:link w:val="Caption"/>
    <w:rsid w:val="00C74066"/>
    <w:rPr>
      <w:rFonts w:eastAsiaTheme="minorHAnsi" w:cstheme="minorBidi"/>
      <w:b/>
      <w:bCs/>
      <w:sz w:val="22"/>
      <w:szCs w:val="18"/>
      <w:lang w:eastAsia="en-US"/>
    </w:rPr>
  </w:style>
  <w:style w:type="paragraph" w:customStyle="1" w:styleId="CharChar1Char0">
    <w:name w:val="Char Char1 Char"/>
    <w:basedOn w:val="Normal"/>
    <w:rsid w:val="00C74066"/>
    <w:pPr>
      <w:spacing w:after="0" w:line="240" w:lineRule="auto"/>
    </w:pPr>
    <w:rPr>
      <w:rFonts w:ascii="Arial" w:eastAsia="Times New Roman" w:hAnsi="Arial" w:cs="Times New Roman"/>
      <w:szCs w:val="20"/>
    </w:rPr>
  </w:style>
</w:styles>
</file>

<file path=word/webSettings.xml><?xml version="1.0" encoding="utf-8"?>
<w:webSettings xmlns:r="http://schemas.openxmlformats.org/officeDocument/2006/relationships" xmlns:w="http://schemas.openxmlformats.org/wordprocessingml/2006/main">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6444814">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29214">
      <w:bodyDiv w:val="1"/>
      <w:marLeft w:val="0"/>
      <w:marRight w:val="0"/>
      <w:marTop w:val="0"/>
      <w:marBottom w:val="0"/>
      <w:divBdr>
        <w:top w:val="none" w:sz="0" w:space="0" w:color="auto"/>
        <w:left w:val="none" w:sz="0" w:space="0" w:color="auto"/>
        <w:bottom w:val="none" w:sz="0" w:space="0" w:color="auto"/>
        <w:right w:val="none" w:sz="0" w:space="0" w:color="auto"/>
      </w:divBdr>
    </w:div>
    <w:div w:id="329599073">
      <w:bodyDiv w:val="1"/>
      <w:marLeft w:val="0"/>
      <w:marRight w:val="0"/>
      <w:marTop w:val="0"/>
      <w:marBottom w:val="0"/>
      <w:divBdr>
        <w:top w:val="none" w:sz="0" w:space="0" w:color="auto"/>
        <w:left w:val="none" w:sz="0" w:space="0" w:color="auto"/>
        <w:bottom w:val="none" w:sz="0" w:space="0" w:color="auto"/>
        <w:right w:val="none" w:sz="0" w:space="0" w:color="auto"/>
      </w:divBdr>
      <w:divsChild>
        <w:div w:id="6753485">
          <w:marLeft w:val="0"/>
          <w:marRight w:val="0"/>
          <w:marTop w:val="0"/>
          <w:marBottom w:val="0"/>
          <w:divBdr>
            <w:top w:val="none" w:sz="0" w:space="0" w:color="auto"/>
            <w:left w:val="none" w:sz="0" w:space="0" w:color="auto"/>
            <w:bottom w:val="none" w:sz="0" w:space="0" w:color="auto"/>
            <w:right w:val="none" w:sz="0" w:space="0" w:color="auto"/>
          </w:divBdr>
          <w:divsChild>
            <w:div w:id="1015157471">
              <w:marLeft w:val="0"/>
              <w:marRight w:val="0"/>
              <w:marTop w:val="0"/>
              <w:marBottom w:val="0"/>
              <w:divBdr>
                <w:top w:val="none" w:sz="0" w:space="0" w:color="auto"/>
                <w:left w:val="none" w:sz="0" w:space="0" w:color="auto"/>
                <w:bottom w:val="none" w:sz="0" w:space="0" w:color="auto"/>
                <w:right w:val="none" w:sz="0" w:space="0" w:color="auto"/>
              </w:divBdr>
              <w:divsChild>
                <w:div w:id="1951205762">
                  <w:marLeft w:val="0"/>
                  <w:marRight w:val="0"/>
                  <w:marTop w:val="0"/>
                  <w:marBottom w:val="0"/>
                  <w:divBdr>
                    <w:top w:val="none" w:sz="0" w:space="0" w:color="auto"/>
                    <w:left w:val="none" w:sz="0" w:space="0" w:color="auto"/>
                    <w:bottom w:val="none" w:sz="0" w:space="0" w:color="auto"/>
                    <w:right w:val="none" w:sz="0" w:space="0" w:color="auto"/>
                  </w:divBdr>
                  <w:divsChild>
                    <w:div w:id="1271477645">
                      <w:marLeft w:val="0"/>
                      <w:marRight w:val="0"/>
                      <w:marTop w:val="0"/>
                      <w:marBottom w:val="0"/>
                      <w:divBdr>
                        <w:top w:val="none" w:sz="0" w:space="0" w:color="auto"/>
                        <w:left w:val="none" w:sz="0" w:space="0" w:color="auto"/>
                        <w:bottom w:val="none" w:sz="0" w:space="0" w:color="auto"/>
                        <w:right w:val="none" w:sz="0" w:space="0" w:color="auto"/>
                      </w:divBdr>
                      <w:divsChild>
                        <w:div w:id="975063804">
                          <w:marLeft w:val="0"/>
                          <w:marRight w:val="0"/>
                          <w:marTop w:val="0"/>
                          <w:marBottom w:val="0"/>
                          <w:divBdr>
                            <w:top w:val="none" w:sz="0" w:space="0" w:color="auto"/>
                            <w:left w:val="none" w:sz="0" w:space="0" w:color="auto"/>
                            <w:bottom w:val="none" w:sz="0" w:space="0" w:color="auto"/>
                            <w:right w:val="none" w:sz="0" w:space="0" w:color="auto"/>
                          </w:divBdr>
                          <w:divsChild>
                            <w:div w:id="112076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193194">
      <w:bodyDiv w:val="1"/>
      <w:marLeft w:val="0"/>
      <w:marRight w:val="0"/>
      <w:marTop w:val="0"/>
      <w:marBottom w:val="0"/>
      <w:divBdr>
        <w:top w:val="none" w:sz="0" w:space="0" w:color="auto"/>
        <w:left w:val="none" w:sz="0" w:space="0" w:color="auto"/>
        <w:bottom w:val="none" w:sz="0" w:space="0" w:color="auto"/>
        <w:right w:val="none" w:sz="0" w:space="0" w:color="auto"/>
      </w:divBdr>
      <w:divsChild>
        <w:div w:id="1025325337">
          <w:marLeft w:val="0"/>
          <w:marRight w:val="0"/>
          <w:marTop w:val="0"/>
          <w:marBottom w:val="0"/>
          <w:divBdr>
            <w:top w:val="none" w:sz="0" w:space="0" w:color="auto"/>
            <w:left w:val="none" w:sz="0" w:space="0" w:color="auto"/>
            <w:bottom w:val="none" w:sz="0" w:space="0" w:color="auto"/>
            <w:right w:val="none" w:sz="0" w:space="0" w:color="auto"/>
          </w:divBdr>
          <w:divsChild>
            <w:div w:id="1412892507">
              <w:marLeft w:val="0"/>
              <w:marRight w:val="0"/>
              <w:marTop w:val="0"/>
              <w:marBottom w:val="0"/>
              <w:divBdr>
                <w:top w:val="none" w:sz="0" w:space="0" w:color="auto"/>
                <w:left w:val="none" w:sz="0" w:space="0" w:color="auto"/>
                <w:bottom w:val="none" w:sz="0" w:space="0" w:color="auto"/>
                <w:right w:val="none" w:sz="0" w:space="0" w:color="auto"/>
              </w:divBdr>
              <w:divsChild>
                <w:div w:id="1049956769">
                  <w:marLeft w:val="0"/>
                  <w:marRight w:val="0"/>
                  <w:marTop w:val="0"/>
                  <w:marBottom w:val="0"/>
                  <w:divBdr>
                    <w:top w:val="none" w:sz="0" w:space="0" w:color="auto"/>
                    <w:left w:val="none" w:sz="0" w:space="0" w:color="auto"/>
                    <w:bottom w:val="none" w:sz="0" w:space="0" w:color="auto"/>
                    <w:right w:val="none" w:sz="0" w:space="0" w:color="auto"/>
                  </w:divBdr>
                  <w:divsChild>
                    <w:div w:id="689532684">
                      <w:marLeft w:val="0"/>
                      <w:marRight w:val="0"/>
                      <w:marTop w:val="13"/>
                      <w:marBottom w:val="240"/>
                      <w:divBdr>
                        <w:top w:val="single" w:sz="4" w:space="7" w:color="808080"/>
                        <w:left w:val="single" w:sz="4" w:space="7" w:color="808080"/>
                        <w:bottom w:val="single" w:sz="4" w:space="7" w:color="808080"/>
                        <w:right w:val="single" w:sz="4" w:space="7" w:color="808080"/>
                      </w:divBdr>
                      <w:divsChild>
                        <w:div w:id="180442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439479">
      <w:bodyDiv w:val="1"/>
      <w:marLeft w:val="0"/>
      <w:marRight w:val="0"/>
      <w:marTop w:val="0"/>
      <w:marBottom w:val="0"/>
      <w:divBdr>
        <w:top w:val="none" w:sz="0" w:space="0" w:color="auto"/>
        <w:left w:val="none" w:sz="0" w:space="0" w:color="auto"/>
        <w:bottom w:val="none" w:sz="0" w:space="0" w:color="auto"/>
        <w:right w:val="none" w:sz="0" w:space="0" w:color="auto"/>
      </w:divBdr>
      <w:divsChild>
        <w:div w:id="1563903125">
          <w:marLeft w:val="0"/>
          <w:marRight w:val="0"/>
          <w:marTop w:val="0"/>
          <w:marBottom w:val="0"/>
          <w:divBdr>
            <w:top w:val="none" w:sz="0" w:space="0" w:color="auto"/>
            <w:left w:val="none" w:sz="0" w:space="0" w:color="auto"/>
            <w:bottom w:val="none" w:sz="0" w:space="0" w:color="auto"/>
            <w:right w:val="none" w:sz="0" w:space="0" w:color="auto"/>
          </w:divBdr>
          <w:divsChild>
            <w:div w:id="1798403670">
              <w:marLeft w:val="0"/>
              <w:marRight w:val="0"/>
              <w:marTop w:val="0"/>
              <w:marBottom w:val="0"/>
              <w:divBdr>
                <w:top w:val="none" w:sz="0" w:space="0" w:color="auto"/>
                <w:left w:val="none" w:sz="0" w:space="0" w:color="auto"/>
                <w:bottom w:val="none" w:sz="0" w:space="0" w:color="auto"/>
                <w:right w:val="none" w:sz="0" w:space="0" w:color="auto"/>
              </w:divBdr>
              <w:divsChild>
                <w:div w:id="1072701782">
                  <w:marLeft w:val="0"/>
                  <w:marRight w:val="0"/>
                  <w:marTop w:val="0"/>
                  <w:marBottom w:val="0"/>
                  <w:divBdr>
                    <w:top w:val="none" w:sz="0" w:space="0" w:color="auto"/>
                    <w:left w:val="none" w:sz="0" w:space="0" w:color="auto"/>
                    <w:bottom w:val="none" w:sz="0" w:space="0" w:color="auto"/>
                    <w:right w:val="none" w:sz="0" w:space="0" w:color="auto"/>
                  </w:divBdr>
                  <w:divsChild>
                    <w:div w:id="816073351">
                      <w:marLeft w:val="0"/>
                      <w:marRight w:val="0"/>
                      <w:marTop w:val="0"/>
                      <w:marBottom w:val="0"/>
                      <w:divBdr>
                        <w:top w:val="none" w:sz="0" w:space="0" w:color="auto"/>
                        <w:left w:val="none" w:sz="0" w:space="0" w:color="auto"/>
                        <w:bottom w:val="none" w:sz="0" w:space="0" w:color="auto"/>
                        <w:right w:val="none" w:sz="0" w:space="0" w:color="auto"/>
                      </w:divBdr>
                      <w:divsChild>
                        <w:div w:id="2083139305">
                          <w:marLeft w:val="0"/>
                          <w:marRight w:val="0"/>
                          <w:marTop w:val="0"/>
                          <w:marBottom w:val="0"/>
                          <w:divBdr>
                            <w:top w:val="none" w:sz="0" w:space="0" w:color="auto"/>
                            <w:left w:val="none" w:sz="0" w:space="0" w:color="auto"/>
                            <w:bottom w:val="none" w:sz="0" w:space="0" w:color="auto"/>
                            <w:right w:val="none" w:sz="0" w:space="0" w:color="auto"/>
                          </w:divBdr>
                          <w:divsChild>
                            <w:div w:id="1899897261">
                              <w:marLeft w:val="0"/>
                              <w:marRight w:val="0"/>
                              <w:marTop w:val="0"/>
                              <w:marBottom w:val="0"/>
                              <w:divBdr>
                                <w:top w:val="none" w:sz="0" w:space="0" w:color="auto"/>
                                <w:left w:val="none" w:sz="0" w:space="0" w:color="auto"/>
                                <w:bottom w:val="none" w:sz="0" w:space="0" w:color="auto"/>
                                <w:right w:val="none" w:sz="0" w:space="0" w:color="auto"/>
                              </w:divBdr>
                              <w:divsChild>
                                <w:div w:id="1835535837">
                                  <w:marLeft w:val="0"/>
                                  <w:marRight w:val="0"/>
                                  <w:marTop w:val="0"/>
                                  <w:marBottom w:val="0"/>
                                  <w:divBdr>
                                    <w:top w:val="none" w:sz="0" w:space="0" w:color="auto"/>
                                    <w:left w:val="none" w:sz="0" w:space="0" w:color="auto"/>
                                    <w:bottom w:val="none" w:sz="0" w:space="0" w:color="auto"/>
                                    <w:right w:val="none" w:sz="0" w:space="0" w:color="auto"/>
                                  </w:divBdr>
                                  <w:divsChild>
                                    <w:div w:id="1423717853">
                                      <w:marLeft w:val="0"/>
                                      <w:marRight w:val="0"/>
                                      <w:marTop w:val="0"/>
                                      <w:marBottom w:val="0"/>
                                      <w:divBdr>
                                        <w:top w:val="none" w:sz="0" w:space="0" w:color="auto"/>
                                        <w:left w:val="none" w:sz="0" w:space="0" w:color="auto"/>
                                        <w:bottom w:val="none" w:sz="0" w:space="0" w:color="auto"/>
                                        <w:right w:val="none" w:sz="0" w:space="0" w:color="auto"/>
                                      </w:divBdr>
                                      <w:divsChild>
                                        <w:div w:id="188910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7852148">
      <w:bodyDiv w:val="1"/>
      <w:marLeft w:val="0"/>
      <w:marRight w:val="0"/>
      <w:marTop w:val="0"/>
      <w:marBottom w:val="0"/>
      <w:divBdr>
        <w:top w:val="none" w:sz="0" w:space="0" w:color="auto"/>
        <w:left w:val="none" w:sz="0" w:space="0" w:color="auto"/>
        <w:bottom w:val="none" w:sz="0" w:space="0" w:color="auto"/>
        <w:right w:val="none" w:sz="0" w:space="0" w:color="auto"/>
      </w:divBdr>
      <w:divsChild>
        <w:div w:id="1193811063">
          <w:marLeft w:val="0"/>
          <w:marRight w:val="0"/>
          <w:marTop w:val="0"/>
          <w:marBottom w:val="0"/>
          <w:divBdr>
            <w:top w:val="none" w:sz="0" w:space="0" w:color="auto"/>
            <w:left w:val="none" w:sz="0" w:space="0" w:color="auto"/>
            <w:bottom w:val="none" w:sz="0" w:space="0" w:color="auto"/>
            <w:right w:val="none" w:sz="0" w:space="0" w:color="auto"/>
          </w:divBdr>
          <w:divsChild>
            <w:div w:id="14531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136710">
      <w:bodyDiv w:val="1"/>
      <w:marLeft w:val="0"/>
      <w:marRight w:val="0"/>
      <w:marTop w:val="0"/>
      <w:marBottom w:val="0"/>
      <w:divBdr>
        <w:top w:val="none" w:sz="0" w:space="0" w:color="auto"/>
        <w:left w:val="none" w:sz="0" w:space="0" w:color="auto"/>
        <w:bottom w:val="none" w:sz="0" w:space="0" w:color="auto"/>
        <w:right w:val="none" w:sz="0" w:space="0" w:color="auto"/>
      </w:divBdr>
      <w:divsChild>
        <w:div w:id="2014261419">
          <w:marLeft w:val="0"/>
          <w:marRight w:val="0"/>
          <w:marTop w:val="0"/>
          <w:marBottom w:val="196"/>
          <w:divBdr>
            <w:top w:val="single" w:sz="4" w:space="6" w:color="D3D1D1"/>
            <w:left w:val="single" w:sz="4" w:space="0" w:color="D3D1D1"/>
            <w:bottom w:val="single" w:sz="4" w:space="6" w:color="D3D1D1"/>
            <w:right w:val="single" w:sz="4" w:space="0" w:color="D3D1D1"/>
          </w:divBdr>
          <w:divsChild>
            <w:div w:id="1844785635">
              <w:marLeft w:val="87"/>
              <w:marRight w:val="87"/>
              <w:marTop w:val="0"/>
              <w:marBottom w:val="0"/>
              <w:divBdr>
                <w:top w:val="none" w:sz="0" w:space="0" w:color="auto"/>
                <w:left w:val="none" w:sz="0" w:space="0" w:color="auto"/>
                <w:bottom w:val="none" w:sz="0" w:space="0" w:color="auto"/>
                <w:right w:val="none" w:sz="0" w:space="0" w:color="auto"/>
              </w:divBdr>
              <w:divsChild>
                <w:div w:id="584650582">
                  <w:marLeft w:val="0"/>
                  <w:marRight w:val="0"/>
                  <w:marTop w:val="0"/>
                  <w:marBottom w:val="0"/>
                  <w:divBdr>
                    <w:top w:val="none" w:sz="0" w:space="0" w:color="auto"/>
                    <w:left w:val="none" w:sz="0" w:space="0" w:color="auto"/>
                    <w:bottom w:val="none" w:sz="0" w:space="0" w:color="auto"/>
                    <w:right w:val="none" w:sz="0" w:space="0" w:color="auto"/>
                  </w:divBdr>
                  <w:divsChild>
                    <w:div w:id="720440322">
                      <w:marLeft w:val="0"/>
                      <w:marRight w:val="0"/>
                      <w:marTop w:val="0"/>
                      <w:marBottom w:val="0"/>
                      <w:divBdr>
                        <w:top w:val="none" w:sz="0" w:space="0" w:color="auto"/>
                        <w:left w:val="none" w:sz="0" w:space="0" w:color="auto"/>
                        <w:bottom w:val="none" w:sz="0" w:space="0" w:color="auto"/>
                        <w:right w:val="none" w:sz="0" w:space="0" w:color="auto"/>
                      </w:divBdr>
                      <w:divsChild>
                        <w:div w:id="147529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421335">
      <w:bodyDiv w:val="1"/>
      <w:marLeft w:val="0"/>
      <w:marRight w:val="0"/>
      <w:marTop w:val="0"/>
      <w:marBottom w:val="0"/>
      <w:divBdr>
        <w:top w:val="none" w:sz="0" w:space="0" w:color="auto"/>
        <w:left w:val="none" w:sz="0" w:space="0" w:color="auto"/>
        <w:bottom w:val="none" w:sz="0" w:space="0" w:color="auto"/>
        <w:right w:val="none" w:sz="0" w:space="0" w:color="auto"/>
      </w:divBdr>
      <w:divsChild>
        <w:div w:id="413094705">
          <w:marLeft w:val="0"/>
          <w:marRight w:val="0"/>
          <w:marTop w:val="0"/>
          <w:marBottom w:val="0"/>
          <w:divBdr>
            <w:top w:val="none" w:sz="0" w:space="0" w:color="auto"/>
            <w:left w:val="none" w:sz="0" w:space="0" w:color="auto"/>
            <w:bottom w:val="none" w:sz="0" w:space="0" w:color="auto"/>
            <w:right w:val="none" w:sz="0" w:space="0" w:color="auto"/>
          </w:divBdr>
          <w:divsChild>
            <w:div w:id="51029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56107151">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656367">
      <w:bodyDiv w:val="1"/>
      <w:marLeft w:val="0"/>
      <w:marRight w:val="0"/>
      <w:marTop w:val="0"/>
      <w:marBottom w:val="0"/>
      <w:divBdr>
        <w:top w:val="none" w:sz="0" w:space="0" w:color="auto"/>
        <w:left w:val="none" w:sz="0" w:space="0" w:color="auto"/>
        <w:bottom w:val="none" w:sz="0" w:space="0" w:color="auto"/>
        <w:right w:val="none" w:sz="0" w:space="0" w:color="auto"/>
      </w:divBdr>
      <w:divsChild>
        <w:div w:id="614755837">
          <w:marLeft w:val="0"/>
          <w:marRight w:val="0"/>
          <w:marTop w:val="0"/>
          <w:marBottom w:val="0"/>
          <w:divBdr>
            <w:top w:val="none" w:sz="0" w:space="0" w:color="auto"/>
            <w:left w:val="none" w:sz="0" w:space="0" w:color="auto"/>
            <w:bottom w:val="none" w:sz="0" w:space="0" w:color="auto"/>
            <w:right w:val="none" w:sz="0" w:space="0" w:color="auto"/>
          </w:divBdr>
          <w:divsChild>
            <w:div w:id="349458385">
              <w:marLeft w:val="0"/>
              <w:marRight w:val="0"/>
              <w:marTop w:val="0"/>
              <w:marBottom w:val="0"/>
              <w:divBdr>
                <w:top w:val="none" w:sz="0" w:space="0" w:color="auto"/>
                <w:left w:val="none" w:sz="0" w:space="0" w:color="auto"/>
                <w:bottom w:val="none" w:sz="0" w:space="0" w:color="auto"/>
                <w:right w:val="none" w:sz="0" w:space="0" w:color="auto"/>
              </w:divBdr>
              <w:divsChild>
                <w:div w:id="114177518">
                  <w:marLeft w:val="0"/>
                  <w:marRight w:val="0"/>
                  <w:marTop w:val="0"/>
                  <w:marBottom w:val="0"/>
                  <w:divBdr>
                    <w:top w:val="none" w:sz="0" w:space="0" w:color="auto"/>
                    <w:left w:val="none" w:sz="0" w:space="0" w:color="auto"/>
                    <w:bottom w:val="none" w:sz="0" w:space="0" w:color="auto"/>
                    <w:right w:val="none" w:sz="0" w:space="0" w:color="auto"/>
                  </w:divBdr>
                  <w:divsChild>
                    <w:div w:id="372460606">
                      <w:marLeft w:val="0"/>
                      <w:marRight w:val="0"/>
                      <w:marTop w:val="15"/>
                      <w:marBottom w:val="240"/>
                      <w:divBdr>
                        <w:top w:val="single" w:sz="6" w:space="8" w:color="808080"/>
                        <w:left w:val="single" w:sz="6" w:space="8" w:color="808080"/>
                        <w:bottom w:val="single" w:sz="6" w:space="8" w:color="808080"/>
                        <w:right w:val="single" w:sz="6" w:space="8" w:color="808080"/>
                      </w:divBdr>
                      <w:divsChild>
                        <w:div w:id="113483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727185">
      <w:bodyDiv w:val="1"/>
      <w:marLeft w:val="0"/>
      <w:marRight w:val="0"/>
      <w:marTop w:val="0"/>
      <w:marBottom w:val="0"/>
      <w:divBdr>
        <w:top w:val="none" w:sz="0" w:space="0" w:color="auto"/>
        <w:left w:val="none" w:sz="0" w:space="0" w:color="auto"/>
        <w:bottom w:val="none" w:sz="0" w:space="0" w:color="auto"/>
        <w:right w:val="none" w:sz="0" w:space="0" w:color="auto"/>
      </w:divBdr>
      <w:divsChild>
        <w:div w:id="1919747201">
          <w:marLeft w:val="0"/>
          <w:marRight w:val="240"/>
          <w:marTop w:val="120"/>
          <w:marBottom w:val="0"/>
          <w:divBdr>
            <w:top w:val="none" w:sz="0" w:space="0" w:color="auto"/>
            <w:left w:val="none" w:sz="0" w:space="0" w:color="auto"/>
            <w:bottom w:val="none" w:sz="0" w:space="0" w:color="auto"/>
            <w:right w:val="none" w:sz="0" w:space="0" w:color="auto"/>
          </w:divBdr>
          <w:divsChild>
            <w:div w:id="585845111">
              <w:marLeft w:val="84"/>
              <w:marRight w:val="0"/>
              <w:marTop w:val="84"/>
              <w:marBottom w:val="360"/>
              <w:divBdr>
                <w:top w:val="none" w:sz="0" w:space="0" w:color="auto"/>
                <w:left w:val="none" w:sz="0" w:space="0" w:color="auto"/>
                <w:bottom w:val="none" w:sz="0" w:space="0" w:color="auto"/>
                <w:right w:val="none" w:sz="0" w:space="0" w:color="auto"/>
              </w:divBdr>
            </w:div>
          </w:divsChild>
        </w:div>
        <w:div w:id="1109084961">
          <w:marLeft w:val="0"/>
          <w:marRight w:val="0"/>
          <w:marTop w:val="120"/>
          <w:marBottom w:val="0"/>
          <w:divBdr>
            <w:top w:val="none" w:sz="0" w:space="0" w:color="auto"/>
            <w:left w:val="none" w:sz="0" w:space="0" w:color="auto"/>
            <w:bottom w:val="none" w:sz="0" w:space="0" w:color="auto"/>
            <w:right w:val="none" w:sz="0" w:space="0" w:color="auto"/>
          </w:divBdr>
          <w:divsChild>
            <w:div w:id="14718228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82495633">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48094920">
      <w:bodyDiv w:val="1"/>
      <w:marLeft w:val="0"/>
      <w:marRight w:val="0"/>
      <w:marTop w:val="0"/>
      <w:marBottom w:val="0"/>
      <w:divBdr>
        <w:top w:val="none" w:sz="0" w:space="0" w:color="auto"/>
        <w:left w:val="none" w:sz="0" w:space="0" w:color="auto"/>
        <w:bottom w:val="none" w:sz="0" w:space="0" w:color="auto"/>
        <w:right w:val="none" w:sz="0" w:space="0" w:color="auto"/>
      </w:divBdr>
    </w:div>
    <w:div w:id="1367873255">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079943">
      <w:bodyDiv w:val="1"/>
      <w:marLeft w:val="0"/>
      <w:marRight w:val="0"/>
      <w:marTop w:val="0"/>
      <w:marBottom w:val="0"/>
      <w:divBdr>
        <w:top w:val="none" w:sz="0" w:space="0" w:color="auto"/>
        <w:left w:val="none" w:sz="0" w:space="0" w:color="auto"/>
        <w:bottom w:val="none" w:sz="0" w:space="0" w:color="auto"/>
        <w:right w:val="none" w:sz="0" w:space="0" w:color="auto"/>
      </w:divBdr>
      <w:divsChild>
        <w:div w:id="498035041">
          <w:marLeft w:val="0"/>
          <w:marRight w:val="0"/>
          <w:marTop w:val="0"/>
          <w:marBottom w:val="0"/>
          <w:divBdr>
            <w:top w:val="none" w:sz="0" w:space="0" w:color="auto"/>
            <w:left w:val="none" w:sz="0" w:space="0" w:color="auto"/>
            <w:bottom w:val="none" w:sz="0" w:space="0" w:color="auto"/>
            <w:right w:val="none" w:sz="0" w:space="0" w:color="auto"/>
          </w:divBdr>
          <w:divsChild>
            <w:div w:id="1940529455">
              <w:marLeft w:val="0"/>
              <w:marRight w:val="0"/>
              <w:marTop w:val="0"/>
              <w:marBottom w:val="0"/>
              <w:divBdr>
                <w:top w:val="none" w:sz="0" w:space="0" w:color="auto"/>
                <w:left w:val="none" w:sz="0" w:space="0" w:color="auto"/>
                <w:bottom w:val="none" w:sz="0" w:space="0" w:color="auto"/>
                <w:right w:val="none" w:sz="0" w:space="0" w:color="auto"/>
              </w:divBdr>
              <w:divsChild>
                <w:div w:id="1860966585">
                  <w:marLeft w:val="0"/>
                  <w:marRight w:val="0"/>
                  <w:marTop w:val="0"/>
                  <w:marBottom w:val="0"/>
                  <w:divBdr>
                    <w:top w:val="none" w:sz="0" w:space="0" w:color="auto"/>
                    <w:left w:val="none" w:sz="0" w:space="0" w:color="auto"/>
                    <w:bottom w:val="none" w:sz="0" w:space="0" w:color="auto"/>
                    <w:right w:val="none" w:sz="0" w:space="0" w:color="auto"/>
                  </w:divBdr>
                  <w:divsChild>
                    <w:div w:id="1053500365">
                      <w:marLeft w:val="0"/>
                      <w:marRight w:val="0"/>
                      <w:marTop w:val="17"/>
                      <w:marBottom w:val="240"/>
                      <w:divBdr>
                        <w:top w:val="single" w:sz="6" w:space="8" w:color="808080"/>
                        <w:left w:val="single" w:sz="6" w:space="8" w:color="808080"/>
                        <w:bottom w:val="single" w:sz="6" w:space="8" w:color="808080"/>
                        <w:right w:val="single" w:sz="6" w:space="8" w:color="808080"/>
                      </w:divBdr>
                      <w:divsChild>
                        <w:div w:id="35608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825">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90306235">
      <w:bodyDiv w:val="1"/>
      <w:marLeft w:val="0"/>
      <w:marRight w:val="0"/>
      <w:marTop w:val="0"/>
      <w:marBottom w:val="0"/>
      <w:divBdr>
        <w:top w:val="none" w:sz="0" w:space="0" w:color="auto"/>
        <w:left w:val="none" w:sz="0" w:space="0" w:color="auto"/>
        <w:bottom w:val="none" w:sz="0" w:space="0" w:color="auto"/>
        <w:right w:val="none" w:sz="0" w:space="0" w:color="auto"/>
      </w:divBdr>
      <w:divsChild>
        <w:div w:id="1316103273">
          <w:marLeft w:val="0"/>
          <w:marRight w:val="0"/>
          <w:marTop w:val="0"/>
          <w:marBottom w:val="150"/>
          <w:divBdr>
            <w:top w:val="none" w:sz="0" w:space="0" w:color="auto"/>
            <w:left w:val="none" w:sz="0" w:space="0" w:color="auto"/>
            <w:bottom w:val="none" w:sz="0" w:space="0" w:color="auto"/>
            <w:right w:val="none" w:sz="0" w:space="0" w:color="auto"/>
          </w:divBdr>
          <w:divsChild>
            <w:div w:id="99970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865509">
      <w:bodyDiv w:val="1"/>
      <w:marLeft w:val="0"/>
      <w:marRight w:val="0"/>
      <w:marTop w:val="0"/>
      <w:marBottom w:val="0"/>
      <w:divBdr>
        <w:top w:val="none" w:sz="0" w:space="0" w:color="auto"/>
        <w:left w:val="none" w:sz="0" w:space="0" w:color="auto"/>
        <w:bottom w:val="none" w:sz="0" w:space="0" w:color="auto"/>
        <w:right w:val="none" w:sz="0" w:space="0" w:color="auto"/>
      </w:divBdr>
      <w:divsChild>
        <w:div w:id="1991208877">
          <w:marLeft w:val="0"/>
          <w:marRight w:val="0"/>
          <w:marTop w:val="0"/>
          <w:marBottom w:val="0"/>
          <w:divBdr>
            <w:top w:val="none" w:sz="0" w:space="0" w:color="auto"/>
            <w:left w:val="none" w:sz="0" w:space="0" w:color="auto"/>
            <w:bottom w:val="none" w:sz="0" w:space="0" w:color="auto"/>
            <w:right w:val="none" w:sz="0" w:space="0" w:color="auto"/>
          </w:divBdr>
          <w:divsChild>
            <w:div w:id="171990893">
              <w:marLeft w:val="0"/>
              <w:marRight w:val="0"/>
              <w:marTop w:val="0"/>
              <w:marBottom w:val="0"/>
              <w:divBdr>
                <w:top w:val="none" w:sz="0" w:space="0" w:color="auto"/>
                <w:left w:val="none" w:sz="0" w:space="0" w:color="auto"/>
                <w:bottom w:val="none" w:sz="0" w:space="0" w:color="auto"/>
                <w:right w:val="none" w:sz="0" w:space="0" w:color="auto"/>
              </w:divBdr>
              <w:divsChild>
                <w:div w:id="1671760160">
                  <w:marLeft w:val="0"/>
                  <w:marRight w:val="0"/>
                  <w:marTop w:val="0"/>
                  <w:marBottom w:val="0"/>
                  <w:divBdr>
                    <w:top w:val="none" w:sz="0" w:space="0" w:color="auto"/>
                    <w:left w:val="none" w:sz="0" w:space="0" w:color="auto"/>
                    <w:bottom w:val="none" w:sz="0" w:space="0" w:color="auto"/>
                    <w:right w:val="none" w:sz="0" w:space="0" w:color="auto"/>
                  </w:divBdr>
                  <w:divsChild>
                    <w:div w:id="748579840">
                      <w:marLeft w:val="0"/>
                      <w:marRight w:val="0"/>
                      <w:marTop w:val="0"/>
                      <w:marBottom w:val="0"/>
                      <w:divBdr>
                        <w:top w:val="none" w:sz="0" w:space="0" w:color="auto"/>
                        <w:left w:val="none" w:sz="0" w:space="0" w:color="auto"/>
                        <w:bottom w:val="none" w:sz="0" w:space="0" w:color="auto"/>
                        <w:right w:val="none" w:sz="0" w:space="0" w:color="auto"/>
                      </w:divBdr>
                      <w:divsChild>
                        <w:div w:id="1238633257">
                          <w:marLeft w:val="0"/>
                          <w:marRight w:val="0"/>
                          <w:marTop w:val="0"/>
                          <w:marBottom w:val="0"/>
                          <w:divBdr>
                            <w:top w:val="none" w:sz="0" w:space="0" w:color="auto"/>
                            <w:left w:val="none" w:sz="0" w:space="0" w:color="auto"/>
                            <w:bottom w:val="none" w:sz="0" w:space="0" w:color="auto"/>
                            <w:right w:val="none" w:sz="0" w:space="0" w:color="auto"/>
                          </w:divBdr>
                          <w:divsChild>
                            <w:div w:id="1665628591">
                              <w:marLeft w:val="0"/>
                              <w:marRight w:val="0"/>
                              <w:marTop w:val="0"/>
                              <w:marBottom w:val="0"/>
                              <w:divBdr>
                                <w:top w:val="none" w:sz="0" w:space="0" w:color="auto"/>
                                <w:left w:val="none" w:sz="0" w:space="0" w:color="auto"/>
                                <w:bottom w:val="none" w:sz="0" w:space="0" w:color="auto"/>
                                <w:right w:val="none" w:sz="0" w:space="0" w:color="auto"/>
                              </w:divBdr>
                              <w:divsChild>
                                <w:div w:id="1289629802">
                                  <w:marLeft w:val="0"/>
                                  <w:marRight w:val="0"/>
                                  <w:marTop w:val="0"/>
                                  <w:marBottom w:val="0"/>
                                  <w:divBdr>
                                    <w:top w:val="none" w:sz="0" w:space="0" w:color="auto"/>
                                    <w:left w:val="none" w:sz="0" w:space="0" w:color="auto"/>
                                    <w:bottom w:val="none" w:sz="0" w:space="0" w:color="auto"/>
                                    <w:right w:val="none" w:sz="0" w:space="0" w:color="auto"/>
                                  </w:divBdr>
                                  <w:divsChild>
                                    <w:div w:id="99911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955554">
      <w:bodyDiv w:val="1"/>
      <w:marLeft w:val="0"/>
      <w:marRight w:val="0"/>
      <w:marTop w:val="0"/>
      <w:marBottom w:val="0"/>
      <w:divBdr>
        <w:top w:val="none" w:sz="0" w:space="0" w:color="auto"/>
        <w:left w:val="none" w:sz="0" w:space="0" w:color="auto"/>
        <w:bottom w:val="none" w:sz="0" w:space="0" w:color="auto"/>
        <w:right w:val="none" w:sz="0" w:space="0" w:color="auto"/>
      </w:divBdr>
    </w:div>
    <w:div w:id="1670912281">
      <w:bodyDiv w:val="1"/>
      <w:marLeft w:val="0"/>
      <w:marRight w:val="0"/>
      <w:marTop w:val="0"/>
      <w:marBottom w:val="0"/>
      <w:divBdr>
        <w:top w:val="none" w:sz="0" w:space="0" w:color="auto"/>
        <w:left w:val="none" w:sz="0" w:space="0" w:color="auto"/>
        <w:bottom w:val="none" w:sz="0" w:space="0" w:color="auto"/>
        <w:right w:val="none" w:sz="0" w:space="0" w:color="auto"/>
      </w:divBdr>
      <w:divsChild>
        <w:div w:id="438136772">
          <w:marLeft w:val="0"/>
          <w:marRight w:val="0"/>
          <w:marTop w:val="0"/>
          <w:marBottom w:val="196"/>
          <w:divBdr>
            <w:top w:val="single" w:sz="4" w:space="6" w:color="D3D1D1"/>
            <w:left w:val="single" w:sz="4" w:space="0" w:color="D3D1D1"/>
            <w:bottom w:val="single" w:sz="4" w:space="6" w:color="D3D1D1"/>
            <w:right w:val="single" w:sz="4" w:space="0" w:color="D3D1D1"/>
          </w:divBdr>
          <w:divsChild>
            <w:div w:id="953709954">
              <w:marLeft w:val="87"/>
              <w:marRight w:val="87"/>
              <w:marTop w:val="0"/>
              <w:marBottom w:val="0"/>
              <w:divBdr>
                <w:top w:val="none" w:sz="0" w:space="0" w:color="auto"/>
                <w:left w:val="none" w:sz="0" w:space="0" w:color="auto"/>
                <w:bottom w:val="none" w:sz="0" w:space="0" w:color="auto"/>
                <w:right w:val="none" w:sz="0" w:space="0" w:color="auto"/>
              </w:divBdr>
              <w:divsChild>
                <w:div w:id="1977248443">
                  <w:marLeft w:val="0"/>
                  <w:marRight w:val="0"/>
                  <w:marTop w:val="0"/>
                  <w:marBottom w:val="0"/>
                  <w:divBdr>
                    <w:top w:val="none" w:sz="0" w:space="0" w:color="auto"/>
                    <w:left w:val="none" w:sz="0" w:space="0" w:color="auto"/>
                    <w:bottom w:val="none" w:sz="0" w:space="0" w:color="auto"/>
                    <w:right w:val="none" w:sz="0" w:space="0" w:color="auto"/>
                  </w:divBdr>
                  <w:divsChild>
                    <w:div w:id="388724037">
                      <w:marLeft w:val="0"/>
                      <w:marRight w:val="0"/>
                      <w:marTop w:val="0"/>
                      <w:marBottom w:val="0"/>
                      <w:divBdr>
                        <w:top w:val="none" w:sz="0" w:space="0" w:color="auto"/>
                        <w:left w:val="none" w:sz="0" w:space="0" w:color="auto"/>
                        <w:bottom w:val="none" w:sz="0" w:space="0" w:color="auto"/>
                        <w:right w:val="none" w:sz="0" w:space="0" w:color="auto"/>
                      </w:divBdr>
                      <w:divsChild>
                        <w:div w:id="184401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750397">
      <w:bodyDiv w:val="1"/>
      <w:marLeft w:val="0"/>
      <w:marRight w:val="0"/>
      <w:marTop w:val="0"/>
      <w:marBottom w:val="0"/>
      <w:divBdr>
        <w:top w:val="none" w:sz="0" w:space="0" w:color="auto"/>
        <w:left w:val="none" w:sz="0" w:space="0" w:color="auto"/>
        <w:bottom w:val="none" w:sz="0" w:space="0" w:color="auto"/>
        <w:right w:val="none" w:sz="0" w:space="0" w:color="auto"/>
      </w:divBdr>
      <w:divsChild>
        <w:div w:id="259459335">
          <w:marLeft w:val="0"/>
          <w:marRight w:val="0"/>
          <w:marTop w:val="0"/>
          <w:marBottom w:val="0"/>
          <w:divBdr>
            <w:top w:val="none" w:sz="0" w:space="0" w:color="auto"/>
            <w:left w:val="none" w:sz="0" w:space="0" w:color="auto"/>
            <w:bottom w:val="none" w:sz="0" w:space="0" w:color="auto"/>
            <w:right w:val="none" w:sz="0" w:space="0" w:color="auto"/>
          </w:divBdr>
          <w:divsChild>
            <w:div w:id="160422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326893">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248239">
      <w:bodyDiv w:val="1"/>
      <w:marLeft w:val="0"/>
      <w:marRight w:val="0"/>
      <w:marTop w:val="0"/>
      <w:marBottom w:val="0"/>
      <w:divBdr>
        <w:top w:val="none" w:sz="0" w:space="0" w:color="auto"/>
        <w:left w:val="none" w:sz="0" w:space="0" w:color="auto"/>
        <w:bottom w:val="none" w:sz="0" w:space="0" w:color="auto"/>
        <w:right w:val="none" w:sz="0" w:space="0" w:color="auto"/>
      </w:divBdr>
    </w:div>
    <w:div w:id="1978756060">
      <w:bodyDiv w:val="1"/>
      <w:marLeft w:val="0"/>
      <w:marRight w:val="0"/>
      <w:marTop w:val="0"/>
      <w:marBottom w:val="0"/>
      <w:divBdr>
        <w:top w:val="none" w:sz="0" w:space="0" w:color="auto"/>
        <w:left w:val="none" w:sz="0" w:space="0" w:color="auto"/>
        <w:bottom w:val="none" w:sz="0" w:space="0" w:color="auto"/>
        <w:right w:val="none" w:sz="0" w:space="0" w:color="auto"/>
      </w:divBdr>
      <w:divsChild>
        <w:div w:id="1089085595">
          <w:marLeft w:val="0"/>
          <w:marRight w:val="0"/>
          <w:marTop w:val="0"/>
          <w:marBottom w:val="0"/>
          <w:divBdr>
            <w:top w:val="none" w:sz="0" w:space="0" w:color="auto"/>
            <w:left w:val="none" w:sz="0" w:space="0" w:color="auto"/>
            <w:bottom w:val="none" w:sz="0" w:space="0" w:color="auto"/>
            <w:right w:val="none" w:sz="0" w:space="0" w:color="auto"/>
          </w:divBdr>
          <w:divsChild>
            <w:div w:id="26027900">
              <w:marLeft w:val="0"/>
              <w:marRight w:val="0"/>
              <w:marTop w:val="0"/>
              <w:marBottom w:val="0"/>
              <w:divBdr>
                <w:top w:val="none" w:sz="0" w:space="0" w:color="auto"/>
                <w:left w:val="none" w:sz="0" w:space="0" w:color="auto"/>
                <w:bottom w:val="none" w:sz="0" w:space="0" w:color="auto"/>
                <w:right w:val="none" w:sz="0" w:space="0" w:color="auto"/>
              </w:divBdr>
              <w:divsChild>
                <w:div w:id="1324121147">
                  <w:marLeft w:val="0"/>
                  <w:marRight w:val="0"/>
                  <w:marTop w:val="0"/>
                  <w:marBottom w:val="0"/>
                  <w:divBdr>
                    <w:top w:val="none" w:sz="0" w:space="0" w:color="auto"/>
                    <w:left w:val="none" w:sz="0" w:space="0" w:color="auto"/>
                    <w:bottom w:val="none" w:sz="0" w:space="0" w:color="auto"/>
                    <w:right w:val="none" w:sz="0" w:space="0" w:color="auto"/>
                  </w:divBdr>
                  <w:divsChild>
                    <w:div w:id="1773671751">
                      <w:marLeft w:val="0"/>
                      <w:marRight w:val="0"/>
                      <w:marTop w:val="10"/>
                      <w:marBottom w:val="240"/>
                      <w:divBdr>
                        <w:top w:val="single" w:sz="4" w:space="5" w:color="808080"/>
                        <w:left w:val="single" w:sz="4" w:space="5" w:color="808080"/>
                        <w:bottom w:val="single" w:sz="4" w:space="5" w:color="808080"/>
                        <w:right w:val="single" w:sz="4" w:space="5" w:color="808080"/>
                      </w:divBdr>
                      <w:divsChild>
                        <w:div w:id="48890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192238">
      <w:bodyDiv w:val="1"/>
      <w:marLeft w:val="0"/>
      <w:marRight w:val="0"/>
      <w:marTop w:val="0"/>
      <w:marBottom w:val="0"/>
      <w:divBdr>
        <w:top w:val="none" w:sz="0" w:space="0" w:color="auto"/>
        <w:left w:val="none" w:sz="0" w:space="0" w:color="auto"/>
        <w:bottom w:val="none" w:sz="0" w:space="0" w:color="auto"/>
        <w:right w:val="none" w:sz="0" w:space="0" w:color="auto"/>
      </w:divBdr>
      <w:divsChild>
        <w:div w:id="1119569034">
          <w:marLeft w:val="0"/>
          <w:marRight w:val="0"/>
          <w:marTop w:val="0"/>
          <w:marBottom w:val="0"/>
          <w:divBdr>
            <w:top w:val="none" w:sz="0" w:space="0" w:color="auto"/>
            <w:left w:val="none" w:sz="0" w:space="0" w:color="auto"/>
            <w:bottom w:val="none" w:sz="0" w:space="0" w:color="auto"/>
            <w:right w:val="none" w:sz="0" w:space="0" w:color="auto"/>
          </w:divBdr>
          <w:divsChild>
            <w:div w:id="476264127">
              <w:marLeft w:val="0"/>
              <w:marRight w:val="0"/>
              <w:marTop w:val="0"/>
              <w:marBottom w:val="0"/>
              <w:divBdr>
                <w:top w:val="none" w:sz="0" w:space="0" w:color="auto"/>
                <w:left w:val="none" w:sz="0" w:space="0" w:color="auto"/>
                <w:bottom w:val="none" w:sz="0" w:space="0" w:color="auto"/>
                <w:right w:val="none" w:sz="0" w:space="0" w:color="auto"/>
              </w:divBdr>
              <w:divsChild>
                <w:div w:id="1538855121">
                  <w:marLeft w:val="0"/>
                  <w:marRight w:val="0"/>
                  <w:marTop w:val="0"/>
                  <w:marBottom w:val="0"/>
                  <w:divBdr>
                    <w:top w:val="none" w:sz="0" w:space="0" w:color="auto"/>
                    <w:left w:val="none" w:sz="0" w:space="0" w:color="auto"/>
                    <w:bottom w:val="none" w:sz="0" w:space="0" w:color="auto"/>
                    <w:right w:val="none" w:sz="0" w:space="0" w:color="auto"/>
                  </w:divBdr>
                  <w:divsChild>
                    <w:div w:id="1380472063">
                      <w:marLeft w:val="0"/>
                      <w:marRight w:val="0"/>
                      <w:marTop w:val="13"/>
                      <w:marBottom w:val="240"/>
                      <w:divBdr>
                        <w:top w:val="single" w:sz="4" w:space="7" w:color="808080"/>
                        <w:left w:val="single" w:sz="4" w:space="7" w:color="808080"/>
                        <w:bottom w:val="single" w:sz="4" w:space="7" w:color="808080"/>
                        <w:right w:val="single" w:sz="4" w:space="7" w:color="808080"/>
                      </w:divBdr>
                      <w:divsChild>
                        <w:div w:id="141127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plant@agriculture.gov.au" TargetMode="External"/><Relationship Id="rId26" Type="http://schemas.openxmlformats.org/officeDocument/2006/relationships/header" Target="header7.xml"/><Relationship Id="rId39" Type="http://schemas.openxmlformats.org/officeDocument/2006/relationships/header" Target="header15.xml"/><Relationship Id="rId21" Type="http://schemas.openxmlformats.org/officeDocument/2006/relationships/footer" Target="footer2.xml"/><Relationship Id="rId34" Type="http://schemas.openxmlformats.org/officeDocument/2006/relationships/image" Target="media/image8.png"/><Relationship Id="rId42" Type="http://schemas.openxmlformats.org/officeDocument/2006/relationships/header" Target="header17.xml"/><Relationship Id="rId47" Type="http://schemas.openxmlformats.org/officeDocument/2006/relationships/header" Target="header19.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opyright@agriculture.gov.au" TargetMode="External"/><Relationship Id="rId29" Type="http://schemas.openxmlformats.org/officeDocument/2006/relationships/header" Target="header9.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7.png"/><Relationship Id="rId37" Type="http://schemas.openxmlformats.org/officeDocument/2006/relationships/header" Target="header13.xml"/><Relationship Id="rId40" Type="http://schemas.openxmlformats.org/officeDocument/2006/relationships/header" Target="header16.xml"/><Relationship Id="rId45" Type="http://schemas.openxmlformats.org/officeDocument/2006/relationships/footer" Target="footer4.xml"/><Relationship Id="rId53"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header" Target="header11.xml"/><Relationship Id="rId44" Type="http://schemas.openxmlformats.org/officeDocument/2006/relationships/header" Target="header18.xml"/><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reativecommons.org/licenses/by/3.0/au/deed.en" TargetMode="Externa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image" Target="media/image9.png"/><Relationship Id="rId43" Type="http://schemas.openxmlformats.org/officeDocument/2006/relationships/footer" Target="footer3.xml"/><Relationship Id="rId48" Type="http://schemas.openxmlformats.org/officeDocument/2006/relationships/header" Target="header20.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daff.gov.au/" TargetMode="External"/><Relationship Id="rId25" Type="http://schemas.openxmlformats.org/officeDocument/2006/relationships/header" Target="header6.xml"/><Relationship Id="rId33" Type="http://schemas.openxmlformats.org/officeDocument/2006/relationships/header" Target="header12.xml"/><Relationship Id="rId38" Type="http://schemas.openxmlformats.org/officeDocument/2006/relationships/header" Target="header14.xml"/><Relationship Id="rId46" Type="http://schemas.openxmlformats.org/officeDocument/2006/relationships/hyperlink" Target="http://www.comlaw.gov.au./" TargetMode="External"/><Relationship Id="rId20" Type="http://schemas.openxmlformats.org/officeDocument/2006/relationships/header" Target="header4.xml"/><Relationship Id="rId41" Type="http://schemas.openxmlformats.org/officeDocument/2006/relationships/hyperlink" Target="http://www.tropicos.org/Name/24900478" TargetMode="External"/><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reativecommons.org/licenses/by/3.0/au/legalcode" TargetMode="External"/><Relationship Id="rId23" Type="http://schemas.openxmlformats.org/officeDocument/2006/relationships/image" Target="media/image5.png"/><Relationship Id="rId28" Type="http://schemas.openxmlformats.org/officeDocument/2006/relationships/hyperlink" Target="http://www.daff.gov.au/ba/ira/process-handbook" TargetMode="External"/><Relationship Id="rId36" Type="http://schemas.openxmlformats.org/officeDocument/2006/relationships/image" Target="media/image10.png"/><Relationship Id="rId49" Type="http://schemas.openxmlformats.org/officeDocument/2006/relationships/header" Target="header2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128E58-0EC3-4BB7-A86D-C798AA4328C6}"/>
</file>

<file path=customXml/itemProps2.xml><?xml version="1.0" encoding="utf-8"?>
<ds:datastoreItem xmlns:ds="http://schemas.openxmlformats.org/officeDocument/2006/customXml" ds:itemID="{131A5670-890D-4848-AC92-26590BA7257C}"/>
</file>

<file path=customXml/itemProps3.xml><?xml version="1.0" encoding="utf-8"?>
<ds:datastoreItem xmlns:ds="http://schemas.openxmlformats.org/officeDocument/2006/customXml" ds:itemID="{5577B072-7368-4B6F-BAB2-3A88CD3FF781}"/>
</file>

<file path=customXml/itemProps4.xml><?xml version="1.0" encoding="utf-8"?>
<ds:datastoreItem xmlns:ds="http://schemas.openxmlformats.org/officeDocument/2006/customXml" ds:itemID="{3F0E6CD6-3329-4EB8-81F5-324C8260DE25}"/>
</file>

<file path=docProps/app.xml><?xml version="1.0" encoding="utf-8"?>
<Properties xmlns="http://schemas.openxmlformats.org/officeDocument/2006/extended-properties" xmlns:vt="http://schemas.openxmlformats.org/officeDocument/2006/docPropsVTypes">
  <Template>Normal.dotm</Template>
  <TotalTime>0</TotalTime>
  <Pages>103</Pages>
  <Words>47680</Words>
  <Characters>271780</Characters>
  <Application>Microsoft Office Word</Application>
  <DocSecurity>0</DocSecurity>
  <Lines>2264</Lines>
  <Paragraphs>637</Paragraphs>
  <ScaleCrop>false</ScaleCrop>
  <HeadingPairs>
    <vt:vector size="2" baseType="variant">
      <vt:variant>
        <vt:lpstr>Title</vt:lpstr>
      </vt:variant>
      <vt:variant>
        <vt:i4>1</vt:i4>
      </vt:variant>
    </vt:vector>
  </HeadingPairs>
  <TitlesOfParts>
    <vt:vector size="1" baseType="lpstr">
      <vt:lpstr>_</vt:lpstr>
    </vt:vector>
  </TitlesOfParts>
  <LinksUpToDate>false</LinksUpToDate>
  <CharactersWithSpaces>318823</CharactersWithSpaces>
  <SharedDoc>false</SharedDoc>
  <HyperlinkBase> </HyperlinkBase>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
  <cp:lastModifiedBy/>
  <cp:revision>1</cp:revision>
  <cp:lastPrinted>2014-06-10T23:50:00Z</cp:lastPrinted>
  <dcterms:created xsi:type="dcterms:W3CDTF">2015-11-03T05:00:00Z</dcterms:created>
  <dcterms:modified xsi:type="dcterms:W3CDTF">2015-11-03T05:00:00Z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