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7C006" w14:textId="2488AE9E" w:rsidR="00B21462" w:rsidRPr="0019672B" w:rsidRDefault="00566AED" w:rsidP="0019672B">
      <w:pPr>
        <w:pStyle w:val="Heading1"/>
      </w:pPr>
      <w:bookmarkStart w:id="0" w:name="_Toc430792309"/>
      <w:bookmarkStart w:id="1" w:name="_Toc430792452"/>
      <w:bookmarkStart w:id="2" w:name="_Toc304716595"/>
      <w:bookmarkStart w:id="3" w:name="_Toc431562257"/>
      <w:bookmarkStart w:id="4" w:name="_Toc431916230"/>
      <w:r w:rsidRPr="0019672B">
        <w:t>Biosecurity Import Risk Analysis Guidelines 201</w:t>
      </w:r>
      <w:r w:rsidR="00F849A6" w:rsidRPr="0019672B">
        <w:t>6</w:t>
      </w:r>
      <w:bookmarkEnd w:id="0"/>
      <w:bookmarkEnd w:id="1"/>
      <w:bookmarkEnd w:id="2"/>
      <w:bookmarkEnd w:id="3"/>
      <w:bookmarkEnd w:id="4"/>
    </w:p>
    <w:p w14:paraId="204E7F59" w14:textId="77777777" w:rsidR="0003507A" w:rsidRPr="0019672B" w:rsidRDefault="00301961" w:rsidP="0019672B">
      <w:pPr>
        <w:pStyle w:val="Subtitle"/>
      </w:pPr>
      <w:bookmarkStart w:id="5" w:name="_Toc430792310"/>
      <w:bookmarkStart w:id="6" w:name="_Toc430792453"/>
      <w:bookmarkStart w:id="7" w:name="_Toc304716596"/>
      <w:bookmarkStart w:id="8" w:name="_Toc431562258"/>
      <w:bookmarkStart w:id="9" w:name="_Toc431916231"/>
      <w:bookmarkStart w:id="10" w:name="_Toc432158923"/>
      <w:bookmarkStart w:id="11" w:name="_Toc432160914"/>
      <w:bookmarkStart w:id="12" w:name="_Toc432162291"/>
      <w:r w:rsidRPr="0019672B">
        <w:t>Managing biosecurity risks for imports into Australia</w:t>
      </w:r>
      <w:bookmarkEnd w:id="5"/>
      <w:bookmarkEnd w:id="6"/>
      <w:bookmarkEnd w:id="7"/>
      <w:bookmarkEnd w:id="8"/>
      <w:bookmarkEnd w:id="9"/>
      <w:bookmarkEnd w:id="10"/>
      <w:bookmarkEnd w:id="11"/>
      <w:bookmarkEnd w:id="12"/>
    </w:p>
    <w:p w14:paraId="7E7832A6" w14:textId="77777777" w:rsidR="002F17E3" w:rsidRPr="002F17E3" w:rsidRDefault="005F18A6" w:rsidP="00301961">
      <w:pPr>
        <w:pStyle w:val="AuthorOrganisationAffiliation"/>
        <w:tabs>
          <w:tab w:val="left" w:pos="7995"/>
        </w:tabs>
      </w:pPr>
      <w:r>
        <w:rPr>
          <w:noProof/>
          <w:lang w:eastAsia="en-AU"/>
        </w:rPr>
        <w:drawing>
          <wp:inline distT="0" distB="0" distL="0" distR="0" wp14:anchorId="76FDB766" wp14:editId="679C43A6">
            <wp:extent cx="5816595" cy="581659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16595" cy="5816595"/>
                    </a:xfrm>
                    <a:prstGeom prst="rect">
                      <a:avLst/>
                    </a:prstGeom>
                    <a:noFill/>
                    <a:ln w="9525">
                      <a:noFill/>
                      <a:miter lim="800000"/>
                      <a:headEnd/>
                      <a:tailEnd/>
                    </a:ln>
                  </pic:spPr>
                </pic:pic>
              </a:graphicData>
            </a:graphic>
          </wp:inline>
        </w:drawing>
      </w:r>
    </w:p>
    <w:p w14:paraId="44D77873" w14:textId="77777777" w:rsidR="003601ED" w:rsidRDefault="003601ED" w:rsidP="00FC5054">
      <w:pPr>
        <w:pStyle w:val="TableText"/>
        <w:rPr>
          <w:rFonts w:asciiTheme="majorHAnsi" w:hAnsiTheme="majorHAnsi"/>
          <w:sz w:val="22"/>
        </w:rPr>
        <w:sectPr w:rsidR="003601ED" w:rsidSect="00FC5054">
          <w:headerReference w:type="default" r:id="rId12"/>
          <w:footerReference w:type="default" r:id="rId13"/>
          <w:headerReference w:type="first" r:id="rId14"/>
          <w:pgSz w:w="11906" w:h="16838"/>
          <w:pgMar w:top="1418" w:right="1418" w:bottom="1418" w:left="1418" w:header="567" w:footer="283" w:gutter="0"/>
          <w:pgNumType w:start="1"/>
          <w:cols w:space="708"/>
          <w:titlePg/>
          <w:docGrid w:linePitch="360"/>
        </w:sectPr>
      </w:pPr>
    </w:p>
    <w:p w14:paraId="643C08C8" w14:textId="2A9FB2AD" w:rsidR="00FC5054" w:rsidRPr="00B4614E" w:rsidRDefault="00FC5054" w:rsidP="00D712B5">
      <w:r w:rsidRPr="00B4614E">
        <w:lastRenderedPageBreak/>
        <w:t>© Commonwealth of Australia 201</w:t>
      </w:r>
      <w:r w:rsidR="009D35C6">
        <w:t>6</w:t>
      </w:r>
    </w:p>
    <w:p w14:paraId="6E29D1DF" w14:textId="77777777" w:rsidR="00FC5054" w:rsidRPr="00761A41" w:rsidRDefault="00FC5054" w:rsidP="00D712B5">
      <w:pPr>
        <w:rPr>
          <w:rStyle w:val="Strong"/>
        </w:rPr>
      </w:pPr>
      <w:r w:rsidRPr="00761A41">
        <w:rPr>
          <w:rStyle w:val="Strong"/>
        </w:rPr>
        <w:t>Ownership of intellectual property rights</w:t>
      </w:r>
    </w:p>
    <w:p w14:paraId="55654375" w14:textId="77777777" w:rsidR="00FC5054" w:rsidRPr="00B4614E" w:rsidRDefault="00FC5054" w:rsidP="00D712B5">
      <w:r w:rsidRPr="00B4614E">
        <w:t>Unless otherwise noted, copyright (and any other intellectual property rights, if any) in this publication is owned by the Commonwealth of Australia (referred to as the Commonwealth).</w:t>
      </w:r>
    </w:p>
    <w:p w14:paraId="28D9CBA1" w14:textId="77777777" w:rsidR="00FC5054" w:rsidRPr="00D712B5" w:rsidRDefault="00FC5054" w:rsidP="00D712B5">
      <w:pPr>
        <w:rPr>
          <w:rStyle w:val="Strong"/>
        </w:rPr>
      </w:pPr>
      <w:proofErr w:type="gramStart"/>
      <w:r w:rsidRPr="00D712B5">
        <w:rPr>
          <w:rStyle w:val="Strong"/>
        </w:rPr>
        <w:t>Creative Commons</w:t>
      </w:r>
      <w:proofErr w:type="gramEnd"/>
      <w:r w:rsidRPr="00D712B5">
        <w:rPr>
          <w:rStyle w:val="Strong"/>
        </w:rPr>
        <w:t xml:space="preserve"> licence</w:t>
      </w:r>
    </w:p>
    <w:p w14:paraId="46659716" w14:textId="60B0D82F" w:rsidR="00FC5054" w:rsidRPr="00B4614E" w:rsidRDefault="00FC5054" w:rsidP="00D712B5">
      <w:r w:rsidRPr="00B4614E">
        <w:t xml:space="preserve">All material in this publication is licensed under a Creative Commons Attribution 3.0 Australia Licence, </w:t>
      </w:r>
      <w:r w:rsidR="00321731">
        <w:t>except</w:t>
      </w:r>
      <w:r w:rsidR="00321731" w:rsidRPr="00B4614E">
        <w:t xml:space="preserve"> </w:t>
      </w:r>
      <w:r w:rsidRPr="00B4614E">
        <w:t>for content supplied by third parties, logos and the Commonwealth Coat of Arms.</w:t>
      </w:r>
    </w:p>
    <w:p w14:paraId="4261F84A" w14:textId="77777777" w:rsidR="007E17FE" w:rsidRPr="00B4614E" w:rsidRDefault="007E17FE" w:rsidP="00D712B5">
      <w:r w:rsidRPr="00B4614E">
        <w:rPr>
          <w:noProof/>
          <w:lang w:eastAsia="en-AU"/>
        </w:rPr>
        <w:drawing>
          <wp:inline distT="0" distB="0" distL="0" distR="0" wp14:anchorId="697DD805" wp14:editId="1BD529C9">
            <wp:extent cx="728345" cy="254000"/>
            <wp:effectExtent l="19050" t="0" r="0" b="0"/>
            <wp:docPr id="4" name="Picture 1" descr="Description: 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west merryn\Local Settings\Temporary Internet Files\Content.Word\by.png"/>
                    <pic:cNvPicPr>
                      <a:picLocks noChangeAspect="1" noChangeArrowheads="1"/>
                    </pic:cNvPicPr>
                  </pic:nvPicPr>
                  <pic:blipFill>
                    <a:blip r:embed="rId15" cstate="print"/>
                    <a:srcRect/>
                    <a:stretch>
                      <a:fillRect/>
                    </a:stretch>
                  </pic:blipFill>
                  <pic:spPr bwMode="auto">
                    <a:xfrm>
                      <a:off x="0" y="0"/>
                      <a:ext cx="728345" cy="254000"/>
                    </a:xfrm>
                    <a:prstGeom prst="rect">
                      <a:avLst/>
                    </a:prstGeom>
                    <a:noFill/>
                    <a:ln w="9525">
                      <a:noFill/>
                      <a:miter lim="800000"/>
                      <a:headEnd/>
                      <a:tailEnd/>
                    </a:ln>
                  </pic:spPr>
                </pic:pic>
              </a:graphicData>
            </a:graphic>
          </wp:inline>
        </w:drawing>
      </w:r>
    </w:p>
    <w:p w14:paraId="437F0BCB" w14:textId="3206D27B" w:rsidR="00FC5054" w:rsidRPr="00B4614E" w:rsidRDefault="003601ED" w:rsidP="00D712B5">
      <w:r>
        <w:t xml:space="preserve">The </w:t>
      </w:r>
      <w:r w:rsidR="00FC5054" w:rsidRPr="00B4614E">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6" w:history="1">
        <w:r w:rsidR="00FC5054" w:rsidRPr="00B4614E">
          <w:rPr>
            <w:rStyle w:val="Hyperlink"/>
            <w:rFonts w:asciiTheme="majorHAnsi" w:hAnsiTheme="majorHAnsi"/>
          </w:rPr>
          <w:t>creativecommons.org/licenses/by/3.0/au/</w:t>
        </w:r>
        <w:proofErr w:type="spellStart"/>
        <w:r w:rsidR="00FC5054" w:rsidRPr="00B4614E">
          <w:rPr>
            <w:rStyle w:val="Hyperlink"/>
            <w:rFonts w:asciiTheme="majorHAnsi" w:hAnsiTheme="majorHAnsi"/>
          </w:rPr>
          <w:t>deed.en</w:t>
        </w:r>
        <w:proofErr w:type="spellEnd"/>
      </w:hyperlink>
      <w:r w:rsidR="00FC5054" w:rsidRPr="00B4614E">
        <w:t xml:space="preserve">. The full licence terms are available from </w:t>
      </w:r>
      <w:hyperlink r:id="rId17" w:history="1">
        <w:r w:rsidR="00FC5054" w:rsidRPr="00B4614E">
          <w:rPr>
            <w:rStyle w:val="Hyperlink"/>
            <w:rFonts w:asciiTheme="majorHAnsi" w:hAnsiTheme="majorHAnsi"/>
          </w:rPr>
          <w:t>creativecommons.org/licenses/by/3.0/au/</w:t>
        </w:r>
        <w:proofErr w:type="spellStart"/>
        <w:r w:rsidR="00FC5054" w:rsidRPr="00B4614E">
          <w:rPr>
            <w:rStyle w:val="Hyperlink"/>
            <w:rFonts w:asciiTheme="majorHAnsi" w:hAnsiTheme="majorHAnsi"/>
          </w:rPr>
          <w:t>legalcode</w:t>
        </w:r>
        <w:proofErr w:type="spellEnd"/>
      </w:hyperlink>
      <w:r w:rsidR="00FC5054" w:rsidRPr="00B4614E">
        <w:t>.</w:t>
      </w:r>
    </w:p>
    <w:p w14:paraId="26AD5827" w14:textId="01957BE4" w:rsidR="00321731" w:rsidRPr="00B4614E" w:rsidRDefault="00321731" w:rsidP="00D712B5">
      <w:r>
        <w:t>I</w:t>
      </w:r>
      <w:r w:rsidRPr="00B4614E">
        <w:t xml:space="preserve">nquiries </w:t>
      </w:r>
      <w:r>
        <w:t>about</w:t>
      </w:r>
      <w:r w:rsidRPr="00B4614E">
        <w:t xml:space="preserve"> the licence and any use of this document should be sent to </w:t>
      </w:r>
      <w:hyperlink r:id="rId18" w:history="1">
        <w:r w:rsidRPr="00B4614E">
          <w:rPr>
            <w:rStyle w:val="Hyperlink"/>
            <w:rFonts w:asciiTheme="majorHAnsi" w:hAnsiTheme="majorHAnsi"/>
          </w:rPr>
          <w:t>copyright@agriculture.gov.au</w:t>
        </w:r>
      </w:hyperlink>
      <w:r w:rsidRPr="00B4614E">
        <w:t>.</w:t>
      </w:r>
    </w:p>
    <w:p w14:paraId="6650F0A5" w14:textId="77777777" w:rsidR="00FC5054" w:rsidRPr="00D712B5" w:rsidRDefault="00FC5054" w:rsidP="00D712B5">
      <w:pPr>
        <w:rPr>
          <w:rStyle w:val="Strong"/>
        </w:rPr>
      </w:pPr>
      <w:r w:rsidRPr="00D712B5">
        <w:rPr>
          <w:rStyle w:val="Strong"/>
        </w:rPr>
        <w:t>Cataloguing data</w:t>
      </w:r>
    </w:p>
    <w:p w14:paraId="4A2CC7AD" w14:textId="097F23D2" w:rsidR="00FC5054" w:rsidRDefault="00DC191F" w:rsidP="00D712B5">
      <w:r>
        <w:t>This</w:t>
      </w:r>
      <w:r w:rsidR="00321731" w:rsidRPr="00321731">
        <w:t xml:space="preserve"> publication (and any material sourced from it) should be attributed as</w:t>
      </w:r>
      <w:r w:rsidR="00321731">
        <w:t xml:space="preserve">: </w:t>
      </w:r>
      <w:r w:rsidR="00FC5054" w:rsidRPr="00B4614E">
        <w:t>Department of Agriculture and Water Resources 201</w:t>
      </w:r>
      <w:r w:rsidR="00661F44">
        <w:t>6</w:t>
      </w:r>
      <w:r w:rsidR="00FC5054" w:rsidRPr="00B4614E">
        <w:t xml:space="preserve">, </w:t>
      </w:r>
      <w:r w:rsidR="00590746">
        <w:rPr>
          <w:i/>
        </w:rPr>
        <w:t>Biosecurity I</w:t>
      </w:r>
      <w:r w:rsidR="00FC5054" w:rsidRPr="004A21AA">
        <w:rPr>
          <w:i/>
        </w:rPr>
        <w:t xml:space="preserve">mport </w:t>
      </w:r>
      <w:r w:rsidR="00590746">
        <w:rPr>
          <w:i/>
        </w:rPr>
        <w:t>Risk Analysis G</w:t>
      </w:r>
      <w:r w:rsidR="00FC5054" w:rsidRPr="004A21AA">
        <w:rPr>
          <w:i/>
        </w:rPr>
        <w:t>uidelines</w:t>
      </w:r>
      <w:r w:rsidR="000B3563" w:rsidRPr="004A21AA">
        <w:rPr>
          <w:i/>
        </w:rPr>
        <w:t xml:space="preserve"> 2016: managing biosecurity risks for imports into Australia</w:t>
      </w:r>
      <w:r w:rsidR="00FC5054" w:rsidRPr="004A21AA">
        <w:t>,</w:t>
      </w:r>
      <w:r w:rsidR="00FC5054" w:rsidRPr="00B4614E">
        <w:t xml:space="preserve"> Department of Agriculture and Water Resources, Canberra.</w:t>
      </w:r>
    </w:p>
    <w:p w14:paraId="000A6F39" w14:textId="0A057501" w:rsidR="00FC5054" w:rsidRPr="00E22A13" w:rsidRDefault="00FC5054" w:rsidP="00E22A13">
      <w:pPr>
        <w:rPr>
          <w:rFonts w:cs="Times New Roman"/>
          <w:color w:val="1F497D"/>
        </w:rPr>
      </w:pPr>
      <w:r w:rsidRPr="00B4614E">
        <w:t xml:space="preserve">ISBN </w:t>
      </w:r>
      <w:r w:rsidR="00E22A13" w:rsidRPr="00E22A13">
        <w:t xml:space="preserve">978-1-7600-3118-3 </w:t>
      </w:r>
      <w:r w:rsidRPr="00B4614E">
        <w:t>(online)</w:t>
      </w:r>
    </w:p>
    <w:p w14:paraId="2B59990D" w14:textId="0D005C69" w:rsidR="00FC5054" w:rsidRPr="00B4614E" w:rsidRDefault="000B3563" w:rsidP="00D712B5">
      <w:r w:rsidRPr="00590746">
        <w:t>Th</w:t>
      </w:r>
      <w:r w:rsidR="00321731">
        <w:t>is publication is</w:t>
      </w:r>
      <w:r w:rsidR="00FC5054" w:rsidRPr="00B4614E">
        <w:t xml:space="preserve"> available at</w:t>
      </w:r>
      <w:r w:rsidR="00CF000C">
        <w:t xml:space="preserve"> </w:t>
      </w:r>
      <w:r w:rsidR="00FC5054" w:rsidRPr="00B4614E">
        <w:t xml:space="preserve">agriculture.gov.au. </w:t>
      </w:r>
    </w:p>
    <w:p w14:paraId="1689D6AC" w14:textId="514C1673" w:rsidR="003601ED" w:rsidRPr="00D712B5" w:rsidRDefault="003601ED" w:rsidP="00D712B5">
      <w:pPr>
        <w:rPr>
          <w:rStyle w:val="Strong"/>
        </w:rPr>
      </w:pPr>
      <w:r w:rsidRPr="00D712B5">
        <w:rPr>
          <w:rStyle w:val="Strong"/>
        </w:rPr>
        <w:t>Contact</w:t>
      </w:r>
    </w:p>
    <w:p w14:paraId="27515C2C" w14:textId="77777777" w:rsidR="00FC5054" w:rsidRPr="00B4614E" w:rsidRDefault="00FC5054" w:rsidP="00D712B5">
      <w:r w:rsidRPr="00B4614E">
        <w:t>Department of Agriculture and Water Resources</w:t>
      </w:r>
    </w:p>
    <w:p w14:paraId="6D0D3777" w14:textId="1D5A5AE4" w:rsidR="00FC5054" w:rsidRPr="00B4614E" w:rsidRDefault="00FC5054" w:rsidP="00D712B5">
      <w:r w:rsidRPr="00B4614E">
        <w:t>Postal address GPO Box</w:t>
      </w:r>
      <w:r w:rsidR="003601ED">
        <w:t xml:space="preserve"> 858 Canberra ACT 2601</w:t>
      </w:r>
      <w:r w:rsidR="003601ED">
        <w:br/>
        <w:t>Switchboard +61 2 6272 2000</w:t>
      </w:r>
      <w:r w:rsidR="003601ED">
        <w:br/>
        <w:t>Facsimile +61 2 6272 2001</w:t>
      </w:r>
      <w:r w:rsidR="003601ED">
        <w:br/>
      </w:r>
      <w:r w:rsidRPr="00B4614E">
        <w:t xml:space="preserve">Web </w:t>
      </w:r>
      <w:hyperlink r:id="rId19" w:history="1">
        <w:r w:rsidRPr="00B4614E">
          <w:rPr>
            <w:rStyle w:val="Hyperlink"/>
            <w:rFonts w:asciiTheme="majorHAnsi" w:hAnsiTheme="majorHAnsi"/>
          </w:rPr>
          <w:t>agriculture.gov.au</w:t>
        </w:r>
      </w:hyperlink>
    </w:p>
    <w:p w14:paraId="7004656F" w14:textId="0B3C8CDE" w:rsidR="007E17FE" w:rsidRPr="00616892" w:rsidRDefault="007E17FE" w:rsidP="00D712B5">
      <w:r w:rsidRPr="00616892">
        <w:t xml:space="preserve">The Australian Government acting through the Department of Agriculture </w:t>
      </w:r>
      <w:r w:rsidR="00324398" w:rsidRPr="00616892">
        <w:t xml:space="preserve">and Water Resources </w:t>
      </w:r>
      <w:r w:rsidRPr="00616892">
        <w:t>has exercised due care and skill in the preparation and compilation of the information and data in this publication. Notwithstanding, the Department of Agriculture</w:t>
      </w:r>
      <w:r w:rsidR="00324398" w:rsidRPr="00616892">
        <w:t xml:space="preserve"> and Water Resources</w:t>
      </w:r>
      <w:r w:rsidRPr="00616892">
        <w:t xml:space="preserve">, its employees and </w:t>
      </w:r>
      <w:r w:rsidR="003601ED">
        <w:t xml:space="preserve">its </w:t>
      </w:r>
      <w:r w:rsidRPr="00616892">
        <w:t>advisers disclaim all liability, including liability for negligence, for any loss, damage, injury, expense or cost incurred by any person as a result of accessing, using or relying upon any of the information or data in this publication to the maximum extent permitted by law.</w:t>
      </w:r>
    </w:p>
    <w:bookmarkStart w:id="13" w:name="_Toc409769076" w:displacedByCustomXml="next"/>
    <w:sdt>
      <w:sdtPr>
        <w:rPr>
          <w:rFonts w:ascii="Cambria" w:eastAsiaTheme="minorHAnsi" w:hAnsi="Cambria" w:cs="Times New Roman"/>
          <w:bCs w:val="0"/>
          <w:noProof/>
          <w:color w:val="auto"/>
          <w:sz w:val="22"/>
          <w:szCs w:val="22"/>
          <w:lang w:eastAsia="en-US"/>
        </w:rPr>
        <w:id w:val="1798648653"/>
        <w:docPartObj>
          <w:docPartGallery w:val="Table of Contents"/>
          <w:docPartUnique/>
        </w:docPartObj>
      </w:sdtPr>
      <w:sdtEndPr>
        <w:rPr>
          <w:rFonts w:cstheme="minorBidi"/>
          <w:noProof w:val="0"/>
        </w:rPr>
      </w:sdtEndPr>
      <w:sdtContent>
        <w:p w14:paraId="57BDFC42" w14:textId="77777777" w:rsidR="00711528" w:rsidRDefault="00782CE2" w:rsidP="00D36B48">
          <w:pPr>
            <w:pStyle w:val="TOCHeading"/>
            <w:rPr>
              <w:noProof/>
            </w:rPr>
          </w:pPr>
          <w:r w:rsidRPr="00D36B48">
            <w:rPr>
              <w:rStyle w:val="Heading1Char"/>
              <w:rFonts w:eastAsiaTheme="minorEastAsia" w:cstheme="minorBidi"/>
              <w:b w:val="0"/>
              <w:spacing w:val="0"/>
              <w:kern w:val="0"/>
              <w:szCs w:val="28"/>
              <w:lang w:eastAsia="ja-JP"/>
            </w:rPr>
            <w:t>Contents</w:t>
          </w:r>
          <w:r w:rsidR="00D36B48">
            <w:rPr>
              <w:rStyle w:val="Heading1Char"/>
            </w:rPr>
            <w:fldChar w:fldCharType="begin"/>
          </w:r>
          <w:r w:rsidR="00D36B48">
            <w:rPr>
              <w:rStyle w:val="Heading1Char"/>
            </w:rPr>
            <w:instrText xml:space="preserve"> TOC \h \z \t "Heading 2,1,Heading 3,2,Heading 4,3" </w:instrText>
          </w:r>
          <w:r w:rsidR="00D36B48">
            <w:rPr>
              <w:rStyle w:val="Heading1Char"/>
            </w:rPr>
            <w:fldChar w:fldCharType="separate"/>
          </w:r>
        </w:p>
        <w:p w14:paraId="2E835A4D" w14:textId="77777777" w:rsidR="00711528" w:rsidRDefault="00AD068A">
          <w:pPr>
            <w:pStyle w:val="TOC1"/>
            <w:rPr>
              <w:rFonts w:asciiTheme="minorHAnsi" w:eastAsiaTheme="minorEastAsia" w:hAnsiTheme="minorHAnsi"/>
              <w:b w:val="0"/>
              <w:lang w:eastAsia="en-AU"/>
            </w:rPr>
          </w:pPr>
          <w:hyperlink w:anchor="_Toc452647293" w:history="1">
            <w:r w:rsidR="00711528" w:rsidRPr="00112B7F">
              <w:rPr>
                <w:rStyle w:val="Hyperlink"/>
              </w:rPr>
              <w:t>About these guidelines</w:t>
            </w:r>
            <w:r w:rsidR="00711528">
              <w:rPr>
                <w:webHidden/>
              </w:rPr>
              <w:tab/>
            </w:r>
            <w:r w:rsidR="00711528">
              <w:rPr>
                <w:webHidden/>
              </w:rPr>
              <w:fldChar w:fldCharType="begin"/>
            </w:r>
            <w:r w:rsidR="00711528">
              <w:rPr>
                <w:webHidden/>
              </w:rPr>
              <w:instrText xml:space="preserve"> PAGEREF _Toc452647293 \h </w:instrText>
            </w:r>
            <w:r w:rsidR="00711528">
              <w:rPr>
                <w:webHidden/>
              </w:rPr>
            </w:r>
            <w:r w:rsidR="00711528">
              <w:rPr>
                <w:webHidden/>
              </w:rPr>
              <w:fldChar w:fldCharType="separate"/>
            </w:r>
            <w:r>
              <w:rPr>
                <w:webHidden/>
              </w:rPr>
              <w:t>v</w:t>
            </w:r>
            <w:r w:rsidR="00711528">
              <w:rPr>
                <w:webHidden/>
              </w:rPr>
              <w:fldChar w:fldCharType="end"/>
            </w:r>
          </w:hyperlink>
        </w:p>
        <w:p w14:paraId="002C0C26" w14:textId="77777777" w:rsidR="00711528" w:rsidRDefault="00AD068A">
          <w:pPr>
            <w:pStyle w:val="TOC1"/>
            <w:rPr>
              <w:rFonts w:asciiTheme="minorHAnsi" w:eastAsiaTheme="minorEastAsia" w:hAnsiTheme="minorHAnsi"/>
              <w:b w:val="0"/>
              <w:lang w:eastAsia="en-AU"/>
            </w:rPr>
          </w:pPr>
          <w:hyperlink w:anchor="_Toc452647294" w:history="1">
            <w:r w:rsidR="00711528" w:rsidRPr="00112B7F">
              <w:rPr>
                <w:rStyle w:val="Hyperlink"/>
              </w:rPr>
              <w:t>1</w:t>
            </w:r>
            <w:r w:rsidR="00711528">
              <w:rPr>
                <w:rFonts w:asciiTheme="minorHAnsi" w:eastAsiaTheme="minorEastAsia" w:hAnsiTheme="minorHAnsi"/>
                <w:b w:val="0"/>
                <w:lang w:eastAsia="en-AU"/>
              </w:rPr>
              <w:tab/>
            </w:r>
            <w:r w:rsidR="00711528" w:rsidRPr="00112B7F">
              <w:rPr>
                <w:rStyle w:val="Hyperlink"/>
              </w:rPr>
              <w:t>Introduction</w:t>
            </w:r>
            <w:r w:rsidR="00711528">
              <w:rPr>
                <w:webHidden/>
              </w:rPr>
              <w:tab/>
            </w:r>
            <w:r w:rsidR="00711528">
              <w:rPr>
                <w:webHidden/>
              </w:rPr>
              <w:fldChar w:fldCharType="begin"/>
            </w:r>
            <w:r w:rsidR="00711528">
              <w:rPr>
                <w:webHidden/>
              </w:rPr>
              <w:instrText xml:space="preserve"> PAGEREF _Toc452647294 \h </w:instrText>
            </w:r>
            <w:r w:rsidR="00711528">
              <w:rPr>
                <w:webHidden/>
              </w:rPr>
            </w:r>
            <w:r w:rsidR="00711528">
              <w:rPr>
                <w:webHidden/>
              </w:rPr>
              <w:fldChar w:fldCharType="separate"/>
            </w:r>
            <w:r>
              <w:rPr>
                <w:webHidden/>
              </w:rPr>
              <w:t>1</w:t>
            </w:r>
            <w:r w:rsidR="00711528">
              <w:rPr>
                <w:webHidden/>
              </w:rPr>
              <w:fldChar w:fldCharType="end"/>
            </w:r>
          </w:hyperlink>
        </w:p>
        <w:p w14:paraId="34DACEEB" w14:textId="77777777" w:rsidR="00711528" w:rsidRDefault="00AD068A">
          <w:pPr>
            <w:pStyle w:val="TOC1"/>
            <w:rPr>
              <w:rFonts w:asciiTheme="minorHAnsi" w:eastAsiaTheme="minorEastAsia" w:hAnsiTheme="minorHAnsi"/>
              <w:b w:val="0"/>
              <w:lang w:eastAsia="en-AU"/>
            </w:rPr>
          </w:pPr>
          <w:hyperlink w:anchor="_Toc452647295" w:history="1">
            <w:r w:rsidR="00711528" w:rsidRPr="00112B7F">
              <w:rPr>
                <w:rStyle w:val="Hyperlink"/>
              </w:rPr>
              <w:t>2</w:t>
            </w:r>
            <w:r w:rsidR="00711528">
              <w:rPr>
                <w:rFonts w:asciiTheme="minorHAnsi" w:eastAsiaTheme="minorEastAsia" w:hAnsiTheme="minorHAnsi"/>
                <w:b w:val="0"/>
                <w:lang w:eastAsia="en-AU"/>
              </w:rPr>
              <w:tab/>
            </w:r>
            <w:r w:rsidR="00711528" w:rsidRPr="00112B7F">
              <w:rPr>
                <w:rStyle w:val="Hyperlink"/>
              </w:rPr>
              <w:t>Biosecurity risks and Australia’s biosecurity framework</w:t>
            </w:r>
            <w:r w:rsidR="00711528">
              <w:rPr>
                <w:webHidden/>
              </w:rPr>
              <w:tab/>
            </w:r>
            <w:r w:rsidR="00711528">
              <w:rPr>
                <w:webHidden/>
              </w:rPr>
              <w:fldChar w:fldCharType="begin"/>
            </w:r>
            <w:r w:rsidR="00711528">
              <w:rPr>
                <w:webHidden/>
              </w:rPr>
              <w:instrText xml:space="preserve"> PAGEREF _Toc452647295 \h </w:instrText>
            </w:r>
            <w:r w:rsidR="00711528">
              <w:rPr>
                <w:webHidden/>
              </w:rPr>
            </w:r>
            <w:r w:rsidR="00711528">
              <w:rPr>
                <w:webHidden/>
              </w:rPr>
              <w:fldChar w:fldCharType="separate"/>
            </w:r>
            <w:r>
              <w:rPr>
                <w:webHidden/>
              </w:rPr>
              <w:t>2</w:t>
            </w:r>
            <w:r w:rsidR="00711528">
              <w:rPr>
                <w:webHidden/>
              </w:rPr>
              <w:fldChar w:fldCharType="end"/>
            </w:r>
          </w:hyperlink>
        </w:p>
        <w:p w14:paraId="4940E14B" w14:textId="77777777" w:rsidR="00711528" w:rsidRDefault="00AD068A">
          <w:pPr>
            <w:pStyle w:val="TOC2"/>
            <w:rPr>
              <w:rFonts w:asciiTheme="minorHAnsi" w:eastAsiaTheme="minorEastAsia" w:hAnsiTheme="minorHAnsi"/>
              <w:lang w:eastAsia="en-AU"/>
            </w:rPr>
          </w:pPr>
          <w:hyperlink w:anchor="_Toc452647296" w:history="1">
            <w:r w:rsidR="00711528" w:rsidRPr="00112B7F">
              <w:rPr>
                <w:rStyle w:val="Hyperlink"/>
              </w:rPr>
              <w:t>Biosecurity risks</w:t>
            </w:r>
            <w:r w:rsidR="00711528">
              <w:rPr>
                <w:webHidden/>
              </w:rPr>
              <w:tab/>
            </w:r>
            <w:r w:rsidR="00711528">
              <w:rPr>
                <w:webHidden/>
              </w:rPr>
              <w:fldChar w:fldCharType="begin"/>
            </w:r>
            <w:r w:rsidR="00711528">
              <w:rPr>
                <w:webHidden/>
              </w:rPr>
              <w:instrText xml:space="preserve"> PAGEREF _Toc452647296 \h </w:instrText>
            </w:r>
            <w:r w:rsidR="00711528">
              <w:rPr>
                <w:webHidden/>
              </w:rPr>
            </w:r>
            <w:r w:rsidR="00711528">
              <w:rPr>
                <w:webHidden/>
              </w:rPr>
              <w:fldChar w:fldCharType="separate"/>
            </w:r>
            <w:r>
              <w:rPr>
                <w:webHidden/>
              </w:rPr>
              <w:t>2</w:t>
            </w:r>
            <w:r w:rsidR="00711528">
              <w:rPr>
                <w:webHidden/>
              </w:rPr>
              <w:fldChar w:fldCharType="end"/>
            </w:r>
          </w:hyperlink>
        </w:p>
        <w:p w14:paraId="590FCCE4" w14:textId="77777777" w:rsidR="00711528" w:rsidRDefault="00AD068A">
          <w:pPr>
            <w:pStyle w:val="TOC2"/>
            <w:rPr>
              <w:rFonts w:asciiTheme="minorHAnsi" w:eastAsiaTheme="minorEastAsia" w:hAnsiTheme="minorHAnsi"/>
              <w:lang w:eastAsia="en-AU"/>
            </w:rPr>
          </w:pPr>
          <w:hyperlink w:anchor="_Toc452647297" w:history="1">
            <w:r w:rsidR="00711528" w:rsidRPr="00112B7F">
              <w:rPr>
                <w:rStyle w:val="Hyperlink"/>
              </w:rPr>
              <w:t>BIRA framework</w:t>
            </w:r>
            <w:r w:rsidR="00711528">
              <w:rPr>
                <w:webHidden/>
              </w:rPr>
              <w:tab/>
            </w:r>
            <w:r w:rsidR="00711528">
              <w:rPr>
                <w:webHidden/>
              </w:rPr>
              <w:fldChar w:fldCharType="begin"/>
            </w:r>
            <w:r w:rsidR="00711528">
              <w:rPr>
                <w:webHidden/>
              </w:rPr>
              <w:instrText xml:space="preserve"> PAGEREF _Toc452647297 \h </w:instrText>
            </w:r>
            <w:r w:rsidR="00711528">
              <w:rPr>
                <w:webHidden/>
              </w:rPr>
            </w:r>
            <w:r w:rsidR="00711528">
              <w:rPr>
                <w:webHidden/>
              </w:rPr>
              <w:fldChar w:fldCharType="separate"/>
            </w:r>
            <w:r>
              <w:rPr>
                <w:webHidden/>
              </w:rPr>
              <w:t>2</w:t>
            </w:r>
            <w:r w:rsidR="00711528">
              <w:rPr>
                <w:webHidden/>
              </w:rPr>
              <w:fldChar w:fldCharType="end"/>
            </w:r>
          </w:hyperlink>
        </w:p>
        <w:p w14:paraId="4E342E14" w14:textId="77777777" w:rsidR="00711528" w:rsidRDefault="00AD068A">
          <w:pPr>
            <w:pStyle w:val="TOC3"/>
            <w:rPr>
              <w:rFonts w:asciiTheme="minorHAnsi" w:eastAsiaTheme="minorEastAsia" w:hAnsiTheme="minorHAnsi"/>
              <w:lang w:eastAsia="en-AU"/>
            </w:rPr>
          </w:pPr>
          <w:hyperlink w:anchor="_Toc452647298" w:history="1">
            <w:r w:rsidR="00711528" w:rsidRPr="00112B7F">
              <w:rPr>
                <w:rStyle w:val="Hyperlink"/>
              </w:rPr>
              <w:t>Australia’s biosecurity legislation</w:t>
            </w:r>
            <w:r w:rsidR="00711528">
              <w:rPr>
                <w:webHidden/>
              </w:rPr>
              <w:tab/>
            </w:r>
            <w:r w:rsidR="00711528">
              <w:rPr>
                <w:webHidden/>
              </w:rPr>
              <w:fldChar w:fldCharType="begin"/>
            </w:r>
            <w:r w:rsidR="00711528">
              <w:rPr>
                <w:webHidden/>
              </w:rPr>
              <w:instrText xml:space="preserve"> PAGEREF _Toc452647298 \h </w:instrText>
            </w:r>
            <w:r w:rsidR="00711528">
              <w:rPr>
                <w:webHidden/>
              </w:rPr>
            </w:r>
            <w:r w:rsidR="00711528">
              <w:rPr>
                <w:webHidden/>
              </w:rPr>
              <w:fldChar w:fldCharType="separate"/>
            </w:r>
            <w:r>
              <w:rPr>
                <w:webHidden/>
              </w:rPr>
              <w:t>2</w:t>
            </w:r>
            <w:r w:rsidR="00711528">
              <w:rPr>
                <w:webHidden/>
              </w:rPr>
              <w:fldChar w:fldCharType="end"/>
            </w:r>
          </w:hyperlink>
        </w:p>
        <w:p w14:paraId="42D89AA5" w14:textId="77777777" w:rsidR="00711528" w:rsidRDefault="00AD068A">
          <w:pPr>
            <w:pStyle w:val="TOC3"/>
            <w:rPr>
              <w:rFonts w:asciiTheme="minorHAnsi" w:eastAsiaTheme="minorEastAsia" w:hAnsiTheme="minorHAnsi"/>
              <w:lang w:eastAsia="en-AU"/>
            </w:rPr>
          </w:pPr>
          <w:hyperlink w:anchor="_Toc452647299" w:history="1">
            <w:r w:rsidR="00711528" w:rsidRPr="00112B7F">
              <w:rPr>
                <w:rStyle w:val="Hyperlink"/>
              </w:rPr>
              <w:t>Administrative documents</w:t>
            </w:r>
            <w:r w:rsidR="00711528">
              <w:rPr>
                <w:webHidden/>
              </w:rPr>
              <w:tab/>
            </w:r>
            <w:r w:rsidR="00711528">
              <w:rPr>
                <w:webHidden/>
              </w:rPr>
              <w:fldChar w:fldCharType="begin"/>
            </w:r>
            <w:r w:rsidR="00711528">
              <w:rPr>
                <w:webHidden/>
              </w:rPr>
              <w:instrText xml:space="preserve"> PAGEREF _Toc452647299 \h </w:instrText>
            </w:r>
            <w:r w:rsidR="00711528">
              <w:rPr>
                <w:webHidden/>
              </w:rPr>
            </w:r>
            <w:r w:rsidR="00711528">
              <w:rPr>
                <w:webHidden/>
              </w:rPr>
              <w:fldChar w:fldCharType="separate"/>
            </w:r>
            <w:r>
              <w:rPr>
                <w:webHidden/>
              </w:rPr>
              <w:t>3</w:t>
            </w:r>
            <w:r w:rsidR="00711528">
              <w:rPr>
                <w:webHidden/>
              </w:rPr>
              <w:fldChar w:fldCharType="end"/>
            </w:r>
          </w:hyperlink>
        </w:p>
        <w:p w14:paraId="0AB17C91" w14:textId="77777777" w:rsidR="00711528" w:rsidRDefault="00AD068A">
          <w:pPr>
            <w:pStyle w:val="TOC3"/>
            <w:rPr>
              <w:rFonts w:asciiTheme="minorHAnsi" w:eastAsiaTheme="minorEastAsia" w:hAnsiTheme="minorHAnsi"/>
              <w:lang w:eastAsia="en-AU"/>
            </w:rPr>
          </w:pPr>
          <w:hyperlink w:anchor="_Toc452647300" w:history="1">
            <w:r w:rsidR="00711528" w:rsidRPr="00112B7F">
              <w:rPr>
                <w:rStyle w:val="Hyperlink"/>
              </w:rPr>
              <w:t>International agreements and standards</w:t>
            </w:r>
            <w:r w:rsidR="00711528">
              <w:rPr>
                <w:webHidden/>
              </w:rPr>
              <w:tab/>
            </w:r>
            <w:r w:rsidR="00711528">
              <w:rPr>
                <w:webHidden/>
              </w:rPr>
              <w:fldChar w:fldCharType="begin"/>
            </w:r>
            <w:r w:rsidR="00711528">
              <w:rPr>
                <w:webHidden/>
              </w:rPr>
              <w:instrText xml:space="preserve"> PAGEREF _Toc452647300 \h </w:instrText>
            </w:r>
            <w:r w:rsidR="00711528">
              <w:rPr>
                <w:webHidden/>
              </w:rPr>
            </w:r>
            <w:r w:rsidR="00711528">
              <w:rPr>
                <w:webHidden/>
              </w:rPr>
              <w:fldChar w:fldCharType="separate"/>
            </w:r>
            <w:r>
              <w:rPr>
                <w:webHidden/>
              </w:rPr>
              <w:t>3</w:t>
            </w:r>
            <w:r w:rsidR="00711528">
              <w:rPr>
                <w:webHidden/>
              </w:rPr>
              <w:fldChar w:fldCharType="end"/>
            </w:r>
          </w:hyperlink>
        </w:p>
        <w:p w14:paraId="56048B3C" w14:textId="77777777" w:rsidR="00711528" w:rsidRDefault="00AD068A">
          <w:pPr>
            <w:pStyle w:val="TOC1"/>
            <w:rPr>
              <w:rFonts w:asciiTheme="minorHAnsi" w:eastAsiaTheme="minorEastAsia" w:hAnsiTheme="minorHAnsi"/>
              <w:b w:val="0"/>
              <w:lang w:eastAsia="en-AU"/>
            </w:rPr>
          </w:pPr>
          <w:hyperlink w:anchor="_Toc452647301" w:history="1">
            <w:r w:rsidR="00711528" w:rsidRPr="00112B7F">
              <w:rPr>
                <w:rStyle w:val="Hyperlink"/>
              </w:rPr>
              <w:t>3</w:t>
            </w:r>
            <w:r w:rsidR="00711528">
              <w:rPr>
                <w:rFonts w:asciiTheme="minorHAnsi" w:eastAsiaTheme="minorEastAsia" w:hAnsiTheme="minorHAnsi"/>
                <w:b w:val="0"/>
                <w:lang w:eastAsia="en-AU"/>
              </w:rPr>
              <w:tab/>
            </w:r>
            <w:r w:rsidR="00711528" w:rsidRPr="00112B7F">
              <w:rPr>
                <w:rStyle w:val="Hyperlink"/>
              </w:rPr>
              <w:t>Australia’s biosecurity import risk analysis process</w:t>
            </w:r>
            <w:r w:rsidR="00711528">
              <w:rPr>
                <w:webHidden/>
              </w:rPr>
              <w:tab/>
            </w:r>
            <w:r w:rsidR="00711528">
              <w:rPr>
                <w:webHidden/>
              </w:rPr>
              <w:fldChar w:fldCharType="begin"/>
            </w:r>
            <w:r w:rsidR="00711528">
              <w:rPr>
                <w:webHidden/>
              </w:rPr>
              <w:instrText xml:space="preserve"> PAGEREF _Toc452647301 \h </w:instrText>
            </w:r>
            <w:r w:rsidR="00711528">
              <w:rPr>
                <w:webHidden/>
              </w:rPr>
            </w:r>
            <w:r w:rsidR="00711528">
              <w:rPr>
                <w:webHidden/>
              </w:rPr>
              <w:fldChar w:fldCharType="separate"/>
            </w:r>
            <w:r>
              <w:rPr>
                <w:webHidden/>
              </w:rPr>
              <w:t>4</w:t>
            </w:r>
            <w:r w:rsidR="00711528">
              <w:rPr>
                <w:webHidden/>
              </w:rPr>
              <w:fldChar w:fldCharType="end"/>
            </w:r>
          </w:hyperlink>
        </w:p>
        <w:p w14:paraId="075E5E5B" w14:textId="77777777" w:rsidR="00711528" w:rsidRDefault="00AD068A">
          <w:pPr>
            <w:pStyle w:val="TOC2"/>
            <w:rPr>
              <w:rFonts w:asciiTheme="minorHAnsi" w:eastAsiaTheme="minorEastAsia" w:hAnsiTheme="minorHAnsi"/>
              <w:lang w:eastAsia="en-AU"/>
            </w:rPr>
          </w:pPr>
          <w:hyperlink w:anchor="_Toc452647302" w:history="1">
            <w:r w:rsidR="00711528" w:rsidRPr="00112B7F">
              <w:rPr>
                <w:rStyle w:val="Hyperlink"/>
              </w:rPr>
              <w:t>Before a BIRA begins</w:t>
            </w:r>
            <w:r w:rsidR="00711528">
              <w:rPr>
                <w:webHidden/>
              </w:rPr>
              <w:tab/>
            </w:r>
            <w:r w:rsidR="00711528">
              <w:rPr>
                <w:webHidden/>
              </w:rPr>
              <w:fldChar w:fldCharType="begin"/>
            </w:r>
            <w:r w:rsidR="00711528">
              <w:rPr>
                <w:webHidden/>
              </w:rPr>
              <w:instrText xml:space="preserve"> PAGEREF _Toc452647302 \h </w:instrText>
            </w:r>
            <w:r w:rsidR="00711528">
              <w:rPr>
                <w:webHidden/>
              </w:rPr>
            </w:r>
            <w:r w:rsidR="00711528">
              <w:rPr>
                <w:webHidden/>
              </w:rPr>
              <w:fldChar w:fldCharType="separate"/>
            </w:r>
            <w:r>
              <w:rPr>
                <w:webHidden/>
              </w:rPr>
              <w:t>4</w:t>
            </w:r>
            <w:r w:rsidR="00711528">
              <w:rPr>
                <w:webHidden/>
              </w:rPr>
              <w:fldChar w:fldCharType="end"/>
            </w:r>
          </w:hyperlink>
        </w:p>
        <w:p w14:paraId="4A568F91" w14:textId="77777777" w:rsidR="00711528" w:rsidRDefault="00AD068A">
          <w:pPr>
            <w:pStyle w:val="TOC2"/>
            <w:rPr>
              <w:rFonts w:asciiTheme="minorHAnsi" w:eastAsiaTheme="minorEastAsia" w:hAnsiTheme="minorHAnsi"/>
              <w:lang w:eastAsia="en-AU"/>
            </w:rPr>
          </w:pPr>
          <w:hyperlink w:anchor="_Toc452647303" w:history="1">
            <w:r w:rsidR="00711528" w:rsidRPr="00112B7F">
              <w:rPr>
                <w:rStyle w:val="Hyperlink"/>
              </w:rPr>
              <w:t>Criteria for a BIRA</w:t>
            </w:r>
            <w:r w:rsidR="00711528">
              <w:rPr>
                <w:webHidden/>
              </w:rPr>
              <w:tab/>
            </w:r>
            <w:r w:rsidR="00711528">
              <w:rPr>
                <w:webHidden/>
              </w:rPr>
              <w:fldChar w:fldCharType="begin"/>
            </w:r>
            <w:r w:rsidR="00711528">
              <w:rPr>
                <w:webHidden/>
              </w:rPr>
              <w:instrText xml:space="preserve"> PAGEREF _Toc452647303 \h </w:instrText>
            </w:r>
            <w:r w:rsidR="00711528">
              <w:rPr>
                <w:webHidden/>
              </w:rPr>
            </w:r>
            <w:r w:rsidR="00711528">
              <w:rPr>
                <w:webHidden/>
              </w:rPr>
              <w:fldChar w:fldCharType="separate"/>
            </w:r>
            <w:r>
              <w:rPr>
                <w:webHidden/>
              </w:rPr>
              <w:t>4</w:t>
            </w:r>
            <w:r w:rsidR="00711528">
              <w:rPr>
                <w:webHidden/>
              </w:rPr>
              <w:fldChar w:fldCharType="end"/>
            </w:r>
          </w:hyperlink>
        </w:p>
        <w:p w14:paraId="75CE8497" w14:textId="77777777" w:rsidR="00711528" w:rsidRDefault="00AD068A">
          <w:pPr>
            <w:pStyle w:val="TOC2"/>
            <w:rPr>
              <w:rFonts w:asciiTheme="minorHAnsi" w:eastAsiaTheme="minorEastAsia" w:hAnsiTheme="minorHAnsi"/>
              <w:lang w:eastAsia="en-AU"/>
            </w:rPr>
          </w:pPr>
          <w:hyperlink w:anchor="_Toc452647304" w:history="1">
            <w:r w:rsidR="00711528" w:rsidRPr="00112B7F">
              <w:rPr>
                <w:rStyle w:val="Hyperlink"/>
              </w:rPr>
              <w:t>Summary of regulated BIRA steps</w:t>
            </w:r>
            <w:r w:rsidR="00711528">
              <w:rPr>
                <w:webHidden/>
              </w:rPr>
              <w:tab/>
            </w:r>
            <w:r w:rsidR="00711528">
              <w:rPr>
                <w:webHidden/>
              </w:rPr>
              <w:fldChar w:fldCharType="begin"/>
            </w:r>
            <w:r w:rsidR="00711528">
              <w:rPr>
                <w:webHidden/>
              </w:rPr>
              <w:instrText xml:space="preserve"> PAGEREF _Toc452647304 \h </w:instrText>
            </w:r>
            <w:r w:rsidR="00711528">
              <w:rPr>
                <w:webHidden/>
              </w:rPr>
            </w:r>
            <w:r w:rsidR="00711528">
              <w:rPr>
                <w:webHidden/>
              </w:rPr>
              <w:fldChar w:fldCharType="separate"/>
            </w:r>
            <w:r>
              <w:rPr>
                <w:webHidden/>
              </w:rPr>
              <w:t>5</w:t>
            </w:r>
            <w:r w:rsidR="00711528">
              <w:rPr>
                <w:webHidden/>
              </w:rPr>
              <w:fldChar w:fldCharType="end"/>
            </w:r>
          </w:hyperlink>
        </w:p>
        <w:p w14:paraId="0EC189AC" w14:textId="77777777" w:rsidR="00711528" w:rsidRDefault="00AD068A">
          <w:pPr>
            <w:pStyle w:val="TOC2"/>
            <w:rPr>
              <w:rFonts w:asciiTheme="minorHAnsi" w:eastAsiaTheme="minorEastAsia" w:hAnsiTheme="minorHAnsi"/>
              <w:lang w:eastAsia="en-AU"/>
            </w:rPr>
          </w:pPr>
          <w:hyperlink w:anchor="_Toc452647305" w:history="1">
            <w:r w:rsidR="00711528" w:rsidRPr="00112B7F">
              <w:rPr>
                <w:rStyle w:val="Hyperlink"/>
              </w:rPr>
              <w:t>How biosecurity risk is assessed</w:t>
            </w:r>
            <w:r w:rsidR="00711528">
              <w:rPr>
                <w:webHidden/>
              </w:rPr>
              <w:tab/>
            </w:r>
            <w:r w:rsidR="00711528">
              <w:rPr>
                <w:webHidden/>
              </w:rPr>
              <w:fldChar w:fldCharType="begin"/>
            </w:r>
            <w:r w:rsidR="00711528">
              <w:rPr>
                <w:webHidden/>
              </w:rPr>
              <w:instrText xml:space="preserve"> PAGEREF _Toc452647305 \h </w:instrText>
            </w:r>
            <w:r w:rsidR="00711528">
              <w:rPr>
                <w:webHidden/>
              </w:rPr>
            </w:r>
            <w:r w:rsidR="00711528">
              <w:rPr>
                <w:webHidden/>
              </w:rPr>
              <w:fldChar w:fldCharType="separate"/>
            </w:r>
            <w:r>
              <w:rPr>
                <w:webHidden/>
              </w:rPr>
              <w:t>6</w:t>
            </w:r>
            <w:r w:rsidR="00711528">
              <w:rPr>
                <w:webHidden/>
              </w:rPr>
              <w:fldChar w:fldCharType="end"/>
            </w:r>
          </w:hyperlink>
        </w:p>
        <w:p w14:paraId="31CB45DB" w14:textId="77777777" w:rsidR="00711528" w:rsidRDefault="00AD068A">
          <w:pPr>
            <w:pStyle w:val="TOC3"/>
            <w:rPr>
              <w:rFonts w:asciiTheme="minorHAnsi" w:eastAsiaTheme="minorEastAsia" w:hAnsiTheme="minorHAnsi"/>
              <w:lang w:eastAsia="en-AU"/>
            </w:rPr>
          </w:pPr>
          <w:hyperlink w:anchor="_Toc452647306" w:history="1">
            <w:r w:rsidR="00711528" w:rsidRPr="00112B7F">
              <w:rPr>
                <w:rStyle w:val="Hyperlink"/>
              </w:rPr>
              <w:t>Within the department</w:t>
            </w:r>
            <w:r w:rsidR="00711528">
              <w:rPr>
                <w:webHidden/>
              </w:rPr>
              <w:tab/>
            </w:r>
            <w:r w:rsidR="00711528">
              <w:rPr>
                <w:webHidden/>
              </w:rPr>
              <w:fldChar w:fldCharType="begin"/>
            </w:r>
            <w:r w:rsidR="00711528">
              <w:rPr>
                <w:webHidden/>
              </w:rPr>
              <w:instrText xml:space="preserve"> PAGEREF _Toc452647306 \h </w:instrText>
            </w:r>
            <w:r w:rsidR="00711528">
              <w:rPr>
                <w:webHidden/>
              </w:rPr>
            </w:r>
            <w:r w:rsidR="00711528">
              <w:rPr>
                <w:webHidden/>
              </w:rPr>
              <w:fldChar w:fldCharType="separate"/>
            </w:r>
            <w:r>
              <w:rPr>
                <w:webHidden/>
              </w:rPr>
              <w:t>6</w:t>
            </w:r>
            <w:r w:rsidR="00711528">
              <w:rPr>
                <w:webHidden/>
              </w:rPr>
              <w:fldChar w:fldCharType="end"/>
            </w:r>
          </w:hyperlink>
        </w:p>
        <w:p w14:paraId="5E43A924" w14:textId="77777777" w:rsidR="00711528" w:rsidRDefault="00AD068A">
          <w:pPr>
            <w:pStyle w:val="TOC3"/>
            <w:rPr>
              <w:rFonts w:asciiTheme="minorHAnsi" w:eastAsiaTheme="minorEastAsia" w:hAnsiTheme="minorHAnsi"/>
              <w:lang w:eastAsia="en-AU"/>
            </w:rPr>
          </w:pPr>
          <w:hyperlink w:anchor="_Toc452647307" w:history="1">
            <w:r w:rsidR="00711528" w:rsidRPr="00112B7F">
              <w:rPr>
                <w:rStyle w:val="Hyperlink"/>
              </w:rPr>
              <w:t>Use of external expertise</w:t>
            </w:r>
            <w:r w:rsidR="00711528">
              <w:rPr>
                <w:webHidden/>
              </w:rPr>
              <w:tab/>
            </w:r>
            <w:r w:rsidR="00711528">
              <w:rPr>
                <w:webHidden/>
              </w:rPr>
              <w:fldChar w:fldCharType="begin"/>
            </w:r>
            <w:r w:rsidR="00711528">
              <w:rPr>
                <w:webHidden/>
              </w:rPr>
              <w:instrText xml:space="preserve"> PAGEREF _Toc452647307 \h </w:instrText>
            </w:r>
            <w:r w:rsidR="00711528">
              <w:rPr>
                <w:webHidden/>
              </w:rPr>
            </w:r>
            <w:r w:rsidR="00711528">
              <w:rPr>
                <w:webHidden/>
              </w:rPr>
              <w:fldChar w:fldCharType="separate"/>
            </w:r>
            <w:r>
              <w:rPr>
                <w:webHidden/>
              </w:rPr>
              <w:t>6</w:t>
            </w:r>
            <w:r w:rsidR="00711528">
              <w:rPr>
                <w:webHidden/>
              </w:rPr>
              <w:fldChar w:fldCharType="end"/>
            </w:r>
          </w:hyperlink>
        </w:p>
        <w:p w14:paraId="64BCA7F6" w14:textId="77777777" w:rsidR="00711528" w:rsidRDefault="00AD068A">
          <w:pPr>
            <w:pStyle w:val="TOC3"/>
            <w:rPr>
              <w:rFonts w:asciiTheme="minorHAnsi" w:eastAsiaTheme="minorEastAsia" w:hAnsiTheme="minorHAnsi"/>
              <w:lang w:eastAsia="en-AU"/>
            </w:rPr>
          </w:pPr>
          <w:hyperlink w:anchor="_Toc452647308" w:history="1">
            <w:r w:rsidR="00711528" w:rsidRPr="00112B7F">
              <w:rPr>
                <w:rStyle w:val="Hyperlink"/>
              </w:rPr>
              <w:t>The risk estimation matrix</w:t>
            </w:r>
            <w:r w:rsidR="00711528">
              <w:rPr>
                <w:webHidden/>
              </w:rPr>
              <w:tab/>
            </w:r>
            <w:r w:rsidR="00711528">
              <w:rPr>
                <w:webHidden/>
              </w:rPr>
              <w:fldChar w:fldCharType="begin"/>
            </w:r>
            <w:r w:rsidR="00711528">
              <w:rPr>
                <w:webHidden/>
              </w:rPr>
              <w:instrText xml:space="preserve"> PAGEREF _Toc452647308 \h </w:instrText>
            </w:r>
            <w:r w:rsidR="00711528">
              <w:rPr>
                <w:webHidden/>
              </w:rPr>
            </w:r>
            <w:r w:rsidR="00711528">
              <w:rPr>
                <w:webHidden/>
              </w:rPr>
              <w:fldChar w:fldCharType="separate"/>
            </w:r>
            <w:r>
              <w:rPr>
                <w:webHidden/>
              </w:rPr>
              <w:t>6</w:t>
            </w:r>
            <w:r w:rsidR="00711528">
              <w:rPr>
                <w:webHidden/>
              </w:rPr>
              <w:fldChar w:fldCharType="end"/>
            </w:r>
          </w:hyperlink>
        </w:p>
        <w:p w14:paraId="3484790F" w14:textId="77777777" w:rsidR="00711528" w:rsidRDefault="00AD068A">
          <w:pPr>
            <w:pStyle w:val="TOC1"/>
            <w:rPr>
              <w:rFonts w:asciiTheme="minorHAnsi" w:eastAsiaTheme="minorEastAsia" w:hAnsiTheme="minorHAnsi"/>
              <w:b w:val="0"/>
              <w:lang w:eastAsia="en-AU"/>
            </w:rPr>
          </w:pPr>
          <w:hyperlink w:anchor="_Toc452647309" w:history="1">
            <w:r w:rsidR="00711528" w:rsidRPr="00112B7F">
              <w:rPr>
                <w:rStyle w:val="Hyperlink"/>
              </w:rPr>
              <w:t>4</w:t>
            </w:r>
            <w:r w:rsidR="00711528">
              <w:rPr>
                <w:rFonts w:asciiTheme="minorHAnsi" w:eastAsiaTheme="minorEastAsia" w:hAnsiTheme="minorHAnsi"/>
                <w:b w:val="0"/>
                <w:lang w:eastAsia="en-AU"/>
              </w:rPr>
              <w:tab/>
            </w:r>
            <w:r w:rsidR="00711528" w:rsidRPr="00112B7F">
              <w:rPr>
                <w:rStyle w:val="Hyperlink"/>
              </w:rPr>
              <w:t>Matters to be taken into account in conducting a BIRA</w:t>
            </w:r>
            <w:r w:rsidR="00711528">
              <w:rPr>
                <w:webHidden/>
              </w:rPr>
              <w:tab/>
            </w:r>
            <w:r w:rsidR="00711528">
              <w:rPr>
                <w:webHidden/>
              </w:rPr>
              <w:fldChar w:fldCharType="begin"/>
            </w:r>
            <w:r w:rsidR="00711528">
              <w:rPr>
                <w:webHidden/>
              </w:rPr>
              <w:instrText xml:space="preserve"> PAGEREF _Toc452647309 \h </w:instrText>
            </w:r>
            <w:r w:rsidR="00711528">
              <w:rPr>
                <w:webHidden/>
              </w:rPr>
            </w:r>
            <w:r w:rsidR="00711528">
              <w:rPr>
                <w:webHidden/>
              </w:rPr>
              <w:fldChar w:fldCharType="separate"/>
            </w:r>
            <w:r>
              <w:rPr>
                <w:webHidden/>
              </w:rPr>
              <w:t>8</w:t>
            </w:r>
            <w:r w:rsidR="00711528">
              <w:rPr>
                <w:webHidden/>
              </w:rPr>
              <w:fldChar w:fldCharType="end"/>
            </w:r>
          </w:hyperlink>
        </w:p>
        <w:p w14:paraId="5925157B" w14:textId="77777777" w:rsidR="00711528" w:rsidRDefault="00AD068A">
          <w:pPr>
            <w:pStyle w:val="TOC2"/>
            <w:rPr>
              <w:rFonts w:asciiTheme="minorHAnsi" w:eastAsiaTheme="minorEastAsia" w:hAnsiTheme="minorHAnsi"/>
              <w:lang w:eastAsia="en-AU"/>
            </w:rPr>
          </w:pPr>
          <w:hyperlink w:anchor="_Toc452647310" w:history="1">
            <w:r w:rsidR="00711528" w:rsidRPr="00112B7F">
              <w:rPr>
                <w:rStyle w:val="Hyperlink"/>
              </w:rPr>
              <w:t>Technical methodology used for a BIRA</w:t>
            </w:r>
            <w:r w:rsidR="00711528">
              <w:rPr>
                <w:webHidden/>
              </w:rPr>
              <w:tab/>
            </w:r>
            <w:r w:rsidR="00711528">
              <w:rPr>
                <w:webHidden/>
              </w:rPr>
              <w:fldChar w:fldCharType="begin"/>
            </w:r>
            <w:r w:rsidR="00711528">
              <w:rPr>
                <w:webHidden/>
              </w:rPr>
              <w:instrText xml:space="preserve"> PAGEREF _Toc452647310 \h </w:instrText>
            </w:r>
            <w:r w:rsidR="00711528">
              <w:rPr>
                <w:webHidden/>
              </w:rPr>
            </w:r>
            <w:r w:rsidR="00711528">
              <w:rPr>
                <w:webHidden/>
              </w:rPr>
              <w:fldChar w:fldCharType="separate"/>
            </w:r>
            <w:r>
              <w:rPr>
                <w:webHidden/>
              </w:rPr>
              <w:t>8</w:t>
            </w:r>
            <w:r w:rsidR="00711528">
              <w:rPr>
                <w:webHidden/>
              </w:rPr>
              <w:fldChar w:fldCharType="end"/>
            </w:r>
          </w:hyperlink>
        </w:p>
        <w:p w14:paraId="7EB5F223" w14:textId="77777777" w:rsidR="00711528" w:rsidRDefault="00AD068A">
          <w:pPr>
            <w:pStyle w:val="TOC3"/>
            <w:rPr>
              <w:rFonts w:asciiTheme="minorHAnsi" w:eastAsiaTheme="minorEastAsia" w:hAnsiTheme="minorHAnsi"/>
              <w:lang w:eastAsia="en-AU"/>
            </w:rPr>
          </w:pPr>
          <w:hyperlink w:anchor="_Toc452647311" w:history="1">
            <w:r w:rsidR="00711528" w:rsidRPr="00112B7F">
              <w:rPr>
                <w:rStyle w:val="Hyperlink"/>
              </w:rPr>
              <w:t>Assessment of the likelihood of entry, establishment and spread</w:t>
            </w:r>
            <w:r w:rsidR="00711528">
              <w:rPr>
                <w:webHidden/>
              </w:rPr>
              <w:tab/>
            </w:r>
            <w:r w:rsidR="00711528">
              <w:rPr>
                <w:webHidden/>
              </w:rPr>
              <w:fldChar w:fldCharType="begin"/>
            </w:r>
            <w:r w:rsidR="00711528">
              <w:rPr>
                <w:webHidden/>
              </w:rPr>
              <w:instrText xml:space="preserve"> PAGEREF _Toc452647311 \h </w:instrText>
            </w:r>
            <w:r w:rsidR="00711528">
              <w:rPr>
                <w:webHidden/>
              </w:rPr>
            </w:r>
            <w:r w:rsidR="00711528">
              <w:rPr>
                <w:webHidden/>
              </w:rPr>
              <w:fldChar w:fldCharType="separate"/>
            </w:r>
            <w:r>
              <w:rPr>
                <w:webHidden/>
              </w:rPr>
              <w:t>8</w:t>
            </w:r>
            <w:r w:rsidR="00711528">
              <w:rPr>
                <w:webHidden/>
              </w:rPr>
              <w:fldChar w:fldCharType="end"/>
            </w:r>
          </w:hyperlink>
        </w:p>
        <w:p w14:paraId="25171C7B" w14:textId="77777777" w:rsidR="00711528" w:rsidRDefault="00AD068A">
          <w:pPr>
            <w:pStyle w:val="TOC3"/>
            <w:rPr>
              <w:rFonts w:asciiTheme="minorHAnsi" w:eastAsiaTheme="minorEastAsia" w:hAnsiTheme="minorHAnsi"/>
              <w:lang w:eastAsia="en-AU"/>
            </w:rPr>
          </w:pPr>
          <w:hyperlink w:anchor="_Toc452647312" w:history="1">
            <w:r w:rsidR="00711528" w:rsidRPr="00112B7F">
              <w:rPr>
                <w:rStyle w:val="Hyperlink"/>
              </w:rPr>
              <w:t>Assessment of potential consequences</w:t>
            </w:r>
            <w:r w:rsidR="00711528">
              <w:rPr>
                <w:webHidden/>
              </w:rPr>
              <w:tab/>
            </w:r>
            <w:r w:rsidR="00711528">
              <w:rPr>
                <w:webHidden/>
              </w:rPr>
              <w:fldChar w:fldCharType="begin"/>
            </w:r>
            <w:r w:rsidR="00711528">
              <w:rPr>
                <w:webHidden/>
              </w:rPr>
              <w:instrText xml:space="preserve"> PAGEREF _Toc452647312 \h </w:instrText>
            </w:r>
            <w:r w:rsidR="00711528">
              <w:rPr>
                <w:webHidden/>
              </w:rPr>
            </w:r>
            <w:r w:rsidR="00711528">
              <w:rPr>
                <w:webHidden/>
              </w:rPr>
              <w:fldChar w:fldCharType="separate"/>
            </w:r>
            <w:r>
              <w:rPr>
                <w:webHidden/>
              </w:rPr>
              <w:t>8</w:t>
            </w:r>
            <w:r w:rsidR="00711528">
              <w:rPr>
                <w:webHidden/>
              </w:rPr>
              <w:fldChar w:fldCharType="end"/>
            </w:r>
          </w:hyperlink>
        </w:p>
        <w:p w14:paraId="02AC6697" w14:textId="77777777" w:rsidR="00711528" w:rsidRDefault="00AD068A">
          <w:pPr>
            <w:pStyle w:val="TOC2"/>
            <w:rPr>
              <w:rFonts w:asciiTheme="minorHAnsi" w:eastAsiaTheme="minorEastAsia" w:hAnsiTheme="minorHAnsi"/>
              <w:lang w:eastAsia="en-AU"/>
            </w:rPr>
          </w:pPr>
          <w:hyperlink w:anchor="_Toc452647313" w:history="1">
            <w:r w:rsidR="00711528" w:rsidRPr="00112B7F">
              <w:rPr>
                <w:rStyle w:val="Hyperlink"/>
              </w:rPr>
              <w:t>Economic considerations</w:t>
            </w:r>
            <w:r w:rsidR="00711528">
              <w:rPr>
                <w:webHidden/>
              </w:rPr>
              <w:tab/>
            </w:r>
            <w:r w:rsidR="00711528">
              <w:rPr>
                <w:webHidden/>
              </w:rPr>
              <w:fldChar w:fldCharType="begin"/>
            </w:r>
            <w:r w:rsidR="00711528">
              <w:rPr>
                <w:webHidden/>
              </w:rPr>
              <w:instrText xml:space="preserve"> PAGEREF _Toc452647313 \h </w:instrText>
            </w:r>
            <w:r w:rsidR="00711528">
              <w:rPr>
                <w:webHidden/>
              </w:rPr>
            </w:r>
            <w:r w:rsidR="00711528">
              <w:rPr>
                <w:webHidden/>
              </w:rPr>
              <w:fldChar w:fldCharType="separate"/>
            </w:r>
            <w:r>
              <w:rPr>
                <w:webHidden/>
              </w:rPr>
              <w:t>8</w:t>
            </w:r>
            <w:r w:rsidR="00711528">
              <w:rPr>
                <w:webHidden/>
              </w:rPr>
              <w:fldChar w:fldCharType="end"/>
            </w:r>
          </w:hyperlink>
        </w:p>
        <w:p w14:paraId="2AE86268" w14:textId="77777777" w:rsidR="00711528" w:rsidRDefault="00AD068A">
          <w:pPr>
            <w:pStyle w:val="TOC2"/>
            <w:rPr>
              <w:rFonts w:asciiTheme="minorHAnsi" w:eastAsiaTheme="minorEastAsia" w:hAnsiTheme="minorHAnsi"/>
              <w:lang w:eastAsia="en-AU"/>
            </w:rPr>
          </w:pPr>
          <w:hyperlink w:anchor="_Toc452647314" w:history="1">
            <w:r w:rsidR="00711528" w:rsidRPr="00112B7F">
              <w:rPr>
                <w:rStyle w:val="Hyperlink"/>
              </w:rPr>
              <w:t>Regional differences</w:t>
            </w:r>
            <w:r w:rsidR="00711528">
              <w:rPr>
                <w:webHidden/>
              </w:rPr>
              <w:tab/>
            </w:r>
            <w:r w:rsidR="00711528">
              <w:rPr>
                <w:webHidden/>
              </w:rPr>
              <w:fldChar w:fldCharType="begin"/>
            </w:r>
            <w:r w:rsidR="00711528">
              <w:rPr>
                <w:webHidden/>
              </w:rPr>
              <w:instrText xml:space="preserve"> PAGEREF _Toc452647314 \h </w:instrText>
            </w:r>
            <w:r w:rsidR="00711528">
              <w:rPr>
                <w:webHidden/>
              </w:rPr>
            </w:r>
            <w:r w:rsidR="00711528">
              <w:rPr>
                <w:webHidden/>
              </w:rPr>
              <w:fldChar w:fldCharType="separate"/>
            </w:r>
            <w:r>
              <w:rPr>
                <w:webHidden/>
              </w:rPr>
              <w:t>9</w:t>
            </w:r>
            <w:r w:rsidR="00711528">
              <w:rPr>
                <w:webHidden/>
              </w:rPr>
              <w:fldChar w:fldCharType="end"/>
            </w:r>
          </w:hyperlink>
        </w:p>
        <w:p w14:paraId="3014086D" w14:textId="77777777" w:rsidR="00711528" w:rsidRDefault="00AD068A">
          <w:pPr>
            <w:pStyle w:val="TOC1"/>
            <w:rPr>
              <w:rFonts w:asciiTheme="minorHAnsi" w:eastAsiaTheme="minorEastAsia" w:hAnsiTheme="minorHAnsi"/>
              <w:b w:val="0"/>
              <w:lang w:eastAsia="en-AU"/>
            </w:rPr>
          </w:pPr>
          <w:hyperlink w:anchor="_Toc452647315" w:history="1">
            <w:r w:rsidR="00711528" w:rsidRPr="00112B7F">
              <w:rPr>
                <w:rStyle w:val="Hyperlink"/>
              </w:rPr>
              <w:t>5</w:t>
            </w:r>
            <w:r w:rsidR="00711528">
              <w:rPr>
                <w:rFonts w:asciiTheme="minorHAnsi" w:eastAsiaTheme="minorEastAsia" w:hAnsiTheme="minorHAnsi"/>
                <w:b w:val="0"/>
                <w:lang w:eastAsia="en-AU"/>
              </w:rPr>
              <w:tab/>
            </w:r>
            <w:r w:rsidR="00711528" w:rsidRPr="00112B7F">
              <w:rPr>
                <w:rStyle w:val="Hyperlink"/>
              </w:rPr>
              <w:t>Potential outcomes from a BIRA</w:t>
            </w:r>
            <w:r w:rsidR="00711528">
              <w:rPr>
                <w:webHidden/>
              </w:rPr>
              <w:tab/>
            </w:r>
            <w:r w:rsidR="00711528">
              <w:rPr>
                <w:webHidden/>
              </w:rPr>
              <w:fldChar w:fldCharType="begin"/>
            </w:r>
            <w:r w:rsidR="00711528">
              <w:rPr>
                <w:webHidden/>
              </w:rPr>
              <w:instrText xml:space="preserve"> PAGEREF _Toc452647315 \h </w:instrText>
            </w:r>
            <w:r w:rsidR="00711528">
              <w:rPr>
                <w:webHidden/>
              </w:rPr>
            </w:r>
            <w:r w:rsidR="00711528">
              <w:rPr>
                <w:webHidden/>
              </w:rPr>
              <w:fldChar w:fldCharType="separate"/>
            </w:r>
            <w:r>
              <w:rPr>
                <w:webHidden/>
              </w:rPr>
              <w:t>10</w:t>
            </w:r>
            <w:r w:rsidR="00711528">
              <w:rPr>
                <w:webHidden/>
              </w:rPr>
              <w:fldChar w:fldCharType="end"/>
            </w:r>
          </w:hyperlink>
        </w:p>
        <w:p w14:paraId="0B940382" w14:textId="77777777" w:rsidR="00711528" w:rsidRDefault="00AD068A">
          <w:pPr>
            <w:pStyle w:val="TOC2"/>
            <w:rPr>
              <w:rFonts w:asciiTheme="minorHAnsi" w:eastAsiaTheme="minorEastAsia" w:hAnsiTheme="minorHAnsi"/>
              <w:lang w:eastAsia="en-AU"/>
            </w:rPr>
          </w:pPr>
          <w:hyperlink w:anchor="_Toc452647316" w:history="1">
            <w:r w:rsidR="00711528" w:rsidRPr="00112B7F">
              <w:rPr>
                <w:rStyle w:val="Hyperlink"/>
              </w:rPr>
              <w:t>Policy determination</w:t>
            </w:r>
            <w:r w:rsidR="00711528">
              <w:rPr>
                <w:webHidden/>
              </w:rPr>
              <w:tab/>
            </w:r>
            <w:r w:rsidR="00711528">
              <w:rPr>
                <w:webHidden/>
              </w:rPr>
              <w:fldChar w:fldCharType="begin"/>
            </w:r>
            <w:r w:rsidR="00711528">
              <w:rPr>
                <w:webHidden/>
              </w:rPr>
              <w:instrText xml:space="preserve"> PAGEREF _Toc452647316 \h </w:instrText>
            </w:r>
            <w:r w:rsidR="00711528">
              <w:rPr>
                <w:webHidden/>
              </w:rPr>
            </w:r>
            <w:r w:rsidR="00711528">
              <w:rPr>
                <w:webHidden/>
              </w:rPr>
              <w:fldChar w:fldCharType="separate"/>
            </w:r>
            <w:r>
              <w:rPr>
                <w:webHidden/>
              </w:rPr>
              <w:t>10</w:t>
            </w:r>
            <w:r w:rsidR="00711528">
              <w:rPr>
                <w:webHidden/>
              </w:rPr>
              <w:fldChar w:fldCharType="end"/>
            </w:r>
          </w:hyperlink>
        </w:p>
        <w:p w14:paraId="485757C3" w14:textId="77777777" w:rsidR="00711528" w:rsidRDefault="00AD068A">
          <w:pPr>
            <w:pStyle w:val="TOC2"/>
            <w:rPr>
              <w:rFonts w:asciiTheme="minorHAnsi" w:eastAsiaTheme="minorEastAsia" w:hAnsiTheme="minorHAnsi"/>
              <w:lang w:eastAsia="en-AU"/>
            </w:rPr>
          </w:pPr>
          <w:hyperlink w:anchor="_Toc452647317" w:history="1">
            <w:r w:rsidR="00711528" w:rsidRPr="00112B7F">
              <w:rPr>
                <w:rStyle w:val="Hyperlink"/>
              </w:rPr>
              <w:t>Decision to terminate a BIRA</w:t>
            </w:r>
            <w:r w:rsidR="00711528">
              <w:rPr>
                <w:webHidden/>
              </w:rPr>
              <w:tab/>
            </w:r>
            <w:r w:rsidR="00711528">
              <w:rPr>
                <w:webHidden/>
              </w:rPr>
              <w:fldChar w:fldCharType="begin"/>
            </w:r>
            <w:r w:rsidR="00711528">
              <w:rPr>
                <w:webHidden/>
              </w:rPr>
              <w:instrText xml:space="preserve"> PAGEREF _Toc452647317 \h </w:instrText>
            </w:r>
            <w:r w:rsidR="00711528">
              <w:rPr>
                <w:webHidden/>
              </w:rPr>
            </w:r>
            <w:r w:rsidR="00711528">
              <w:rPr>
                <w:webHidden/>
              </w:rPr>
              <w:fldChar w:fldCharType="separate"/>
            </w:r>
            <w:r>
              <w:rPr>
                <w:webHidden/>
              </w:rPr>
              <w:t>10</w:t>
            </w:r>
            <w:r w:rsidR="00711528">
              <w:rPr>
                <w:webHidden/>
              </w:rPr>
              <w:fldChar w:fldCharType="end"/>
            </w:r>
          </w:hyperlink>
        </w:p>
        <w:p w14:paraId="59CE9CE5" w14:textId="77777777" w:rsidR="00711528" w:rsidRDefault="00AD068A">
          <w:pPr>
            <w:pStyle w:val="TOC2"/>
            <w:rPr>
              <w:rFonts w:asciiTheme="minorHAnsi" w:eastAsiaTheme="minorEastAsia" w:hAnsiTheme="minorHAnsi"/>
              <w:lang w:eastAsia="en-AU"/>
            </w:rPr>
          </w:pPr>
          <w:hyperlink w:anchor="_Toc452647318" w:history="1">
            <w:r w:rsidR="00711528" w:rsidRPr="00112B7F">
              <w:rPr>
                <w:rStyle w:val="Hyperlink"/>
              </w:rPr>
              <w:t>Provisional sanitary and phytosanitary measures</w:t>
            </w:r>
            <w:r w:rsidR="00711528">
              <w:rPr>
                <w:webHidden/>
              </w:rPr>
              <w:tab/>
            </w:r>
            <w:r w:rsidR="00711528">
              <w:rPr>
                <w:webHidden/>
              </w:rPr>
              <w:fldChar w:fldCharType="begin"/>
            </w:r>
            <w:r w:rsidR="00711528">
              <w:rPr>
                <w:webHidden/>
              </w:rPr>
              <w:instrText xml:space="preserve"> PAGEREF _Toc452647318 \h </w:instrText>
            </w:r>
            <w:r w:rsidR="00711528">
              <w:rPr>
                <w:webHidden/>
              </w:rPr>
            </w:r>
            <w:r w:rsidR="00711528">
              <w:rPr>
                <w:webHidden/>
              </w:rPr>
              <w:fldChar w:fldCharType="separate"/>
            </w:r>
            <w:r>
              <w:rPr>
                <w:webHidden/>
              </w:rPr>
              <w:t>11</w:t>
            </w:r>
            <w:r w:rsidR="00711528">
              <w:rPr>
                <w:webHidden/>
              </w:rPr>
              <w:fldChar w:fldCharType="end"/>
            </w:r>
          </w:hyperlink>
        </w:p>
        <w:p w14:paraId="6665DADA" w14:textId="77777777" w:rsidR="00711528" w:rsidRDefault="00AD068A">
          <w:pPr>
            <w:pStyle w:val="TOC1"/>
            <w:rPr>
              <w:rFonts w:asciiTheme="minorHAnsi" w:eastAsiaTheme="minorEastAsia" w:hAnsiTheme="minorHAnsi"/>
              <w:b w:val="0"/>
              <w:lang w:eastAsia="en-AU"/>
            </w:rPr>
          </w:pPr>
          <w:hyperlink w:anchor="_Toc452647319" w:history="1">
            <w:r w:rsidR="00711528" w:rsidRPr="00112B7F">
              <w:rPr>
                <w:rStyle w:val="Hyperlink"/>
              </w:rPr>
              <w:t>6</w:t>
            </w:r>
            <w:r w:rsidR="00711528">
              <w:rPr>
                <w:rFonts w:asciiTheme="minorHAnsi" w:eastAsiaTheme="minorEastAsia" w:hAnsiTheme="minorHAnsi"/>
                <w:b w:val="0"/>
                <w:lang w:eastAsia="en-AU"/>
              </w:rPr>
              <w:tab/>
            </w:r>
            <w:r w:rsidR="00711528" w:rsidRPr="00112B7F">
              <w:rPr>
                <w:rStyle w:val="Hyperlink"/>
              </w:rPr>
              <w:t>Consultation and communication</w:t>
            </w:r>
            <w:r w:rsidR="00711528">
              <w:rPr>
                <w:webHidden/>
              </w:rPr>
              <w:tab/>
            </w:r>
            <w:r w:rsidR="00711528">
              <w:rPr>
                <w:webHidden/>
              </w:rPr>
              <w:fldChar w:fldCharType="begin"/>
            </w:r>
            <w:r w:rsidR="00711528">
              <w:rPr>
                <w:webHidden/>
              </w:rPr>
              <w:instrText xml:space="preserve"> PAGEREF _Toc452647319 \h </w:instrText>
            </w:r>
            <w:r w:rsidR="00711528">
              <w:rPr>
                <w:webHidden/>
              </w:rPr>
            </w:r>
            <w:r w:rsidR="00711528">
              <w:rPr>
                <w:webHidden/>
              </w:rPr>
              <w:fldChar w:fldCharType="separate"/>
            </w:r>
            <w:r>
              <w:rPr>
                <w:webHidden/>
              </w:rPr>
              <w:t>12</w:t>
            </w:r>
            <w:r w:rsidR="00711528">
              <w:rPr>
                <w:webHidden/>
              </w:rPr>
              <w:fldChar w:fldCharType="end"/>
            </w:r>
          </w:hyperlink>
        </w:p>
        <w:p w14:paraId="6C89B8FB" w14:textId="77777777" w:rsidR="00711528" w:rsidRDefault="00AD068A">
          <w:pPr>
            <w:pStyle w:val="TOC2"/>
            <w:rPr>
              <w:rFonts w:asciiTheme="minorHAnsi" w:eastAsiaTheme="minorEastAsia" w:hAnsiTheme="minorHAnsi"/>
              <w:lang w:eastAsia="en-AU"/>
            </w:rPr>
          </w:pPr>
          <w:hyperlink w:anchor="_Toc452647320" w:history="1">
            <w:r w:rsidR="00711528" w:rsidRPr="00112B7F">
              <w:rPr>
                <w:rStyle w:val="Hyperlink"/>
              </w:rPr>
              <w:t>Communication with stakeholders</w:t>
            </w:r>
            <w:r w:rsidR="00711528">
              <w:rPr>
                <w:webHidden/>
              </w:rPr>
              <w:tab/>
            </w:r>
            <w:r w:rsidR="00711528">
              <w:rPr>
                <w:webHidden/>
              </w:rPr>
              <w:fldChar w:fldCharType="begin"/>
            </w:r>
            <w:r w:rsidR="00711528">
              <w:rPr>
                <w:webHidden/>
              </w:rPr>
              <w:instrText xml:space="preserve"> PAGEREF _Toc452647320 \h </w:instrText>
            </w:r>
            <w:r w:rsidR="00711528">
              <w:rPr>
                <w:webHidden/>
              </w:rPr>
            </w:r>
            <w:r w:rsidR="00711528">
              <w:rPr>
                <w:webHidden/>
              </w:rPr>
              <w:fldChar w:fldCharType="separate"/>
            </w:r>
            <w:r>
              <w:rPr>
                <w:webHidden/>
              </w:rPr>
              <w:t>12</w:t>
            </w:r>
            <w:r w:rsidR="00711528">
              <w:rPr>
                <w:webHidden/>
              </w:rPr>
              <w:fldChar w:fldCharType="end"/>
            </w:r>
          </w:hyperlink>
        </w:p>
        <w:p w14:paraId="7A8A6293" w14:textId="77777777" w:rsidR="00711528" w:rsidRDefault="00AD068A">
          <w:pPr>
            <w:pStyle w:val="TOC2"/>
            <w:rPr>
              <w:rFonts w:asciiTheme="minorHAnsi" w:eastAsiaTheme="minorEastAsia" w:hAnsiTheme="minorHAnsi"/>
              <w:lang w:eastAsia="en-AU"/>
            </w:rPr>
          </w:pPr>
          <w:hyperlink w:anchor="_Toc452647321" w:history="1">
            <w:r w:rsidR="00711528" w:rsidRPr="00112B7F">
              <w:rPr>
                <w:rStyle w:val="Hyperlink"/>
              </w:rPr>
              <w:t>Opportunities for stakeholders to contribute to the BIRA process</w:t>
            </w:r>
            <w:r w:rsidR="00711528">
              <w:rPr>
                <w:webHidden/>
              </w:rPr>
              <w:tab/>
            </w:r>
            <w:r w:rsidR="00711528">
              <w:rPr>
                <w:webHidden/>
              </w:rPr>
              <w:fldChar w:fldCharType="begin"/>
            </w:r>
            <w:r w:rsidR="00711528">
              <w:rPr>
                <w:webHidden/>
              </w:rPr>
              <w:instrText xml:space="preserve"> PAGEREF _Toc452647321 \h </w:instrText>
            </w:r>
            <w:r w:rsidR="00711528">
              <w:rPr>
                <w:webHidden/>
              </w:rPr>
            </w:r>
            <w:r w:rsidR="00711528">
              <w:rPr>
                <w:webHidden/>
              </w:rPr>
              <w:fldChar w:fldCharType="separate"/>
            </w:r>
            <w:r>
              <w:rPr>
                <w:webHidden/>
              </w:rPr>
              <w:t>12</w:t>
            </w:r>
            <w:r w:rsidR="00711528">
              <w:rPr>
                <w:webHidden/>
              </w:rPr>
              <w:fldChar w:fldCharType="end"/>
            </w:r>
          </w:hyperlink>
        </w:p>
        <w:p w14:paraId="29F4A919" w14:textId="77777777" w:rsidR="00711528" w:rsidRDefault="00AD068A">
          <w:pPr>
            <w:pStyle w:val="TOC2"/>
            <w:rPr>
              <w:rFonts w:asciiTheme="minorHAnsi" w:eastAsiaTheme="minorEastAsia" w:hAnsiTheme="minorHAnsi"/>
              <w:lang w:eastAsia="en-AU"/>
            </w:rPr>
          </w:pPr>
          <w:hyperlink w:anchor="_Toc452647322" w:history="1">
            <w:r w:rsidR="00711528" w:rsidRPr="00112B7F">
              <w:rPr>
                <w:rStyle w:val="Hyperlink"/>
              </w:rPr>
              <w:t>BIRA Liaison Officer</w:t>
            </w:r>
            <w:r w:rsidR="00711528">
              <w:rPr>
                <w:webHidden/>
              </w:rPr>
              <w:tab/>
            </w:r>
            <w:r w:rsidR="00711528">
              <w:rPr>
                <w:webHidden/>
              </w:rPr>
              <w:fldChar w:fldCharType="begin"/>
            </w:r>
            <w:r w:rsidR="00711528">
              <w:rPr>
                <w:webHidden/>
              </w:rPr>
              <w:instrText xml:space="preserve"> PAGEREF _Toc452647322 \h </w:instrText>
            </w:r>
            <w:r w:rsidR="00711528">
              <w:rPr>
                <w:webHidden/>
              </w:rPr>
            </w:r>
            <w:r w:rsidR="00711528">
              <w:rPr>
                <w:webHidden/>
              </w:rPr>
              <w:fldChar w:fldCharType="separate"/>
            </w:r>
            <w:r>
              <w:rPr>
                <w:webHidden/>
              </w:rPr>
              <w:t>14</w:t>
            </w:r>
            <w:r w:rsidR="00711528">
              <w:rPr>
                <w:webHidden/>
              </w:rPr>
              <w:fldChar w:fldCharType="end"/>
            </w:r>
          </w:hyperlink>
        </w:p>
        <w:p w14:paraId="2A07FC20" w14:textId="77777777" w:rsidR="00711528" w:rsidRDefault="00AD068A">
          <w:pPr>
            <w:pStyle w:val="TOC3"/>
            <w:rPr>
              <w:rFonts w:asciiTheme="minorHAnsi" w:eastAsiaTheme="minorEastAsia" w:hAnsiTheme="minorHAnsi"/>
              <w:lang w:eastAsia="en-AU"/>
            </w:rPr>
          </w:pPr>
          <w:hyperlink w:anchor="_Toc452647323" w:history="1">
            <w:r w:rsidR="00711528" w:rsidRPr="00112B7F">
              <w:rPr>
                <w:rStyle w:val="Hyperlink"/>
              </w:rPr>
              <w:t>Purpose</w:t>
            </w:r>
            <w:r w:rsidR="00711528">
              <w:rPr>
                <w:webHidden/>
              </w:rPr>
              <w:tab/>
            </w:r>
            <w:r w:rsidR="00711528">
              <w:rPr>
                <w:webHidden/>
              </w:rPr>
              <w:fldChar w:fldCharType="begin"/>
            </w:r>
            <w:r w:rsidR="00711528">
              <w:rPr>
                <w:webHidden/>
              </w:rPr>
              <w:instrText xml:space="preserve"> PAGEREF _Toc452647323 \h </w:instrText>
            </w:r>
            <w:r w:rsidR="00711528">
              <w:rPr>
                <w:webHidden/>
              </w:rPr>
            </w:r>
            <w:r w:rsidR="00711528">
              <w:rPr>
                <w:webHidden/>
              </w:rPr>
              <w:fldChar w:fldCharType="separate"/>
            </w:r>
            <w:r>
              <w:rPr>
                <w:webHidden/>
              </w:rPr>
              <w:t>14</w:t>
            </w:r>
            <w:r w:rsidR="00711528">
              <w:rPr>
                <w:webHidden/>
              </w:rPr>
              <w:fldChar w:fldCharType="end"/>
            </w:r>
          </w:hyperlink>
        </w:p>
        <w:p w14:paraId="0F601B83" w14:textId="77777777" w:rsidR="00711528" w:rsidRDefault="00AD068A">
          <w:pPr>
            <w:pStyle w:val="TOC3"/>
            <w:rPr>
              <w:rFonts w:asciiTheme="minorHAnsi" w:eastAsiaTheme="minorEastAsia" w:hAnsiTheme="minorHAnsi"/>
              <w:lang w:eastAsia="en-AU"/>
            </w:rPr>
          </w:pPr>
          <w:hyperlink w:anchor="_Toc452647324" w:history="1">
            <w:r w:rsidR="00711528" w:rsidRPr="00112B7F">
              <w:rPr>
                <w:rStyle w:val="Hyperlink"/>
              </w:rPr>
              <w:t>Tasks</w:t>
            </w:r>
            <w:r w:rsidR="00711528">
              <w:rPr>
                <w:webHidden/>
              </w:rPr>
              <w:tab/>
            </w:r>
            <w:r w:rsidR="00711528">
              <w:rPr>
                <w:webHidden/>
              </w:rPr>
              <w:fldChar w:fldCharType="begin"/>
            </w:r>
            <w:r w:rsidR="00711528">
              <w:rPr>
                <w:webHidden/>
              </w:rPr>
              <w:instrText xml:space="preserve"> PAGEREF _Toc452647324 \h </w:instrText>
            </w:r>
            <w:r w:rsidR="00711528">
              <w:rPr>
                <w:webHidden/>
              </w:rPr>
            </w:r>
            <w:r w:rsidR="00711528">
              <w:rPr>
                <w:webHidden/>
              </w:rPr>
              <w:fldChar w:fldCharType="separate"/>
            </w:r>
            <w:r>
              <w:rPr>
                <w:webHidden/>
              </w:rPr>
              <w:t>14</w:t>
            </w:r>
            <w:r w:rsidR="00711528">
              <w:rPr>
                <w:webHidden/>
              </w:rPr>
              <w:fldChar w:fldCharType="end"/>
            </w:r>
          </w:hyperlink>
        </w:p>
        <w:p w14:paraId="750C39CB" w14:textId="77777777" w:rsidR="00711528" w:rsidRDefault="00AD068A" w:rsidP="00711528">
          <w:pPr>
            <w:pStyle w:val="TOC1"/>
            <w:rPr>
              <w:rFonts w:asciiTheme="minorHAnsi" w:eastAsiaTheme="minorEastAsia" w:hAnsiTheme="minorHAnsi"/>
              <w:b w:val="0"/>
              <w:lang w:eastAsia="en-AU"/>
            </w:rPr>
          </w:pPr>
          <w:hyperlink w:anchor="_Toc452647325" w:history="1">
            <w:r w:rsidR="00711528" w:rsidRPr="00112B7F">
              <w:rPr>
                <w:rStyle w:val="Hyperlink"/>
              </w:rPr>
              <w:t>7</w:t>
            </w:r>
            <w:r w:rsidR="00711528">
              <w:rPr>
                <w:rFonts w:asciiTheme="minorHAnsi" w:eastAsiaTheme="minorEastAsia" w:hAnsiTheme="minorHAnsi"/>
                <w:b w:val="0"/>
                <w:lang w:eastAsia="en-AU"/>
              </w:rPr>
              <w:tab/>
            </w:r>
            <w:r w:rsidR="00711528" w:rsidRPr="00112B7F">
              <w:rPr>
                <w:rStyle w:val="Hyperlink"/>
              </w:rPr>
              <w:t>Scientific advisory group</w:t>
            </w:r>
            <w:r w:rsidR="00711528">
              <w:rPr>
                <w:webHidden/>
              </w:rPr>
              <w:tab/>
            </w:r>
            <w:r w:rsidR="00711528">
              <w:rPr>
                <w:webHidden/>
              </w:rPr>
              <w:fldChar w:fldCharType="begin"/>
            </w:r>
            <w:r w:rsidR="00711528">
              <w:rPr>
                <w:webHidden/>
              </w:rPr>
              <w:instrText xml:space="preserve"> PAGEREF _Toc452647325 \h </w:instrText>
            </w:r>
            <w:r w:rsidR="00711528">
              <w:rPr>
                <w:webHidden/>
              </w:rPr>
            </w:r>
            <w:r w:rsidR="00711528">
              <w:rPr>
                <w:webHidden/>
              </w:rPr>
              <w:fldChar w:fldCharType="separate"/>
            </w:r>
            <w:r>
              <w:rPr>
                <w:webHidden/>
              </w:rPr>
              <w:t>15</w:t>
            </w:r>
            <w:r w:rsidR="00711528">
              <w:rPr>
                <w:webHidden/>
              </w:rPr>
              <w:fldChar w:fldCharType="end"/>
            </w:r>
          </w:hyperlink>
        </w:p>
        <w:p w14:paraId="71120C57" w14:textId="77777777" w:rsidR="00711528" w:rsidRDefault="00AD068A" w:rsidP="00711528">
          <w:pPr>
            <w:pStyle w:val="TOC2"/>
            <w:keepNext/>
            <w:rPr>
              <w:rFonts w:asciiTheme="minorHAnsi" w:eastAsiaTheme="minorEastAsia" w:hAnsiTheme="minorHAnsi"/>
              <w:lang w:eastAsia="en-AU"/>
            </w:rPr>
          </w:pPr>
          <w:hyperlink w:anchor="_Toc452647326" w:history="1">
            <w:r w:rsidR="00711528" w:rsidRPr="00112B7F">
              <w:rPr>
                <w:rStyle w:val="Hyperlink"/>
              </w:rPr>
              <w:t>Composition</w:t>
            </w:r>
            <w:r w:rsidR="00711528">
              <w:rPr>
                <w:webHidden/>
              </w:rPr>
              <w:tab/>
            </w:r>
            <w:r w:rsidR="00711528">
              <w:rPr>
                <w:webHidden/>
              </w:rPr>
              <w:fldChar w:fldCharType="begin"/>
            </w:r>
            <w:r w:rsidR="00711528">
              <w:rPr>
                <w:webHidden/>
              </w:rPr>
              <w:instrText xml:space="preserve"> PAGEREF _Toc452647326 \h </w:instrText>
            </w:r>
            <w:r w:rsidR="00711528">
              <w:rPr>
                <w:webHidden/>
              </w:rPr>
            </w:r>
            <w:r w:rsidR="00711528">
              <w:rPr>
                <w:webHidden/>
              </w:rPr>
              <w:fldChar w:fldCharType="separate"/>
            </w:r>
            <w:r>
              <w:rPr>
                <w:webHidden/>
              </w:rPr>
              <w:t>15</w:t>
            </w:r>
            <w:r w:rsidR="00711528">
              <w:rPr>
                <w:webHidden/>
              </w:rPr>
              <w:fldChar w:fldCharType="end"/>
            </w:r>
          </w:hyperlink>
        </w:p>
        <w:p w14:paraId="5C705F83" w14:textId="77777777" w:rsidR="00711528" w:rsidRDefault="00AD068A" w:rsidP="00711528">
          <w:pPr>
            <w:pStyle w:val="TOC2"/>
            <w:keepNext/>
            <w:rPr>
              <w:rFonts w:asciiTheme="minorHAnsi" w:eastAsiaTheme="minorEastAsia" w:hAnsiTheme="minorHAnsi"/>
              <w:lang w:eastAsia="en-AU"/>
            </w:rPr>
          </w:pPr>
          <w:hyperlink w:anchor="_Toc452647327" w:history="1">
            <w:r w:rsidR="00711528" w:rsidRPr="00112B7F">
              <w:rPr>
                <w:rStyle w:val="Hyperlink"/>
              </w:rPr>
              <w:t>Conflicts of interest and confidentiality</w:t>
            </w:r>
            <w:r w:rsidR="00711528">
              <w:rPr>
                <w:webHidden/>
              </w:rPr>
              <w:tab/>
            </w:r>
            <w:r w:rsidR="00711528">
              <w:rPr>
                <w:webHidden/>
              </w:rPr>
              <w:fldChar w:fldCharType="begin"/>
            </w:r>
            <w:r w:rsidR="00711528">
              <w:rPr>
                <w:webHidden/>
              </w:rPr>
              <w:instrText xml:space="preserve"> PAGEREF _Toc452647327 \h </w:instrText>
            </w:r>
            <w:r w:rsidR="00711528">
              <w:rPr>
                <w:webHidden/>
              </w:rPr>
            </w:r>
            <w:r w:rsidR="00711528">
              <w:rPr>
                <w:webHidden/>
              </w:rPr>
              <w:fldChar w:fldCharType="separate"/>
            </w:r>
            <w:r>
              <w:rPr>
                <w:webHidden/>
              </w:rPr>
              <w:t>15</w:t>
            </w:r>
            <w:r w:rsidR="00711528">
              <w:rPr>
                <w:webHidden/>
              </w:rPr>
              <w:fldChar w:fldCharType="end"/>
            </w:r>
          </w:hyperlink>
        </w:p>
        <w:p w14:paraId="5E0D12CF" w14:textId="77777777" w:rsidR="00711528" w:rsidRDefault="00AD068A">
          <w:pPr>
            <w:pStyle w:val="TOC2"/>
            <w:rPr>
              <w:rFonts w:asciiTheme="minorHAnsi" w:eastAsiaTheme="minorEastAsia" w:hAnsiTheme="minorHAnsi"/>
              <w:lang w:eastAsia="en-AU"/>
            </w:rPr>
          </w:pPr>
          <w:hyperlink w:anchor="_Toc452647328" w:history="1">
            <w:r w:rsidR="00711528" w:rsidRPr="00112B7F">
              <w:rPr>
                <w:rStyle w:val="Hyperlink"/>
              </w:rPr>
              <w:t>Role</w:t>
            </w:r>
            <w:r w:rsidR="00711528">
              <w:rPr>
                <w:webHidden/>
              </w:rPr>
              <w:tab/>
            </w:r>
            <w:r w:rsidR="00711528">
              <w:rPr>
                <w:webHidden/>
              </w:rPr>
              <w:fldChar w:fldCharType="begin"/>
            </w:r>
            <w:r w:rsidR="00711528">
              <w:rPr>
                <w:webHidden/>
              </w:rPr>
              <w:instrText xml:space="preserve"> PAGEREF _Toc452647328 \h </w:instrText>
            </w:r>
            <w:r w:rsidR="00711528">
              <w:rPr>
                <w:webHidden/>
              </w:rPr>
            </w:r>
            <w:r w:rsidR="00711528">
              <w:rPr>
                <w:webHidden/>
              </w:rPr>
              <w:fldChar w:fldCharType="separate"/>
            </w:r>
            <w:r>
              <w:rPr>
                <w:webHidden/>
              </w:rPr>
              <w:t>15</w:t>
            </w:r>
            <w:r w:rsidR="00711528">
              <w:rPr>
                <w:webHidden/>
              </w:rPr>
              <w:fldChar w:fldCharType="end"/>
            </w:r>
          </w:hyperlink>
        </w:p>
        <w:p w14:paraId="36977075" w14:textId="77777777" w:rsidR="00711528" w:rsidRDefault="00AD068A">
          <w:pPr>
            <w:pStyle w:val="TOC1"/>
            <w:rPr>
              <w:rFonts w:asciiTheme="minorHAnsi" w:eastAsiaTheme="minorEastAsia" w:hAnsiTheme="minorHAnsi"/>
              <w:b w:val="0"/>
              <w:lang w:eastAsia="en-AU"/>
            </w:rPr>
          </w:pPr>
          <w:hyperlink w:anchor="_Toc452647329" w:history="1">
            <w:r w:rsidR="00711528" w:rsidRPr="00112B7F">
              <w:rPr>
                <w:rStyle w:val="Hyperlink"/>
              </w:rPr>
              <w:t>8</w:t>
            </w:r>
            <w:r w:rsidR="00711528">
              <w:rPr>
                <w:rFonts w:asciiTheme="minorHAnsi" w:eastAsiaTheme="minorEastAsia" w:hAnsiTheme="minorHAnsi"/>
                <w:b w:val="0"/>
                <w:lang w:eastAsia="en-AU"/>
              </w:rPr>
              <w:tab/>
            </w:r>
            <w:r w:rsidR="00711528" w:rsidRPr="00112B7F">
              <w:rPr>
                <w:rStyle w:val="Hyperlink"/>
              </w:rPr>
              <w:t>Inspector-General of Biosecurity</w:t>
            </w:r>
            <w:r w:rsidR="00711528">
              <w:rPr>
                <w:webHidden/>
              </w:rPr>
              <w:tab/>
            </w:r>
            <w:r w:rsidR="00711528">
              <w:rPr>
                <w:webHidden/>
              </w:rPr>
              <w:fldChar w:fldCharType="begin"/>
            </w:r>
            <w:r w:rsidR="00711528">
              <w:rPr>
                <w:webHidden/>
              </w:rPr>
              <w:instrText xml:space="preserve"> PAGEREF _Toc452647329 \h </w:instrText>
            </w:r>
            <w:r w:rsidR="00711528">
              <w:rPr>
                <w:webHidden/>
              </w:rPr>
            </w:r>
            <w:r w:rsidR="00711528">
              <w:rPr>
                <w:webHidden/>
              </w:rPr>
              <w:fldChar w:fldCharType="separate"/>
            </w:r>
            <w:r>
              <w:rPr>
                <w:webHidden/>
              </w:rPr>
              <w:t>17</w:t>
            </w:r>
            <w:r w:rsidR="00711528">
              <w:rPr>
                <w:webHidden/>
              </w:rPr>
              <w:fldChar w:fldCharType="end"/>
            </w:r>
          </w:hyperlink>
        </w:p>
        <w:p w14:paraId="6AC20980" w14:textId="77777777" w:rsidR="00711528" w:rsidRDefault="00AD068A">
          <w:pPr>
            <w:pStyle w:val="TOC1"/>
            <w:rPr>
              <w:rFonts w:asciiTheme="minorHAnsi" w:eastAsiaTheme="minorEastAsia" w:hAnsiTheme="minorHAnsi"/>
              <w:b w:val="0"/>
              <w:lang w:eastAsia="en-AU"/>
            </w:rPr>
          </w:pPr>
          <w:hyperlink w:anchor="_Toc452647330" w:history="1">
            <w:r w:rsidR="00711528" w:rsidRPr="00112B7F">
              <w:rPr>
                <w:rStyle w:val="Hyperlink"/>
              </w:rPr>
              <w:t>Appendix: Biosecurity contact details</w:t>
            </w:r>
            <w:r w:rsidR="00711528">
              <w:rPr>
                <w:webHidden/>
              </w:rPr>
              <w:tab/>
            </w:r>
            <w:r w:rsidR="00711528">
              <w:rPr>
                <w:webHidden/>
              </w:rPr>
              <w:fldChar w:fldCharType="begin"/>
            </w:r>
            <w:r w:rsidR="00711528">
              <w:rPr>
                <w:webHidden/>
              </w:rPr>
              <w:instrText xml:space="preserve"> PAGEREF _Toc452647330 \h </w:instrText>
            </w:r>
            <w:r w:rsidR="00711528">
              <w:rPr>
                <w:webHidden/>
              </w:rPr>
            </w:r>
            <w:r w:rsidR="00711528">
              <w:rPr>
                <w:webHidden/>
              </w:rPr>
              <w:fldChar w:fldCharType="separate"/>
            </w:r>
            <w:r>
              <w:rPr>
                <w:webHidden/>
              </w:rPr>
              <w:t>18</w:t>
            </w:r>
            <w:r w:rsidR="00711528">
              <w:rPr>
                <w:webHidden/>
              </w:rPr>
              <w:fldChar w:fldCharType="end"/>
            </w:r>
          </w:hyperlink>
        </w:p>
        <w:p w14:paraId="30F35AE7" w14:textId="77777777" w:rsidR="00711528" w:rsidRDefault="00AD068A">
          <w:pPr>
            <w:pStyle w:val="TOC1"/>
            <w:rPr>
              <w:rFonts w:asciiTheme="minorHAnsi" w:eastAsiaTheme="minorEastAsia" w:hAnsiTheme="minorHAnsi"/>
              <w:b w:val="0"/>
              <w:lang w:eastAsia="en-AU"/>
            </w:rPr>
          </w:pPr>
          <w:hyperlink w:anchor="_Toc452647331" w:history="1">
            <w:r w:rsidR="00711528" w:rsidRPr="00112B7F">
              <w:rPr>
                <w:rStyle w:val="Hyperlink"/>
              </w:rPr>
              <w:t>Glossary</w:t>
            </w:r>
            <w:r w:rsidR="00711528">
              <w:rPr>
                <w:webHidden/>
              </w:rPr>
              <w:tab/>
            </w:r>
            <w:r w:rsidR="00711528">
              <w:rPr>
                <w:webHidden/>
              </w:rPr>
              <w:fldChar w:fldCharType="begin"/>
            </w:r>
            <w:r w:rsidR="00711528">
              <w:rPr>
                <w:webHidden/>
              </w:rPr>
              <w:instrText xml:space="preserve"> PAGEREF _Toc452647331 \h </w:instrText>
            </w:r>
            <w:r w:rsidR="00711528">
              <w:rPr>
                <w:webHidden/>
              </w:rPr>
            </w:r>
            <w:r w:rsidR="00711528">
              <w:rPr>
                <w:webHidden/>
              </w:rPr>
              <w:fldChar w:fldCharType="separate"/>
            </w:r>
            <w:r>
              <w:rPr>
                <w:webHidden/>
              </w:rPr>
              <w:t>19</w:t>
            </w:r>
            <w:r w:rsidR="00711528">
              <w:rPr>
                <w:webHidden/>
              </w:rPr>
              <w:fldChar w:fldCharType="end"/>
            </w:r>
          </w:hyperlink>
        </w:p>
        <w:p w14:paraId="77D7D572" w14:textId="6DEC60F2" w:rsidR="00782CE2" w:rsidRPr="00D36B48" w:rsidRDefault="00D36B48" w:rsidP="00D36B48">
          <w:r>
            <w:rPr>
              <w:rStyle w:val="Heading1Char"/>
            </w:rPr>
            <w:fldChar w:fldCharType="end"/>
          </w:r>
        </w:p>
      </w:sdtContent>
    </w:sdt>
    <w:p w14:paraId="7B049DC2" w14:textId="77777777" w:rsidR="00C550BC" w:rsidRDefault="00C550BC" w:rsidP="00C550BC">
      <w:pPr>
        <w:pStyle w:val="TOCHeadingsamepage"/>
      </w:pPr>
      <w:bookmarkStart w:id="14" w:name="_Toc432162292"/>
      <w:bookmarkStart w:id="15" w:name="_Toc430767794"/>
      <w:bookmarkStart w:id="16" w:name="_Toc409769077"/>
      <w:bookmarkEnd w:id="13"/>
      <w:r w:rsidRPr="007624E0">
        <w:t>Table</w:t>
      </w:r>
      <w:r>
        <w:t>s</w:t>
      </w:r>
    </w:p>
    <w:p w14:paraId="43AAA3D5" w14:textId="6200D271" w:rsidR="00C550BC" w:rsidRDefault="00C550BC">
      <w:pPr>
        <w:pStyle w:val="TableofFigures"/>
        <w:tabs>
          <w:tab w:val="right" w:leader="dot" w:pos="9060"/>
        </w:tabs>
        <w:rPr>
          <w:rStyle w:val="Hyperlink"/>
          <w:noProof/>
        </w:rPr>
      </w:pPr>
      <w:r>
        <w:rPr>
          <w:lang w:eastAsia="ja-JP"/>
        </w:rPr>
        <w:fldChar w:fldCharType="begin"/>
      </w:r>
      <w:r>
        <w:rPr>
          <w:lang w:eastAsia="ja-JP"/>
        </w:rPr>
        <w:instrText xml:space="preserve"> TOC \h \z \c "Table" </w:instrText>
      </w:r>
      <w:r>
        <w:rPr>
          <w:lang w:eastAsia="ja-JP"/>
        </w:rPr>
        <w:fldChar w:fldCharType="separate"/>
      </w:r>
      <w:hyperlink w:anchor="_Toc452647544" w:history="1">
        <w:r w:rsidRPr="00736022">
          <w:rPr>
            <w:rStyle w:val="Hyperlink"/>
            <w:noProof/>
          </w:rPr>
          <w:t>Table 1 The risk estimation matrix</w:t>
        </w:r>
        <w:r>
          <w:rPr>
            <w:noProof/>
            <w:webHidden/>
          </w:rPr>
          <w:tab/>
        </w:r>
        <w:r>
          <w:rPr>
            <w:noProof/>
            <w:webHidden/>
          </w:rPr>
          <w:fldChar w:fldCharType="begin"/>
        </w:r>
        <w:r>
          <w:rPr>
            <w:noProof/>
            <w:webHidden/>
          </w:rPr>
          <w:instrText xml:space="preserve"> PAGEREF _Toc452647544 \h </w:instrText>
        </w:r>
        <w:r>
          <w:rPr>
            <w:noProof/>
            <w:webHidden/>
          </w:rPr>
        </w:r>
        <w:r>
          <w:rPr>
            <w:noProof/>
            <w:webHidden/>
          </w:rPr>
          <w:fldChar w:fldCharType="separate"/>
        </w:r>
        <w:r w:rsidR="00AD068A">
          <w:rPr>
            <w:noProof/>
            <w:webHidden/>
          </w:rPr>
          <w:t>7</w:t>
        </w:r>
        <w:r>
          <w:rPr>
            <w:noProof/>
            <w:webHidden/>
          </w:rPr>
          <w:fldChar w:fldCharType="end"/>
        </w:r>
      </w:hyperlink>
    </w:p>
    <w:p w14:paraId="045C0E48" w14:textId="77777777" w:rsidR="00C550BC" w:rsidRPr="00C550BC" w:rsidRDefault="00C550BC" w:rsidP="00C550BC"/>
    <w:p w14:paraId="2A3A24C4" w14:textId="55DAFF9D" w:rsidR="0008610B" w:rsidRPr="000B573A" w:rsidRDefault="00C550BC" w:rsidP="00C550BC">
      <w:pPr>
        <w:pStyle w:val="TOCHeadingsamepage"/>
      </w:pPr>
      <w:r>
        <w:fldChar w:fldCharType="end"/>
      </w:r>
      <w:r w:rsidR="0008610B" w:rsidRPr="000B573A">
        <w:t>Figure</w:t>
      </w:r>
      <w:bookmarkEnd w:id="14"/>
      <w:r w:rsidR="007624E0">
        <w:t>s</w:t>
      </w:r>
    </w:p>
    <w:p w14:paraId="7F086658" w14:textId="121625AD" w:rsidR="007624E0" w:rsidRDefault="0008610B">
      <w:pPr>
        <w:pStyle w:val="TableofFigures"/>
        <w:tabs>
          <w:tab w:val="right" w:leader="dot" w:pos="9060"/>
        </w:tabs>
        <w:rPr>
          <w:rFonts w:asciiTheme="minorHAnsi" w:eastAsiaTheme="minorEastAsia" w:hAnsiTheme="minorHAnsi"/>
          <w:noProof/>
          <w:lang w:eastAsia="en-AU"/>
        </w:rPr>
      </w:pPr>
      <w:r w:rsidRPr="00616892">
        <w:rPr>
          <w:rFonts w:asciiTheme="majorHAnsi" w:hAnsiTheme="majorHAnsi"/>
          <w:bCs/>
          <w:sz w:val="24"/>
          <w:szCs w:val="24"/>
          <w:highlight w:val="yellow"/>
        </w:rPr>
        <w:fldChar w:fldCharType="begin"/>
      </w:r>
      <w:r w:rsidRPr="00616892">
        <w:rPr>
          <w:rFonts w:asciiTheme="majorHAnsi" w:hAnsiTheme="majorHAnsi"/>
          <w:bCs/>
          <w:szCs w:val="24"/>
          <w:highlight w:val="yellow"/>
        </w:rPr>
        <w:instrText xml:space="preserve"> TOC \h \z \c "Figure" </w:instrText>
      </w:r>
      <w:r w:rsidRPr="00616892">
        <w:rPr>
          <w:rFonts w:asciiTheme="majorHAnsi" w:hAnsiTheme="majorHAnsi"/>
          <w:bCs/>
          <w:sz w:val="24"/>
          <w:szCs w:val="24"/>
          <w:highlight w:val="yellow"/>
        </w:rPr>
        <w:fldChar w:fldCharType="separate"/>
      </w:r>
      <w:hyperlink w:anchor="_Toc452646031" w:history="1">
        <w:r w:rsidR="007624E0" w:rsidRPr="00F62D0B">
          <w:rPr>
            <w:rStyle w:val="Hyperlink"/>
            <w:noProof/>
          </w:rPr>
          <w:t>Figure 1 The BIRA process</w:t>
        </w:r>
        <w:r w:rsidR="007624E0">
          <w:rPr>
            <w:noProof/>
            <w:webHidden/>
          </w:rPr>
          <w:tab/>
        </w:r>
        <w:r w:rsidR="007624E0">
          <w:rPr>
            <w:noProof/>
            <w:webHidden/>
          </w:rPr>
          <w:fldChar w:fldCharType="begin"/>
        </w:r>
        <w:r w:rsidR="007624E0">
          <w:rPr>
            <w:noProof/>
            <w:webHidden/>
          </w:rPr>
          <w:instrText xml:space="preserve"> PAGEREF _Toc452646031 \h </w:instrText>
        </w:r>
        <w:r w:rsidR="007624E0">
          <w:rPr>
            <w:noProof/>
            <w:webHidden/>
          </w:rPr>
        </w:r>
        <w:r w:rsidR="007624E0">
          <w:rPr>
            <w:noProof/>
            <w:webHidden/>
          </w:rPr>
          <w:fldChar w:fldCharType="separate"/>
        </w:r>
        <w:r w:rsidR="00AD068A">
          <w:rPr>
            <w:noProof/>
            <w:webHidden/>
          </w:rPr>
          <w:t>13</w:t>
        </w:r>
        <w:r w:rsidR="007624E0">
          <w:rPr>
            <w:noProof/>
            <w:webHidden/>
          </w:rPr>
          <w:fldChar w:fldCharType="end"/>
        </w:r>
      </w:hyperlink>
    </w:p>
    <w:p w14:paraId="0612825B" w14:textId="121625AD" w:rsidR="007624E0" w:rsidRDefault="0008610B" w:rsidP="0008610B">
      <w:pPr>
        <w:rPr>
          <w:rFonts w:asciiTheme="majorHAnsi" w:hAnsiTheme="majorHAnsi"/>
          <w:bCs/>
          <w:szCs w:val="24"/>
        </w:rPr>
      </w:pPr>
      <w:r w:rsidRPr="00616892">
        <w:rPr>
          <w:rFonts w:asciiTheme="majorHAnsi" w:hAnsiTheme="majorHAnsi"/>
          <w:bCs/>
          <w:szCs w:val="24"/>
          <w:highlight w:val="yellow"/>
        </w:rPr>
        <w:fldChar w:fldCharType="end"/>
      </w:r>
    </w:p>
    <w:p w14:paraId="6612C6E7" w14:textId="2B04125B" w:rsidR="007624E0" w:rsidRDefault="00C550BC" w:rsidP="00C550BC">
      <w:pPr>
        <w:pStyle w:val="TOCHeadingsamepage"/>
      </w:pPr>
      <w:r>
        <w:t>Boxes</w:t>
      </w:r>
    </w:p>
    <w:p w14:paraId="14990F35" w14:textId="77777777" w:rsidR="00C550BC" w:rsidRDefault="00C550BC">
      <w:pPr>
        <w:pStyle w:val="TableofFigures"/>
        <w:tabs>
          <w:tab w:val="right" w:leader="dot" w:pos="9060"/>
        </w:tabs>
        <w:rPr>
          <w:rFonts w:asciiTheme="minorHAnsi" w:eastAsiaTheme="minorEastAsia" w:hAnsiTheme="minorHAnsi"/>
          <w:noProof/>
          <w:lang w:eastAsia="en-AU"/>
        </w:rPr>
      </w:pPr>
      <w:r>
        <w:rPr>
          <w:lang w:eastAsia="ja-JP"/>
        </w:rPr>
        <w:fldChar w:fldCharType="begin"/>
      </w:r>
      <w:r>
        <w:rPr>
          <w:lang w:eastAsia="ja-JP"/>
        </w:rPr>
        <w:instrText xml:space="preserve"> TOC \h \z \c "Box" </w:instrText>
      </w:r>
      <w:r>
        <w:rPr>
          <w:lang w:eastAsia="ja-JP"/>
        </w:rPr>
        <w:fldChar w:fldCharType="separate"/>
      </w:r>
      <w:hyperlink w:anchor="_Toc452647689" w:history="1">
        <w:r w:rsidRPr="00AA1386">
          <w:rPr>
            <w:rStyle w:val="Hyperlink"/>
            <w:noProof/>
          </w:rPr>
          <w:t>Box 1 Regional differences and ‘official control’</w:t>
        </w:r>
        <w:r>
          <w:rPr>
            <w:noProof/>
            <w:webHidden/>
          </w:rPr>
          <w:tab/>
        </w:r>
        <w:r>
          <w:rPr>
            <w:noProof/>
            <w:webHidden/>
          </w:rPr>
          <w:fldChar w:fldCharType="begin"/>
        </w:r>
        <w:r>
          <w:rPr>
            <w:noProof/>
            <w:webHidden/>
          </w:rPr>
          <w:instrText xml:space="preserve"> PAGEREF _Toc452647689 \h </w:instrText>
        </w:r>
        <w:r>
          <w:rPr>
            <w:noProof/>
            <w:webHidden/>
          </w:rPr>
        </w:r>
        <w:r>
          <w:rPr>
            <w:noProof/>
            <w:webHidden/>
          </w:rPr>
          <w:fldChar w:fldCharType="separate"/>
        </w:r>
        <w:r w:rsidR="00AD068A">
          <w:rPr>
            <w:noProof/>
            <w:webHidden/>
          </w:rPr>
          <w:t>9</w:t>
        </w:r>
        <w:r>
          <w:rPr>
            <w:noProof/>
            <w:webHidden/>
          </w:rPr>
          <w:fldChar w:fldCharType="end"/>
        </w:r>
      </w:hyperlink>
    </w:p>
    <w:p w14:paraId="4AD6D256" w14:textId="77777777" w:rsidR="00C550BC" w:rsidRPr="00C550BC" w:rsidRDefault="00C550BC" w:rsidP="00C550BC">
      <w:pPr>
        <w:rPr>
          <w:lang w:eastAsia="ja-JP"/>
        </w:rPr>
      </w:pPr>
      <w:r>
        <w:rPr>
          <w:lang w:eastAsia="ja-JP"/>
        </w:rPr>
        <w:fldChar w:fldCharType="end"/>
      </w:r>
    </w:p>
    <w:p w14:paraId="3843EE1E" w14:textId="77777777" w:rsidR="007624E0" w:rsidRPr="00616892" w:rsidRDefault="007624E0" w:rsidP="0008610B">
      <w:pPr>
        <w:rPr>
          <w:rFonts w:asciiTheme="majorHAnsi" w:hAnsiTheme="majorHAnsi"/>
          <w:bCs/>
          <w:color w:val="000000"/>
          <w:spacing w:val="5"/>
          <w:kern w:val="28"/>
        </w:rPr>
      </w:pPr>
    </w:p>
    <w:p w14:paraId="73062EF4" w14:textId="77777777" w:rsidR="003601ED" w:rsidRDefault="003601ED" w:rsidP="007737C1">
      <w:pPr>
        <w:pStyle w:val="Heading2"/>
        <w:rPr>
          <w:highlight w:val="yellow"/>
        </w:rPr>
        <w:sectPr w:rsidR="003601ED" w:rsidSect="003601ED">
          <w:headerReference w:type="first" r:id="rId20"/>
          <w:footerReference w:type="first" r:id="rId21"/>
          <w:pgSz w:w="11906" w:h="16838"/>
          <w:pgMar w:top="1418" w:right="1418" w:bottom="1418" w:left="1418" w:header="567" w:footer="283" w:gutter="0"/>
          <w:pgNumType w:fmt="lowerRoman"/>
          <w:cols w:space="708"/>
          <w:titlePg/>
          <w:docGrid w:linePitch="360"/>
        </w:sectPr>
      </w:pPr>
    </w:p>
    <w:p w14:paraId="21E2C7C2" w14:textId="6826D24D" w:rsidR="004D73D9" w:rsidRPr="00C47E1F" w:rsidRDefault="00D40BA5" w:rsidP="007737C1">
      <w:pPr>
        <w:pStyle w:val="Heading2"/>
        <w:numPr>
          <w:ilvl w:val="0"/>
          <w:numId w:val="0"/>
        </w:numPr>
      </w:pPr>
      <w:bookmarkStart w:id="17" w:name="_Toc452647293"/>
      <w:bookmarkEnd w:id="15"/>
      <w:r>
        <w:lastRenderedPageBreak/>
        <w:t>About these</w:t>
      </w:r>
      <w:r w:rsidR="004A21AA">
        <w:t xml:space="preserve"> guidelines</w:t>
      </w:r>
      <w:bookmarkEnd w:id="17"/>
    </w:p>
    <w:p w14:paraId="141634EC" w14:textId="6229B46D" w:rsidR="004D73D9" w:rsidRPr="00616892" w:rsidRDefault="004D73D9" w:rsidP="000B0E4F">
      <w:pPr>
        <w:rPr>
          <w:rFonts w:asciiTheme="majorHAnsi" w:hAnsiTheme="majorHAnsi"/>
        </w:rPr>
      </w:pPr>
      <w:r w:rsidRPr="00616892">
        <w:rPr>
          <w:rFonts w:asciiTheme="majorHAnsi" w:hAnsiTheme="majorHAnsi"/>
        </w:rPr>
        <w:t xml:space="preserve">The </w:t>
      </w:r>
      <w:r w:rsidR="00F82736" w:rsidRPr="00590746">
        <w:rPr>
          <w:rFonts w:asciiTheme="majorHAnsi" w:hAnsiTheme="majorHAnsi"/>
        </w:rPr>
        <w:t>Biosecurity Import Risk Analysis G</w:t>
      </w:r>
      <w:r w:rsidRPr="00590746">
        <w:rPr>
          <w:rFonts w:asciiTheme="majorHAnsi" w:hAnsiTheme="majorHAnsi"/>
        </w:rPr>
        <w:t>uidelines</w:t>
      </w:r>
      <w:r w:rsidR="004B3E38" w:rsidRPr="00590746">
        <w:rPr>
          <w:rFonts w:asciiTheme="majorHAnsi" w:hAnsiTheme="majorHAnsi"/>
        </w:rPr>
        <w:t xml:space="preserve"> 2016</w:t>
      </w:r>
      <w:r w:rsidRPr="00616892">
        <w:rPr>
          <w:rFonts w:asciiTheme="majorHAnsi" w:hAnsiTheme="majorHAnsi"/>
        </w:rPr>
        <w:t xml:space="preserve"> describe the process the Australian Government Department of Agriculture </w:t>
      </w:r>
      <w:r w:rsidR="00E7352C" w:rsidRPr="00616892">
        <w:rPr>
          <w:rFonts w:asciiTheme="majorHAnsi" w:hAnsiTheme="majorHAnsi"/>
        </w:rPr>
        <w:t xml:space="preserve">and Water Resources </w:t>
      </w:r>
      <w:r w:rsidRPr="00616892">
        <w:rPr>
          <w:rFonts w:asciiTheme="majorHAnsi" w:hAnsiTheme="majorHAnsi"/>
        </w:rPr>
        <w:t xml:space="preserve">follows and matters to be taken into </w:t>
      </w:r>
      <w:r w:rsidR="000819C6" w:rsidRPr="00616892">
        <w:rPr>
          <w:rFonts w:asciiTheme="majorHAnsi" w:hAnsiTheme="majorHAnsi"/>
        </w:rPr>
        <w:t>account when</w:t>
      </w:r>
      <w:r w:rsidRPr="00616892">
        <w:rPr>
          <w:rFonts w:asciiTheme="majorHAnsi" w:hAnsiTheme="majorHAnsi"/>
        </w:rPr>
        <w:t xml:space="preserve"> conducting a Biosecurity Import Risk Analysis (BIRA) under the </w:t>
      </w:r>
      <w:r w:rsidRPr="00616892">
        <w:rPr>
          <w:rFonts w:asciiTheme="majorHAnsi" w:hAnsiTheme="majorHAnsi"/>
          <w:i/>
        </w:rPr>
        <w:t>Biosecurity Act 2015</w:t>
      </w:r>
      <w:r w:rsidRPr="00616892">
        <w:rPr>
          <w:rFonts w:asciiTheme="majorHAnsi" w:hAnsiTheme="majorHAnsi"/>
        </w:rPr>
        <w:t xml:space="preserve"> and the Biosecurity </w:t>
      </w:r>
      <w:r w:rsidR="004B3E38">
        <w:rPr>
          <w:rFonts w:asciiTheme="majorHAnsi" w:hAnsiTheme="majorHAnsi"/>
        </w:rPr>
        <w:t>Regulation</w:t>
      </w:r>
      <w:r w:rsidR="008B7950">
        <w:rPr>
          <w:rFonts w:asciiTheme="majorHAnsi" w:hAnsiTheme="majorHAnsi"/>
        </w:rPr>
        <w:t xml:space="preserve"> 2016</w:t>
      </w:r>
      <w:r w:rsidR="004B3E38">
        <w:rPr>
          <w:rFonts w:asciiTheme="majorHAnsi" w:hAnsiTheme="majorHAnsi"/>
        </w:rPr>
        <w:t>.</w:t>
      </w:r>
    </w:p>
    <w:p w14:paraId="32F8F43D" w14:textId="09308DCA" w:rsidR="004D73D9" w:rsidRPr="00616892" w:rsidRDefault="004D73D9" w:rsidP="000B0E4F">
      <w:pPr>
        <w:rPr>
          <w:rFonts w:asciiTheme="majorHAnsi" w:hAnsiTheme="majorHAnsi"/>
        </w:rPr>
      </w:pPr>
      <w:r w:rsidRPr="00616892">
        <w:rPr>
          <w:rFonts w:asciiTheme="majorHAnsi" w:hAnsiTheme="majorHAnsi"/>
        </w:rPr>
        <w:t xml:space="preserve">These guidelines describe a structured approach for conducting BIRAs that is consistent with Australian </w:t>
      </w:r>
      <w:r w:rsidR="008407C5">
        <w:rPr>
          <w:rFonts w:asciiTheme="majorHAnsi" w:hAnsiTheme="majorHAnsi"/>
        </w:rPr>
        <w:t>G</w:t>
      </w:r>
      <w:r w:rsidRPr="00616892">
        <w:rPr>
          <w:rFonts w:asciiTheme="majorHAnsi" w:hAnsiTheme="majorHAnsi"/>
        </w:rPr>
        <w:t xml:space="preserve">overnment policy, the </w:t>
      </w:r>
      <w:r w:rsidRPr="00590746">
        <w:rPr>
          <w:rFonts w:asciiTheme="majorHAnsi" w:hAnsiTheme="majorHAnsi"/>
        </w:rPr>
        <w:t>Biosecurity Act</w:t>
      </w:r>
      <w:r w:rsidRPr="008407C5">
        <w:rPr>
          <w:rFonts w:asciiTheme="majorHAnsi" w:hAnsiTheme="majorHAnsi"/>
        </w:rPr>
        <w:t xml:space="preserve"> </w:t>
      </w:r>
      <w:r w:rsidRPr="00616892">
        <w:rPr>
          <w:rFonts w:asciiTheme="majorHAnsi" w:hAnsiTheme="majorHAnsi"/>
        </w:rPr>
        <w:t xml:space="preserve">and subordinate legislation, the </w:t>
      </w:r>
      <w:r w:rsidR="000C5532">
        <w:rPr>
          <w:rFonts w:asciiTheme="majorHAnsi" w:hAnsiTheme="majorHAnsi"/>
        </w:rPr>
        <w:t>obligations</w:t>
      </w:r>
      <w:r w:rsidR="00935DC0">
        <w:rPr>
          <w:rFonts w:asciiTheme="majorHAnsi" w:hAnsiTheme="majorHAnsi"/>
        </w:rPr>
        <w:t xml:space="preserve"> </w:t>
      </w:r>
      <w:r w:rsidRPr="00616892">
        <w:rPr>
          <w:rFonts w:asciiTheme="majorHAnsi" w:hAnsiTheme="majorHAnsi"/>
        </w:rPr>
        <w:t xml:space="preserve">of the World Trade Organization (WTO) </w:t>
      </w:r>
      <w:r w:rsidR="00D40BA5" w:rsidRPr="0043546F">
        <w:t>Agreement on the Application of Sanitary and Phytosanitary Measures</w:t>
      </w:r>
      <w:r w:rsidRPr="00616892">
        <w:rPr>
          <w:rFonts w:asciiTheme="majorHAnsi" w:hAnsiTheme="majorHAnsi"/>
          <w:i/>
        </w:rPr>
        <w:t xml:space="preserve"> </w:t>
      </w:r>
      <w:r w:rsidRPr="00616892">
        <w:rPr>
          <w:rFonts w:asciiTheme="majorHAnsi" w:hAnsiTheme="majorHAnsi"/>
        </w:rPr>
        <w:t xml:space="preserve">(SPS </w:t>
      </w:r>
      <w:r w:rsidR="004A21AA">
        <w:rPr>
          <w:rFonts w:asciiTheme="majorHAnsi" w:hAnsiTheme="majorHAnsi"/>
        </w:rPr>
        <w:t>a</w:t>
      </w:r>
      <w:r w:rsidRPr="00616892">
        <w:rPr>
          <w:rFonts w:asciiTheme="majorHAnsi" w:hAnsiTheme="majorHAnsi"/>
        </w:rPr>
        <w:t>greement)</w:t>
      </w:r>
      <w:r w:rsidR="00CB43CD">
        <w:rPr>
          <w:rFonts w:asciiTheme="majorHAnsi" w:hAnsiTheme="majorHAnsi"/>
        </w:rPr>
        <w:t>,</w:t>
      </w:r>
      <w:r w:rsidRPr="00616892">
        <w:rPr>
          <w:rFonts w:asciiTheme="majorHAnsi" w:hAnsiTheme="majorHAnsi"/>
        </w:rPr>
        <w:t xml:space="preserve"> and the standards developed by the World Organization for Animal Health (OIE) and the International Plant Protection Convention (IPPC).</w:t>
      </w:r>
    </w:p>
    <w:p w14:paraId="13BE8BF9" w14:textId="77777777" w:rsidR="004D73D9" w:rsidRDefault="004D73D9" w:rsidP="000B0E4F">
      <w:pPr>
        <w:rPr>
          <w:rFonts w:asciiTheme="majorHAnsi" w:hAnsiTheme="majorHAnsi"/>
        </w:rPr>
      </w:pPr>
      <w:r w:rsidRPr="00616892">
        <w:rPr>
          <w:rFonts w:asciiTheme="majorHAnsi" w:hAnsiTheme="majorHAnsi"/>
        </w:rPr>
        <w:t>These guidelines are a living document and minor amendments will be made from time to time as necessary. Any major review of the guidelines will involve stakeholder consultation.</w:t>
      </w:r>
    </w:p>
    <w:p w14:paraId="1A42AD04" w14:textId="77777777" w:rsidR="0019672B" w:rsidRDefault="0019672B" w:rsidP="000B0E4F">
      <w:pPr>
        <w:rPr>
          <w:rFonts w:asciiTheme="majorHAnsi" w:hAnsiTheme="majorHAnsi"/>
        </w:rPr>
        <w:sectPr w:rsidR="0019672B" w:rsidSect="0019672B">
          <w:headerReference w:type="first" r:id="rId22"/>
          <w:footerReference w:type="first" r:id="rId23"/>
          <w:type w:val="oddPage"/>
          <w:pgSz w:w="11906" w:h="16838"/>
          <w:pgMar w:top="1418" w:right="1418" w:bottom="1418" w:left="1418" w:header="567" w:footer="283" w:gutter="0"/>
          <w:pgNumType w:fmt="lowerRoman"/>
          <w:cols w:space="708"/>
          <w:docGrid w:linePitch="360"/>
        </w:sectPr>
      </w:pPr>
    </w:p>
    <w:p w14:paraId="100C91B2" w14:textId="45B639B7" w:rsidR="004D73D9" w:rsidRPr="00C47E1F" w:rsidRDefault="004D73D9" w:rsidP="007737C1">
      <w:pPr>
        <w:pStyle w:val="Heading2"/>
      </w:pPr>
      <w:bookmarkStart w:id="18" w:name="_Toc402865200"/>
      <w:bookmarkStart w:id="19" w:name="_Toc430767795"/>
      <w:bookmarkStart w:id="20" w:name="_Toc452647294"/>
      <w:r w:rsidRPr="00C47E1F">
        <w:lastRenderedPageBreak/>
        <w:t>Introduction</w:t>
      </w:r>
      <w:bookmarkEnd w:id="18"/>
      <w:bookmarkEnd w:id="19"/>
      <w:bookmarkEnd w:id="20"/>
    </w:p>
    <w:p w14:paraId="4D3E2305" w14:textId="0CE0AA7B" w:rsidR="004D73D9" w:rsidRPr="00616892" w:rsidRDefault="004D73D9" w:rsidP="000B0E4F">
      <w:pPr>
        <w:rPr>
          <w:rFonts w:asciiTheme="majorHAnsi" w:hAnsiTheme="majorHAnsi"/>
        </w:rPr>
      </w:pPr>
      <w:r w:rsidRPr="00616892">
        <w:rPr>
          <w:rFonts w:asciiTheme="majorHAnsi" w:hAnsiTheme="majorHAnsi"/>
        </w:rPr>
        <w:t xml:space="preserve">The </w:t>
      </w:r>
      <w:r w:rsidR="004B3E38">
        <w:rPr>
          <w:rFonts w:asciiTheme="majorHAnsi" w:hAnsiTheme="majorHAnsi"/>
        </w:rPr>
        <w:t>department</w:t>
      </w:r>
      <w:r w:rsidRPr="00616892">
        <w:rPr>
          <w:rFonts w:asciiTheme="majorHAnsi" w:hAnsiTheme="majorHAnsi"/>
        </w:rPr>
        <w:t xml:space="preserve"> is tasked w</w:t>
      </w:r>
      <w:r w:rsidRPr="00E112DD">
        <w:rPr>
          <w:rFonts w:asciiTheme="majorHAnsi" w:hAnsiTheme="majorHAnsi"/>
        </w:rPr>
        <w:t xml:space="preserve">ith </w:t>
      </w:r>
      <w:r w:rsidRPr="005B1694">
        <w:rPr>
          <w:rFonts w:asciiTheme="majorHAnsi" w:hAnsiTheme="majorHAnsi"/>
        </w:rPr>
        <w:t>safeguarding Australia’s a</w:t>
      </w:r>
      <w:r w:rsidRPr="00E112DD">
        <w:rPr>
          <w:rFonts w:asciiTheme="majorHAnsi" w:hAnsiTheme="majorHAnsi"/>
        </w:rPr>
        <w:t>nimal and plant health status from</w:t>
      </w:r>
      <w:r w:rsidRPr="005B1694">
        <w:rPr>
          <w:rFonts w:asciiTheme="majorHAnsi" w:hAnsiTheme="majorHAnsi"/>
        </w:rPr>
        <w:t xml:space="preserve"> the impact of exotic </w:t>
      </w:r>
      <w:r w:rsidR="00DC3030">
        <w:rPr>
          <w:rFonts w:asciiTheme="majorHAnsi" w:hAnsiTheme="majorHAnsi"/>
        </w:rPr>
        <w:t xml:space="preserve">diseases and </w:t>
      </w:r>
      <w:r w:rsidRPr="005B1694">
        <w:rPr>
          <w:rFonts w:asciiTheme="majorHAnsi" w:hAnsiTheme="majorHAnsi"/>
        </w:rPr>
        <w:t>pests</w:t>
      </w:r>
      <w:r w:rsidRPr="00616892">
        <w:rPr>
          <w:rFonts w:asciiTheme="majorHAnsi" w:hAnsiTheme="majorHAnsi"/>
        </w:rPr>
        <w:t xml:space="preserve">, through risk </w:t>
      </w:r>
      <w:r w:rsidR="000C5532">
        <w:rPr>
          <w:rFonts w:asciiTheme="majorHAnsi" w:hAnsiTheme="majorHAnsi"/>
        </w:rPr>
        <w:t>analysis</w:t>
      </w:r>
      <w:r w:rsidRPr="00616892">
        <w:rPr>
          <w:rFonts w:asciiTheme="majorHAnsi" w:hAnsiTheme="majorHAnsi"/>
        </w:rPr>
        <w:t xml:space="preserve">, </w:t>
      </w:r>
      <w:r w:rsidR="000C5532">
        <w:rPr>
          <w:rFonts w:asciiTheme="majorHAnsi" w:hAnsiTheme="majorHAnsi"/>
        </w:rPr>
        <w:t xml:space="preserve">risk mitigation measures, </w:t>
      </w:r>
      <w:r w:rsidRPr="00616892">
        <w:rPr>
          <w:rFonts w:asciiTheme="majorHAnsi" w:hAnsiTheme="majorHAnsi"/>
        </w:rPr>
        <w:t>inspection and certification, and implementation of emergency response arrangements for Australian agricultural, food and fibre industries</w:t>
      </w:r>
      <w:r w:rsidRPr="005B1694">
        <w:rPr>
          <w:rFonts w:asciiTheme="majorHAnsi" w:hAnsiTheme="majorHAnsi"/>
        </w:rPr>
        <w:t xml:space="preserve">. This </w:t>
      </w:r>
      <w:r w:rsidR="005B1694">
        <w:rPr>
          <w:rFonts w:asciiTheme="majorHAnsi" w:hAnsiTheme="majorHAnsi"/>
        </w:rPr>
        <w:t xml:space="preserve">work </w:t>
      </w:r>
      <w:r w:rsidRPr="005B1694">
        <w:rPr>
          <w:rFonts w:asciiTheme="majorHAnsi" w:hAnsiTheme="majorHAnsi"/>
        </w:rPr>
        <w:t>is done in</w:t>
      </w:r>
      <w:r w:rsidRPr="00616892">
        <w:rPr>
          <w:rFonts w:asciiTheme="majorHAnsi" w:hAnsiTheme="majorHAnsi"/>
        </w:rPr>
        <w:t xml:space="preserve"> association with state and territory governments.</w:t>
      </w:r>
    </w:p>
    <w:p w14:paraId="63D249FC" w14:textId="4DCCD80C" w:rsidR="004D73D9" w:rsidRPr="00616892" w:rsidRDefault="004D73D9" w:rsidP="000B0E4F">
      <w:pPr>
        <w:rPr>
          <w:rFonts w:asciiTheme="majorHAnsi" w:hAnsiTheme="majorHAnsi"/>
        </w:rPr>
      </w:pPr>
      <w:r w:rsidRPr="00616892">
        <w:rPr>
          <w:rFonts w:asciiTheme="majorHAnsi" w:hAnsiTheme="majorHAnsi"/>
        </w:rPr>
        <w:t xml:space="preserve">Australia’s </w:t>
      </w:r>
      <w:r w:rsidRPr="004A21AA">
        <w:rPr>
          <w:rFonts w:asciiTheme="majorHAnsi" w:hAnsiTheme="majorHAnsi"/>
        </w:rPr>
        <w:t>agriculture se</w:t>
      </w:r>
      <w:r w:rsidRPr="00616892">
        <w:rPr>
          <w:rFonts w:asciiTheme="majorHAnsi" w:hAnsiTheme="majorHAnsi"/>
        </w:rPr>
        <w:t>ctor has a strong trade focus and reli</w:t>
      </w:r>
      <w:r w:rsidRPr="004A21AA">
        <w:rPr>
          <w:rFonts w:asciiTheme="majorHAnsi" w:hAnsiTheme="majorHAnsi"/>
        </w:rPr>
        <w:t xml:space="preserve">es on </w:t>
      </w:r>
      <w:r w:rsidR="004A21AA">
        <w:rPr>
          <w:rFonts w:asciiTheme="majorHAnsi" w:hAnsiTheme="majorHAnsi"/>
        </w:rPr>
        <w:t>the</w:t>
      </w:r>
      <w:r w:rsidR="004A21AA" w:rsidRPr="004A21AA">
        <w:rPr>
          <w:rFonts w:asciiTheme="majorHAnsi" w:hAnsiTheme="majorHAnsi"/>
        </w:rPr>
        <w:t xml:space="preserve"> </w:t>
      </w:r>
      <w:r w:rsidRPr="004A21AA">
        <w:rPr>
          <w:rFonts w:asciiTheme="majorHAnsi" w:hAnsiTheme="majorHAnsi"/>
        </w:rPr>
        <w:t>bio</w:t>
      </w:r>
      <w:r w:rsidRPr="00616892">
        <w:rPr>
          <w:rFonts w:asciiTheme="majorHAnsi" w:hAnsiTheme="majorHAnsi"/>
        </w:rPr>
        <w:t>security system to safegu</w:t>
      </w:r>
      <w:r w:rsidRPr="006369CA">
        <w:rPr>
          <w:rFonts w:asciiTheme="majorHAnsi" w:hAnsiTheme="majorHAnsi"/>
        </w:rPr>
        <w:t xml:space="preserve">ard </w:t>
      </w:r>
      <w:r w:rsidR="006369CA">
        <w:rPr>
          <w:rFonts w:asciiTheme="majorHAnsi" w:hAnsiTheme="majorHAnsi"/>
        </w:rPr>
        <w:t>the nation’s</w:t>
      </w:r>
      <w:r w:rsidR="006369CA" w:rsidRPr="006369CA">
        <w:rPr>
          <w:rFonts w:asciiTheme="majorHAnsi" w:hAnsiTheme="majorHAnsi"/>
        </w:rPr>
        <w:t xml:space="preserve"> </w:t>
      </w:r>
      <w:r w:rsidRPr="006369CA">
        <w:rPr>
          <w:rFonts w:asciiTheme="majorHAnsi" w:hAnsiTheme="majorHAnsi"/>
        </w:rPr>
        <w:t>fa</w:t>
      </w:r>
      <w:r w:rsidRPr="00616892">
        <w:rPr>
          <w:rFonts w:asciiTheme="majorHAnsi" w:hAnsiTheme="majorHAnsi"/>
        </w:rPr>
        <w:t xml:space="preserve">vourable human, animal and plant health status to protect </w:t>
      </w:r>
      <w:r w:rsidRPr="006369CA">
        <w:rPr>
          <w:rFonts w:asciiTheme="majorHAnsi" w:hAnsiTheme="majorHAnsi"/>
        </w:rPr>
        <w:t>both our</w:t>
      </w:r>
      <w:r w:rsidRPr="00616892">
        <w:rPr>
          <w:rFonts w:asciiTheme="majorHAnsi" w:hAnsiTheme="majorHAnsi"/>
        </w:rPr>
        <w:t xml:space="preserve"> domestic production and to maintain competitiveness and access to overseas markets.</w:t>
      </w:r>
    </w:p>
    <w:p w14:paraId="156D3A37" w14:textId="2C2E7FA1" w:rsidR="004D73D9" w:rsidRPr="00616892" w:rsidRDefault="004D73D9" w:rsidP="000B0E4F">
      <w:pPr>
        <w:rPr>
          <w:rFonts w:asciiTheme="majorHAnsi" w:hAnsiTheme="majorHAnsi"/>
        </w:rPr>
      </w:pPr>
      <w:r w:rsidRPr="00616892">
        <w:rPr>
          <w:rFonts w:asciiTheme="majorHAnsi" w:hAnsiTheme="majorHAnsi"/>
        </w:rPr>
        <w:t xml:space="preserve">The department undertakes a range of risk </w:t>
      </w:r>
      <w:r w:rsidR="000C5532" w:rsidRPr="00616892">
        <w:rPr>
          <w:rFonts w:asciiTheme="majorHAnsi" w:hAnsiTheme="majorHAnsi"/>
        </w:rPr>
        <w:t>a</w:t>
      </w:r>
      <w:r w:rsidR="000C5532">
        <w:rPr>
          <w:rFonts w:asciiTheme="majorHAnsi" w:hAnsiTheme="majorHAnsi"/>
        </w:rPr>
        <w:t>nalyses</w:t>
      </w:r>
      <w:r w:rsidR="000C5532" w:rsidRPr="00616892">
        <w:rPr>
          <w:rFonts w:asciiTheme="majorHAnsi" w:hAnsiTheme="majorHAnsi"/>
        </w:rPr>
        <w:t xml:space="preserve"> </w:t>
      </w:r>
      <w:r w:rsidRPr="00616892">
        <w:rPr>
          <w:rFonts w:asciiTheme="majorHAnsi" w:hAnsiTheme="majorHAnsi"/>
        </w:rPr>
        <w:t>in response to requests to import goods into Australia, where those goods have not been imported before, or ha</w:t>
      </w:r>
      <w:r w:rsidRPr="00E112DD">
        <w:rPr>
          <w:rFonts w:asciiTheme="majorHAnsi" w:hAnsiTheme="majorHAnsi"/>
        </w:rPr>
        <w:t>ve not been imported into Au</w:t>
      </w:r>
      <w:r w:rsidRPr="00616892">
        <w:rPr>
          <w:rFonts w:asciiTheme="majorHAnsi" w:hAnsiTheme="majorHAnsi"/>
        </w:rPr>
        <w:t>stralia from a particular country or region. The department also undertakes reviews of existing trade.</w:t>
      </w:r>
    </w:p>
    <w:p w14:paraId="1A5F1884" w14:textId="790AAD51" w:rsidR="004D73D9" w:rsidRPr="00616892" w:rsidRDefault="004D73D9" w:rsidP="000B0E4F">
      <w:pPr>
        <w:rPr>
          <w:rFonts w:asciiTheme="majorHAnsi" w:hAnsiTheme="majorHAnsi"/>
        </w:rPr>
      </w:pPr>
      <w:r w:rsidRPr="00616892">
        <w:rPr>
          <w:rFonts w:asciiTheme="majorHAnsi" w:hAnsiTheme="majorHAnsi"/>
        </w:rPr>
        <w:t xml:space="preserve">Risk </w:t>
      </w:r>
      <w:r w:rsidR="000C5532">
        <w:rPr>
          <w:rFonts w:asciiTheme="majorHAnsi" w:hAnsiTheme="majorHAnsi"/>
        </w:rPr>
        <w:t>analyses</w:t>
      </w:r>
      <w:r w:rsidR="000C5532" w:rsidRPr="00616892">
        <w:rPr>
          <w:rFonts w:asciiTheme="majorHAnsi" w:hAnsiTheme="majorHAnsi"/>
        </w:rPr>
        <w:t xml:space="preserve"> </w:t>
      </w:r>
      <w:r w:rsidRPr="00616892">
        <w:rPr>
          <w:rFonts w:asciiTheme="majorHAnsi" w:hAnsiTheme="majorHAnsi"/>
        </w:rPr>
        <w:t xml:space="preserve">consider the level of biosecurity risk that may be associated with the importation of a good, and identifies appropriate ways to manage these risks. </w:t>
      </w:r>
    </w:p>
    <w:p w14:paraId="4D3C2CD6" w14:textId="2B826A73" w:rsidR="004D73D9" w:rsidRPr="00616892" w:rsidRDefault="004D73D9" w:rsidP="000B0E4F">
      <w:pPr>
        <w:rPr>
          <w:rFonts w:asciiTheme="majorHAnsi" w:hAnsiTheme="majorHAnsi"/>
        </w:rPr>
      </w:pPr>
      <w:r w:rsidRPr="00616892">
        <w:rPr>
          <w:rFonts w:asciiTheme="majorHAnsi" w:hAnsiTheme="majorHAnsi"/>
        </w:rPr>
        <w:t xml:space="preserve">There are two main types of risk </w:t>
      </w:r>
      <w:r w:rsidR="000C5532" w:rsidRPr="00616892">
        <w:rPr>
          <w:rFonts w:asciiTheme="majorHAnsi" w:hAnsiTheme="majorHAnsi"/>
        </w:rPr>
        <w:t>a</w:t>
      </w:r>
      <w:r w:rsidR="000C5532">
        <w:rPr>
          <w:rFonts w:asciiTheme="majorHAnsi" w:hAnsiTheme="majorHAnsi"/>
        </w:rPr>
        <w:t>nalyse</w:t>
      </w:r>
      <w:r w:rsidR="000C5532" w:rsidRPr="00616892">
        <w:rPr>
          <w:rFonts w:asciiTheme="majorHAnsi" w:hAnsiTheme="majorHAnsi"/>
        </w:rPr>
        <w:t xml:space="preserve">s </w:t>
      </w:r>
      <w:r w:rsidRPr="00616892">
        <w:rPr>
          <w:rFonts w:asciiTheme="majorHAnsi" w:hAnsiTheme="majorHAnsi"/>
        </w:rPr>
        <w:t xml:space="preserve">used by the department: </w:t>
      </w:r>
    </w:p>
    <w:p w14:paraId="1890E004" w14:textId="213E6621" w:rsidR="004D73D9" w:rsidRPr="00616892" w:rsidRDefault="004D73D9" w:rsidP="00211A48">
      <w:pPr>
        <w:pStyle w:val="ListBullet"/>
      </w:pPr>
      <w:r w:rsidRPr="00616892">
        <w:t xml:space="preserve">a BIRA which is conducted through a regulated process provided for in the </w:t>
      </w:r>
      <w:r w:rsidRPr="00590746">
        <w:t>Biosecurity Act</w:t>
      </w:r>
      <w:r w:rsidRPr="004C377B">
        <w:t xml:space="preserve"> </w:t>
      </w:r>
      <w:r w:rsidRPr="00616892">
        <w:t>and t</w:t>
      </w:r>
      <w:r w:rsidR="004B3E38">
        <w:t xml:space="preserve">he Biosecurity </w:t>
      </w:r>
      <w:r w:rsidR="00756976">
        <w:t>R</w:t>
      </w:r>
      <w:r w:rsidRPr="00616892">
        <w:t xml:space="preserve">egulation </w:t>
      </w:r>
    </w:p>
    <w:p w14:paraId="08EEBDDE" w14:textId="0A8B5ECE" w:rsidR="004D73D9" w:rsidRPr="00616892" w:rsidRDefault="004D73D9" w:rsidP="00211A48">
      <w:pPr>
        <w:pStyle w:val="ListBullet"/>
      </w:pPr>
      <w:r w:rsidRPr="00616892">
        <w:t xml:space="preserve">a non-regulated risk </w:t>
      </w:r>
      <w:r w:rsidR="000C5532" w:rsidRPr="00616892">
        <w:t>a</w:t>
      </w:r>
      <w:r w:rsidR="000C5532">
        <w:t>nalysis</w:t>
      </w:r>
      <w:r w:rsidR="000C5532" w:rsidRPr="00616892">
        <w:t xml:space="preserve"> </w:t>
      </w:r>
      <w:r w:rsidRPr="00616892">
        <w:t>(such as scientific reviews of existing policy and import conditions, pest-specific assessments, weed risk assessments, biological control agent assessments or scientific advice).</w:t>
      </w:r>
    </w:p>
    <w:p w14:paraId="49F69AE8" w14:textId="42E5D10F" w:rsidR="004D73D9" w:rsidRPr="00616892" w:rsidRDefault="004D73D9" w:rsidP="000B0E4F">
      <w:pPr>
        <w:rPr>
          <w:rFonts w:asciiTheme="majorHAnsi" w:hAnsiTheme="majorHAnsi"/>
        </w:rPr>
      </w:pPr>
      <w:r w:rsidRPr="00616892">
        <w:rPr>
          <w:rFonts w:asciiTheme="majorHAnsi" w:hAnsiTheme="majorHAnsi"/>
        </w:rPr>
        <w:t xml:space="preserve">In </w:t>
      </w:r>
      <w:r w:rsidR="00AB7622">
        <w:rPr>
          <w:rFonts w:asciiTheme="majorHAnsi" w:hAnsiTheme="majorHAnsi"/>
        </w:rPr>
        <w:t>these guidelines</w:t>
      </w:r>
      <w:r w:rsidR="004C377B">
        <w:rPr>
          <w:rFonts w:asciiTheme="majorHAnsi" w:hAnsiTheme="majorHAnsi"/>
        </w:rPr>
        <w:t>,</w:t>
      </w:r>
      <w:r w:rsidRPr="00616892">
        <w:rPr>
          <w:rFonts w:asciiTheme="majorHAnsi" w:hAnsiTheme="majorHAnsi"/>
        </w:rPr>
        <w:t xml:space="preserve"> the term ‘risk </w:t>
      </w:r>
      <w:r w:rsidR="000C5532">
        <w:rPr>
          <w:rFonts w:asciiTheme="majorHAnsi" w:hAnsiTheme="majorHAnsi"/>
        </w:rPr>
        <w:t>analysis</w:t>
      </w:r>
      <w:r w:rsidRPr="00616892">
        <w:rPr>
          <w:rFonts w:asciiTheme="majorHAnsi" w:hAnsiTheme="majorHAnsi"/>
        </w:rPr>
        <w:t>’ is a generic term referring to the technical or scientific process for assessing biosecurity risk</w:t>
      </w:r>
      <w:r w:rsidR="00B77D76">
        <w:rPr>
          <w:rFonts w:asciiTheme="majorHAnsi" w:hAnsiTheme="majorHAnsi"/>
        </w:rPr>
        <w:t xml:space="preserve"> and the development of risk mitigation measures</w:t>
      </w:r>
      <w:r w:rsidRPr="00616892">
        <w:rPr>
          <w:rFonts w:asciiTheme="majorHAnsi" w:hAnsiTheme="majorHAnsi"/>
        </w:rPr>
        <w:t>. The term ‘biosecurity import risk analysis’ or ‘BIRA’</w:t>
      </w:r>
      <w:r w:rsidR="00F43356">
        <w:rPr>
          <w:rFonts w:asciiTheme="majorHAnsi" w:hAnsiTheme="majorHAnsi"/>
        </w:rPr>
        <w:t>,</w:t>
      </w:r>
      <w:r w:rsidRPr="00616892">
        <w:rPr>
          <w:rFonts w:asciiTheme="majorHAnsi" w:hAnsiTheme="majorHAnsi"/>
        </w:rPr>
        <w:t xml:space="preserve"> refers to the process that is regulated under legislation</w:t>
      </w:r>
      <w:r w:rsidR="00F43356">
        <w:rPr>
          <w:rFonts w:asciiTheme="majorHAnsi" w:hAnsiTheme="majorHAnsi"/>
        </w:rPr>
        <w:t>,</w:t>
      </w:r>
      <w:r w:rsidRPr="00616892">
        <w:rPr>
          <w:rFonts w:asciiTheme="majorHAnsi" w:hAnsiTheme="majorHAnsi"/>
        </w:rPr>
        <w:t xml:space="preserve"> and the term ‘non-regulated risk </w:t>
      </w:r>
      <w:r w:rsidR="000C5532" w:rsidRPr="00616892">
        <w:rPr>
          <w:rFonts w:asciiTheme="majorHAnsi" w:hAnsiTheme="majorHAnsi"/>
        </w:rPr>
        <w:t>a</w:t>
      </w:r>
      <w:r w:rsidR="000C5532">
        <w:rPr>
          <w:rFonts w:asciiTheme="majorHAnsi" w:hAnsiTheme="majorHAnsi"/>
        </w:rPr>
        <w:t>nalys</w:t>
      </w:r>
      <w:r w:rsidR="00F43356">
        <w:rPr>
          <w:rFonts w:asciiTheme="majorHAnsi" w:hAnsiTheme="majorHAnsi"/>
        </w:rPr>
        <w:t>i</w:t>
      </w:r>
      <w:r w:rsidR="000C5532">
        <w:rPr>
          <w:rFonts w:asciiTheme="majorHAnsi" w:hAnsiTheme="majorHAnsi"/>
        </w:rPr>
        <w:t>s</w:t>
      </w:r>
      <w:r w:rsidR="000C5532" w:rsidRPr="00616892">
        <w:rPr>
          <w:rFonts w:asciiTheme="majorHAnsi" w:hAnsiTheme="majorHAnsi"/>
        </w:rPr>
        <w:t xml:space="preserve">’ </w:t>
      </w:r>
      <w:r w:rsidRPr="00616892">
        <w:rPr>
          <w:rFonts w:asciiTheme="majorHAnsi" w:hAnsiTheme="majorHAnsi"/>
        </w:rPr>
        <w:t xml:space="preserve">refers to those risk </w:t>
      </w:r>
      <w:r w:rsidR="000C5532">
        <w:rPr>
          <w:rFonts w:asciiTheme="majorHAnsi" w:hAnsiTheme="majorHAnsi"/>
        </w:rPr>
        <w:t>analys</w:t>
      </w:r>
      <w:r w:rsidR="00F43356">
        <w:rPr>
          <w:rFonts w:asciiTheme="majorHAnsi" w:hAnsiTheme="majorHAnsi"/>
        </w:rPr>
        <w:t>i</w:t>
      </w:r>
      <w:r w:rsidR="000C5532" w:rsidRPr="00616892">
        <w:rPr>
          <w:rFonts w:asciiTheme="majorHAnsi" w:hAnsiTheme="majorHAnsi"/>
        </w:rPr>
        <w:t xml:space="preserve">s </w:t>
      </w:r>
      <w:r w:rsidR="00F43356">
        <w:rPr>
          <w:rFonts w:asciiTheme="majorHAnsi" w:hAnsiTheme="majorHAnsi"/>
        </w:rPr>
        <w:t>that</w:t>
      </w:r>
      <w:r w:rsidR="00F43356" w:rsidRPr="00616892">
        <w:rPr>
          <w:rFonts w:asciiTheme="majorHAnsi" w:hAnsiTheme="majorHAnsi"/>
        </w:rPr>
        <w:t xml:space="preserve"> </w:t>
      </w:r>
      <w:r w:rsidR="00935DC0">
        <w:rPr>
          <w:rFonts w:asciiTheme="majorHAnsi" w:hAnsiTheme="majorHAnsi"/>
        </w:rPr>
        <w:t>follow</w:t>
      </w:r>
      <w:r w:rsidR="00F43356">
        <w:rPr>
          <w:rFonts w:asciiTheme="majorHAnsi" w:hAnsiTheme="majorHAnsi"/>
        </w:rPr>
        <w:t>s</w:t>
      </w:r>
      <w:r w:rsidR="00935DC0">
        <w:rPr>
          <w:rFonts w:asciiTheme="majorHAnsi" w:hAnsiTheme="majorHAnsi"/>
        </w:rPr>
        <w:t xml:space="preserve"> a process that is </w:t>
      </w:r>
      <w:r w:rsidRPr="00616892">
        <w:rPr>
          <w:rFonts w:asciiTheme="majorHAnsi" w:hAnsiTheme="majorHAnsi"/>
        </w:rPr>
        <w:t>not regulated under legislation.</w:t>
      </w:r>
    </w:p>
    <w:p w14:paraId="13795A14" w14:textId="34E495A3" w:rsidR="004D73D9" w:rsidRPr="00616892" w:rsidRDefault="004D73D9" w:rsidP="000B0E4F">
      <w:pPr>
        <w:rPr>
          <w:rFonts w:asciiTheme="majorHAnsi" w:hAnsiTheme="majorHAnsi"/>
          <w:highlight w:val="yellow"/>
        </w:rPr>
      </w:pPr>
      <w:r w:rsidRPr="00616892">
        <w:rPr>
          <w:rFonts w:asciiTheme="majorHAnsi" w:hAnsiTheme="majorHAnsi"/>
        </w:rPr>
        <w:t>BIRAs assist the department in considering the level of biosecurity risk that may be associated with the importation of goods into Australia. If the biosecurity risks do not achieve the appropriate level of protection (ALOP) for Australia, risk management measures are proposed to reduce the risks to an acceptable level.</w:t>
      </w:r>
      <w:r w:rsidR="00C309A1">
        <w:rPr>
          <w:rFonts w:asciiTheme="majorHAnsi" w:hAnsiTheme="majorHAnsi"/>
        </w:rPr>
        <w:t xml:space="preserve"> </w:t>
      </w:r>
      <w:r w:rsidRPr="00616892">
        <w:rPr>
          <w:rFonts w:asciiTheme="majorHAnsi" w:hAnsiTheme="majorHAnsi"/>
        </w:rPr>
        <w:t xml:space="preserve">If the risks cannot be reduced to an acceptable level, the goods will not be imported into Australia, until suitable measures are identified. </w:t>
      </w:r>
    </w:p>
    <w:p w14:paraId="31816066" w14:textId="08E35B72" w:rsidR="004D73D9" w:rsidRPr="00616892" w:rsidRDefault="004D73D9" w:rsidP="000B0E4F">
      <w:pPr>
        <w:rPr>
          <w:rFonts w:asciiTheme="majorHAnsi" w:hAnsiTheme="majorHAnsi"/>
        </w:rPr>
      </w:pPr>
      <w:r w:rsidRPr="00616892">
        <w:rPr>
          <w:rFonts w:asciiTheme="majorHAnsi" w:hAnsiTheme="majorHAnsi"/>
        </w:rPr>
        <w:t xml:space="preserve">More information about Australia’s ALOP </w:t>
      </w:r>
      <w:r w:rsidR="00D40BA5">
        <w:rPr>
          <w:rFonts w:asciiTheme="majorHAnsi" w:hAnsiTheme="majorHAnsi"/>
        </w:rPr>
        <w:t>is</w:t>
      </w:r>
      <w:r w:rsidR="00CF000C">
        <w:rPr>
          <w:rFonts w:asciiTheme="majorHAnsi" w:hAnsiTheme="majorHAnsi"/>
        </w:rPr>
        <w:t xml:space="preserve"> on</w:t>
      </w:r>
      <w:r w:rsidR="00CA720B">
        <w:rPr>
          <w:rFonts w:asciiTheme="majorHAnsi" w:hAnsiTheme="majorHAnsi"/>
        </w:rPr>
        <w:t xml:space="preserve"> the </w:t>
      </w:r>
      <w:hyperlink r:id="rId24" w:history="1">
        <w:r w:rsidR="00CA720B" w:rsidRPr="00832CEC">
          <w:rPr>
            <w:rStyle w:val="Hyperlink"/>
            <w:rFonts w:asciiTheme="majorHAnsi" w:hAnsiTheme="majorHAnsi"/>
          </w:rPr>
          <w:t>department’s website</w:t>
        </w:r>
      </w:hyperlink>
      <w:r w:rsidRPr="00616892">
        <w:rPr>
          <w:rFonts w:asciiTheme="majorHAnsi" w:hAnsiTheme="majorHAnsi"/>
        </w:rPr>
        <w:t>.</w:t>
      </w:r>
      <w:r w:rsidR="009258F1">
        <w:rPr>
          <w:rFonts w:asciiTheme="majorHAnsi" w:hAnsiTheme="majorHAnsi"/>
        </w:rPr>
        <w:t xml:space="preserve"> </w:t>
      </w:r>
    </w:p>
    <w:p w14:paraId="1F9AEE66" w14:textId="7AD10D4D" w:rsidR="008B691F" w:rsidRPr="00C47E1F" w:rsidRDefault="005A08D5" w:rsidP="007737C1">
      <w:pPr>
        <w:pStyle w:val="Heading2"/>
      </w:pPr>
      <w:bookmarkStart w:id="21" w:name="_Toc430767796"/>
      <w:bookmarkStart w:id="22" w:name="_Toc452647295"/>
      <w:bookmarkStart w:id="23" w:name="_Toc409769086"/>
      <w:bookmarkEnd w:id="16"/>
      <w:r>
        <w:lastRenderedPageBreak/>
        <w:t>Biosecurity r</w:t>
      </w:r>
      <w:r w:rsidR="004D73D9" w:rsidRPr="00C47E1F">
        <w:t>isk</w:t>
      </w:r>
      <w:r w:rsidR="00084AFA">
        <w:t>s</w:t>
      </w:r>
      <w:r w:rsidR="004D73D9" w:rsidRPr="00C47E1F">
        <w:t xml:space="preserve"> and Australia’s biosecurity framework</w:t>
      </w:r>
      <w:bookmarkStart w:id="24" w:name="_Toc430767797"/>
      <w:bookmarkEnd w:id="21"/>
      <w:bookmarkEnd w:id="22"/>
    </w:p>
    <w:p w14:paraId="15B8778E" w14:textId="48FE3D80" w:rsidR="004D73D9" w:rsidRPr="003216D3" w:rsidRDefault="004D73D9" w:rsidP="00211A48">
      <w:pPr>
        <w:pStyle w:val="Heading3"/>
      </w:pPr>
      <w:bookmarkStart w:id="25" w:name="_Toc452647296"/>
      <w:r w:rsidRPr="003216D3">
        <w:t>Biosecurity risk</w:t>
      </w:r>
      <w:bookmarkEnd w:id="24"/>
      <w:r w:rsidR="00084AFA">
        <w:t>s</w:t>
      </w:r>
      <w:bookmarkEnd w:id="25"/>
    </w:p>
    <w:p w14:paraId="60CF3469" w14:textId="3CAC487E" w:rsidR="004D73D9" w:rsidRPr="00616892" w:rsidRDefault="004D73D9" w:rsidP="000B0E4F">
      <w:pPr>
        <w:rPr>
          <w:rFonts w:asciiTheme="majorHAnsi" w:hAnsiTheme="majorHAnsi"/>
        </w:rPr>
      </w:pPr>
      <w:r w:rsidRPr="00616892">
        <w:rPr>
          <w:rFonts w:asciiTheme="majorHAnsi" w:hAnsiTheme="majorHAnsi"/>
        </w:rPr>
        <w:t xml:space="preserve">The term ‘biosecurity risk’ is defined in the </w:t>
      </w:r>
      <w:r w:rsidRPr="00590746">
        <w:rPr>
          <w:rFonts w:asciiTheme="majorHAnsi" w:hAnsiTheme="majorHAnsi"/>
        </w:rPr>
        <w:t>Biosecurity Act</w:t>
      </w:r>
      <w:r w:rsidRPr="00616892">
        <w:rPr>
          <w:rFonts w:asciiTheme="majorHAnsi" w:hAnsiTheme="majorHAnsi"/>
        </w:rPr>
        <w:t>. I</w:t>
      </w:r>
      <w:r w:rsidR="00DC3030">
        <w:rPr>
          <w:rFonts w:asciiTheme="majorHAnsi" w:hAnsiTheme="majorHAnsi"/>
        </w:rPr>
        <w:t>t refers to the likelihood of a</w:t>
      </w:r>
      <w:r w:rsidRPr="00616892">
        <w:rPr>
          <w:rFonts w:asciiTheme="majorHAnsi" w:hAnsiTheme="majorHAnsi"/>
        </w:rPr>
        <w:t xml:space="preserve"> disease</w:t>
      </w:r>
      <w:r w:rsidR="000B3563">
        <w:rPr>
          <w:rFonts w:asciiTheme="majorHAnsi" w:hAnsiTheme="majorHAnsi"/>
        </w:rPr>
        <w:t xml:space="preserve"> or pest</w:t>
      </w:r>
      <w:r w:rsidRPr="00616892">
        <w:rPr>
          <w:rFonts w:asciiTheme="majorHAnsi" w:hAnsiTheme="majorHAnsi"/>
        </w:rPr>
        <w:t xml:space="preserve"> entering, establishing or spreading in Australia</w:t>
      </w:r>
      <w:r w:rsidR="007669FC" w:rsidRPr="00616892">
        <w:rPr>
          <w:rFonts w:asciiTheme="majorHAnsi" w:hAnsiTheme="majorHAnsi"/>
        </w:rPr>
        <w:t>n territory</w:t>
      </w:r>
      <w:r w:rsidR="000B3563">
        <w:rPr>
          <w:rFonts w:asciiTheme="majorHAnsi" w:hAnsiTheme="majorHAnsi"/>
        </w:rPr>
        <w:t>,</w:t>
      </w:r>
      <w:r w:rsidRPr="00616892">
        <w:rPr>
          <w:rFonts w:asciiTheme="majorHAnsi" w:hAnsiTheme="majorHAnsi"/>
        </w:rPr>
        <w:t xml:space="preserve"> and the potential for the disease or pest causing harm to human, animal or plant health, the environment, economic or community activities. </w:t>
      </w:r>
      <w:r w:rsidR="00935DC0">
        <w:rPr>
          <w:rFonts w:asciiTheme="majorHAnsi" w:hAnsiTheme="majorHAnsi"/>
        </w:rPr>
        <w:t>As part of the BIRA a risk assessment is undertaken.</w:t>
      </w:r>
    </w:p>
    <w:p w14:paraId="081A9855" w14:textId="4FFF3F2A" w:rsidR="004D73D9" w:rsidRPr="00616892" w:rsidRDefault="004D73D9" w:rsidP="000B0E4F">
      <w:pPr>
        <w:rPr>
          <w:rFonts w:asciiTheme="majorHAnsi" w:hAnsiTheme="majorHAnsi"/>
        </w:rPr>
      </w:pPr>
      <w:r w:rsidRPr="00616892">
        <w:rPr>
          <w:rFonts w:asciiTheme="majorHAnsi" w:hAnsiTheme="majorHAnsi"/>
        </w:rPr>
        <w:t xml:space="preserve">The definition of risk </w:t>
      </w:r>
      <w:r w:rsidR="00935DC0">
        <w:rPr>
          <w:rFonts w:asciiTheme="majorHAnsi" w:hAnsiTheme="majorHAnsi"/>
        </w:rPr>
        <w:t xml:space="preserve">assessment </w:t>
      </w:r>
      <w:r w:rsidRPr="00616892">
        <w:rPr>
          <w:rFonts w:asciiTheme="majorHAnsi" w:hAnsiTheme="majorHAnsi"/>
        </w:rPr>
        <w:t xml:space="preserve">under the SPS </w:t>
      </w:r>
      <w:r w:rsidR="00761A41" w:rsidRPr="00616892">
        <w:rPr>
          <w:rFonts w:asciiTheme="majorHAnsi" w:hAnsiTheme="majorHAnsi"/>
        </w:rPr>
        <w:t xml:space="preserve">agreement </w:t>
      </w:r>
      <w:r w:rsidRPr="00616892">
        <w:rPr>
          <w:rFonts w:asciiTheme="majorHAnsi" w:hAnsiTheme="majorHAnsi"/>
        </w:rPr>
        <w:t>is:</w:t>
      </w:r>
    </w:p>
    <w:p w14:paraId="7F52B5D7" w14:textId="636C32A3" w:rsidR="004D73D9" w:rsidRPr="00FA6316" w:rsidRDefault="004D73D9" w:rsidP="008B691F">
      <w:pPr>
        <w:pStyle w:val="Quote"/>
        <w:rPr>
          <w:rFonts w:asciiTheme="majorHAnsi" w:hAnsiTheme="majorHAnsi"/>
        </w:rPr>
      </w:pPr>
      <w:r w:rsidRPr="00FA6316">
        <w:rPr>
          <w:rFonts w:asciiTheme="majorHAnsi" w:hAnsiTheme="majorHAnsi"/>
        </w:rPr>
        <w:t>The evaluation of the likelihood of entry, establishment or spread of a pest or disease within the territory of an importing WTO member according to the SPS measures which might be applied, and of the associated potential biolog</w:t>
      </w:r>
      <w:r w:rsidR="00462D9E" w:rsidRPr="00FA6316">
        <w:rPr>
          <w:rFonts w:asciiTheme="majorHAnsi" w:hAnsiTheme="majorHAnsi"/>
        </w:rPr>
        <w:t>i</w:t>
      </w:r>
      <w:r w:rsidR="00DC3030">
        <w:rPr>
          <w:rFonts w:asciiTheme="majorHAnsi" w:hAnsiTheme="majorHAnsi"/>
        </w:rPr>
        <w:t xml:space="preserve">cal and economic consequences. </w:t>
      </w:r>
      <w:r w:rsidR="0075002D">
        <w:rPr>
          <w:rFonts w:asciiTheme="majorHAnsi" w:hAnsiTheme="majorHAnsi"/>
        </w:rPr>
        <w:t>(World Trade Organi</w:t>
      </w:r>
      <w:r w:rsidR="000F5AC5">
        <w:rPr>
          <w:rFonts w:asciiTheme="majorHAnsi" w:hAnsiTheme="majorHAnsi"/>
        </w:rPr>
        <w:t>z</w:t>
      </w:r>
      <w:r w:rsidR="0075002D">
        <w:rPr>
          <w:rFonts w:asciiTheme="majorHAnsi" w:hAnsiTheme="majorHAnsi"/>
        </w:rPr>
        <w:t>ation, 1995)</w:t>
      </w:r>
    </w:p>
    <w:p w14:paraId="406D5FCB" w14:textId="5ACEF271" w:rsidR="004D73D9" w:rsidRPr="00616892" w:rsidRDefault="004D73D9" w:rsidP="000B0E4F">
      <w:pPr>
        <w:rPr>
          <w:rFonts w:asciiTheme="majorHAnsi" w:hAnsiTheme="majorHAnsi"/>
        </w:rPr>
      </w:pPr>
      <w:r w:rsidRPr="00616892">
        <w:rPr>
          <w:rFonts w:asciiTheme="majorHAnsi" w:hAnsiTheme="majorHAnsi"/>
        </w:rPr>
        <w:t xml:space="preserve">BIRAs are risk </w:t>
      </w:r>
      <w:r w:rsidR="00935DC0">
        <w:rPr>
          <w:rFonts w:asciiTheme="majorHAnsi" w:hAnsiTheme="majorHAnsi"/>
        </w:rPr>
        <w:t>assessment</w:t>
      </w:r>
      <w:r w:rsidR="0035441E">
        <w:rPr>
          <w:rFonts w:asciiTheme="majorHAnsi" w:hAnsiTheme="majorHAnsi"/>
        </w:rPr>
        <w:t>s</w:t>
      </w:r>
      <w:r w:rsidR="000C5532" w:rsidRPr="00616892">
        <w:rPr>
          <w:rFonts w:asciiTheme="majorHAnsi" w:hAnsiTheme="majorHAnsi"/>
        </w:rPr>
        <w:t xml:space="preserve"> </w:t>
      </w:r>
      <w:r w:rsidRPr="00616892">
        <w:rPr>
          <w:rFonts w:asciiTheme="majorHAnsi" w:hAnsiTheme="majorHAnsi"/>
        </w:rPr>
        <w:t xml:space="preserve">conducted under the </w:t>
      </w:r>
      <w:r w:rsidRPr="00590746">
        <w:rPr>
          <w:rFonts w:asciiTheme="majorHAnsi" w:hAnsiTheme="majorHAnsi"/>
        </w:rPr>
        <w:t>Biosecurity Act</w:t>
      </w:r>
      <w:r w:rsidR="00935DC0" w:rsidRPr="00590746">
        <w:rPr>
          <w:rFonts w:asciiTheme="majorHAnsi" w:hAnsiTheme="majorHAnsi"/>
        </w:rPr>
        <w:t xml:space="preserve"> </w:t>
      </w:r>
      <w:r w:rsidR="00935DC0">
        <w:rPr>
          <w:rFonts w:asciiTheme="majorHAnsi" w:hAnsiTheme="majorHAnsi"/>
        </w:rPr>
        <w:t xml:space="preserve">and </w:t>
      </w:r>
      <w:r w:rsidR="00B77D76">
        <w:rPr>
          <w:rFonts w:asciiTheme="majorHAnsi" w:hAnsiTheme="majorHAnsi"/>
        </w:rPr>
        <w:t xml:space="preserve">in accordance </w:t>
      </w:r>
      <w:r w:rsidR="00761A41">
        <w:rPr>
          <w:rFonts w:asciiTheme="majorHAnsi" w:hAnsiTheme="majorHAnsi"/>
        </w:rPr>
        <w:t>with the SPS </w:t>
      </w:r>
      <w:r w:rsidR="00D40BA5">
        <w:rPr>
          <w:rFonts w:asciiTheme="majorHAnsi" w:hAnsiTheme="majorHAnsi"/>
        </w:rPr>
        <w:t>a</w:t>
      </w:r>
      <w:r w:rsidR="00935DC0">
        <w:rPr>
          <w:rFonts w:asciiTheme="majorHAnsi" w:hAnsiTheme="majorHAnsi"/>
        </w:rPr>
        <w:t>greement and other international obligations</w:t>
      </w:r>
      <w:r w:rsidRPr="00616892">
        <w:rPr>
          <w:rFonts w:asciiTheme="majorHAnsi" w:hAnsiTheme="majorHAnsi"/>
          <w:i/>
        </w:rPr>
        <w:t>.</w:t>
      </w:r>
      <w:r w:rsidRPr="00616892">
        <w:rPr>
          <w:rFonts w:asciiTheme="majorHAnsi" w:hAnsiTheme="majorHAnsi"/>
        </w:rPr>
        <w:t xml:space="preserve"> </w:t>
      </w:r>
      <w:r w:rsidR="00935DC0">
        <w:rPr>
          <w:rFonts w:asciiTheme="majorHAnsi" w:hAnsiTheme="majorHAnsi"/>
        </w:rPr>
        <w:t>Under a BIRA, r</w:t>
      </w:r>
      <w:r w:rsidRPr="00616892">
        <w:rPr>
          <w:rFonts w:asciiTheme="majorHAnsi" w:hAnsiTheme="majorHAnsi"/>
        </w:rPr>
        <w:t>isk is determined b</w:t>
      </w:r>
      <w:r w:rsidRPr="00C60E00">
        <w:rPr>
          <w:rFonts w:asciiTheme="majorHAnsi" w:hAnsiTheme="majorHAnsi"/>
        </w:rPr>
        <w:t>y combining th</w:t>
      </w:r>
      <w:r w:rsidRPr="00616892">
        <w:rPr>
          <w:rFonts w:asciiTheme="majorHAnsi" w:hAnsiTheme="majorHAnsi"/>
        </w:rPr>
        <w:t>e likelihood</w:t>
      </w:r>
      <w:r w:rsidR="00C43EBC" w:rsidRPr="00616892">
        <w:rPr>
          <w:rFonts w:asciiTheme="majorHAnsi" w:hAnsiTheme="majorHAnsi"/>
        </w:rPr>
        <w:t xml:space="preserve"> of the entry, establishment and spread of a disease</w:t>
      </w:r>
      <w:r w:rsidRPr="00616892">
        <w:rPr>
          <w:rFonts w:asciiTheme="majorHAnsi" w:hAnsiTheme="majorHAnsi"/>
        </w:rPr>
        <w:t xml:space="preserve"> </w:t>
      </w:r>
      <w:r w:rsidR="00DC3030">
        <w:rPr>
          <w:rFonts w:asciiTheme="majorHAnsi" w:hAnsiTheme="majorHAnsi"/>
        </w:rPr>
        <w:t xml:space="preserve">or pest </w:t>
      </w:r>
      <w:r w:rsidRPr="00616892">
        <w:rPr>
          <w:rFonts w:asciiTheme="majorHAnsi" w:hAnsiTheme="majorHAnsi"/>
        </w:rPr>
        <w:t xml:space="preserve">with the consequence. It takes into account the whole of the risk pathway from the identified hazard to the unwanted outcome or consequence. </w:t>
      </w:r>
    </w:p>
    <w:p w14:paraId="3F00C19E" w14:textId="03FD46D6" w:rsidR="004D73D9" w:rsidRPr="00616892" w:rsidRDefault="004D73D9" w:rsidP="000B0E4F">
      <w:pPr>
        <w:rPr>
          <w:rFonts w:asciiTheme="majorHAnsi" w:hAnsiTheme="majorHAnsi"/>
        </w:rPr>
      </w:pPr>
      <w:r w:rsidRPr="00616892">
        <w:rPr>
          <w:rFonts w:asciiTheme="majorHAnsi" w:hAnsiTheme="majorHAnsi"/>
        </w:rPr>
        <w:t>These two components of likelihood and consequence are combined to give an estimate of the</w:t>
      </w:r>
      <w:r w:rsidR="00756976">
        <w:rPr>
          <w:rFonts w:asciiTheme="majorHAnsi" w:hAnsiTheme="majorHAnsi"/>
        </w:rPr>
        <w:t xml:space="preserve"> </w:t>
      </w:r>
      <w:r w:rsidRPr="00616892">
        <w:rPr>
          <w:rFonts w:asciiTheme="majorHAnsi" w:hAnsiTheme="majorHAnsi"/>
        </w:rPr>
        <w:t>risks for each disease</w:t>
      </w:r>
      <w:r w:rsidR="00DC3030">
        <w:rPr>
          <w:rFonts w:asciiTheme="majorHAnsi" w:hAnsiTheme="majorHAnsi"/>
        </w:rPr>
        <w:t xml:space="preserve"> or pest</w:t>
      </w:r>
      <w:r w:rsidRPr="00616892">
        <w:rPr>
          <w:rFonts w:asciiTheme="majorHAnsi" w:hAnsiTheme="majorHAnsi"/>
        </w:rPr>
        <w:t xml:space="preserve"> associated with an imported good and whether those risks achieve Australia’s ALOP; or if sanitary or phytosanitary measures are required.</w:t>
      </w:r>
    </w:p>
    <w:p w14:paraId="1B10A032" w14:textId="480C61EB" w:rsidR="004D73D9" w:rsidRPr="003216D3" w:rsidRDefault="004D73D9" w:rsidP="00211A48">
      <w:pPr>
        <w:pStyle w:val="Heading3"/>
      </w:pPr>
      <w:bookmarkStart w:id="26" w:name="_Toc430767798"/>
      <w:bookmarkStart w:id="27" w:name="_Toc452647297"/>
      <w:r w:rsidRPr="003216D3">
        <w:t xml:space="preserve">BIRA </w:t>
      </w:r>
      <w:r w:rsidR="00386231">
        <w:t>f</w:t>
      </w:r>
      <w:r w:rsidRPr="003216D3">
        <w:t>ramework</w:t>
      </w:r>
      <w:bookmarkEnd w:id="26"/>
      <w:bookmarkEnd w:id="27"/>
    </w:p>
    <w:p w14:paraId="67DE50D0" w14:textId="5BCA4B1E" w:rsidR="004D73D9" w:rsidRPr="00616892" w:rsidRDefault="004D73D9" w:rsidP="000B0E4F">
      <w:pPr>
        <w:rPr>
          <w:rFonts w:asciiTheme="majorHAnsi" w:hAnsiTheme="majorHAnsi"/>
        </w:rPr>
      </w:pPr>
      <w:r w:rsidRPr="00616892">
        <w:rPr>
          <w:rFonts w:asciiTheme="majorHAnsi" w:hAnsiTheme="majorHAnsi"/>
        </w:rPr>
        <w:t>BIRAs</w:t>
      </w:r>
      <w:r w:rsidR="005678AE">
        <w:rPr>
          <w:rFonts w:asciiTheme="majorHAnsi" w:hAnsiTheme="majorHAnsi"/>
        </w:rPr>
        <w:t>, including identified</w:t>
      </w:r>
      <w:r w:rsidR="003B3753">
        <w:rPr>
          <w:rFonts w:asciiTheme="majorHAnsi" w:hAnsiTheme="majorHAnsi"/>
        </w:rPr>
        <w:t xml:space="preserve"> </w:t>
      </w:r>
      <w:r w:rsidRPr="00616892">
        <w:rPr>
          <w:rFonts w:asciiTheme="majorHAnsi" w:hAnsiTheme="majorHAnsi"/>
        </w:rPr>
        <w:t>risk management measures</w:t>
      </w:r>
      <w:r w:rsidR="005678AE">
        <w:rPr>
          <w:rFonts w:asciiTheme="majorHAnsi" w:hAnsiTheme="majorHAnsi"/>
        </w:rPr>
        <w:t>,</w:t>
      </w:r>
      <w:r w:rsidRPr="00616892">
        <w:rPr>
          <w:rFonts w:asciiTheme="majorHAnsi" w:hAnsiTheme="majorHAnsi"/>
        </w:rPr>
        <w:t xml:space="preserve"> are one part of Australia’s biosecurity system. Australia’s approach to managing the risk of exotic diseases </w:t>
      </w:r>
      <w:r w:rsidR="00DC3030">
        <w:rPr>
          <w:rFonts w:asciiTheme="majorHAnsi" w:hAnsiTheme="majorHAnsi"/>
        </w:rPr>
        <w:t xml:space="preserve">and pests </w:t>
      </w:r>
      <w:r w:rsidRPr="00616892">
        <w:rPr>
          <w:rFonts w:asciiTheme="majorHAnsi" w:hAnsiTheme="majorHAnsi"/>
        </w:rPr>
        <w:t>is a multi-layered system involving complementary measures applied along the biosecurity continuum</w:t>
      </w:r>
      <w:r w:rsidR="00AB7622">
        <w:rPr>
          <w:rFonts w:asciiTheme="majorHAnsi" w:hAnsiTheme="majorHAnsi"/>
        </w:rPr>
        <w:t>—</w:t>
      </w:r>
      <w:r w:rsidRPr="00616892">
        <w:rPr>
          <w:rFonts w:asciiTheme="majorHAnsi" w:hAnsiTheme="majorHAnsi"/>
        </w:rPr>
        <w:t xml:space="preserve">offshore, at the border and onshore. This </w:t>
      </w:r>
      <w:r w:rsidR="00C60E00">
        <w:rPr>
          <w:rFonts w:asciiTheme="majorHAnsi" w:hAnsiTheme="majorHAnsi"/>
        </w:rPr>
        <w:t>section</w:t>
      </w:r>
      <w:r w:rsidR="00C60E00" w:rsidRPr="00616892">
        <w:rPr>
          <w:rFonts w:asciiTheme="majorHAnsi" w:hAnsiTheme="majorHAnsi"/>
        </w:rPr>
        <w:t xml:space="preserve"> </w:t>
      </w:r>
      <w:r w:rsidRPr="00616892">
        <w:rPr>
          <w:rFonts w:asciiTheme="majorHAnsi" w:hAnsiTheme="majorHAnsi"/>
        </w:rPr>
        <w:t>outlines Australia’s biosecurity laws and policies and the international standards that apply to Australia’s biosecurity risk framework.</w:t>
      </w:r>
    </w:p>
    <w:p w14:paraId="56CF33AC" w14:textId="6D26BF0A" w:rsidR="004D73D9" w:rsidRPr="00A86093" w:rsidRDefault="004D73D9" w:rsidP="007737C1">
      <w:pPr>
        <w:pStyle w:val="Heading4"/>
      </w:pPr>
      <w:bookmarkStart w:id="28" w:name="_Toc402865202"/>
      <w:bookmarkStart w:id="29" w:name="_Toc425164282"/>
      <w:bookmarkStart w:id="30" w:name="_Toc430767799"/>
      <w:bookmarkStart w:id="31" w:name="_Toc432160920"/>
      <w:bookmarkStart w:id="32" w:name="_Toc452647298"/>
      <w:r w:rsidRPr="00A86093">
        <w:rPr>
          <w:szCs w:val="28"/>
        </w:rPr>
        <w:t>Australia’s biosecurity legislation</w:t>
      </w:r>
      <w:bookmarkEnd w:id="28"/>
      <w:bookmarkEnd w:id="29"/>
      <w:bookmarkEnd w:id="30"/>
      <w:bookmarkEnd w:id="31"/>
      <w:bookmarkEnd w:id="32"/>
    </w:p>
    <w:p w14:paraId="65FE2DD7" w14:textId="5A9D7C5E" w:rsidR="004D73D9" w:rsidRPr="00616892" w:rsidRDefault="0005465F" w:rsidP="000B0E4F">
      <w:pPr>
        <w:rPr>
          <w:rFonts w:asciiTheme="majorHAnsi" w:hAnsiTheme="majorHAnsi"/>
        </w:rPr>
      </w:pPr>
      <w:r w:rsidRPr="00616892">
        <w:rPr>
          <w:rFonts w:asciiTheme="majorHAnsi" w:hAnsiTheme="majorHAnsi"/>
        </w:rPr>
        <w:t>Australia’s biosecurity system is supported by Commonwealth, state and territory biosecurity laws.</w:t>
      </w:r>
      <w:r>
        <w:rPr>
          <w:rFonts w:asciiTheme="majorHAnsi" w:hAnsiTheme="majorHAnsi"/>
        </w:rPr>
        <w:t xml:space="preserve"> </w:t>
      </w:r>
      <w:r w:rsidR="00AB7622">
        <w:rPr>
          <w:rFonts w:asciiTheme="majorHAnsi" w:hAnsiTheme="majorHAnsi"/>
        </w:rPr>
        <w:t xml:space="preserve">At </w:t>
      </w:r>
      <w:r w:rsidR="00AE0923">
        <w:rPr>
          <w:rFonts w:asciiTheme="majorHAnsi" w:hAnsiTheme="majorHAnsi"/>
        </w:rPr>
        <w:t xml:space="preserve">the </w:t>
      </w:r>
      <w:r w:rsidR="004D73D9" w:rsidRPr="00616892">
        <w:rPr>
          <w:rFonts w:asciiTheme="majorHAnsi" w:hAnsiTheme="majorHAnsi"/>
        </w:rPr>
        <w:t xml:space="preserve">Commonwealth </w:t>
      </w:r>
      <w:r w:rsidR="00AB7622">
        <w:rPr>
          <w:rFonts w:asciiTheme="majorHAnsi" w:hAnsiTheme="majorHAnsi"/>
        </w:rPr>
        <w:t xml:space="preserve">level, </w:t>
      </w:r>
      <w:r w:rsidR="00AE0923">
        <w:rPr>
          <w:rFonts w:asciiTheme="majorHAnsi" w:hAnsiTheme="majorHAnsi"/>
        </w:rPr>
        <w:t>this includes</w:t>
      </w:r>
      <w:r w:rsidR="004D73D9" w:rsidRPr="00616892">
        <w:rPr>
          <w:rFonts w:asciiTheme="majorHAnsi" w:hAnsiTheme="majorHAnsi"/>
        </w:rPr>
        <w:t xml:space="preserve"> the </w:t>
      </w:r>
      <w:r w:rsidR="004D73D9" w:rsidRPr="00590746">
        <w:rPr>
          <w:rFonts w:asciiTheme="majorHAnsi" w:hAnsiTheme="majorHAnsi"/>
        </w:rPr>
        <w:t>Biosecurity Act</w:t>
      </w:r>
      <w:r w:rsidR="004D73D9" w:rsidRPr="00AB7622">
        <w:rPr>
          <w:rFonts w:asciiTheme="majorHAnsi" w:hAnsiTheme="majorHAnsi"/>
        </w:rPr>
        <w:t xml:space="preserve"> </w:t>
      </w:r>
      <w:r w:rsidR="004D73D9" w:rsidRPr="00616892">
        <w:rPr>
          <w:rFonts w:asciiTheme="majorHAnsi" w:hAnsiTheme="majorHAnsi"/>
        </w:rPr>
        <w:t xml:space="preserve">and subordinate legislation </w:t>
      </w:r>
      <w:r w:rsidR="00AB7622">
        <w:rPr>
          <w:rFonts w:asciiTheme="majorHAnsi" w:hAnsiTheme="majorHAnsi"/>
        </w:rPr>
        <w:t>made under the Act</w:t>
      </w:r>
      <w:r w:rsidR="004D73D9" w:rsidRPr="00616892">
        <w:rPr>
          <w:rFonts w:asciiTheme="majorHAnsi" w:hAnsiTheme="majorHAnsi"/>
        </w:rPr>
        <w:t xml:space="preserve">. </w:t>
      </w:r>
    </w:p>
    <w:p w14:paraId="63318192" w14:textId="06397E63" w:rsidR="004D73D9" w:rsidRPr="00616892" w:rsidRDefault="004D73D9" w:rsidP="000B0E4F">
      <w:pPr>
        <w:rPr>
          <w:rFonts w:asciiTheme="majorHAnsi" w:hAnsiTheme="majorHAnsi"/>
        </w:rPr>
      </w:pPr>
      <w:r w:rsidRPr="00616892">
        <w:rPr>
          <w:rFonts w:asciiTheme="majorHAnsi" w:hAnsiTheme="majorHAnsi"/>
        </w:rPr>
        <w:t xml:space="preserve">The </w:t>
      </w:r>
      <w:r w:rsidRPr="00590746">
        <w:rPr>
          <w:rFonts w:asciiTheme="majorHAnsi" w:hAnsiTheme="majorHAnsi"/>
        </w:rPr>
        <w:t xml:space="preserve">Biosecurity Act </w:t>
      </w:r>
      <w:r w:rsidRPr="00616892">
        <w:rPr>
          <w:rFonts w:asciiTheme="majorHAnsi" w:hAnsiTheme="majorHAnsi"/>
        </w:rPr>
        <w:t xml:space="preserve">provides for certain matters to be dealt with in more detail in subordinate legislation </w:t>
      </w:r>
      <w:r w:rsidR="0056198A">
        <w:rPr>
          <w:rFonts w:asciiTheme="majorHAnsi" w:hAnsiTheme="majorHAnsi"/>
        </w:rPr>
        <w:t>such as the Biosecurity</w:t>
      </w:r>
      <w:r w:rsidR="00E50CB5">
        <w:rPr>
          <w:rFonts w:asciiTheme="majorHAnsi" w:hAnsiTheme="majorHAnsi"/>
        </w:rPr>
        <w:t xml:space="preserve"> Regulation </w:t>
      </w:r>
      <w:r w:rsidRPr="00616892">
        <w:rPr>
          <w:rFonts w:asciiTheme="majorHAnsi" w:hAnsiTheme="majorHAnsi"/>
        </w:rPr>
        <w:t xml:space="preserve">and supporting </w:t>
      </w:r>
      <w:r w:rsidR="00492320">
        <w:rPr>
          <w:rFonts w:asciiTheme="majorHAnsi" w:hAnsiTheme="majorHAnsi"/>
        </w:rPr>
        <w:t xml:space="preserve">administrative </w:t>
      </w:r>
      <w:r w:rsidR="004B3E38">
        <w:rPr>
          <w:rFonts w:asciiTheme="majorHAnsi" w:hAnsiTheme="majorHAnsi"/>
        </w:rPr>
        <w:t xml:space="preserve">documents such as </w:t>
      </w:r>
      <w:r w:rsidR="00661F44">
        <w:rPr>
          <w:rFonts w:asciiTheme="majorHAnsi" w:hAnsiTheme="majorHAnsi"/>
        </w:rPr>
        <w:t>these guidelines</w:t>
      </w:r>
      <w:r w:rsidRPr="00616892">
        <w:rPr>
          <w:rFonts w:asciiTheme="majorHAnsi" w:hAnsiTheme="majorHAnsi"/>
        </w:rPr>
        <w:t xml:space="preserve">. </w:t>
      </w:r>
    </w:p>
    <w:p w14:paraId="7D44B087" w14:textId="11640909" w:rsidR="00DA7CAE" w:rsidRPr="00616892" w:rsidRDefault="0005465F" w:rsidP="00470E34">
      <w:pPr>
        <w:rPr>
          <w:rFonts w:asciiTheme="majorHAnsi" w:hAnsiTheme="majorHAnsi"/>
        </w:rPr>
      </w:pPr>
      <w:r>
        <w:rPr>
          <w:rFonts w:asciiTheme="majorHAnsi" w:hAnsiTheme="majorHAnsi"/>
        </w:rPr>
        <w:t>It also</w:t>
      </w:r>
      <w:r w:rsidR="00DA7CAE" w:rsidRPr="00616892">
        <w:rPr>
          <w:rFonts w:asciiTheme="majorHAnsi" w:hAnsiTheme="majorHAnsi"/>
        </w:rPr>
        <w:t> outlines the role of the Agriculture Minister in directing the Director of Biosecurity to commence a BIRA.</w:t>
      </w:r>
      <w:r w:rsidR="00684B91">
        <w:rPr>
          <w:rFonts w:asciiTheme="majorHAnsi" w:hAnsiTheme="majorHAnsi"/>
        </w:rPr>
        <w:t xml:space="preserve"> </w:t>
      </w:r>
      <w:r w:rsidR="00684B91" w:rsidRPr="003B3753">
        <w:rPr>
          <w:rFonts w:asciiTheme="majorHAnsi" w:hAnsiTheme="majorHAnsi"/>
        </w:rPr>
        <w:t>The Director of Biosecurity is the person who is, or is acting as, the Agriculture Secretary.</w:t>
      </w:r>
      <w:r w:rsidR="00643D50">
        <w:rPr>
          <w:rFonts w:asciiTheme="majorHAnsi" w:hAnsiTheme="majorHAnsi"/>
        </w:rPr>
        <w:t xml:space="preserve"> Under the Biosecurity Act</w:t>
      </w:r>
      <w:r w:rsidR="00AB7622">
        <w:rPr>
          <w:rFonts w:asciiTheme="majorHAnsi" w:hAnsiTheme="majorHAnsi"/>
        </w:rPr>
        <w:t>,</w:t>
      </w:r>
      <w:r w:rsidR="00643D50">
        <w:rPr>
          <w:rFonts w:asciiTheme="majorHAnsi" w:hAnsiTheme="majorHAnsi"/>
        </w:rPr>
        <w:t xml:space="preserve"> the Director of Biosecurity can delegate </w:t>
      </w:r>
      <w:r w:rsidR="00643D50" w:rsidRPr="00C03F0F">
        <w:rPr>
          <w:rFonts w:asciiTheme="majorHAnsi" w:hAnsiTheme="majorHAnsi"/>
        </w:rPr>
        <w:t>their</w:t>
      </w:r>
      <w:r w:rsidR="00643D50">
        <w:rPr>
          <w:rFonts w:asciiTheme="majorHAnsi" w:hAnsiTheme="majorHAnsi"/>
        </w:rPr>
        <w:t xml:space="preserve"> functions and powers to department employees</w:t>
      </w:r>
      <w:r w:rsidR="008A18E9">
        <w:rPr>
          <w:rFonts w:asciiTheme="majorHAnsi" w:hAnsiTheme="majorHAnsi"/>
        </w:rPr>
        <w:t xml:space="preserve">. </w:t>
      </w:r>
    </w:p>
    <w:p w14:paraId="4F3519DC" w14:textId="3EABF904" w:rsidR="004D73D9" w:rsidRPr="00616892" w:rsidRDefault="0056198A" w:rsidP="000B0E4F">
      <w:pPr>
        <w:rPr>
          <w:rFonts w:asciiTheme="majorHAnsi" w:hAnsiTheme="majorHAnsi"/>
        </w:rPr>
      </w:pPr>
      <w:r>
        <w:rPr>
          <w:rFonts w:asciiTheme="majorHAnsi" w:hAnsiTheme="majorHAnsi"/>
        </w:rPr>
        <w:t>The Biosecurity</w:t>
      </w:r>
      <w:r w:rsidR="004D73D9" w:rsidRPr="00616892">
        <w:rPr>
          <w:rFonts w:asciiTheme="majorHAnsi" w:hAnsiTheme="majorHAnsi"/>
        </w:rPr>
        <w:t xml:space="preserve"> Regulation sets</w:t>
      </w:r>
      <w:r w:rsidR="005678AE">
        <w:rPr>
          <w:rFonts w:asciiTheme="majorHAnsi" w:hAnsiTheme="majorHAnsi"/>
        </w:rPr>
        <w:t xml:space="preserve"> </w:t>
      </w:r>
      <w:r w:rsidR="004D73D9" w:rsidRPr="00616892">
        <w:rPr>
          <w:rFonts w:asciiTheme="majorHAnsi" w:hAnsiTheme="majorHAnsi"/>
        </w:rPr>
        <w:t xml:space="preserve">out and regulates the </w:t>
      </w:r>
      <w:r w:rsidR="00470E34">
        <w:rPr>
          <w:rFonts w:asciiTheme="majorHAnsi" w:hAnsiTheme="majorHAnsi"/>
        </w:rPr>
        <w:t>process for conducting a</w:t>
      </w:r>
      <w:r w:rsidR="004D73D9" w:rsidRPr="00616892">
        <w:rPr>
          <w:rFonts w:asciiTheme="majorHAnsi" w:hAnsiTheme="majorHAnsi"/>
        </w:rPr>
        <w:t xml:space="preserve"> BIRA. It:</w:t>
      </w:r>
    </w:p>
    <w:p w14:paraId="432DFFA3" w14:textId="5FC0443D" w:rsidR="004D73D9" w:rsidRPr="00616892" w:rsidRDefault="004D73D9" w:rsidP="00211A48">
      <w:pPr>
        <w:pStyle w:val="ListBullet"/>
      </w:pPr>
      <w:r w:rsidRPr="00616892">
        <w:t xml:space="preserve">identifies </w:t>
      </w:r>
      <w:r w:rsidR="00D40BA5">
        <w:t>the</w:t>
      </w:r>
      <w:r w:rsidR="00D40BA5" w:rsidRPr="00616892">
        <w:t xml:space="preserve"> </w:t>
      </w:r>
      <w:r w:rsidRPr="00616892">
        <w:t xml:space="preserve">steps </w:t>
      </w:r>
      <w:r w:rsidR="00470E34">
        <w:t>that</w:t>
      </w:r>
      <w:r w:rsidR="00470E34" w:rsidRPr="00616892">
        <w:t xml:space="preserve"> </w:t>
      </w:r>
      <w:r w:rsidRPr="00616892">
        <w:t>must be included in a BIRA</w:t>
      </w:r>
    </w:p>
    <w:p w14:paraId="56B4ED93" w14:textId="77777777" w:rsidR="004D73D9" w:rsidRPr="00616892" w:rsidRDefault="004D73D9" w:rsidP="00211A48">
      <w:pPr>
        <w:pStyle w:val="ListBullet"/>
      </w:pPr>
      <w:r w:rsidRPr="00616892">
        <w:t>specifies time frames for BIRAs</w:t>
      </w:r>
    </w:p>
    <w:p w14:paraId="760B06AD" w14:textId="6E06B405" w:rsidR="004D73D9" w:rsidRPr="00616892" w:rsidRDefault="004D73D9" w:rsidP="00211A48">
      <w:pPr>
        <w:pStyle w:val="ListBullet"/>
      </w:pPr>
      <w:r w:rsidRPr="00616892">
        <w:t>specifies publication and consultation requirements</w:t>
      </w:r>
    </w:p>
    <w:p w14:paraId="200C18BB" w14:textId="466E0AF2" w:rsidR="004D73D9" w:rsidRPr="00616892" w:rsidRDefault="004D73D9" w:rsidP="00211A48">
      <w:pPr>
        <w:pStyle w:val="ListBullet"/>
      </w:pPr>
      <w:r w:rsidRPr="00616892">
        <w:lastRenderedPageBreak/>
        <w:t xml:space="preserve">specifies that at any stage in the BIRA process the Director </w:t>
      </w:r>
      <w:r w:rsidR="009D40B4">
        <w:t xml:space="preserve">of Biosecurity may request the </w:t>
      </w:r>
      <w:r w:rsidR="00492320">
        <w:t>s</w:t>
      </w:r>
      <w:r w:rsidR="009D40B4">
        <w:t xml:space="preserve">cientific </w:t>
      </w:r>
      <w:r w:rsidR="00492320">
        <w:t>a</w:t>
      </w:r>
      <w:r w:rsidR="009D40B4">
        <w:t xml:space="preserve">dvisory </w:t>
      </w:r>
      <w:r w:rsidR="00492320">
        <w:t>g</w:t>
      </w:r>
      <w:r w:rsidRPr="00616892">
        <w:t xml:space="preserve">roup to examine and provide comment on any aspect of the BIRA </w:t>
      </w:r>
    </w:p>
    <w:p w14:paraId="0B1D7768" w14:textId="06A6C18E" w:rsidR="004D73D9" w:rsidRPr="00616892" w:rsidRDefault="004D73D9" w:rsidP="00211A48">
      <w:pPr>
        <w:pStyle w:val="ListBullet"/>
      </w:pPr>
      <w:r w:rsidRPr="00616892">
        <w:t xml:space="preserve">specifies </w:t>
      </w:r>
      <w:r w:rsidR="00492320">
        <w:t xml:space="preserve">that </w:t>
      </w:r>
      <w:r w:rsidRPr="00616892">
        <w:t>a provisional BIRA report must be released to communicate th</w:t>
      </w:r>
      <w:r w:rsidRPr="005B1694">
        <w:t>e</w:t>
      </w:r>
      <w:r w:rsidRPr="0026661F">
        <w:t xml:space="preserve"> res</w:t>
      </w:r>
      <w:r w:rsidRPr="00616892">
        <w:t xml:space="preserve">ults </w:t>
      </w:r>
      <w:r w:rsidR="00D40BA5">
        <w:t>of the BIRA</w:t>
      </w:r>
    </w:p>
    <w:p w14:paraId="047A9079" w14:textId="069A01C3" w:rsidR="004D73D9" w:rsidRPr="00616892" w:rsidRDefault="004D73D9" w:rsidP="00211A48">
      <w:pPr>
        <w:pStyle w:val="ListBullet"/>
      </w:pPr>
      <w:r w:rsidRPr="00616892">
        <w:t xml:space="preserve">specifies that an appeal on the process </w:t>
      </w:r>
      <w:r w:rsidR="00501EF6">
        <w:t xml:space="preserve">only </w:t>
      </w:r>
      <w:r w:rsidRPr="00616892">
        <w:t>used to conduct a BIRA can be made to the Inspector-General of Biosecurity</w:t>
      </w:r>
    </w:p>
    <w:p w14:paraId="6D053491" w14:textId="77777777" w:rsidR="004D73D9" w:rsidRPr="00616892" w:rsidRDefault="004D73D9" w:rsidP="00211A48">
      <w:pPr>
        <w:pStyle w:val="ListBullet"/>
      </w:pPr>
      <w:proofErr w:type="gramStart"/>
      <w:r w:rsidRPr="00616892">
        <w:t>makes</w:t>
      </w:r>
      <w:proofErr w:type="gramEnd"/>
      <w:r w:rsidRPr="00616892">
        <w:t xml:space="preserve"> provisions for the termination of a BIRA.</w:t>
      </w:r>
    </w:p>
    <w:p w14:paraId="7BBE8ADE" w14:textId="025964DE" w:rsidR="004D73D9" w:rsidRPr="00616892" w:rsidRDefault="0056198A" w:rsidP="000B0E4F">
      <w:pPr>
        <w:rPr>
          <w:rFonts w:asciiTheme="majorHAnsi" w:hAnsiTheme="majorHAnsi"/>
        </w:rPr>
      </w:pPr>
      <w:r>
        <w:rPr>
          <w:rFonts w:asciiTheme="majorHAnsi" w:hAnsiTheme="majorHAnsi"/>
        </w:rPr>
        <w:t>The Biosecurity</w:t>
      </w:r>
      <w:r w:rsidR="004D73D9" w:rsidRPr="00616892">
        <w:rPr>
          <w:rFonts w:asciiTheme="majorHAnsi" w:hAnsiTheme="majorHAnsi"/>
        </w:rPr>
        <w:t xml:space="preserve"> Regulation also describes the role of the Director of Biosecurity in the BIRA process. </w:t>
      </w:r>
    </w:p>
    <w:p w14:paraId="57E271F0" w14:textId="2082BFF4" w:rsidR="004D73D9" w:rsidRPr="00616892" w:rsidRDefault="004D73D9" w:rsidP="000B0E4F">
      <w:pPr>
        <w:rPr>
          <w:rFonts w:asciiTheme="majorHAnsi" w:hAnsiTheme="majorHAnsi"/>
        </w:rPr>
      </w:pPr>
      <w:r w:rsidRPr="00616892">
        <w:rPr>
          <w:rFonts w:asciiTheme="majorHAnsi" w:hAnsiTheme="majorHAnsi"/>
        </w:rPr>
        <w:t>The</w:t>
      </w:r>
      <w:r w:rsidRPr="00492320">
        <w:rPr>
          <w:rFonts w:asciiTheme="majorHAnsi" w:hAnsiTheme="majorHAnsi"/>
        </w:rPr>
        <w:t xml:space="preserve"> </w:t>
      </w:r>
      <w:r w:rsidR="00492320" w:rsidRPr="00391B47">
        <w:t>Biosecurity Act</w:t>
      </w:r>
      <w:r w:rsidRPr="00D40BA5">
        <w:rPr>
          <w:rFonts w:asciiTheme="majorHAnsi" w:hAnsiTheme="majorHAnsi"/>
        </w:rPr>
        <w:t xml:space="preserve"> and </w:t>
      </w:r>
      <w:r w:rsidRPr="00616892">
        <w:rPr>
          <w:rFonts w:asciiTheme="majorHAnsi" w:hAnsiTheme="majorHAnsi"/>
        </w:rPr>
        <w:t xml:space="preserve">the </w:t>
      </w:r>
      <w:r w:rsidR="00492320">
        <w:rPr>
          <w:rFonts w:asciiTheme="majorHAnsi" w:hAnsiTheme="majorHAnsi"/>
        </w:rPr>
        <w:t>Biosecurity</w:t>
      </w:r>
      <w:r w:rsidR="00661F44">
        <w:rPr>
          <w:rFonts w:asciiTheme="majorHAnsi" w:hAnsiTheme="majorHAnsi"/>
        </w:rPr>
        <w:t xml:space="preserve"> </w:t>
      </w:r>
      <w:r w:rsidR="00492320">
        <w:rPr>
          <w:rFonts w:asciiTheme="majorHAnsi" w:hAnsiTheme="majorHAnsi"/>
        </w:rPr>
        <w:t>R</w:t>
      </w:r>
      <w:r w:rsidRPr="00616892">
        <w:rPr>
          <w:rFonts w:asciiTheme="majorHAnsi" w:hAnsiTheme="majorHAnsi"/>
        </w:rPr>
        <w:t>egulation </w:t>
      </w:r>
      <w:r w:rsidR="00492320">
        <w:rPr>
          <w:rFonts w:asciiTheme="majorHAnsi" w:hAnsiTheme="majorHAnsi"/>
        </w:rPr>
        <w:t>are</w:t>
      </w:r>
      <w:r w:rsidRPr="00616892">
        <w:rPr>
          <w:rFonts w:asciiTheme="majorHAnsi" w:hAnsiTheme="majorHAnsi"/>
        </w:rPr>
        <w:t xml:space="preserve"> available </w:t>
      </w:r>
      <w:r w:rsidR="00661F44">
        <w:rPr>
          <w:rFonts w:asciiTheme="majorHAnsi" w:hAnsiTheme="majorHAnsi"/>
        </w:rPr>
        <w:t>on</w:t>
      </w:r>
      <w:r w:rsidRPr="00616892">
        <w:rPr>
          <w:rFonts w:asciiTheme="majorHAnsi" w:hAnsiTheme="majorHAnsi"/>
        </w:rPr>
        <w:t xml:space="preserve"> </w:t>
      </w:r>
      <w:r w:rsidR="00492320">
        <w:rPr>
          <w:rFonts w:asciiTheme="majorHAnsi" w:hAnsiTheme="majorHAnsi"/>
        </w:rPr>
        <w:t xml:space="preserve">the </w:t>
      </w:r>
      <w:hyperlink r:id="rId25" w:history="1">
        <w:r w:rsidR="00492320" w:rsidRPr="00492320">
          <w:rPr>
            <w:rStyle w:val="Hyperlink"/>
            <w:rFonts w:asciiTheme="majorHAnsi" w:hAnsiTheme="majorHAnsi"/>
          </w:rPr>
          <w:t>Federal Register of Legislation</w:t>
        </w:r>
      </w:hyperlink>
      <w:r w:rsidR="003B3753">
        <w:rPr>
          <w:rFonts w:asciiTheme="majorHAnsi" w:hAnsiTheme="majorHAnsi"/>
        </w:rPr>
        <w:t>.</w:t>
      </w:r>
    </w:p>
    <w:p w14:paraId="3BE457BA" w14:textId="77777777" w:rsidR="004D73D9" w:rsidRPr="00A86093" w:rsidRDefault="004D73D9" w:rsidP="007737C1">
      <w:pPr>
        <w:pStyle w:val="Heading4"/>
      </w:pPr>
      <w:bookmarkStart w:id="33" w:name="_Toc430246426"/>
      <w:bookmarkStart w:id="34" w:name="_Toc430767800"/>
      <w:bookmarkStart w:id="35" w:name="_Toc304716603"/>
      <w:bookmarkStart w:id="36" w:name="_Toc432160921"/>
      <w:bookmarkStart w:id="37" w:name="_Toc452647299"/>
      <w:r w:rsidRPr="00A86093">
        <w:rPr>
          <w:szCs w:val="28"/>
        </w:rPr>
        <w:t>Administrative documents</w:t>
      </w:r>
      <w:bookmarkEnd w:id="33"/>
      <w:bookmarkEnd w:id="34"/>
      <w:bookmarkEnd w:id="35"/>
      <w:bookmarkEnd w:id="36"/>
      <w:bookmarkEnd w:id="37"/>
    </w:p>
    <w:p w14:paraId="420655C2" w14:textId="30BA97B7" w:rsidR="004D73D9" w:rsidRPr="00616892" w:rsidRDefault="004D73D9" w:rsidP="000B0E4F">
      <w:pPr>
        <w:rPr>
          <w:rFonts w:asciiTheme="majorHAnsi" w:hAnsiTheme="majorHAnsi"/>
        </w:rPr>
      </w:pPr>
      <w:r w:rsidRPr="00616892">
        <w:rPr>
          <w:rFonts w:asciiTheme="majorHAnsi" w:hAnsiTheme="majorHAnsi"/>
        </w:rPr>
        <w:t xml:space="preserve">The department also uses administrative documents, such as guidelines and policies, to administer and undertake biosecurity related services and activities. These documents set out the processes </w:t>
      </w:r>
      <w:r w:rsidR="00492320">
        <w:rPr>
          <w:rFonts w:asciiTheme="majorHAnsi" w:hAnsiTheme="majorHAnsi"/>
        </w:rPr>
        <w:t>for</w:t>
      </w:r>
      <w:r w:rsidRPr="00616892">
        <w:rPr>
          <w:rFonts w:asciiTheme="majorHAnsi" w:hAnsiTheme="majorHAnsi"/>
        </w:rPr>
        <w:t xml:space="preserve"> conducting BIRA</w:t>
      </w:r>
      <w:r w:rsidR="00E112DD">
        <w:rPr>
          <w:rFonts w:asciiTheme="majorHAnsi" w:hAnsiTheme="majorHAnsi"/>
        </w:rPr>
        <w:t>s</w:t>
      </w:r>
      <w:r w:rsidR="00492320">
        <w:rPr>
          <w:rFonts w:asciiTheme="majorHAnsi" w:hAnsiTheme="majorHAnsi"/>
        </w:rPr>
        <w:t xml:space="preserve"> and the matters that must be taken into account</w:t>
      </w:r>
      <w:r w:rsidRPr="00616892">
        <w:rPr>
          <w:rFonts w:asciiTheme="majorHAnsi" w:hAnsiTheme="majorHAnsi"/>
        </w:rPr>
        <w:t>.</w:t>
      </w:r>
    </w:p>
    <w:p w14:paraId="0814CF7E" w14:textId="77777777" w:rsidR="004D73D9" w:rsidRPr="00A86093" w:rsidRDefault="004D73D9" w:rsidP="007737C1">
      <w:pPr>
        <w:pStyle w:val="Heading4"/>
      </w:pPr>
      <w:bookmarkStart w:id="38" w:name="_Toc425158097"/>
      <w:bookmarkStart w:id="39" w:name="_Toc425158481"/>
      <w:bookmarkStart w:id="40" w:name="_Toc425158864"/>
      <w:bookmarkStart w:id="41" w:name="_Toc425163737"/>
      <w:bookmarkStart w:id="42" w:name="_Toc425164284"/>
      <w:bookmarkStart w:id="43" w:name="_Toc425158098"/>
      <w:bookmarkStart w:id="44" w:name="_Toc425158482"/>
      <w:bookmarkStart w:id="45" w:name="_Toc425158865"/>
      <w:bookmarkStart w:id="46" w:name="_Toc425163738"/>
      <w:bookmarkStart w:id="47" w:name="_Toc425164285"/>
      <w:bookmarkStart w:id="48" w:name="_Toc425158099"/>
      <w:bookmarkStart w:id="49" w:name="_Toc425158483"/>
      <w:bookmarkStart w:id="50" w:name="_Toc425158866"/>
      <w:bookmarkStart w:id="51" w:name="_Toc425163739"/>
      <w:bookmarkStart w:id="52" w:name="_Toc425164286"/>
      <w:bookmarkStart w:id="53" w:name="_Toc425158100"/>
      <w:bookmarkStart w:id="54" w:name="_Toc425158484"/>
      <w:bookmarkStart w:id="55" w:name="_Toc425158867"/>
      <w:bookmarkStart w:id="56" w:name="_Toc425163740"/>
      <w:bookmarkStart w:id="57" w:name="_Toc425164287"/>
      <w:bookmarkStart w:id="58" w:name="_Toc425158101"/>
      <w:bookmarkStart w:id="59" w:name="_Toc425158485"/>
      <w:bookmarkStart w:id="60" w:name="_Toc425158868"/>
      <w:bookmarkStart w:id="61" w:name="_Toc425163741"/>
      <w:bookmarkStart w:id="62" w:name="_Toc425164288"/>
      <w:bookmarkStart w:id="63" w:name="_Toc425158102"/>
      <w:bookmarkStart w:id="64" w:name="_Toc425158486"/>
      <w:bookmarkStart w:id="65" w:name="_Toc425158869"/>
      <w:bookmarkStart w:id="66" w:name="_Toc425163742"/>
      <w:bookmarkStart w:id="67" w:name="_Toc425164289"/>
      <w:bookmarkStart w:id="68" w:name="_Toc425158103"/>
      <w:bookmarkStart w:id="69" w:name="_Toc425158487"/>
      <w:bookmarkStart w:id="70" w:name="_Toc425158870"/>
      <w:bookmarkStart w:id="71" w:name="_Toc425163743"/>
      <w:bookmarkStart w:id="72" w:name="_Toc425164290"/>
      <w:bookmarkStart w:id="73" w:name="_Toc425158104"/>
      <w:bookmarkStart w:id="74" w:name="_Toc425158488"/>
      <w:bookmarkStart w:id="75" w:name="_Toc425158871"/>
      <w:bookmarkStart w:id="76" w:name="_Toc425163744"/>
      <w:bookmarkStart w:id="77" w:name="_Toc425164291"/>
      <w:bookmarkStart w:id="78" w:name="_Toc425158105"/>
      <w:bookmarkStart w:id="79" w:name="_Toc425158489"/>
      <w:bookmarkStart w:id="80" w:name="_Toc425158872"/>
      <w:bookmarkStart w:id="81" w:name="_Toc425163745"/>
      <w:bookmarkStart w:id="82" w:name="_Toc425164292"/>
      <w:bookmarkStart w:id="83" w:name="_Toc425158106"/>
      <w:bookmarkStart w:id="84" w:name="_Toc425158490"/>
      <w:bookmarkStart w:id="85" w:name="_Toc425158873"/>
      <w:bookmarkStart w:id="86" w:name="_Toc425163746"/>
      <w:bookmarkStart w:id="87" w:name="_Toc425164293"/>
      <w:bookmarkStart w:id="88" w:name="_Toc425158107"/>
      <w:bookmarkStart w:id="89" w:name="_Toc425158491"/>
      <w:bookmarkStart w:id="90" w:name="_Toc425158874"/>
      <w:bookmarkStart w:id="91" w:name="_Toc425163747"/>
      <w:bookmarkStart w:id="92" w:name="_Toc425164294"/>
      <w:bookmarkStart w:id="93" w:name="_Toc425158108"/>
      <w:bookmarkStart w:id="94" w:name="_Toc425158492"/>
      <w:bookmarkStart w:id="95" w:name="_Toc425158875"/>
      <w:bookmarkStart w:id="96" w:name="_Toc425163748"/>
      <w:bookmarkStart w:id="97" w:name="_Toc425164295"/>
      <w:bookmarkStart w:id="98" w:name="_Toc425158109"/>
      <w:bookmarkStart w:id="99" w:name="_Toc425158493"/>
      <w:bookmarkStart w:id="100" w:name="_Toc425158876"/>
      <w:bookmarkStart w:id="101" w:name="_Toc425163749"/>
      <w:bookmarkStart w:id="102" w:name="_Toc425164296"/>
      <w:bookmarkStart w:id="103" w:name="_Toc425158110"/>
      <w:bookmarkStart w:id="104" w:name="_Toc425158494"/>
      <w:bookmarkStart w:id="105" w:name="_Toc425158877"/>
      <w:bookmarkStart w:id="106" w:name="_Toc425163750"/>
      <w:bookmarkStart w:id="107" w:name="_Toc425164297"/>
      <w:bookmarkStart w:id="108" w:name="_Toc425158111"/>
      <w:bookmarkStart w:id="109" w:name="_Toc425158495"/>
      <w:bookmarkStart w:id="110" w:name="_Toc425158878"/>
      <w:bookmarkStart w:id="111" w:name="_Toc425163751"/>
      <w:bookmarkStart w:id="112" w:name="_Toc425164298"/>
      <w:bookmarkStart w:id="113" w:name="_Toc425158112"/>
      <w:bookmarkStart w:id="114" w:name="_Toc425158496"/>
      <w:bookmarkStart w:id="115" w:name="_Toc425158879"/>
      <w:bookmarkStart w:id="116" w:name="_Toc425163752"/>
      <w:bookmarkStart w:id="117" w:name="_Toc425164299"/>
      <w:bookmarkStart w:id="118" w:name="_Toc357584505"/>
      <w:bookmarkStart w:id="119" w:name="_Toc425164301"/>
      <w:bookmarkStart w:id="120" w:name="_Toc430767801"/>
      <w:bookmarkStart w:id="121" w:name="_Toc432160922"/>
      <w:bookmarkStart w:id="122" w:name="_Toc45264730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A86093">
        <w:rPr>
          <w:szCs w:val="28"/>
        </w:rPr>
        <w:t>International agreements and standards</w:t>
      </w:r>
      <w:bookmarkEnd w:id="118"/>
      <w:bookmarkEnd w:id="119"/>
      <w:bookmarkEnd w:id="120"/>
      <w:bookmarkEnd w:id="121"/>
      <w:bookmarkEnd w:id="122"/>
    </w:p>
    <w:p w14:paraId="2168CA59" w14:textId="16DCDC01" w:rsidR="004D73D9" w:rsidRPr="00616892" w:rsidRDefault="004D73D9" w:rsidP="000B0E4F">
      <w:pPr>
        <w:rPr>
          <w:rFonts w:asciiTheme="majorHAnsi" w:hAnsiTheme="majorHAnsi"/>
        </w:rPr>
      </w:pPr>
      <w:r w:rsidRPr="00616892">
        <w:rPr>
          <w:rFonts w:asciiTheme="majorHAnsi" w:hAnsiTheme="majorHAnsi"/>
        </w:rPr>
        <w:t xml:space="preserve">Australia </w:t>
      </w:r>
      <w:r w:rsidR="00A25708">
        <w:rPr>
          <w:rFonts w:asciiTheme="majorHAnsi" w:hAnsiTheme="majorHAnsi"/>
        </w:rPr>
        <w:t xml:space="preserve">has </w:t>
      </w:r>
      <w:r w:rsidRPr="00C03F0F">
        <w:rPr>
          <w:rFonts w:asciiTheme="majorHAnsi" w:hAnsiTheme="majorHAnsi"/>
        </w:rPr>
        <w:t>its</w:t>
      </w:r>
      <w:r w:rsidRPr="00616892">
        <w:rPr>
          <w:rFonts w:asciiTheme="majorHAnsi" w:hAnsiTheme="majorHAnsi"/>
        </w:rPr>
        <w:t xml:space="preserve"> own biosecurity laws and policies </w:t>
      </w:r>
      <w:r w:rsidR="00A25708">
        <w:rPr>
          <w:rFonts w:asciiTheme="majorHAnsi" w:hAnsiTheme="majorHAnsi"/>
        </w:rPr>
        <w:t>which take into acco</w:t>
      </w:r>
      <w:r w:rsidR="00A25708" w:rsidRPr="00D402C1">
        <w:rPr>
          <w:rFonts w:asciiTheme="majorHAnsi" w:hAnsiTheme="majorHAnsi"/>
        </w:rPr>
        <w:t xml:space="preserve">unt </w:t>
      </w:r>
      <w:r w:rsidR="00A25708" w:rsidRPr="00D849D3">
        <w:rPr>
          <w:rFonts w:asciiTheme="majorHAnsi" w:hAnsiTheme="majorHAnsi"/>
        </w:rPr>
        <w:t>our</w:t>
      </w:r>
      <w:r w:rsidR="00A25708">
        <w:rPr>
          <w:rFonts w:asciiTheme="majorHAnsi" w:hAnsiTheme="majorHAnsi"/>
        </w:rPr>
        <w:t xml:space="preserve"> </w:t>
      </w:r>
      <w:r w:rsidRPr="00616892">
        <w:rPr>
          <w:rFonts w:asciiTheme="majorHAnsi" w:hAnsiTheme="majorHAnsi"/>
        </w:rPr>
        <w:t xml:space="preserve">international </w:t>
      </w:r>
      <w:r w:rsidR="00A25708">
        <w:rPr>
          <w:rFonts w:asciiTheme="majorHAnsi" w:hAnsiTheme="majorHAnsi"/>
        </w:rPr>
        <w:t xml:space="preserve">trade </w:t>
      </w:r>
      <w:r w:rsidRPr="00616892">
        <w:rPr>
          <w:rFonts w:asciiTheme="majorHAnsi" w:hAnsiTheme="majorHAnsi"/>
        </w:rPr>
        <w:t xml:space="preserve">obligations when conducting risk </w:t>
      </w:r>
      <w:r w:rsidR="000C5532">
        <w:rPr>
          <w:rFonts w:asciiTheme="majorHAnsi" w:hAnsiTheme="majorHAnsi"/>
        </w:rPr>
        <w:t>analyse</w:t>
      </w:r>
      <w:r w:rsidR="000C5532" w:rsidRPr="00616892">
        <w:rPr>
          <w:rFonts w:asciiTheme="majorHAnsi" w:hAnsiTheme="majorHAnsi"/>
        </w:rPr>
        <w:t>s</w:t>
      </w:r>
      <w:r w:rsidRPr="00616892">
        <w:rPr>
          <w:rFonts w:asciiTheme="majorHAnsi" w:hAnsiTheme="majorHAnsi"/>
        </w:rPr>
        <w:t xml:space="preserve">. </w:t>
      </w:r>
    </w:p>
    <w:p w14:paraId="4C278D4D" w14:textId="74A8B4ED" w:rsidR="004D73D9" w:rsidRPr="00616892" w:rsidRDefault="004D73D9" w:rsidP="000B0E4F">
      <w:pPr>
        <w:rPr>
          <w:rFonts w:asciiTheme="majorHAnsi" w:hAnsiTheme="majorHAnsi"/>
        </w:rPr>
      </w:pPr>
      <w:r w:rsidRPr="00616892">
        <w:rPr>
          <w:rFonts w:asciiTheme="majorHAnsi" w:hAnsiTheme="majorHAnsi"/>
        </w:rPr>
        <w:t>International agreements to which Australia is a party define the rights and obligations of countries in relation to implementing biosecurity arrangements. These agreements include the SPS </w:t>
      </w:r>
      <w:r w:rsidR="00D40BA5">
        <w:rPr>
          <w:rFonts w:asciiTheme="majorHAnsi" w:hAnsiTheme="majorHAnsi"/>
        </w:rPr>
        <w:t>a</w:t>
      </w:r>
      <w:r w:rsidRPr="00616892">
        <w:rPr>
          <w:rFonts w:asciiTheme="majorHAnsi" w:hAnsiTheme="majorHAnsi"/>
        </w:rPr>
        <w:t>greement</w:t>
      </w:r>
      <w:r w:rsidR="00AE3296">
        <w:rPr>
          <w:rFonts w:asciiTheme="majorHAnsi" w:hAnsiTheme="majorHAnsi"/>
        </w:rPr>
        <w:t xml:space="preserve"> and the International Health Regulations</w:t>
      </w:r>
      <w:r w:rsidR="003B3753">
        <w:rPr>
          <w:rFonts w:asciiTheme="majorHAnsi" w:hAnsiTheme="majorHAnsi"/>
        </w:rPr>
        <w:t xml:space="preserve">. </w:t>
      </w:r>
    </w:p>
    <w:p w14:paraId="24649C10" w14:textId="5B792703" w:rsidR="004D73D9" w:rsidRPr="00616892" w:rsidRDefault="004D73D9" w:rsidP="000B0E4F">
      <w:pPr>
        <w:rPr>
          <w:rFonts w:asciiTheme="majorHAnsi" w:hAnsiTheme="majorHAnsi"/>
        </w:rPr>
      </w:pPr>
      <w:r w:rsidRPr="00616892">
        <w:rPr>
          <w:rFonts w:asciiTheme="majorHAnsi" w:hAnsiTheme="majorHAnsi"/>
        </w:rPr>
        <w:t xml:space="preserve">All WTO </w:t>
      </w:r>
      <w:r w:rsidR="000F68D3">
        <w:rPr>
          <w:rFonts w:asciiTheme="majorHAnsi" w:hAnsiTheme="majorHAnsi"/>
        </w:rPr>
        <w:t>m</w:t>
      </w:r>
      <w:r w:rsidRPr="00616892">
        <w:rPr>
          <w:rFonts w:asciiTheme="majorHAnsi" w:hAnsiTheme="majorHAnsi"/>
        </w:rPr>
        <w:t>embers are signatories to the SPS </w:t>
      </w:r>
      <w:r w:rsidR="00D849D3">
        <w:rPr>
          <w:rFonts w:asciiTheme="majorHAnsi" w:hAnsiTheme="majorHAnsi"/>
        </w:rPr>
        <w:t>a</w:t>
      </w:r>
      <w:r w:rsidRPr="00616892">
        <w:rPr>
          <w:rFonts w:asciiTheme="majorHAnsi" w:hAnsiTheme="majorHAnsi"/>
        </w:rPr>
        <w:t>greement, under which they have both rights and obligations. The SPS </w:t>
      </w:r>
      <w:r w:rsidR="00761A41" w:rsidRPr="00616892">
        <w:rPr>
          <w:rFonts w:asciiTheme="majorHAnsi" w:hAnsiTheme="majorHAnsi"/>
        </w:rPr>
        <w:t xml:space="preserve">agreement </w:t>
      </w:r>
      <w:r w:rsidRPr="00616892">
        <w:rPr>
          <w:rFonts w:asciiTheme="majorHAnsi" w:hAnsiTheme="majorHAnsi"/>
        </w:rPr>
        <w:t xml:space="preserve">provides WTO </w:t>
      </w:r>
      <w:r w:rsidR="000F68D3">
        <w:rPr>
          <w:rFonts w:asciiTheme="majorHAnsi" w:hAnsiTheme="majorHAnsi"/>
        </w:rPr>
        <w:t>m</w:t>
      </w:r>
      <w:r w:rsidRPr="00616892">
        <w:rPr>
          <w:rFonts w:asciiTheme="majorHAnsi" w:hAnsiTheme="majorHAnsi"/>
        </w:rPr>
        <w:t xml:space="preserve">embers with the right to use sanitary (human and animal health) and phytosanitary (plant health) measures (SPS measures) to protect human, animal and plant life or health. </w:t>
      </w:r>
    </w:p>
    <w:p w14:paraId="42C3EA87" w14:textId="0B78EC90" w:rsidR="004D73D9" w:rsidRPr="00616892" w:rsidRDefault="004D73D9" w:rsidP="000B0E4F">
      <w:pPr>
        <w:rPr>
          <w:rFonts w:asciiTheme="majorHAnsi" w:hAnsiTheme="majorHAnsi"/>
        </w:rPr>
      </w:pPr>
      <w:r w:rsidRPr="00616892">
        <w:rPr>
          <w:rFonts w:asciiTheme="majorHAnsi" w:hAnsiTheme="majorHAnsi"/>
        </w:rPr>
        <w:t xml:space="preserve">The </w:t>
      </w:r>
      <w:r w:rsidR="00D40BA5">
        <w:rPr>
          <w:rFonts w:asciiTheme="majorHAnsi" w:hAnsiTheme="majorHAnsi"/>
        </w:rPr>
        <w:t>a</w:t>
      </w:r>
      <w:r w:rsidRPr="00616892">
        <w:rPr>
          <w:rFonts w:asciiTheme="majorHAnsi" w:hAnsiTheme="majorHAnsi"/>
        </w:rPr>
        <w:t xml:space="preserve">greement </w:t>
      </w:r>
      <w:r w:rsidR="00E76DF0">
        <w:rPr>
          <w:rFonts w:asciiTheme="majorHAnsi" w:hAnsiTheme="majorHAnsi"/>
        </w:rPr>
        <w:t>requires</w:t>
      </w:r>
      <w:r w:rsidR="00A25708">
        <w:rPr>
          <w:rFonts w:asciiTheme="majorHAnsi" w:hAnsiTheme="majorHAnsi"/>
        </w:rPr>
        <w:t xml:space="preserve"> governments to base their </w:t>
      </w:r>
      <w:r w:rsidR="00AC3D62">
        <w:rPr>
          <w:rFonts w:asciiTheme="majorHAnsi" w:hAnsiTheme="majorHAnsi"/>
        </w:rPr>
        <w:t xml:space="preserve">SPS </w:t>
      </w:r>
      <w:r w:rsidR="00A25708">
        <w:rPr>
          <w:rFonts w:asciiTheme="majorHAnsi" w:hAnsiTheme="majorHAnsi"/>
        </w:rPr>
        <w:t>measures on</w:t>
      </w:r>
      <w:r w:rsidRPr="00616892">
        <w:rPr>
          <w:rFonts w:asciiTheme="majorHAnsi" w:hAnsiTheme="majorHAnsi"/>
        </w:rPr>
        <w:t xml:space="preserve"> international standards, guidelines and recommendations</w:t>
      </w:r>
      <w:r w:rsidR="00A25708">
        <w:rPr>
          <w:rFonts w:asciiTheme="majorHAnsi" w:hAnsiTheme="majorHAnsi"/>
        </w:rPr>
        <w:t>, such as those</w:t>
      </w:r>
      <w:r w:rsidRPr="00616892">
        <w:rPr>
          <w:rFonts w:asciiTheme="majorHAnsi" w:hAnsiTheme="majorHAnsi"/>
        </w:rPr>
        <w:t xml:space="preserve"> established for plant health </w:t>
      </w:r>
      <w:r w:rsidR="00AC3D62">
        <w:rPr>
          <w:rFonts w:asciiTheme="majorHAnsi" w:hAnsiTheme="majorHAnsi"/>
        </w:rPr>
        <w:t xml:space="preserve">by the IPPC </w:t>
      </w:r>
      <w:r w:rsidRPr="00616892">
        <w:rPr>
          <w:rFonts w:asciiTheme="majorHAnsi" w:hAnsiTheme="majorHAnsi"/>
        </w:rPr>
        <w:t xml:space="preserve">and </w:t>
      </w:r>
      <w:r w:rsidR="00AC3D62">
        <w:rPr>
          <w:rFonts w:asciiTheme="majorHAnsi" w:hAnsiTheme="majorHAnsi"/>
        </w:rPr>
        <w:t xml:space="preserve">for animal health by </w:t>
      </w:r>
      <w:r w:rsidRPr="00616892">
        <w:rPr>
          <w:rFonts w:asciiTheme="majorHAnsi" w:hAnsiTheme="majorHAnsi"/>
        </w:rPr>
        <w:t>the OIE</w:t>
      </w:r>
      <w:r w:rsidR="00A25708">
        <w:rPr>
          <w:rFonts w:asciiTheme="majorHAnsi" w:hAnsiTheme="majorHAnsi"/>
        </w:rPr>
        <w:t>.</w:t>
      </w:r>
      <w:r w:rsidRPr="00616892">
        <w:rPr>
          <w:rFonts w:asciiTheme="majorHAnsi" w:hAnsiTheme="majorHAnsi"/>
        </w:rPr>
        <w:t xml:space="preserve"> </w:t>
      </w:r>
    </w:p>
    <w:p w14:paraId="11479AF9" w14:textId="6AE89BF2" w:rsidR="004D73D9" w:rsidRPr="00616892" w:rsidRDefault="004D73D9" w:rsidP="000B0E4F">
      <w:pPr>
        <w:rPr>
          <w:rFonts w:asciiTheme="majorHAnsi" w:hAnsiTheme="majorHAnsi"/>
        </w:rPr>
      </w:pPr>
      <w:r w:rsidRPr="00616892">
        <w:rPr>
          <w:rFonts w:asciiTheme="majorHAnsi" w:hAnsiTheme="majorHAnsi"/>
        </w:rPr>
        <w:t xml:space="preserve">Australia bases its </w:t>
      </w:r>
      <w:r w:rsidR="00C43EBC" w:rsidRPr="00616892">
        <w:rPr>
          <w:rFonts w:asciiTheme="majorHAnsi" w:hAnsiTheme="majorHAnsi"/>
        </w:rPr>
        <w:t xml:space="preserve">risk </w:t>
      </w:r>
      <w:r w:rsidR="000C5532">
        <w:rPr>
          <w:rFonts w:asciiTheme="majorHAnsi" w:hAnsiTheme="majorHAnsi"/>
        </w:rPr>
        <w:t>analysis</w:t>
      </w:r>
      <w:r w:rsidR="000C5532" w:rsidRPr="00616892">
        <w:rPr>
          <w:rFonts w:asciiTheme="majorHAnsi" w:hAnsiTheme="majorHAnsi"/>
        </w:rPr>
        <w:t xml:space="preserve"> </w:t>
      </w:r>
      <w:r w:rsidRPr="00616892">
        <w:rPr>
          <w:rFonts w:asciiTheme="majorHAnsi" w:hAnsiTheme="majorHAnsi"/>
        </w:rPr>
        <w:t>methodolog</w:t>
      </w:r>
      <w:r w:rsidR="00C43EBC" w:rsidRPr="00616892">
        <w:rPr>
          <w:rFonts w:asciiTheme="majorHAnsi" w:hAnsiTheme="majorHAnsi"/>
        </w:rPr>
        <w:t>ies</w:t>
      </w:r>
      <w:r w:rsidRPr="00616892">
        <w:rPr>
          <w:rFonts w:asciiTheme="majorHAnsi" w:hAnsiTheme="majorHAnsi"/>
        </w:rPr>
        <w:t xml:space="preserve"> and import risk management measures on the standards, guidelines and recommendations set by the IPPC and OIE. However, </w:t>
      </w:r>
      <w:r w:rsidR="00655BDE">
        <w:rPr>
          <w:rFonts w:asciiTheme="majorHAnsi" w:hAnsiTheme="majorHAnsi"/>
        </w:rPr>
        <w:t>when</w:t>
      </w:r>
      <w:r w:rsidR="00655BDE" w:rsidRPr="00616892">
        <w:rPr>
          <w:rFonts w:asciiTheme="majorHAnsi" w:hAnsiTheme="majorHAnsi"/>
        </w:rPr>
        <w:t xml:space="preserve"> </w:t>
      </w:r>
      <w:r w:rsidRPr="00616892">
        <w:rPr>
          <w:rFonts w:asciiTheme="majorHAnsi" w:hAnsiTheme="majorHAnsi"/>
        </w:rPr>
        <w:t xml:space="preserve">such standards do not </w:t>
      </w:r>
      <w:r w:rsidR="009B20A9">
        <w:rPr>
          <w:rFonts w:asciiTheme="majorHAnsi" w:hAnsiTheme="majorHAnsi"/>
        </w:rPr>
        <w:t>achieve</w:t>
      </w:r>
      <w:r w:rsidRPr="00616892">
        <w:rPr>
          <w:rFonts w:asciiTheme="majorHAnsi" w:hAnsiTheme="majorHAnsi"/>
        </w:rPr>
        <w:t xml:space="preserve"> Australia’s ALOP, or relevant standards do not exist, Australia exercises its right under the SPS </w:t>
      </w:r>
      <w:r w:rsidR="0036478C">
        <w:rPr>
          <w:rFonts w:asciiTheme="majorHAnsi" w:hAnsiTheme="majorHAnsi"/>
        </w:rPr>
        <w:t>a</w:t>
      </w:r>
      <w:r w:rsidRPr="00616892">
        <w:rPr>
          <w:rFonts w:asciiTheme="majorHAnsi" w:hAnsiTheme="majorHAnsi"/>
        </w:rPr>
        <w:t xml:space="preserve">greement to apply appropriate measures, justified on scientific grounds and supported by risk </w:t>
      </w:r>
      <w:r w:rsidR="000C5532">
        <w:rPr>
          <w:rFonts w:asciiTheme="majorHAnsi" w:hAnsiTheme="majorHAnsi"/>
        </w:rPr>
        <w:t>analysis</w:t>
      </w:r>
      <w:r w:rsidRPr="00616892">
        <w:rPr>
          <w:rFonts w:asciiTheme="majorHAnsi" w:hAnsiTheme="majorHAnsi"/>
        </w:rPr>
        <w:t>.</w:t>
      </w:r>
    </w:p>
    <w:p w14:paraId="51595447" w14:textId="59A38017" w:rsidR="009B20A9" w:rsidRDefault="009B20A9" w:rsidP="000B0E4F">
      <w:pPr>
        <w:rPr>
          <w:rFonts w:asciiTheme="majorHAnsi" w:hAnsiTheme="majorHAnsi"/>
        </w:rPr>
      </w:pPr>
      <w:r w:rsidRPr="00353737">
        <w:rPr>
          <w:rFonts w:asciiTheme="majorHAnsi" w:hAnsiTheme="majorHAnsi"/>
        </w:rPr>
        <w:t xml:space="preserve">The </w:t>
      </w:r>
      <w:r w:rsidR="00655BDE">
        <w:rPr>
          <w:rFonts w:asciiTheme="majorHAnsi" w:hAnsiTheme="majorHAnsi"/>
        </w:rPr>
        <w:t>International Health Regulations</w:t>
      </w:r>
      <w:r w:rsidRPr="00353737">
        <w:rPr>
          <w:rFonts w:asciiTheme="majorHAnsi" w:hAnsiTheme="majorHAnsi"/>
        </w:rPr>
        <w:t xml:space="preserve"> were established by the World Health Organization to prevent, protect against, control and respond to the international spread of disease in ways that are commensurate with and restricted to public health risks, and </w:t>
      </w:r>
      <w:r w:rsidR="00655BDE">
        <w:rPr>
          <w:rFonts w:asciiTheme="majorHAnsi" w:hAnsiTheme="majorHAnsi"/>
        </w:rPr>
        <w:t>that</w:t>
      </w:r>
      <w:r w:rsidR="00655BDE" w:rsidRPr="00353737">
        <w:rPr>
          <w:rFonts w:asciiTheme="majorHAnsi" w:hAnsiTheme="majorHAnsi"/>
        </w:rPr>
        <w:t xml:space="preserve"> </w:t>
      </w:r>
      <w:r w:rsidRPr="00353737">
        <w:rPr>
          <w:rFonts w:asciiTheme="majorHAnsi" w:hAnsiTheme="majorHAnsi"/>
        </w:rPr>
        <w:t xml:space="preserve">avoid unnecessary interference with international traffic and trade. As a </w:t>
      </w:r>
      <w:r w:rsidR="004D76AA" w:rsidRPr="00353737">
        <w:rPr>
          <w:rFonts w:asciiTheme="majorHAnsi" w:hAnsiTheme="majorHAnsi"/>
        </w:rPr>
        <w:t>World Health Organization</w:t>
      </w:r>
      <w:r w:rsidR="00655BDE">
        <w:rPr>
          <w:rFonts w:asciiTheme="majorHAnsi" w:hAnsiTheme="majorHAnsi"/>
        </w:rPr>
        <w:t xml:space="preserve"> m</w:t>
      </w:r>
      <w:r w:rsidRPr="00353737">
        <w:rPr>
          <w:rFonts w:asciiTheme="majorHAnsi" w:hAnsiTheme="majorHAnsi"/>
        </w:rPr>
        <w:t xml:space="preserve">ember </w:t>
      </w:r>
      <w:r w:rsidR="00655BDE">
        <w:rPr>
          <w:rFonts w:asciiTheme="majorHAnsi" w:hAnsiTheme="majorHAnsi"/>
        </w:rPr>
        <w:t>s</w:t>
      </w:r>
      <w:r w:rsidRPr="00353737">
        <w:rPr>
          <w:rFonts w:asciiTheme="majorHAnsi" w:hAnsiTheme="majorHAnsi"/>
        </w:rPr>
        <w:t xml:space="preserve">tate and a signatory to the </w:t>
      </w:r>
      <w:r w:rsidR="00655BDE">
        <w:rPr>
          <w:rFonts w:asciiTheme="majorHAnsi" w:hAnsiTheme="majorHAnsi"/>
        </w:rPr>
        <w:t>regulations</w:t>
      </w:r>
      <w:r w:rsidRPr="00353737">
        <w:rPr>
          <w:rFonts w:asciiTheme="majorHAnsi" w:hAnsiTheme="majorHAnsi"/>
        </w:rPr>
        <w:t xml:space="preserve">, Australia upholds the </w:t>
      </w:r>
      <w:r w:rsidR="00655BDE">
        <w:rPr>
          <w:rFonts w:asciiTheme="majorHAnsi" w:hAnsiTheme="majorHAnsi"/>
        </w:rPr>
        <w:t xml:space="preserve">regulations’ </w:t>
      </w:r>
      <w:r w:rsidRPr="00353737">
        <w:rPr>
          <w:rFonts w:asciiTheme="majorHAnsi" w:hAnsiTheme="majorHAnsi"/>
        </w:rPr>
        <w:t>standards and values in protecting public health</w:t>
      </w:r>
      <w:r w:rsidRPr="00AE3296">
        <w:rPr>
          <w:rFonts w:asciiTheme="majorHAnsi" w:hAnsiTheme="majorHAnsi"/>
        </w:rPr>
        <w:t>.</w:t>
      </w:r>
    </w:p>
    <w:p w14:paraId="3862E3FB" w14:textId="4A1E82CA" w:rsidR="00211A48" w:rsidRDefault="004D73D9" w:rsidP="00655BDE">
      <w:pPr>
        <w:rPr>
          <w:rFonts w:asciiTheme="majorHAnsi" w:hAnsiTheme="majorHAnsi"/>
        </w:rPr>
      </w:pPr>
      <w:r w:rsidRPr="00616892">
        <w:rPr>
          <w:rFonts w:asciiTheme="majorHAnsi" w:hAnsiTheme="majorHAnsi"/>
        </w:rPr>
        <w:t>More information about Australia’s international biosecurity obligatio</w:t>
      </w:r>
      <w:r w:rsidRPr="00C03F0F">
        <w:rPr>
          <w:rFonts w:asciiTheme="majorHAnsi" w:hAnsiTheme="majorHAnsi"/>
        </w:rPr>
        <w:t xml:space="preserve">ns </w:t>
      </w:r>
      <w:r w:rsidR="00C03F0F">
        <w:rPr>
          <w:rFonts w:asciiTheme="majorHAnsi" w:hAnsiTheme="majorHAnsi"/>
        </w:rPr>
        <w:t>is</w:t>
      </w:r>
      <w:r w:rsidRPr="00C03F0F">
        <w:rPr>
          <w:rFonts w:asciiTheme="majorHAnsi" w:hAnsiTheme="majorHAnsi"/>
        </w:rPr>
        <w:t xml:space="preserve"> </w:t>
      </w:r>
      <w:r w:rsidR="00CA720B" w:rsidRPr="00C03F0F">
        <w:rPr>
          <w:rFonts w:asciiTheme="majorHAnsi" w:hAnsiTheme="majorHAnsi"/>
        </w:rPr>
        <w:t>on t</w:t>
      </w:r>
      <w:r w:rsidR="00CA720B">
        <w:rPr>
          <w:rFonts w:asciiTheme="majorHAnsi" w:hAnsiTheme="majorHAnsi"/>
        </w:rPr>
        <w:t xml:space="preserve">he </w:t>
      </w:r>
      <w:hyperlink r:id="rId26" w:history="1">
        <w:r w:rsidR="00CA720B" w:rsidRPr="00832CEC">
          <w:rPr>
            <w:rStyle w:val="Hyperlink"/>
            <w:rFonts w:asciiTheme="majorHAnsi" w:hAnsiTheme="majorHAnsi"/>
          </w:rPr>
          <w:t>department’s website</w:t>
        </w:r>
      </w:hyperlink>
      <w:r w:rsidR="00CA720B">
        <w:rPr>
          <w:rFonts w:asciiTheme="majorHAnsi" w:hAnsiTheme="majorHAnsi"/>
        </w:rPr>
        <w:t>.</w:t>
      </w:r>
      <w:bookmarkStart w:id="123" w:name="_Toc430767802"/>
      <w:bookmarkStart w:id="124" w:name="_Toc357584507"/>
      <w:bookmarkStart w:id="125" w:name="_Toc402865226"/>
    </w:p>
    <w:p w14:paraId="329119A5" w14:textId="4F48D6BD" w:rsidR="004D73D9" w:rsidRPr="00C47E1F" w:rsidRDefault="004D73D9" w:rsidP="007737C1">
      <w:pPr>
        <w:pStyle w:val="Heading2"/>
      </w:pPr>
      <w:bookmarkStart w:id="126" w:name="_Toc452647301"/>
      <w:r w:rsidRPr="00C47E1F">
        <w:lastRenderedPageBreak/>
        <w:t xml:space="preserve">Australia’s </w:t>
      </w:r>
      <w:r w:rsidRPr="00C03F0F">
        <w:t>biosecurity import risk analysis process</w:t>
      </w:r>
      <w:bookmarkEnd w:id="123"/>
      <w:bookmarkEnd w:id="126"/>
      <w:r w:rsidRPr="00C47E1F">
        <w:t xml:space="preserve"> </w:t>
      </w:r>
    </w:p>
    <w:p w14:paraId="0391AF01" w14:textId="1E312EE3" w:rsidR="004D73D9" w:rsidRPr="003216D3" w:rsidRDefault="004D73D9" w:rsidP="00211A48">
      <w:pPr>
        <w:pStyle w:val="Heading3"/>
      </w:pPr>
      <w:bookmarkStart w:id="127" w:name="_Toc452647302"/>
      <w:r w:rsidRPr="0036478C">
        <w:t>Before a</w:t>
      </w:r>
      <w:r w:rsidRPr="003216D3">
        <w:t xml:space="preserve"> </w:t>
      </w:r>
      <w:r w:rsidR="000C5532">
        <w:t>BIRA</w:t>
      </w:r>
      <w:bookmarkStart w:id="128" w:name="_Toc430767803"/>
      <w:r w:rsidRPr="003216D3">
        <w:t xml:space="preserve"> begins</w:t>
      </w:r>
      <w:bookmarkEnd w:id="127"/>
      <w:bookmarkEnd w:id="128"/>
    </w:p>
    <w:p w14:paraId="06F36799" w14:textId="18CAA19B" w:rsidR="00DF76DA" w:rsidRPr="00616892" w:rsidRDefault="00C2234F" w:rsidP="00462D9E">
      <w:pPr>
        <w:rPr>
          <w:rFonts w:asciiTheme="majorHAnsi" w:hAnsiTheme="majorHAnsi"/>
        </w:rPr>
      </w:pPr>
      <w:r>
        <w:rPr>
          <w:rFonts w:asciiTheme="majorHAnsi" w:hAnsiTheme="majorHAnsi"/>
        </w:rPr>
        <w:t xml:space="preserve">There are a number of ways a </w:t>
      </w:r>
      <w:r w:rsidR="000C5532" w:rsidRPr="0036478C">
        <w:rPr>
          <w:rFonts w:asciiTheme="majorHAnsi" w:hAnsiTheme="majorHAnsi"/>
        </w:rPr>
        <w:t>BIRA</w:t>
      </w:r>
      <w:r w:rsidR="00FB07D8" w:rsidRPr="0036478C">
        <w:rPr>
          <w:rFonts w:asciiTheme="majorHAnsi" w:hAnsiTheme="majorHAnsi"/>
        </w:rPr>
        <w:t xml:space="preserve"> may</w:t>
      </w:r>
      <w:r>
        <w:rPr>
          <w:rFonts w:asciiTheme="majorHAnsi" w:hAnsiTheme="majorHAnsi"/>
        </w:rPr>
        <w:t xml:space="preserve"> begin:</w:t>
      </w:r>
    </w:p>
    <w:p w14:paraId="4277C856" w14:textId="2E65CC47" w:rsidR="007669FC" w:rsidRPr="00C00E82" w:rsidRDefault="004D73D9" w:rsidP="00211A48">
      <w:pPr>
        <w:pStyle w:val="ListBullet"/>
      </w:pPr>
      <w:r w:rsidRPr="00616892">
        <w:t>the Agriculture</w:t>
      </w:r>
      <w:r w:rsidR="001141D3" w:rsidRPr="00616892">
        <w:t xml:space="preserve"> </w:t>
      </w:r>
      <w:r w:rsidRPr="00616892">
        <w:t>Minister direct</w:t>
      </w:r>
      <w:r w:rsidR="00DF76DA" w:rsidRPr="00616892">
        <w:t>s</w:t>
      </w:r>
      <w:r w:rsidRPr="00616892">
        <w:t xml:space="preserve"> the Director of Biosecurity to </w:t>
      </w:r>
      <w:r w:rsidR="00AF5513" w:rsidRPr="00616892">
        <w:t xml:space="preserve">commence </w:t>
      </w:r>
      <w:r w:rsidRPr="00616892">
        <w:t>a BIRA</w:t>
      </w:r>
      <w:r w:rsidR="00DF76DA" w:rsidRPr="00616892">
        <w:t xml:space="preserve"> in relation to a particular good or class of goods</w:t>
      </w:r>
      <w:r w:rsidR="00AE0923">
        <w:t xml:space="preserve"> if they are satisfied that the BIRA should be commenced</w:t>
      </w:r>
      <w:r w:rsidR="00493203">
        <w:t xml:space="preserve"> </w:t>
      </w:r>
      <w:r w:rsidR="00493203" w:rsidRPr="0026661F">
        <w:t>(</w:t>
      </w:r>
      <w:r w:rsidR="00493203" w:rsidRPr="00D849D3">
        <w:t>Biosecurity Act)</w:t>
      </w:r>
      <w:r w:rsidR="00AE0923">
        <w:t>,</w:t>
      </w:r>
      <w:r w:rsidR="00756976">
        <w:t xml:space="preserve"> </w:t>
      </w:r>
      <w:r w:rsidR="00DF76DA" w:rsidRPr="00C00E82">
        <w:t>or</w:t>
      </w:r>
      <w:r w:rsidR="00B65C1F" w:rsidRPr="00C00E82">
        <w:t xml:space="preserve"> </w:t>
      </w:r>
    </w:p>
    <w:p w14:paraId="084D659C" w14:textId="1393A02E" w:rsidR="007669FC" w:rsidRPr="00616892" w:rsidRDefault="00B65C1F" w:rsidP="00211A48">
      <w:pPr>
        <w:pStyle w:val="ListBullet"/>
      </w:pPr>
      <w:r w:rsidRPr="00616892">
        <w:t>t</w:t>
      </w:r>
      <w:r w:rsidR="00DF76DA" w:rsidRPr="00616892">
        <w:t>he Director of Biosecurity</w:t>
      </w:r>
      <w:r w:rsidRPr="00616892">
        <w:t xml:space="preserve"> decide</w:t>
      </w:r>
      <w:r w:rsidR="00DF76DA" w:rsidRPr="00616892">
        <w:t>s</w:t>
      </w:r>
      <w:r w:rsidRPr="00616892">
        <w:t xml:space="preserve"> to co</w:t>
      </w:r>
      <w:r w:rsidR="00DF76DA" w:rsidRPr="00616892">
        <w:t>mmence</w:t>
      </w:r>
      <w:r w:rsidRPr="00616892">
        <w:t xml:space="preserve"> a BIRA in relation to a particular good or class of goods should the</w:t>
      </w:r>
      <w:r w:rsidR="00966B9E">
        <w:t xml:space="preserve"> Director of Biosecurity</w:t>
      </w:r>
      <w:r w:rsidRPr="00616892">
        <w:t xml:space="preserve"> believe the criteria for a BIRA has been met</w:t>
      </w:r>
      <w:r w:rsidR="00493203">
        <w:t xml:space="preserve"> (</w:t>
      </w:r>
      <w:r w:rsidR="003B3753" w:rsidRPr="00391B47">
        <w:t>Biosecurity</w:t>
      </w:r>
      <w:r w:rsidR="00493203" w:rsidRPr="00391B47">
        <w:t xml:space="preserve"> Regulation)</w:t>
      </w:r>
      <w:r w:rsidRPr="00616892">
        <w:t>.</w:t>
      </w:r>
    </w:p>
    <w:p w14:paraId="55D15099" w14:textId="679197D8" w:rsidR="004D73D9" w:rsidRPr="00616892" w:rsidRDefault="00DF0C6C" w:rsidP="000B0E4F">
      <w:pPr>
        <w:rPr>
          <w:rFonts w:asciiTheme="majorHAnsi" w:hAnsiTheme="majorHAnsi"/>
        </w:rPr>
      </w:pPr>
      <w:r w:rsidRPr="001825E2">
        <w:rPr>
          <w:rFonts w:asciiTheme="majorHAnsi" w:hAnsiTheme="majorHAnsi"/>
        </w:rPr>
        <w:t>An import proposal</w:t>
      </w:r>
      <w:r w:rsidR="004D73D9" w:rsidRPr="001825E2">
        <w:rPr>
          <w:rFonts w:asciiTheme="majorHAnsi" w:hAnsiTheme="majorHAnsi"/>
        </w:rPr>
        <w:t xml:space="preserve"> may be provided to the department by</w:t>
      </w:r>
      <w:r w:rsidR="004D73D9" w:rsidRPr="00616892">
        <w:rPr>
          <w:rFonts w:asciiTheme="majorHAnsi" w:hAnsiTheme="majorHAnsi"/>
        </w:rPr>
        <w:t xml:space="preserve"> government authorities of an exporting country</w:t>
      </w:r>
      <w:r w:rsidR="00FC1466">
        <w:rPr>
          <w:rFonts w:asciiTheme="majorHAnsi" w:hAnsiTheme="majorHAnsi"/>
        </w:rPr>
        <w:t xml:space="preserve"> in the form of a market access request</w:t>
      </w:r>
      <w:r w:rsidR="004D73D9" w:rsidRPr="00616892">
        <w:rPr>
          <w:rFonts w:asciiTheme="majorHAnsi" w:hAnsiTheme="majorHAnsi"/>
        </w:rPr>
        <w:t xml:space="preserve">, or when people or organisations want to import goods (plants, animals and other goods). </w:t>
      </w:r>
      <w:r w:rsidR="00AE0923" w:rsidRPr="00616892">
        <w:rPr>
          <w:rFonts w:asciiTheme="majorHAnsi" w:hAnsiTheme="majorHAnsi"/>
        </w:rPr>
        <w:t>An import proposal is a generic term used to describe a proposal to bring plants, animals or other goods into Austral</w:t>
      </w:r>
      <w:r w:rsidR="00AE0923" w:rsidRPr="001825E2">
        <w:rPr>
          <w:rFonts w:asciiTheme="majorHAnsi" w:hAnsiTheme="majorHAnsi"/>
        </w:rPr>
        <w:t>ia in circumstances where imp</w:t>
      </w:r>
      <w:r w:rsidR="00AE0923" w:rsidRPr="00616892">
        <w:rPr>
          <w:rFonts w:asciiTheme="majorHAnsi" w:hAnsiTheme="majorHAnsi"/>
        </w:rPr>
        <w:t>ort conditions have not been established.</w:t>
      </w:r>
    </w:p>
    <w:p w14:paraId="5A0DCE6E" w14:textId="577B1F4C" w:rsidR="004D73D9" w:rsidRPr="00616892" w:rsidRDefault="004D73D9" w:rsidP="000B0E4F">
      <w:pPr>
        <w:rPr>
          <w:rFonts w:asciiTheme="majorHAnsi" w:hAnsiTheme="majorHAnsi"/>
        </w:rPr>
      </w:pPr>
      <w:r w:rsidRPr="00616892">
        <w:rPr>
          <w:rFonts w:asciiTheme="majorHAnsi" w:hAnsiTheme="majorHAnsi"/>
        </w:rPr>
        <w:t xml:space="preserve">The department </w:t>
      </w:r>
      <w:r w:rsidR="00DF0C6C" w:rsidRPr="00616892">
        <w:rPr>
          <w:rFonts w:asciiTheme="majorHAnsi" w:hAnsiTheme="majorHAnsi"/>
        </w:rPr>
        <w:t xml:space="preserve">may </w:t>
      </w:r>
      <w:r w:rsidRPr="00616892">
        <w:rPr>
          <w:rFonts w:asciiTheme="majorHAnsi" w:hAnsiTheme="majorHAnsi"/>
        </w:rPr>
        <w:t xml:space="preserve">consult with the </w:t>
      </w:r>
      <w:r w:rsidR="00935DC0">
        <w:rPr>
          <w:rFonts w:asciiTheme="majorHAnsi" w:hAnsiTheme="majorHAnsi"/>
        </w:rPr>
        <w:t>party making the import prop</w:t>
      </w:r>
      <w:r w:rsidR="00FC1466">
        <w:rPr>
          <w:rFonts w:asciiTheme="majorHAnsi" w:hAnsiTheme="majorHAnsi"/>
        </w:rPr>
        <w:t>o</w:t>
      </w:r>
      <w:r w:rsidR="00935DC0">
        <w:rPr>
          <w:rFonts w:asciiTheme="majorHAnsi" w:hAnsiTheme="majorHAnsi"/>
        </w:rPr>
        <w:t>sal</w:t>
      </w:r>
      <w:r w:rsidR="00B65C1F" w:rsidRPr="00616892">
        <w:rPr>
          <w:rFonts w:asciiTheme="majorHAnsi" w:hAnsiTheme="majorHAnsi"/>
        </w:rPr>
        <w:t>, where required,</w:t>
      </w:r>
      <w:r w:rsidRPr="00616892">
        <w:rPr>
          <w:rFonts w:asciiTheme="majorHAnsi" w:hAnsiTheme="majorHAnsi"/>
        </w:rPr>
        <w:t xml:space="preserve"> to confirm the scope of the request and to ensure that </w:t>
      </w:r>
      <w:r w:rsidR="00C43EBC" w:rsidRPr="00616892">
        <w:rPr>
          <w:rFonts w:asciiTheme="majorHAnsi" w:hAnsiTheme="majorHAnsi"/>
        </w:rPr>
        <w:t xml:space="preserve">any </w:t>
      </w:r>
      <w:r w:rsidRPr="00616892">
        <w:rPr>
          <w:rFonts w:asciiTheme="majorHAnsi" w:hAnsiTheme="majorHAnsi"/>
        </w:rPr>
        <w:t>required information has been provided to support their request. The department</w:t>
      </w:r>
      <w:r w:rsidR="00C43EBC" w:rsidRPr="00616892">
        <w:rPr>
          <w:rFonts w:asciiTheme="majorHAnsi" w:hAnsiTheme="majorHAnsi"/>
        </w:rPr>
        <w:t xml:space="preserve"> prioritises valid proposals, </w:t>
      </w:r>
      <w:r w:rsidRPr="00616892">
        <w:rPr>
          <w:rFonts w:asciiTheme="majorHAnsi" w:hAnsiTheme="majorHAnsi"/>
        </w:rPr>
        <w:t xml:space="preserve">then considers the type of risk </w:t>
      </w:r>
      <w:r w:rsidR="000C5532">
        <w:rPr>
          <w:rFonts w:asciiTheme="majorHAnsi" w:hAnsiTheme="majorHAnsi"/>
        </w:rPr>
        <w:t xml:space="preserve">analysis </w:t>
      </w:r>
      <w:r w:rsidRPr="00616892">
        <w:rPr>
          <w:rFonts w:asciiTheme="majorHAnsi" w:hAnsiTheme="majorHAnsi"/>
        </w:rPr>
        <w:t xml:space="preserve">that is required and whether the criteria for conducting a BIRA have been met. </w:t>
      </w:r>
    </w:p>
    <w:p w14:paraId="5EB52B6C" w14:textId="2E7A763C" w:rsidR="004D73D9" w:rsidRPr="00616892" w:rsidRDefault="00AE0923" w:rsidP="000B0E4F">
      <w:pPr>
        <w:rPr>
          <w:rFonts w:asciiTheme="majorHAnsi" w:hAnsiTheme="majorHAnsi"/>
        </w:rPr>
      </w:pPr>
      <w:r>
        <w:rPr>
          <w:rFonts w:asciiTheme="majorHAnsi" w:hAnsiTheme="majorHAnsi"/>
        </w:rPr>
        <w:t xml:space="preserve">The department </w:t>
      </w:r>
      <w:r w:rsidR="00D25B1C">
        <w:rPr>
          <w:rFonts w:asciiTheme="majorHAnsi" w:hAnsiTheme="majorHAnsi"/>
        </w:rPr>
        <w:t>will work to identify stakeholders</w:t>
      </w:r>
      <w:r>
        <w:rPr>
          <w:rFonts w:asciiTheme="majorHAnsi" w:hAnsiTheme="majorHAnsi"/>
        </w:rPr>
        <w:t xml:space="preserve"> directly related to the potential BIRA and notify them. </w:t>
      </w:r>
      <w:r w:rsidR="00E50CB5">
        <w:rPr>
          <w:rFonts w:asciiTheme="majorHAnsi" w:hAnsiTheme="majorHAnsi"/>
        </w:rPr>
        <w:t>I</w:t>
      </w:r>
      <w:r w:rsidR="00C2234F">
        <w:rPr>
          <w:rFonts w:asciiTheme="majorHAnsi" w:hAnsiTheme="majorHAnsi"/>
        </w:rPr>
        <w:t xml:space="preserve">t may not be possible </w:t>
      </w:r>
      <w:r w:rsidR="001825E2">
        <w:rPr>
          <w:rFonts w:asciiTheme="majorHAnsi" w:hAnsiTheme="majorHAnsi"/>
        </w:rPr>
        <w:t xml:space="preserve">for the department </w:t>
      </w:r>
      <w:r w:rsidR="00C2234F">
        <w:rPr>
          <w:rFonts w:asciiTheme="majorHAnsi" w:hAnsiTheme="majorHAnsi"/>
        </w:rPr>
        <w:t xml:space="preserve">to </w:t>
      </w:r>
      <w:r w:rsidR="00D25B1C">
        <w:rPr>
          <w:rFonts w:asciiTheme="majorHAnsi" w:hAnsiTheme="majorHAnsi"/>
        </w:rPr>
        <w:t xml:space="preserve">identify and </w:t>
      </w:r>
      <w:r w:rsidR="00C2234F">
        <w:rPr>
          <w:rFonts w:asciiTheme="majorHAnsi" w:hAnsiTheme="majorHAnsi"/>
        </w:rPr>
        <w:t xml:space="preserve">contact all stakeholders </w:t>
      </w:r>
      <w:r w:rsidR="001825E2">
        <w:rPr>
          <w:rFonts w:asciiTheme="majorHAnsi" w:hAnsiTheme="majorHAnsi"/>
        </w:rPr>
        <w:t>before</w:t>
      </w:r>
      <w:r w:rsidR="00E50CB5">
        <w:rPr>
          <w:rFonts w:asciiTheme="majorHAnsi" w:hAnsiTheme="majorHAnsi"/>
        </w:rPr>
        <w:t xml:space="preserve"> publishing the notice advising that a BIRA is commencing</w:t>
      </w:r>
      <w:r w:rsidR="00C2234F">
        <w:rPr>
          <w:rFonts w:asciiTheme="majorHAnsi" w:hAnsiTheme="majorHAnsi"/>
        </w:rPr>
        <w:t>.</w:t>
      </w:r>
      <w:r w:rsidR="00FB7573">
        <w:rPr>
          <w:rFonts w:asciiTheme="majorHAnsi" w:hAnsiTheme="majorHAnsi"/>
        </w:rPr>
        <w:t xml:space="preserve"> </w:t>
      </w:r>
      <w:r w:rsidR="00202A58">
        <w:rPr>
          <w:rFonts w:asciiTheme="majorHAnsi" w:hAnsiTheme="majorHAnsi"/>
        </w:rPr>
        <w:t xml:space="preserve">However, </w:t>
      </w:r>
      <w:r w:rsidR="00202A58" w:rsidRPr="00C03F0F">
        <w:rPr>
          <w:rFonts w:asciiTheme="majorHAnsi" w:hAnsiTheme="majorHAnsi"/>
        </w:rPr>
        <w:t>a</w:t>
      </w:r>
      <w:r w:rsidR="00FB07D8" w:rsidRPr="00C03F0F">
        <w:rPr>
          <w:rFonts w:asciiTheme="majorHAnsi" w:hAnsiTheme="majorHAnsi"/>
        </w:rPr>
        <w:t xml:space="preserve"> Biosecurity Advice Notice w</w:t>
      </w:r>
      <w:r w:rsidR="00FB07D8">
        <w:rPr>
          <w:rFonts w:asciiTheme="majorHAnsi" w:hAnsiTheme="majorHAnsi"/>
        </w:rPr>
        <w:t xml:space="preserve">ill be sent to all stakeholders who </w:t>
      </w:r>
      <w:r w:rsidR="00202A58">
        <w:rPr>
          <w:rFonts w:asciiTheme="majorHAnsi" w:hAnsiTheme="majorHAnsi"/>
        </w:rPr>
        <w:t xml:space="preserve">have </w:t>
      </w:r>
      <w:r w:rsidR="00FB07D8">
        <w:rPr>
          <w:rFonts w:asciiTheme="majorHAnsi" w:hAnsiTheme="majorHAnsi"/>
        </w:rPr>
        <w:t>subscribed</w:t>
      </w:r>
      <w:r w:rsidR="00202A58">
        <w:rPr>
          <w:rFonts w:asciiTheme="majorHAnsi" w:hAnsiTheme="majorHAnsi"/>
        </w:rPr>
        <w:t xml:space="preserve"> to receive notifications</w:t>
      </w:r>
      <w:r w:rsidR="00FB07D8">
        <w:rPr>
          <w:rFonts w:asciiTheme="majorHAnsi" w:hAnsiTheme="majorHAnsi"/>
        </w:rPr>
        <w:t>.</w:t>
      </w:r>
    </w:p>
    <w:p w14:paraId="674FC9CA" w14:textId="2B16AA2C" w:rsidR="004D73D9" w:rsidRPr="00616892" w:rsidRDefault="004D73D9" w:rsidP="000B0E4F">
      <w:pPr>
        <w:rPr>
          <w:rFonts w:asciiTheme="majorHAnsi" w:hAnsiTheme="majorHAnsi"/>
        </w:rPr>
      </w:pPr>
      <w:r w:rsidRPr="00616892">
        <w:rPr>
          <w:rFonts w:asciiTheme="majorHAnsi" w:hAnsiTheme="majorHAnsi"/>
        </w:rPr>
        <w:t xml:space="preserve">The department also contacts relevant Australian Government and state and territory departments and agencies </w:t>
      </w:r>
      <w:r w:rsidR="001825E2" w:rsidRPr="00616892">
        <w:rPr>
          <w:rFonts w:asciiTheme="majorHAnsi" w:hAnsiTheme="majorHAnsi"/>
        </w:rPr>
        <w:t>whe</w:t>
      </w:r>
      <w:r w:rsidR="001825E2">
        <w:rPr>
          <w:rFonts w:asciiTheme="majorHAnsi" w:hAnsiTheme="majorHAnsi"/>
        </w:rPr>
        <w:t>n</w:t>
      </w:r>
      <w:r w:rsidR="001825E2" w:rsidRPr="00616892">
        <w:rPr>
          <w:rFonts w:asciiTheme="majorHAnsi" w:hAnsiTheme="majorHAnsi"/>
        </w:rPr>
        <w:t xml:space="preserve"> </w:t>
      </w:r>
      <w:r w:rsidRPr="00616892">
        <w:rPr>
          <w:rFonts w:asciiTheme="majorHAnsi" w:hAnsiTheme="majorHAnsi"/>
        </w:rPr>
        <w:t>necessary.</w:t>
      </w:r>
    </w:p>
    <w:p w14:paraId="12A8F3D6" w14:textId="62A923F7" w:rsidR="0036478C" w:rsidRDefault="004D73D9" w:rsidP="006E7EA5">
      <w:r w:rsidRPr="00616892">
        <w:rPr>
          <w:rFonts w:asciiTheme="majorHAnsi" w:hAnsiTheme="majorHAnsi"/>
        </w:rPr>
        <w:t xml:space="preserve">More information about </w:t>
      </w:r>
      <w:r w:rsidR="00832467">
        <w:rPr>
          <w:rFonts w:asciiTheme="majorHAnsi" w:hAnsiTheme="majorHAnsi"/>
        </w:rPr>
        <w:t>import proposals</w:t>
      </w:r>
      <w:r w:rsidRPr="00616892">
        <w:rPr>
          <w:rFonts w:asciiTheme="majorHAnsi" w:hAnsiTheme="majorHAnsi"/>
        </w:rPr>
        <w:t xml:space="preserve"> is </w:t>
      </w:r>
      <w:r w:rsidR="00CA720B">
        <w:rPr>
          <w:rFonts w:asciiTheme="majorHAnsi" w:hAnsiTheme="majorHAnsi"/>
        </w:rPr>
        <w:t xml:space="preserve">on the </w:t>
      </w:r>
      <w:hyperlink r:id="rId27" w:history="1">
        <w:r w:rsidR="00CA720B" w:rsidRPr="00832CEC">
          <w:rPr>
            <w:rStyle w:val="Hyperlink"/>
            <w:rFonts w:asciiTheme="majorHAnsi" w:hAnsiTheme="majorHAnsi"/>
          </w:rPr>
          <w:t>department’s website</w:t>
        </w:r>
      </w:hyperlink>
      <w:r w:rsidRPr="00616892">
        <w:rPr>
          <w:rFonts w:asciiTheme="majorHAnsi" w:hAnsiTheme="majorHAnsi"/>
        </w:rPr>
        <w:t>.</w:t>
      </w:r>
      <w:bookmarkStart w:id="129" w:name="_Toc430767804"/>
    </w:p>
    <w:p w14:paraId="5F68AD97" w14:textId="77777777" w:rsidR="004D73D9" w:rsidRPr="003216D3" w:rsidRDefault="004D73D9" w:rsidP="00211A48">
      <w:pPr>
        <w:pStyle w:val="Heading3"/>
      </w:pPr>
      <w:bookmarkStart w:id="130" w:name="_Toc452647303"/>
      <w:r w:rsidRPr="003216D3">
        <w:t>Criteria for a BIRA</w:t>
      </w:r>
      <w:bookmarkEnd w:id="129"/>
      <w:bookmarkEnd w:id="130"/>
    </w:p>
    <w:p w14:paraId="4DD8574A" w14:textId="3B13FC49" w:rsidR="004D73D9" w:rsidRPr="00616892" w:rsidRDefault="004D73D9" w:rsidP="00462D9E">
      <w:pPr>
        <w:rPr>
          <w:rFonts w:asciiTheme="majorHAnsi" w:hAnsiTheme="majorHAnsi"/>
        </w:rPr>
      </w:pPr>
      <w:r w:rsidRPr="00616892">
        <w:rPr>
          <w:rFonts w:asciiTheme="majorHAnsi" w:hAnsiTheme="majorHAnsi"/>
        </w:rPr>
        <w:t>A BIRA will be undertaken when:</w:t>
      </w:r>
    </w:p>
    <w:p w14:paraId="7F999F20" w14:textId="21F39F0B" w:rsidR="004D73D9" w:rsidRPr="00616892" w:rsidRDefault="004D73D9" w:rsidP="00211A48">
      <w:pPr>
        <w:pStyle w:val="ListBullet"/>
      </w:pPr>
      <w:r w:rsidRPr="00616892">
        <w:t>relevant risk management measures have not been established, or</w:t>
      </w:r>
    </w:p>
    <w:p w14:paraId="437A8862" w14:textId="263FEF94" w:rsidR="004D73D9" w:rsidRPr="00616892" w:rsidRDefault="004D73D9" w:rsidP="00211A48">
      <w:pPr>
        <w:pStyle w:val="ListBullet"/>
      </w:pPr>
      <w:proofErr w:type="gramStart"/>
      <w:r w:rsidRPr="00616892">
        <w:t>relevant</w:t>
      </w:r>
      <w:proofErr w:type="gramEnd"/>
      <w:r w:rsidRPr="00616892">
        <w:t xml:space="preserve"> risk management measures for a similar good and disease</w:t>
      </w:r>
      <w:r w:rsidR="00DC3030">
        <w:t>/pest</w:t>
      </w:r>
      <w:r w:rsidRPr="00616892">
        <w:t xml:space="preserve"> combination do exist, but the likelihood and/or consequences of entry, establishment or spread of diseases </w:t>
      </w:r>
      <w:r w:rsidR="00DC3030">
        <w:t xml:space="preserve">or pests </w:t>
      </w:r>
      <w:r w:rsidRPr="00616892">
        <w:t>could differ significantly from those previously assessed.</w:t>
      </w:r>
    </w:p>
    <w:p w14:paraId="4ECEF7E2" w14:textId="689259CD" w:rsidR="004D73D9" w:rsidRPr="00616892" w:rsidRDefault="004D73D9" w:rsidP="000B0E4F">
      <w:pPr>
        <w:rPr>
          <w:rFonts w:asciiTheme="majorHAnsi" w:hAnsiTheme="majorHAnsi"/>
        </w:rPr>
      </w:pPr>
      <w:r w:rsidRPr="00616892">
        <w:rPr>
          <w:rFonts w:asciiTheme="majorHAnsi" w:hAnsiTheme="majorHAnsi"/>
        </w:rPr>
        <w:t xml:space="preserve">A </w:t>
      </w:r>
      <w:r w:rsidRPr="00CD59BA">
        <w:rPr>
          <w:rFonts w:asciiTheme="majorHAnsi" w:hAnsiTheme="majorHAnsi"/>
        </w:rPr>
        <w:t xml:space="preserve">risk </w:t>
      </w:r>
      <w:r w:rsidR="000C5532" w:rsidRPr="00CD59BA">
        <w:rPr>
          <w:rFonts w:asciiTheme="majorHAnsi" w:hAnsiTheme="majorHAnsi"/>
        </w:rPr>
        <w:t>analysis</w:t>
      </w:r>
      <w:r w:rsidR="000C5532" w:rsidRPr="00616892">
        <w:rPr>
          <w:rFonts w:asciiTheme="majorHAnsi" w:hAnsiTheme="majorHAnsi"/>
        </w:rPr>
        <w:t xml:space="preserve"> </w:t>
      </w:r>
      <w:r w:rsidRPr="00616892">
        <w:rPr>
          <w:rFonts w:asciiTheme="majorHAnsi" w:hAnsiTheme="majorHAnsi"/>
        </w:rPr>
        <w:t xml:space="preserve">which does not meet the criteria for a BIRA is undertaken as a non-regulated risk </w:t>
      </w:r>
      <w:r w:rsidR="00702E82">
        <w:rPr>
          <w:rFonts w:asciiTheme="majorHAnsi" w:hAnsiTheme="majorHAnsi"/>
        </w:rPr>
        <w:t>analysis</w:t>
      </w:r>
      <w:r w:rsidRPr="00616892">
        <w:rPr>
          <w:rFonts w:asciiTheme="majorHAnsi" w:hAnsiTheme="majorHAnsi"/>
        </w:rPr>
        <w:t>. Further information about the types of non</w:t>
      </w:r>
      <w:r w:rsidRPr="00616892">
        <w:rPr>
          <w:rFonts w:asciiTheme="majorHAnsi" w:hAnsiTheme="majorHAnsi"/>
        </w:rPr>
        <w:noBreakHyphen/>
        <w:t xml:space="preserve">regulated risk </w:t>
      </w:r>
      <w:r w:rsidR="00702E82">
        <w:rPr>
          <w:rFonts w:asciiTheme="majorHAnsi" w:hAnsiTheme="majorHAnsi"/>
        </w:rPr>
        <w:t>analyses</w:t>
      </w:r>
      <w:r w:rsidR="00702E82" w:rsidRPr="00616892">
        <w:rPr>
          <w:rFonts w:asciiTheme="majorHAnsi" w:hAnsiTheme="majorHAnsi"/>
        </w:rPr>
        <w:t xml:space="preserve"> </w:t>
      </w:r>
      <w:r w:rsidRPr="00616892">
        <w:rPr>
          <w:rFonts w:asciiTheme="majorHAnsi" w:hAnsiTheme="majorHAnsi"/>
        </w:rPr>
        <w:t xml:space="preserve">the department conducts </w:t>
      </w:r>
      <w:r w:rsidR="00DC36FE">
        <w:rPr>
          <w:rFonts w:asciiTheme="majorHAnsi" w:hAnsiTheme="majorHAnsi"/>
        </w:rPr>
        <w:t>is</w:t>
      </w:r>
      <w:r w:rsidRPr="00616892">
        <w:rPr>
          <w:rFonts w:asciiTheme="majorHAnsi" w:hAnsiTheme="majorHAnsi"/>
        </w:rPr>
        <w:t xml:space="preserve"> </w:t>
      </w:r>
      <w:r w:rsidR="00CA720B">
        <w:rPr>
          <w:rFonts w:asciiTheme="majorHAnsi" w:hAnsiTheme="majorHAnsi"/>
        </w:rPr>
        <w:t xml:space="preserve">on the </w:t>
      </w:r>
      <w:hyperlink r:id="rId28" w:history="1">
        <w:r w:rsidR="00CA720B" w:rsidRPr="00832CEC">
          <w:rPr>
            <w:rStyle w:val="Hyperlink"/>
            <w:rFonts w:asciiTheme="majorHAnsi" w:hAnsiTheme="majorHAnsi"/>
          </w:rPr>
          <w:t>depart</w:t>
        </w:r>
        <w:bookmarkStart w:id="131" w:name="_GoBack"/>
        <w:bookmarkEnd w:id="131"/>
        <w:r w:rsidR="00CA720B" w:rsidRPr="00832CEC">
          <w:rPr>
            <w:rStyle w:val="Hyperlink"/>
            <w:rFonts w:asciiTheme="majorHAnsi" w:hAnsiTheme="majorHAnsi"/>
          </w:rPr>
          <w:t>m</w:t>
        </w:r>
        <w:r w:rsidR="00CA720B" w:rsidRPr="00832CEC">
          <w:rPr>
            <w:rStyle w:val="Hyperlink"/>
            <w:rFonts w:asciiTheme="majorHAnsi" w:hAnsiTheme="majorHAnsi"/>
          </w:rPr>
          <w:t>ent’s website</w:t>
        </w:r>
      </w:hyperlink>
      <w:r w:rsidRPr="00616892">
        <w:rPr>
          <w:rFonts w:asciiTheme="majorHAnsi" w:hAnsiTheme="majorHAnsi"/>
        </w:rPr>
        <w:t>.</w:t>
      </w:r>
    </w:p>
    <w:p w14:paraId="75088299" w14:textId="45D36134" w:rsidR="004D73D9" w:rsidRPr="003216D3" w:rsidRDefault="004D73D9" w:rsidP="00761A41">
      <w:pPr>
        <w:pStyle w:val="Heading3"/>
      </w:pPr>
      <w:bookmarkStart w:id="132" w:name="_Toc430767805"/>
      <w:bookmarkStart w:id="133" w:name="_Toc452647304"/>
      <w:r w:rsidRPr="003216D3">
        <w:lastRenderedPageBreak/>
        <w:t>Summary of regulated BIRA steps</w:t>
      </w:r>
      <w:bookmarkEnd w:id="132"/>
      <w:bookmarkEnd w:id="133"/>
    </w:p>
    <w:p w14:paraId="38F808FE" w14:textId="732FF372" w:rsidR="00543FD3" w:rsidRDefault="004D73D9" w:rsidP="00761A41">
      <w:pPr>
        <w:keepNext/>
        <w:rPr>
          <w:rFonts w:asciiTheme="majorHAnsi" w:hAnsiTheme="majorHAnsi"/>
        </w:rPr>
      </w:pPr>
      <w:r w:rsidRPr="00C00E82">
        <w:rPr>
          <w:rFonts w:asciiTheme="majorHAnsi" w:hAnsiTheme="majorHAnsi"/>
        </w:rPr>
        <w:t xml:space="preserve">This </w:t>
      </w:r>
      <w:r w:rsidR="00C00E82">
        <w:rPr>
          <w:rFonts w:asciiTheme="majorHAnsi" w:hAnsiTheme="majorHAnsi"/>
        </w:rPr>
        <w:t>section</w:t>
      </w:r>
      <w:r w:rsidR="00C00E82" w:rsidRPr="00C00E82">
        <w:rPr>
          <w:rFonts w:asciiTheme="majorHAnsi" w:hAnsiTheme="majorHAnsi"/>
        </w:rPr>
        <w:t xml:space="preserve"> </w:t>
      </w:r>
      <w:r w:rsidRPr="00C00E82">
        <w:rPr>
          <w:rFonts w:asciiTheme="majorHAnsi" w:hAnsiTheme="majorHAnsi"/>
        </w:rPr>
        <w:t xml:space="preserve">describes the steps to be undertaken in a BIRA. </w:t>
      </w:r>
    </w:p>
    <w:p w14:paraId="62C960BD" w14:textId="6D519D77" w:rsidR="002152B6" w:rsidRPr="002152B6" w:rsidRDefault="002152B6" w:rsidP="00761A41">
      <w:pPr>
        <w:pStyle w:val="ListNumber"/>
        <w:keepNext/>
      </w:pPr>
      <w:r w:rsidRPr="002152B6">
        <w:t xml:space="preserve">The Director of Biosecurity must appoint a </w:t>
      </w:r>
      <w:r w:rsidR="000476A2" w:rsidRPr="0043546F">
        <w:t>scientific advisory group</w:t>
      </w:r>
      <w:r w:rsidRPr="002152B6">
        <w:t>.</w:t>
      </w:r>
    </w:p>
    <w:p w14:paraId="749E2C51" w14:textId="77777777" w:rsidR="004D73D9" w:rsidRPr="004712D7" w:rsidRDefault="004D73D9" w:rsidP="00761A41">
      <w:pPr>
        <w:pStyle w:val="ListNumber"/>
        <w:keepNext/>
      </w:pPr>
      <w:r w:rsidRPr="004712D7">
        <w:t>The Director of Biosecurity must publish a notice on the department’s website stating:</w:t>
      </w:r>
    </w:p>
    <w:p w14:paraId="73171C8E" w14:textId="42875316" w:rsidR="004D73D9" w:rsidRPr="004712D7" w:rsidRDefault="00543FD3" w:rsidP="0019672B">
      <w:pPr>
        <w:pStyle w:val="ListNumber2"/>
      </w:pPr>
      <w:r>
        <w:t>t</w:t>
      </w:r>
      <w:r w:rsidR="004D73D9" w:rsidRPr="004712D7">
        <w:t>hat a BIRA is commencing</w:t>
      </w:r>
    </w:p>
    <w:p w14:paraId="5A340995" w14:textId="5C8B5B11" w:rsidR="004D73D9" w:rsidRPr="004712D7" w:rsidRDefault="00543FD3" w:rsidP="0019672B">
      <w:pPr>
        <w:pStyle w:val="ListNumber2"/>
      </w:pPr>
      <w:proofErr w:type="gramStart"/>
      <w:r>
        <w:t>t</w:t>
      </w:r>
      <w:r w:rsidR="0028000D">
        <w:t>he</w:t>
      </w:r>
      <w:proofErr w:type="gramEnd"/>
      <w:r w:rsidR="004D73D9" w:rsidRPr="004712D7">
        <w:t xml:space="preserve"> opportunities for consultation </w:t>
      </w:r>
      <w:r w:rsidR="0028000D">
        <w:t xml:space="preserve">that </w:t>
      </w:r>
      <w:r w:rsidR="004D73D9" w:rsidRPr="004712D7">
        <w:t>will occur during the BIRA process.</w:t>
      </w:r>
    </w:p>
    <w:p w14:paraId="60A43425" w14:textId="3B1EAA49" w:rsidR="00226694" w:rsidRPr="003B3753" w:rsidRDefault="009A599F" w:rsidP="0019672B">
      <w:pPr>
        <w:pStyle w:val="ListNumber"/>
      </w:pPr>
      <w:r w:rsidRPr="0019672B">
        <w:t>The</w:t>
      </w:r>
      <w:r w:rsidR="004D73D9" w:rsidRPr="003B3753">
        <w:t xml:space="preserve"> Director of Biosecurity must </w:t>
      </w:r>
      <w:r w:rsidR="00690226" w:rsidRPr="003B3753">
        <w:t>prepare an</w:t>
      </w:r>
      <w:r w:rsidR="00603CAD" w:rsidRPr="003B3753">
        <w:t xml:space="preserve"> issues paper and </w:t>
      </w:r>
      <w:r w:rsidR="004D73D9" w:rsidRPr="003B3753">
        <w:t>publish</w:t>
      </w:r>
      <w:r w:rsidR="00603CAD" w:rsidRPr="003B3753">
        <w:t xml:space="preserve"> it </w:t>
      </w:r>
      <w:r w:rsidR="004D73D9" w:rsidRPr="003B3753">
        <w:t>on the department’s website</w:t>
      </w:r>
      <w:r w:rsidR="00B02C3D" w:rsidRPr="003B3753">
        <w:t>.</w:t>
      </w:r>
      <w:r w:rsidR="003B3753">
        <w:t xml:space="preserve"> </w:t>
      </w:r>
      <w:r w:rsidR="00226694" w:rsidRPr="003B3753">
        <w:t>The issues paper will set out background information about the request, th</w:t>
      </w:r>
      <w:r w:rsidR="00FB07D8" w:rsidRPr="003B3753">
        <w:t>e commodity/goods</w:t>
      </w:r>
      <w:r w:rsidR="00226694" w:rsidRPr="003B3753">
        <w:t xml:space="preserve"> and some of the main matters that will be considered during the analysis.</w:t>
      </w:r>
    </w:p>
    <w:p w14:paraId="402585FB" w14:textId="227793B4" w:rsidR="004D73D9" w:rsidRPr="004712D7" w:rsidRDefault="004D73D9" w:rsidP="0019672B">
      <w:pPr>
        <w:pStyle w:val="ListNumber"/>
      </w:pPr>
      <w:r w:rsidRPr="004712D7">
        <w:t>The Director of Biosecurity must:</w:t>
      </w:r>
    </w:p>
    <w:p w14:paraId="7A91CCF7" w14:textId="40795BF8" w:rsidR="004D73D9" w:rsidRPr="006C5A76" w:rsidRDefault="004D73D9" w:rsidP="0019672B">
      <w:pPr>
        <w:pStyle w:val="ListNumber2"/>
        <w:numPr>
          <w:ilvl w:val="1"/>
          <w:numId w:val="73"/>
        </w:numPr>
      </w:pPr>
      <w:r w:rsidRPr="006C5A76">
        <w:t>Prepare a draft BIRA report</w:t>
      </w:r>
    </w:p>
    <w:p w14:paraId="46711751" w14:textId="2E30D1BE" w:rsidR="004D73D9" w:rsidRPr="004712D7" w:rsidRDefault="004D73D9" w:rsidP="0019672B">
      <w:pPr>
        <w:pStyle w:val="ListNumber2"/>
      </w:pPr>
      <w:r w:rsidRPr="004712D7">
        <w:t>Publish on the department’s website the</w:t>
      </w:r>
      <w:r w:rsidR="00D25B1C">
        <w:t xml:space="preserve"> draft</w:t>
      </w:r>
      <w:r w:rsidRPr="004712D7">
        <w:t xml:space="preserve"> report and an invitation to the public to provide submissions about the assessment of the level of biosecurity risk associated with the relevant goods or class of goods </w:t>
      </w:r>
      <w:r w:rsidR="003C0C9E">
        <w:t xml:space="preserve">including </w:t>
      </w:r>
      <w:r w:rsidR="00D25B1C">
        <w:t>proposed</w:t>
      </w:r>
      <w:r w:rsidR="003C0C9E">
        <w:t xml:space="preserve"> risk measures for the goods to </w:t>
      </w:r>
      <w:r w:rsidR="009B20A9">
        <w:t>achieve</w:t>
      </w:r>
      <w:r w:rsidR="003C0C9E">
        <w:t xml:space="preserve"> ALOP </w:t>
      </w:r>
      <w:r w:rsidRPr="004712D7">
        <w:t>within a period specified in the invitation.</w:t>
      </w:r>
    </w:p>
    <w:p w14:paraId="7B98545D" w14:textId="14424CC3" w:rsidR="004D73D9" w:rsidRPr="004712D7" w:rsidRDefault="004D73D9" w:rsidP="00D849D3">
      <w:pPr>
        <w:rPr>
          <w:rFonts w:asciiTheme="majorHAnsi" w:hAnsiTheme="majorHAnsi"/>
        </w:rPr>
      </w:pPr>
      <w:r w:rsidRPr="004712D7">
        <w:rPr>
          <w:rFonts w:asciiTheme="majorHAnsi" w:hAnsiTheme="majorHAnsi"/>
        </w:rPr>
        <w:t xml:space="preserve">The </w:t>
      </w:r>
      <w:r w:rsidR="00D25B1C">
        <w:rPr>
          <w:rFonts w:asciiTheme="majorHAnsi" w:hAnsiTheme="majorHAnsi"/>
        </w:rPr>
        <w:t xml:space="preserve">consultation </w:t>
      </w:r>
      <w:r w:rsidRPr="004712D7">
        <w:rPr>
          <w:rFonts w:asciiTheme="majorHAnsi" w:hAnsiTheme="majorHAnsi"/>
        </w:rPr>
        <w:t>period must be at least 60</w:t>
      </w:r>
      <w:r w:rsidR="00472D2D" w:rsidRPr="004712D7">
        <w:rPr>
          <w:rFonts w:asciiTheme="majorHAnsi" w:hAnsiTheme="majorHAnsi"/>
        </w:rPr>
        <w:t xml:space="preserve"> calendar</w:t>
      </w:r>
      <w:r w:rsidRPr="004712D7">
        <w:rPr>
          <w:rFonts w:asciiTheme="majorHAnsi" w:hAnsiTheme="majorHAnsi"/>
        </w:rPr>
        <w:t xml:space="preserve"> days, including the day the invitation is published. </w:t>
      </w:r>
    </w:p>
    <w:p w14:paraId="1DE9811A" w14:textId="770E52F9" w:rsidR="004D73D9" w:rsidRPr="004712D7" w:rsidRDefault="004D73D9" w:rsidP="00D849D3">
      <w:pPr>
        <w:rPr>
          <w:rFonts w:asciiTheme="majorHAnsi" w:hAnsiTheme="majorHAnsi"/>
        </w:rPr>
      </w:pPr>
      <w:r w:rsidRPr="004712D7">
        <w:rPr>
          <w:rFonts w:asciiTheme="majorHAnsi" w:hAnsiTheme="majorHAnsi"/>
        </w:rPr>
        <w:t xml:space="preserve">If the Director of Biosecurity considers that the public may not have a reasonable opportunity to consider the draft BIRA report, the period for public submissions may be extended </w:t>
      </w:r>
      <w:r w:rsidR="00603CAD">
        <w:rPr>
          <w:rFonts w:asciiTheme="majorHAnsi" w:hAnsiTheme="majorHAnsi"/>
        </w:rPr>
        <w:t xml:space="preserve">only </w:t>
      </w:r>
      <w:r w:rsidRPr="004712D7">
        <w:rPr>
          <w:rFonts w:asciiTheme="majorHAnsi" w:hAnsiTheme="majorHAnsi"/>
        </w:rPr>
        <w:t>once</w:t>
      </w:r>
      <w:r w:rsidR="00F80F6D">
        <w:rPr>
          <w:rFonts w:asciiTheme="majorHAnsi" w:hAnsiTheme="majorHAnsi"/>
        </w:rPr>
        <w:t xml:space="preserve"> for a period of up to 60 calendar days</w:t>
      </w:r>
      <w:r w:rsidRPr="004712D7">
        <w:rPr>
          <w:rFonts w:asciiTheme="majorHAnsi" w:hAnsiTheme="majorHAnsi"/>
        </w:rPr>
        <w:t xml:space="preserve">. </w:t>
      </w:r>
    </w:p>
    <w:p w14:paraId="220A8C1A" w14:textId="5E0D7579" w:rsidR="004D73D9" w:rsidRPr="0019672B" w:rsidRDefault="004D73D9" w:rsidP="0019672B">
      <w:pPr>
        <w:pStyle w:val="ListNumber"/>
      </w:pPr>
      <w:r w:rsidRPr="0019672B">
        <w:t xml:space="preserve">The Director of Biosecurity must prepare a provisional BIRA report and publish </w:t>
      </w:r>
      <w:r w:rsidR="00C02523" w:rsidRPr="0019672B">
        <w:t>it on the department’s website.</w:t>
      </w:r>
    </w:p>
    <w:p w14:paraId="09AD8A21" w14:textId="39872CFC" w:rsidR="004D73D9" w:rsidRPr="0019672B" w:rsidRDefault="006C5A76" w:rsidP="0019672B">
      <w:pPr>
        <w:pStyle w:val="ListNumber"/>
      </w:pPr>
      <w:r w:rsidRPr="0019672B">
        <w:t>Within</w:t>
      </w:r>
      <w:r w:rsidR="004D73D9" w:rsidRPr="0019672B">
        <w:t xml:space="preserve"> 30</w:t>
      </w:r>
      <w:r w:rsidR="00472D2D" w:rsidRPr="0019672B">
        <w:t xml:space="preserve"> calendar</w:t>
      </w:r>
      <w:r w:rsidR="004D73D9" w:rsidRPr="0019672B">
        <w:t xml:space="preserve"> days </w:t>
      </w:r>
      <w:r w:rsidRPr="0019672B">
        <w:t>of the</w:t>
      </w:r>
      <w:r w:rsidR="004D73D9" w:rsidRPr="0019672B">
        <w:t xml:space="preserve"> provisional BIRA report</w:t>
      </w:r>
      <w:r w:rsidRPr="0019672B">
        <w:t>’s publication, a person</w:t>
      </w:r>
      <w:r w:rsidR="004D73D9" w:rsidRPr="0019672B">
        <w:t xml:space="preserve"> </w:t>
      </w:r>
      <w:r w:rsidRPr="0019672B">
        <w:t>may</w:t>
      </w:r>
      <w:r w:rsidR="004D73D9" w:rsidRPr="0019672B">
        <w:t xml:space="preserve"> make a request to the </w:t>
      </w:r>
      <w:r w:rsidR="000476A2" w:rsidRPr="0019672B">
        <w:t>Inspector-General of Biosecurity</w:t>
      </w:r>
      <w:r w:rsidR="00506E94" w:rsidRPr="0019672B">
        <w:t xml:space="preserve"> </w:t>
      </w:r>
      <w:r w:rsidR="004D73D9" w:rsidRPr="0019672B">
        <w:t xml:space="preserve">to review the process used to conduct the BIRA. </w:t>
      </w:r>
    </w:p>
    <w:p w14:paraId="6198CECE" w14:textId="13FDBDB2" w:rsidR="004D73D9" w:rsidRPr="0019672B" w:rsidRDefault="004D73D9" w:rsidP="0019672B">
      <w:pPr>
        <w:pStyle w:val="ListNumber"/>
      </w:pPr>
      <w:r w:rsidRPr="0019672B">
        <w:t xml:space="preserve">If a person requests a review of the process for conducting the BIRA, </w:t>
      </w:r>
      <w:r w:rsidR="006C5A76" w:rsidRPr="0019672B">
        <w:t xml:space="preserve">and </w:t>
      </w:r>
      <w:r w:rsidRPr="0019672B">
        <w:t xml:space="preserve">the </w:t>
      </w:r>
      <w:r w:rsidR="006D22ED" w:rsidRPr="0019672B">
        <w:t>Inspector-General</w:t>
      </w:r>
      <w:r w:rsidRPr="0019672B">
        <w:t xml:space="preserve"> </w:t>
      </w:r>
      <w:r w:rsidR="00F61A75" w:rsidRPr="0019672B">
        <w:t xml:space="preserve">is satisfied that a review can proceed, the </w:t>
      </w:r>
      <w:r w:rsidR="009200CC" w:rsidRPr="0019672B">
        <w:t>Inspector-General</w:t>
      </w:r>
      <w:r w:rsidR="00F61A75" w:rsidRPr="0019672B">
        <w:t xml:space="preserve"> </w:t>
      </w:r>
      <w:r w:rsidRPr="0019672B">
        <w:t>must tell the Director of Biosecurity, in writing, about the request</w:t>
      </w:r>
      <w:r w:rsidR="002A7C75" w:rsidRPr="0019672B">
        <w:t xml:space="preserve">. The </w:t>
      </w:r>
      <w:r w:rsidR="000476A2" w:rsidRPr="0019672B">
        <w:t xml:space="preserve">Inspector-General </w:t>
      </w:r>
      <w:r w:rsidR="002A7C75" w:rsidRPr="0019672B">
        <w:t>must then</w:t>
      </w:r>
      <w:r w:rsidR="003B3753" w:rsidRPr="0019672B">
        <w:t xml:space="preserve"> </w:t>
      </w:r>
      <w:r w:rsidR="006D22ED" w:rsidRPr="0019672B">
        <w:t xml:space="preserve">conduct the </w:t>
      </w:r>
      <w:r w:rsidRPr="0019672B">
        <w:t>review</w:t>
      </w:r>
      <w:r w:rsidR="00D25B1C" w:rsidRPr="0019672B">
        <w:t xml:space="preserve"> the</w:t>
      </w:r>
      <w:r w:rsidR="00DD7148" w:rsidRPr="0019672B">
        <w:t xml:space="preserve"> </w:t>
      </w:r>
      <w:r w:rsidR="00F61A75" w:rsidRPr="0019672B">
        <w:t xml:space="preserve">process </w:t>
      </w:r>
      <w:r w:rsidR="006C5A76" w:rsidRPr="0019672B">
        <w:t xml:space="preserve">for </w:t>
      </w:r>
      <w:r w:rsidR="00F61A75" w:rsidRPr="0019672B">
        <w:t xml:space="preserve">conducting the </w:t>
      </w:r>
      <w:r w:rsidR="00DD7148" w:rsidRPr="0019672B">
        <w:t>BIRA</w:t>
      </w:r>
      <w:r w:rsidRPr="0019672B">
        <w:t>.</w:t>
      </w:r>
    </w:p>
    <w:p w14:paraId="3E42A53B" w14:textId="7066A3B1" w:rsidR="004D73D9" w:rsidRPr="0019672B" w:rsidRDefault="004D73D9" w:rsidP="0019672B">
      <w:pPr>
        <w:pStyle w:val="ListNumber"/>
      </w:pPr>
      <w:r w:rsidRPr="0019672B">
        <w:t xml:space="preserve">If the </w:t>
      </w:r>
      <w:r w:rsidR="000476A2" w:rsidRPr="0019672B">
        <w:t xml:space="preserve">Inspector-General </w:t>
      </w:r>
      <w:r w:rsidR="006D22ED" w:rsidRPr="0019672B">
        <w:t xml:space="preserve">conducts a </w:t>
      </w:r>
      <w:r w:rsidRPr="0019672B">
        <w:t>reviews the process for conducting the BIRA</w:t>
      </w:r>
      <w:r w:rsidR="000F5AC5" w:rsidRPr="0019672B">
        <w:t>,</w:t>
      </w:r>
      <w:r w:rsidRPr="0019672B">
        <w:t xml:space="preserve"> the Director of Biosecurity must consider any recommendations </w:t>
      </w:r>
      <w:r w:rsidR="000476A2" w:rsidRPr="0019672B">
        <w:t>in</w:t>
      </w:r>
      <w:r w:rsidRPr="0019672B">
        <w:t xml:space="preserve"> the</w:t>
      </w:r>
      <w:r w:rsidR="00F4408F" w:rsidRPr="0019672B">
        <w:t>ir</w:t>
      </w:r>
      <w:r w:rsidRPr="0019672B">
        <w:t xml:space="preserve"> </w:t>
      </w:r>
      <w:r w:rsidR="000476A2" w:rsidRPr="0019672B">
        <w:t xml:space="preserve">report </w:t>
      </w:r>
      <w:r w:rsidRPr="0019672B">
        <w:t>and must publish a final BIRA</w:t>
      </w:r>
      <w:r w:rsidR="00265E69" w:rsidRPr="0019672B">
        <w:t xml:space="preserve"> review</w:t>
      </w:r>
      <w:r w:rsidRPr="0019672B">
        <w:t xml:space="preserve"> report.</w:t>
      </w:r>
    </w:p>
    <w:p w14:paraId="00F9215B" w14:textId="5C4416F6" w:rsidR="00603CAD" w:rsidRPr="0019672B" w:rsidRDefault="004D73D9" w:rsidP="0019672B">
      <w:pPr>
        <w:pStyle w:val="ListNumber"/>
      </w:pPr>
      <w:r w:rsidRPr="0019672B">
        <w:t xml:space="preserve">If the </w:t>
      </w:r>
      <w:r w:rsidR="00011295" w:rsidRPr="0019672B">
        <w:t>Inspector-General</w:t>
      </w:r>
      <w:r w:rsidRPr="0019672B">
        <w:t xml:space="preserve"> is not requested to </w:t>
      </w:r>
      <w:r w:rsidR="000476A2" w:rsidRPr="0019672B">
        <w:t xml:space="preserve">conduct a </w:t>
      </w:r>
      <w:r w:rsidRPr="0019672B">
        <w:t>review the process for conducting a BIRA, the Director of Biosecurity must publish the provisional BIRA report as the final BIRA report as soon as practical to do so.</w:t>
      </w:r>
      <w:bookmarkStart w:id="134" w:name="_Toc430767806"/>
    </w:p>
    <w:p w14:paraId="4A4A53FB" w14:textId="3B31CCE2" w:rsidR="002152B6" w:rsidRDefault="00603CAD" w:rsidP="003B3753">
      <w:r w:rsidRPr="003B3753">
        <w:t>The final B</w:t>
      </w:r>
      <w:r>
        <w:t>IRA report must be published within 30 months from the day the notice announcing the BIRA was published</w:t>
      </w:r>
      <w:r w:rsidR="000476A2">
        <w:t>, unless specific circumstances apply</w:t>
      </w:r>
      <w:r>
        <w:t xml:space="preserve">. </w:t>
      </w:r>
    </w:p>
    <w:p w14:paraId="76D47D04" w14:textId="2084AD76" w:rsidR="007406C0" w:rsidRDefault="007406C0" w:rsidP="003B3753">
      <w:r>
        <w:t>The Director of Biosecurity may publish a notice on the department’s website to stop the counting of time for a BIRA if:</w:t>
      </w:r>
    </w:p>
    <w:p w14:paraId="0DE391CB" w14:textId="0D244481" w:rsidR="00A76CC2" w:rsidRDefault="002152B6" w:rsidP="00211A48">
      <w:pPr>
        <w:pStyle w:val="ListBullet"/>
      </w:pPr>
      <w:r>
        <w:t>t</w:t>
      </w:r>
      <w:r w:rsidR="00A76CC2">
        <w:t>he Director of Biosecurity is waiting for requested further information, research o</w:t>
      </w:r>
      <w:r w:rsidR="00135C2F">
        <w:t>r</w:t>
      </w:r>
      <w:r w:rsidR="00A76CC2">
        <w:t xml:space="preserve"> expert advice,</w:t>
      </w:r>
      <w:r w:rsidR="007406C0">
        <w:t xml:space="preserve"> or</w:t>
      </w:r>
    </w:p>
    <w:p w14:paraId="7598F5B0" w14:textId="4364C87A" w:rsidR="007406C0" w:rsidRPr="007406C0" w:rsidRDefault="002152B6" w:rsidP="00211A48">
      <w:pPr>
        <w:pStyle w:val="ListBullet"/>
      </w:pPr>
      <w:proofErr w:type="gramStart"/>
      <w:r>
        <w:t>t</w:t>
      </w:r>
      <w:r w:rsidR="00A76CC2">
        <w:t>he</w:t>
      </w:r>
      <w:proofErr w:type="gramEnd"/>
      <w:r w:rsidR="00A76CC2">
        <w:t xml:space="preserve"> Director of Biosecurity is waiting for examination by the scientific advisory group of a requ</w:t>
      </w:r>
      <w:r w:rsidR="00241476">
        <w:t>ested part of the BIRA process.</w:t>
      </w:r>
    </w:p>
    <w:p w14:paraId="32D5AF71" w14:textId="3D815C81" w:rsidR="007406C0" w:rsidRPr="00EB7BED" w:rsidRDefault="007406C0" w:rsidP="00EB7BED">
      <w:pPr>
        <w:rPr>
          <w:rFonts w:asciiTheme="majorHAnsi" w:hAnsiTheme="majorHAnsi"/>
        </w:rPr>
      </w:pPr>
      <w:r w:rsidRPr="00EB7BED">
        <w:rPr>
          <w:rFonts w:asciiTheme="majorHAnsi" w:hAnsiTheme="majorHAnsi"/>
        </w:rPr>
        <w:lastRenderedPageBreak/>
        <w:t xml:space="preserve">If the </w:t>
      </w:r>
      <w:r w:rsidR="00506E94" w:rsidRPr="00506E94">
        <w:rPr>
          <w:rFonts w:asciiTheme="majorHAnsi" w:hAnsiTheme="majorHAnsi"/>
        </w:rPr>
        <w:t xml:space="preserve">Inspector-General </w:t>
      </w:r>
      <w:r w:rsidRPr="00EB7BED">
        <w:rPr>
          <w:rFonts w:asciiTheme="majorHAnsi" w:hAnsiTheme="majorHAnsi"/>
        </w:rPr>
        <w:t xml:space="preserve">reviews the process for conducting </w:t>
      </w:r>
      <w:r w:rsidR="000313BC" w:rsidRPr="00EB7BED">
        <w:rPr>
          <w:rFonts w:asciiTheme="majorHAnsi" w:hAnsiTheme="majorHAnsi"/>
        </w:rPr>
        <w:t>a</w:t>
      </w:r>
      <w:r w:rsidRPr="00EB7BED">
        <w:rPr>
          <w:rFonts w:asciiTheme="majorHAnsi" w:hAnsiTheme="majorHAnsi"/>
        </w:rPr>
        <w:t xml:space="preserve"> BIRA, the time taken for </w:t>
      </w:r>
      <w:r w:rsidR="002152B6">
        <w:rPr>
          <w:rFonts w:asciiTheme="majorHAnsi" w:hAnsiTheme="majorHAnsi"/>
        </w:rPr>
        <w:t>the review</w:t>
      </w:r>
      <w:r w:rsidR="002152B6" w:rsidRPr="00EB7BED">
        <w:rPr>
          <w:rFonts w:asciiTheme="majorHAnsi" w:hAnsiTheme="majorHAnsi"/>
        </w:rPr>
        <w:t xml:space="preserve"> </w:t>
      </w:r>
      <w:r w:rsidRPr="00EB7BED">
        <w:rPr>
          <w:rFonts w:asciiTheme="majorHAnsi" w:hAnsiTheme="majorHAnsi"/>
        </w:rPr>
        <w:t>does not count towards the 30</w:t>
      </w:r>
      <w:r w:rsidR="002152B6">
        <w:rPr>
          <w:rFonts w:asciiTheme="majorHAnsi" w:hAnsiTheme="majorHAnsi"/>
        </w:rPr>
        <w:t>-</w:t>
      </w:r>
      <w:r w:rsidRPr="00EB7BED">
        <w:rPr>
          <w:rFonts w:asciiTheme="majorHAnsi" w:hAnsiTheme="majorHAnsi"/>
        </w:rPr>
        <w:t>month time</w:t>
      </w:r>
      <w:r w:rsidR="002152B6">
        <w:rPr>
          <w:rFonts w:asciiTheme="majorHAnsi" w:hAnsiTheme="majorHAnsi"/>
        </w:rPr>
        <w:t xml:space="preserve"> </w:t>
      </w:r>
      <w:r w:rsidRPr="00EB7BED">
        <w:rPr>
          <w:rFonts w:asciiTheme="majorHAnsi" w:hAnsiTheme="majorHAnsi"/>
        </w:rPr>
        <w:t>frame.</w:t>
      </w:r>
    </w:p>
    <w:p w14:paraId="6925F0EB" w14:textId="11BDE717" w:rsidR="005E035E" w:rsidRPr="00EB7BED" w:rsidRDefault="002152B6" w:rsidP="00EB7BED">
      <w:pPr>
        <w:rPr>
          <w:rFonts w:asciiTheme="majorHAnsi" w:hAnsiTheme="majorHAnsi"/>
        </w:rPr>
      </w:pPr>
      <w:r>
        <w:rPr>
          <w:rFonts w:asciiTheme="majorHAnsi" w:hAnsiTheme="majorHAnsi"/>
        </w:rPr>
        <w:t>T</w:t>
      </w:r>
      <w:r w:rsidR="005E035E" w:rsidRPr="00EB7BED">
        <w:rPr>
          <w:rFonts w:asciiTheme="majorHAnsi" w:hAnsiTheme="majorHAnsi"/>
        </w:rPr>
        <w:t>he 30</w:t>
      </w:r>
      <w:r>
        <w:rPr>
          <w:rFonts w:asciiTheme="majorHAnsi" w:hAnsiTheme="majorHAnsi"/>
        </w:rPr>
        <w:t>-</w:t>
      </w:r>
      <w:r w:rsidR="005E035E" w:rsidRPr="00EB7BED">
        <w:rPr>
          <w:rFonts w:asciiTheme="majorHAnsi" w:hAnsiTheme="majorHAnsi"/>
        </w:rPr>
        <w:t xml:space="preserve">month time frame </w:t>
      </w:r>
      <w:r w:rsidR="00506E94">
        <w:rPr>
          <w:rFonts w:asciiTheme="majorHAnsi" w:hAnsiTheme="majorHAnsi"/>
        </w:rPr>
        <w:t xml:space="preserve">also </w:t>
      </w:r>
      <w:r w:rsidR="005E035E" w:rsidRPr="00EB7BED">
        <w:rPr>
          <w:rFonts w:asciiTheme="majorHAnsi" w:hAnsiTheme="majorHAnsi"/>
        </w:rPr>
        <w:t>may not be met if a biosecurity circumstance of national or international significance occurs.</w:t>
      </w:r>
    </w:p>
    <w:p w14:paraId="5849CCCB" w14:textId="72E17283" w:rsidR="004D73D9" w:rsidRPr="003216D3" w:rsidRDefault="004D73D9" w:rsidP="00211A48">
      <w:pPr>
        <w:pStyle w:val="Heading3"/>
      </w:pPr>
      <w:bookmarkStart w:id="135" w:name="_Toc452647305"/>
      <w:r w:rsidRPr="003216D3">
        <w:t>How biosecurity risk is assessed</w:t>
      </w:r>
      <w:bookmarkEnd w:id="134"/>
      <w:bookmarkEnd w:id="135"/>
    </w:p>
    <w:p w14:paraId="22427A04" w14:textId="7640B29C" w:rsidR="004D73D9" w:rsidRPr="00616892" w:rsidRDefault="004D73D9" w:rsidP="000B0E4F">
      <w:pPr>
        <w:rPr>
          <w:rFonts w:asciiTheme="majorHAnsi" w:hAnsiTheme="majorHAnsi"/>
        </w:rPr>
      </w:pPr>
      <w:r w:rsidRPr="00616892">
        <w:rPr>
          <w:rFonts w:asciiTheme="majorHAnsi" w:hAnsiTheme="majorHAnsi"/>
        </w:rPr>
        <w:t xml:space="preserve">This </w:t>
      </w:r>
      <w:r w:rsidR="007E17FE" w:rsidRPr="00616892">
        <w:rPr>
          <w:rFonts w:asciiTheme="majorHAnsi" w:hAnsiTheme="majorHAnsi"/>
        </w:rPr>
        <w:t xml:space="preserve">section </w:t>
      </w:r>
      <w:r w:rsidR="00665E8D">
        <w:rPr>
          <w:rFonts w:asciiTheme="majorHAnsi" w:hAnsiTheme="majorHAnsi"/>
        </w:rPr>
        <w:t>describes</w:t>
      </w:r>
      <w:r w:rsidR="00665E8D" w:rsidRPr="00616892">
        <w:rPr>
          <w:rFonts w:asciiTheme="majorHAnsi" w:hAnsiTheme="majorHAnsi"/>
        </w:rPr>
        <w:t xml:space="preserve"> </w:t>
      </w:r>
      <w:r w:rsidRPr="00616892">
        <w:rPr>
          <w:rFonts w:asciiTheme="majorHAnsi" w:hAnsiTheme="majorHAnsi"/>
        </w:rPr>
        <w:t xml:space="preserve">how the department assesses biosecurity risk in relation to the importation of goods. </w:t>
      </w:r>
      <w:r w:rsidR="00665E8D">
        <w:rPr>
          <w:rFonts w:asciiTheme="majorHAnsi" w:hAnsiTheme="majorHAnsi"/>
        </w:rPr>
        <w:t>The department</w:t>
      </w:r>
      <w:r w:rsidR="00665E8D" w:rsidRPr="00616892">
        <w:rPr>
          <w:rFonts w:asciiTheme="majorHAnsi" w:hAnsiTheme="majorHAnsi"/>
        </w:rPr>
        <w:t xml:space="preserve"> </w:t>
      </w:r>
      <w:r w:rsidRPr="00616892">
        <w:rPr>
          <w:rFonts w:asciiTheme="majorHAnsi" w:hAnsiTheme="majorHAnsi"/>
        </w:rPr>
        <w:t xml:space="preserve">evaluates the likelihood of entry, establishment and spread of a </w:t>
      </w:r>
      <w:r w:rsidR="00DC3030">
        <w:rPr>
          <w:rFonts w:asciiTheme="majorHAnsi" w:hAnsiTheme="majorHAnsi"/>
        </w:rPr>
        <w:t>disease or pest</w:t>
      </w:r>
      <w:r w:rsidRPr="00616892">
        <w:rPr>
          <w:rFonts w:asciiTheme="majorHAnsi" w:hAnsiTheme="majorHAnsi"/>
        </w:rPr>
        <w:t xml:space="preserve"> and the magnitude of potential consequences in a defined area, using biological or other scientific </w:t>
      </w:r>
      <w:r w:rsidR="00506E94">
        <w:rPr>
          <w:rFonts w:asciiTheme="majorHAnsi" w:hAnsiTheme="majorHAnsi"/>
        </w:rPr>
        <w:t xml:space="preserve">evidence </w:t>
      </w:r>
      <w:r w:rsidRPr="00616892">
        <w:rPr>
          <w:rFonts w:asciiTheme="majorHAnsi" w:hAnsiTheme="majorHAnsi"/>
        </w:rPr>
        <w:t xml:space="preserve">and economic evidence. </w:t>
      </w:r>
      <w:r w:rsidR="00F757C2">
        <w:rPr>
          <w:rFonts w:asciiTheme="majorHAnsi" w:hAnsiTheme="majorHAnsi"/>
        </w:rPr>
        <w:t>The evaluation</w:t>
      </w:r>
      <w:r w:rsidR="00F757C2" w:rsidRPr="00616892">
        <w:rPr>
          <w:rFonts w:asciiTheme="majorHAnsi" w:hAnsiTheme="majorHAnsi"/>
        </w:rPr>
        <w:t xml:space="preserve"> </w:t>
      </w:r>
      <w:r w:rsidRPr="00616892">
        <w:rPr>
          <w:rFonts w:asciiTheme="majorHAnsi" w:hAnsiTheme="majorHAnsi"/>
        </w:rPr>
        <w:t xml:space="preserve">follows internationally agreed principles </w:t>
      </w:r>
      <w:r w:rsidR="00FB07D8">
        <w:rPr>
          <w:rFonts w:asciiTheme="majorHAnsi" w:hAnsiTheme="majorHAnsi"/>
        </w:rPr>
        <w:t xml:space="preserve">and </w:t>
      </w:r>
      <w:r w:rsidRPr="00616892">
        <w:rPr>
          <w:rFonts w:asciiTheme="majorHAnsi" w:hAnsiTheme="majorHAnsi"/>
        </w:rPr>
        <w:t>standards relating to import and pest risk analyses.</w:t>
      </w:r>
    </w:p>
    <w:p w14:paraId="6893C200" w14:textId="7283477D" w:rsidR="004D73D9" w:rsidRPr="00A86093" w:rsidRDefault="004D73D9" w:rsidP="007737C1">
      <w:pPr>
        <w:pStyle w:val="Heading4"/>
      </w:pPr>
      <w:bookmarkStart w:id="136" w:name="_Toc432160928"/>
      <w:bookmarkStart w:id="137" w:name="_Toc452647306"/>
      <w:r w:rsidRPr="00A86093">
        <w:rPr>
          <w:szCs w:val="28"/>
        </w:rPr>
        <w:t>Within the department</w:t>
      </w:r>
      <w:bookmarkEnd w:id="136"/>
      <w:bookmarkEnd w:id="137"/>
    </w:p>
    <w:p w14:paraId="078675B6" w14:textId="2E02EF7D" w:rsidR="004D73D9" w:rsidRPr="00616892" w:rsidRDefault="004D73D9" w:rsidP="000B0E4F">
      <w:pPr>
        <w:rPr>
          <w:rFonts w:asciiTheme="majorHAnsi" w:hAnsiTheme="majorHAnsi"/>
        </w:rPr>
      </w:pPr>
      <w:r w:rsidRPr="00616892">
        <w:rPr>
          <w:rFonts w:asciiTheme="majorHAnsi" w:hAnsiTheme="majorHAnsi"/>
        </w:rPr>
        <w:t xml:space="preserve">BIRAs and other types of risk </w:t>
      </w:r>
      <w:r w:rsidR="00702E82">
        <w:rPr>
          <w:rFonts w:asciiTheme="majorHAnsi" w:hAnsiTheme="majorHAnsi"/>
        </w:rPr>
        <w:t>analyses</w:t>
      </w:r>
      <w:r w:rsidR="00702E82" w:rsidRPr="00616892">
        <w:rPr>
          <w:rFonts w:asciiTheme="majorHAnsi" w:hAnsiTheme="majorHAnsi"/>
        </w:rPr>
        <w:t xml:space="preserve"> </w:t>
      </w:r>
      <w:r w:rsidRPr="00616892">
        <w:rPr>
          <w:rFonts w:asciiTheme="majorHAnsi" w:hAnsiTheme="majorHAnsi"/>
        </w:rPr>
        <w:t xml:space="preserve">are conducted by </w:t>
      </w:r>
      <w:r w:rsidR="00506E94">
        <w:rPr>
          <w:rFonts w:asciiTheme="majorHAnsi" w:hAnsiTheme="majorHAnsi"/>
        </w:rPr>
        <w:t xml:space="preserve">departmental </w:t>
      </w:r>
      <w:r w:rsidRPr="00616892">
        <w:rPr>
          <w:rFonts w:asciiTheme="majorHAnsi" w:hAnsiTheme="majorHAnsi"/>
        </w:rPr>
        <w:t>staff with technical and scientific expertise relevant to the bios</w:t>
      </w:r>
      <w:r w:rsidR="00211A48">
        <w:rPr>
          <w:rFonts w:asciiTheme="majorHAnsi" w:hAnsiTheme="majorHAnsi"/>
        </w:rPr>
        <w:t>ecurity risks being considered.</w:t>
      </w:r>
    </w:p>
    <w:p w14:paraId="4C5E7652" w14:textId="1EB9BA27" w:rsidR="00697544" w:rsidRPr="00616892" w:rsidRDefault="004D73D9" w:rsidP="000B0E4F">
      <w:pPr>
        <w:rPr>
          <w:rFonts w:asciiTheme="majorHAnsi" w:hAnsiTheme="majorHAnsi"/>
        </w:rPr>
      </w:pPr>
      <w:r w:rsidRPr="00616892">
        <w:rPr>
          <w:rFonts w:asciiTheme="majorHAnsi" w:hAnsiTheme="majorHAnsi"/>
        </w:rPr>
        <w:t xml:space="preserve">The department employs </w:t>
      </w:r>
      <w:r w:rsidR="00E319FE">
        <w:rPr>
          <w:rFonts w:asciiTheme="majorHAnsi" w:hAnsiTheme="majorHAnsi"/>
        </w:rPr>
        <w:t xml:space="preserve">a range of </w:t>
      </w:r>
      <w:r w:rsidR="005F7A62">
        <w:rPr>
          <w:rFonts w:asciiTheme="majorHAnsi" w:hAnsiTheme="majorHAnsi"/>
        </w:rPr>
        <w:t xml:space="preserve">scientific and </w:t>
      </w:r>
      <w:r w:rsidR="00E319FE">
        <w:rPr>
          <w:rFonts w:asciiTheme="majorHAnsi" w:hAnsiTheme="majorHAnsi"/>
        </w:rPr>
        <w:t xml:space="preserve">technical </w:t>
      </w:r>
      <w:r w:rsidRPr="00616892">
        <w:rPr>
          <w:rFonts w:asciiTheme="majorHAnsi" w:hAnsiTheme="majorHAnsi"/>
        </w:rPr>
        <w:t xml:space="preserve">staff with tertiary qualifications in relevant scientific fields such as aquatic animal health, botany, ecology, entomology, environmental science, food and nutrition science, geospatial analysis, microbiology, molecular biology, plant pathology, quantitative science, veterinary science and zoology. </w:t>
      </w:r>
    </w:p>
    <w:p w14:paraId="5EEE1243" w14:textId="77777777" w:rsidR="004D73D9" w:rsidRPr="00A86093" w:rsidRDefault="004D73D9" w:rsidP="007737C1">
      <w:pPr>
        <w:pStyle w:val="Heading4"/>
      </w:pPr>
      <w:bookmarkStart w:id="138" w:name="_Toc432160929"/>
      <w:bookmarkStart w:id="139" w:name="_Toc452647307"/>
      <w:r w:rsidRPr="00A86093">
        <w:rPr>
          <w:szCs w:val="28"/>
        </w:rPr>
        <w:t>Use of external expertise</w:t>
      </w:r>
      <w:bookmarkEnd w:id="138"/>
      <w:bookmarkEnd w:id="139"/>
    </w:p>
    <w:p w14:paraId="6E3F7273" w14:textId="7FF33338" w:rsidR="004D73D9" w:rsidRPr="00616892" w:rsidRDefault="004D73D9" w:rsidP="000B0E4F">
      <w:pPr>
        <w:rPr>
          <w:rFonts w:asciiTheme="majorHAnsi" w:hAnsiTheme="majorHAnsi"/>
        </w:rPr>
      </w:pPr>
      <w:r w:rsidRPr="00616892">
        <w:rPr>
          <w:rFonts w:asciiTheme="majorHAnsi" w:hAnsiTheme="majorHAnsi"/>
        </w:rPr>
        <w:t>When appropriate, the department uses external resources</w:t>
      </w:r>
      <w:r w:rsidR="00F80F6D">
        <w:rPr>
          <w:rFonts w:asciiTheme="majorHAnsi" w:hAnsiTheme="majorHAnsi"/>
        </w:rPr>
        <w:t xml:space="preserve"> in addition to the </w:t>
      </w:r>
      <w:r w:rsidR="00665E8D">
        <w:rPr>
          <w:rFonts w:asciiTheme="majorHAnsi" w:hAnsiTheme="majorHAnsi"/>
        </w:rPr>
        <w:t>s</w:t>
      </w:r>
      <w:r w:rsidR="00F80F6D">
        <w:rPr>
          <w:rFonts w:asciiTheme="majorHAnsi" w:hAnsiTheme="majorHAnsi"/>
        </w:rPr>
        <w:t xml:space="preserve">cientific </w:t>
      </w:r>
      <w:r w:rsidR="00665E8D">
        <w:rPr>
          <w:rFonts w:asciiTheme="majorHAnsi" w:hAnsiTheme="majorHAnsi"/>
        </w:rPr>
        <w:t>a</w:t>
      </w:r>
      <w:r w:rsidR="00F80F6D">
        <w:rPr>
          <w:rFonts w:asciiTheme="majorHAnsi" w:hAnsiTheme="majorHAnsi"/>
        </w:rPr>
        <w:t xml:space="preserve">dvisory </w:t>
      </w:r>
      <w:r w:rsidR="00665E8D">
        <w:rPr>
          <w:rFonts w:asciiTheme="majorHAnsi" w:hAnsiTheme="majorHAnsi"/>
        </w:rPr>
        <w:t>g</w:t>
      </w:r>
      <w:r w:rsidR="00F80F6D">
        <w:rPr>
          <w:rFonts w:asciiTheme="majorHAnsi" w:hAnsiTheme="majorHAnsi"/>
        </w:rPr>
        <w:t>roup</w:t>
      </w:r>
      <w:r w:rsidRPr="00616892">
        <w:rPr>
          <w:rFonts w:asciiTheme="majorHAnsi" w:hAnsiTheme="majorHAnsi"/>
        </w:rPr>
        <w:t xml:space="preserve">. </w:t>
      </w:r>
      <w:r w:rsidR="00770485">
        <w:rPr>
          <w:rFonts w:asciiTheme="majorHAnsi" w:hAnsiTheme="majorHAnsi"/>
        </w:rPr>
        <w:t xml:space="preserve">(See chapter 7 for more information on the advisory group.) </w:t>
      </w:r>
      <w:r w:rsidRPr="00616892">
        <w:rPr>
          <w:rFonts w:asciiTheme="majorHAnsi" w:hAnsiTheme="majorHAnsi"/>
        </w:rPr>
        <w:t>For example</w:t>
      </w:r>
      <w:r w:rsidR="00665E8D">
        <w:rPr>
          <w:rFonts w:asciiTheme="majorHAnsi" w:hAnsiTheme="majorHAnsi"/>
        </w:rPr>
        <w:t>,</w:t>
      </w:r>
      <w:r w:rsidRPr="00616892">
        <w:rPr>
          <w:rFonts w:asciiTheme="majorHAnsi" w:hAnsiTheme="majorHAnsi"/>
        </w:rPr>
        <w:t xml:space="preserve"> the department may </w:t>
      </w:r>
      <w:r w:rsidR="005F7A62">
        <w:rPr>
          <w:rFonts w:asciiTheme="majorHAnsi" w:hAnsiTheme="majorHAnsi"/>
        </w:rPr>
        <w:t>request advice or information from</w:t>
      </w:r>
      <w:r w:rsidR="005F7A62" w:rsidRPr="00616892">
        <w:rPr>
          <w:rFonts w:asciiTheme="majorHAnsi" w:hAnsiTheme="majorHAnsi"/>
        </w:rPr>
        <w:t xml:space="preserve"> </w:t>
      </w:r>
      <w:r w:rsidR="00265E69">
        <w:rPr>
          <w:rFonts w:asciiTheme="majorHAnsi" w:hAnsiTheme="majorHAnsi"/>
        </w:rPr>
        <w:t xml:space="preserve">relevant </w:t>
      </w:r>
      <w:r w:rsidR="00665E8D">
        <w:rPr>
          <w:rFonts w:asciiTheme="majorHAnsi" w:hAnsiTheme="majorHAnsi"/>
        </w:rPr>
        <w:t xml:space="preserve">technical or scientific </w:t>
      </w:r>
      <w:r w:rsidRPr="00616892">
        <w:rPr>
          <w:rFonts w:asciiTheme="majorHAnsi" w:hAnsiTheme="majorHAnsi"/>
        </w:rPr>
        <w:t xml:space="preserve">experts from state and territory biosecurity agencies, CSIRO, the Centre of Excellence for Biosecurity Risk Analysis, universities and industry to </w:t>
      </w:r>
      <w:r w:rsidRPr="00665E8D">
        <w:rPr>
          <w:rFonts w:asciiTheme="majorHAnsi" w:hAnsiTheme="majorHAnsi"/>
        </w:rPr>
        <w:t>access</w:t>
      </w:r>
      <w:r w:rsidRPr="00616892">
        <w:rPr>
          <w:rFonts w:asciiTheme="majorHAnsi" w:hAnsiTheme="majorHAnsi"/>
        </w:rPr>
        <w:t xml:space="preserve"> the technical expertise needed for a particular risk </w:t>
      </w:r>
      <w:r w:rsidR="00702E82">
        <w:rPr>
          <w:rFonts w:asciiTheme="majorHAnsi" w:hAnsiTheme="majorHAnsi"/>
        </w:rPr>
        <w:t>analysis</w:t>
      </w:r>
      <w:r w:rsidR="00211A48">
        <w:rPr>
          <w:rFonts w:asciiTheme="majorHAnsi" w:hAnsiTheme="majorHAnsi"/>
        </w:rPr>
        <w:t>.</w:t>
      </w:r>
    </w:p>
    <w:p w14:paraId="13168504" w14:textId="6AEF4067" w:rsidR="004D73D9" w:rsidRPr="00616892" w:rsidRDefault="004D73D9" w:rsidP="000B0E4F">
      <w:pPr>
        <w:rPr>
          <w:rFonts w:asciiTheme="majorHAnsi" w:hAnsiTheme="majorHAnsi"/>
        </w:rPr>
      </w:pPr>
      <w:r w:rsidRPr="00616892">
        <w:rPr>
          <w:rFonts w:asciiTheme="majorHAnsi" w:hAnsiTheme="majorHAnsi"/>
        </w:rPr>
        <w:t xml:space="preserve">Sometimes the department needs to validate complex or contentious science, or there may be </w:t>
      </w:r>
      <w:r w:rsidR="001750E4">
        <w:rPr>
          <w:rFonts w:asciiTheme="majorHAnsi" w:hAnsiTheme="majorHAnsi"/>
        </w:rPr>
        <w:t>uncertainty</w:t>
      </w:r>
      <w:r w:rsidRPr="00616892">
        <w:rPr>
          <w:rFonts w:asciiTheme="majorHAnsi" w:hAnsiTheme="majorHAnsi"/>
        </w:rPr>
        <w:t xml:space="preserve"> about critical aspects of science. In these cases the department may organise formal meetings or workshops with </w:t>
      </w:r>
      <w:r w:rsidR="005F7A62">
        <w:rPr>
          <w:rFonts w:asciiTheme="majorHAnsi" w:hAnsiTheme="majorHAnsi"/>
        </w:rPr>
        <w:t xml:space="preserve">scientific and </w:t>
      </w:r>
      <w:r w:rsidR="00211A48">
        <w:rPr>
          <w:rFonts w:asciiTheme="majorHAnsi" w:hAnsiTheme="majorHAnsi"/>
        </w:rPr>
        <w:t>technical experts.</w:t>
      </w:r>
    </w:p>
    <w:p w14:paraId="61F998D5" w14:textId="4F32A458" w:rsidR="004D73D9" w:rsidRPr="00616892" w:rsidRDefault="009B7877" w:rsidP="000B0E4F">
      <w:pPr>
        <w:rPr>
          <w:rFonts w:asciiTheme="majorHAnsi" w:hAnsiTheme="majorHAnsi"/>
        </w:rPr>
      </w:pPr>
      <w:r>
        <w:rPr>
          <w:rFonts w:asciiTheme="majorHAnsi" w:hAnsiTheme="majorHAnsi"/>
        </w:rPr>
        <w:t>More</w:t>
      </w:r>
      <w:r w:rsidRPr="00616892">
        <w:rPr>
          <w:rFonts w:asciiTheme="majorHAnsi" w:hAnsiTheme="majorHAnsi"/>
        </w:rPr>
        <w:t xml:space="preserve"> </w:t>
      </w:r>
      <w:r w:rsidR="004D73D9" w:rsidRPr="00616892">
        <w:rPr>
          <w:rFonts w:asciiTheme="majorHAnsi" w:hAnsiTheme="majorHAnsi"/>
        </w:rPr>
        <w:t xml:space="preserve">information about the roles and responsibilities of parties involved in a BIRA is </w:t>
      </w:r>
      <w:r w:rsidR="00CA720B">
        <w:rPr>
          <w:rFonts w:asciiTheme="majorHAnsi" w:hAnsiTheme="majorHAnsi"/>
        </w:rPr>
        <w:t xml:space="preserve">on the </w:t>
      </w:r>
      <w:hyperlink r:id="rId29" w:history="1">
        <w:r w:rsidR="00CA720B" w:rsidRPr="00832CEC">
          <w:rPr>
            <w:rStyle w:val="Hyperlink"/>
            <w:rFonts w:asciiTheme="majorHAnsi" w:hAnsiTheme="majorHAnsi"/>
          </w:rPr>
          <w:t>department’s website</w:t>
        </w:r>
      </w:hyperlink>
      <w:r w:rsidR="004D73D9" w:rsidRPr="00616892">
        <w:rPr>
          <w:rFonts w:asciiTheme="majorHAnsi" w:hAnsiTheme="majorHAnsi"/>
        </w:rPr>
        <w:t>.</w:t>
      </w:r>
    </w:p>
    <w:p w14:paraId="3F690DED" w14:textId="77777777" w:rsidR="004D73D9" w:rsidRPr="00A86093" w:rsidRDefault="004D73D9" w:rsidP="007737C1">
      <w:pPr>
        <w:pStyle w:val="Heading4"/>
      </w:pPr>
      <w:bookmarkStart w:id="140" w:name="_Toc432160930"/>
      <w:bookmarkStart w:id="141" w:name="_Toc452647308"/>
      <w:r w:rsidRPr="00A86093">
        <w:rPr>
          <w:szCs w:val="28"/>
        </w:rPr>
        <w:t>The risk estimation matrix</w:t>
      </w:r>
      <w:bookmarkEnd w:id="140"/>
      <w:bookmarkEnd w:id="141"/>
    </w:p>
    <w:p w14:paraId="3C48222D" w14:textId="0EAA0230" w:rsidR="004D73D9" w:rsidRDefault="004D73D9" w:rsidP="000B0E4F">
      <w:pPr>
        <w:rPr>
          <w:rFonts w:asciiTheme="majorHAnsi" w:hAnsiTheme="majorHAnsi"/>
        </w:rPr>
      </w:pPr>
      <w:r w:rsidRPr="00616892">
        <w:rPr>
          <w:rFonts w:asciiTheme="majorHAnsi" w:hAnsiTheme="majorHAnsi"/>
        </w:rPr>
        <w:t xml:space="preserve">The department uses a formal methodology to assess biosecurity risk. </w:t>
      </w:r>
      <w:r w:rsidR="009B7877" w:rsidRPr="00616892">
        <w:rPr>
          <w:rFonts w:asciiTheme="majorHAnsi" w:hAnsiTheme="majorHAnsi"/>
        </w:rPr>
        <w:t>Th</w:t>
      </w:r>
      <w:r w:rsidR="009B7877">
        <w:rPr>
          <w:rFonts w:asciiTheme="majorHAnsi" w:hAnsiTheme="majorHAnsi"/>
        </w:rPr>
        <w:t>e</w:t>
      </w:r>
      <w:r w:rsidR="009B7877" w:rsidRPr="00616892">
        <w:rPr>
          <w:rFonts w:asciiTheme="majorHAnsi" w:hAnsiTheme="majorHAnsi"/>
        </w:rPr>
        <w:t xml:space="preserve"> </w:t>
      </w:r>
      <w:r w:rsidR="00250B60" w:rsidRPr="00616892">
        <w:rPr>
          <w:rFonts w:asciiTheme="majorHAnsi" w:hAnsiTheme="majorHAnsi"/>
        </w:rPr>
        <w:t>methodology is consistent with international guidelines and includes assessment tools, su</w:t>
      </w:r>
      <w:r w:rsidR="00211A48">
        <w:rPr>
          <w:rFonts w:asciiTheme="majorHAnsi" w:hAnsiTheme="majorHAnsi"/>
        </w:rPr>
        <w:t>ch as a risk estimation matrix.</w:t>
      </w:r>
    </w:p>
    <w:p w14:paraId="74933077" w14:textId="3E04E646" w:rsidR="002749D5" w:rsidRPr="00616892" w:rsidRDefault="00770485" w:rsidP="000B0E4F">
      <w:pPr>
        <w:rPr>
          <w:rFonts w:asciiTheme="majorHAnsi" w:hAnsiTheme="majorHAnsi"/>
        </w:rPr>
      </w:pPr>
      <w:r>
        <w:rPr>
          <w:rFonts w:asciiTheme="majorHAnsi" w:hAnsiTheme="majorHAnsi"/>
        </w:rPr>
        <w:t xml:space="preserve">Because </w:t>
      </w:r>
      <w:r w:rsidR="00226694">
        <w:rPr>
          <w:rFonts w:asciiTheme="majorHAnsi" w:hAnsiTheme="majorHAnsi"/>
        </w:rPr>
        <w:t>plant and animal analyses</w:t>
      </w:r>
      <w:r w:rsidR="002749D5" w:rsidRPr="00616892">
        <w:rPr>
          <w:rFonts w:asciiTheme="majorHAnsi" w:hAnsiTheme="majorHAnsi"/>
        </w:rPr>
        <w:t xml:space="preserve"> are covered by two different international standards</w:t>
      </w:r>
      <w:r w:rsidR="00FA37E8">
        <w:rPr>
          <w:rFonts w:asciiTheme="majorHAnsi" w:hAnsiTheme="majorHAnsi"/>
        </w:rPr>
        <w:t>,</w:t>
      </w:r>
      <w:r w:rsidR="002749D5" w:rsidRPr="00616892">
        <w:rPr>
          <w:rFonts w:asciiTheme="majorHAnsi" w:hAnsiTheme="majorHAnsi"/>
        </w:rPr>
        <w:t xml:space="preserve"> detail on the specific methodology used to conduct a given BIRA</w:t>
      </w:r>
      <w:r w:rsidR="002749D5">
        <w:rPr>
          <w:rFonts w:asciiTheme="majorHAnsi" w:hAnsiTheme="majorHAnsi"/>
        </w:rPr>
        <w:t xml:space="preserve"> are</w:t>
      </w:r>
      <w:r w:rsidR="002749D5" w:rsidRPr="00616892">
        <w:rPr>
          <w:rFonts w:asciiTheme="majorHAnsi" w:hAnsiTheme="majorHAnsi"/>
        </w:rPr>
        <w:t xml:space="preserve"> each contained in individual </w:t>
      </w:r>
      <w:r w:rsidR="00135C2F">
        <w:rPr>
          <w:rFonts w:asciiTheme="majorHAnsi" w:hAnsiTheme="majorHAnsi"/>
        </w:rPr>
        <w:t xml:space="preserve">BIRA </w:t>
      </w:r>
      <w:r w:rsidR="002749D5" w:rsidRPr="00616892">
        <w:rPr>
          <w:rFonts w:asciiTheme="majorHAnsi" w:hAnsiTheme="majorHAnsi"/>
        </w:rPr>
        <w:t xml:space="preserve">reports and are appropriate to the circumstances, as required by the SPS </w:t>
      </w:r>
      <w:r>
        <w:rPr>
          <w:rFonts w:asciiTheme="majorHAnsi" w:hAnsiTheme="majorHAnsi"/>
        </w:rPr>
        <w:t>a</w:t>
      </w:r>
      <w:r w:rsidR="002749D5" w:rsidRPr="00616892">
        <w:rPr>
          <w:rFonts w:asciiTheme="majorHAnsi" w:hAnsiTheme="majorHAnsi"/>
        </w:rPr>
        <w:t>greement.</w:t>
      </w:r>
    </w:p>
    <w:p w14:paraId="3653F376" w14:textId="43A16BDF" w:rsidR="004D73D9" w:rsidRPr="00616892" w:rsidRDefault="00250B60" w:rsidP="000B0E4F">
      <w:pPr>
        <w:rPr>
          <w:rFonts w:asciiTheme="majorHAnsi" w:hAnsiTheme="majorHAnsi"/>
        </w:rPr>
      </w:pPr>
      <w:r w:rsidRPr="00616892">
        <w:rPr>
          <w:rFonts w:asciiTheme="majorHAnsi" w:hAnsiTheme="majorHAnsi"/>
        </w:rPr>
        <w:t>A</w:t>
      </w:r>
      <w:r w:rsidR="004D73D9" w:rsidRPr="00616892">
        <w:rPr>
          <w:rFonts w:asciiTheme="majorHAnsi" w:hAnsiTheme="majorHAnsi"/>
        </w:rPr>
        <w:t xml:space="preserve"> risk estimation matrix </w:t>
      </w:r>
      <w:r w:rsidR="004D73D9" w:rsidRPr="00CD59BA">
        <w:rPr>
          <w:rFonts w:asciiTheme="majorHAnsi" w:hAnsiTheme="majorHAnsi"/>
        </w:rPr>
        <w:t xml:space="preserve">is </w:t>
      </w:r>
      <w:r w:rsidR="00FF0150" w:rsidRPr="00CD59BA">
        <w:rPr>
          <w:rFonts w:asciiTheme="majorHAnsi" w:hAnsiTheme="majorHAnsi"/>
        </w:rPr>
        <w:t>used by</w:t>
      </w:r>
      <w:r w:rsidR="004D73D9" w:rsidRPr="00CD59BA">
        <w:rPr>
          <w:rFonts w:asciiTheme="majorHAnsi" w:hAnsiTheme="majorHAnsi"/>
        </w:rPr>
        <w:t xml:space="preserve"> the department to combine the lik</w:t>
      </w:r>
      <w:r w:rsidR="004D73D9" w:rsidRPr="00616892">
        <w:rPr>
          <w:rFonts w:asciiTheme="majorHAnsi" w:hAnsiTheme="majorHAnsi"/>
        </w:rPr>
        <w:t xml:space="preserve">elihood of a </w:t>
      </w:r>
      <w:r w:rsidR="00DC3030">
        <w:rPr>
          <w:rFonts w:asciiTheme="majorHAnsi" w:hAnsiTheme="majorHAnsi"/>
        </w:rPr>
        <w:t>disease or pest</w:t>
      </w:r>
      <w:r w:rsidR="004D73D9" w:rsidRPr="00616892">
        <w:rPr>
          <w:rFonts w:asciiTheme="majorHAnsi" w:hAnsiTheme="majorHAnsi"/>
        </w:rPr>
        <w:t xml:space="preserve"> entering, establishing a</w:t>
      </w:r>
      <w:r w:rsidR="004D73D9" w:rsidRPr="008A3301">
        <w:rPr>
          <w:rFonts w:asciiTheme="majorHAnsi" w:hAnsiTheme="majorHAnsi"/>
        </w:rPr>
        <w:t>nd spreading in A</w:t>
      </w:r>
      <w:r w:rsidR="004D73D9" w:rsidRPr="00616892">
        <w:rPr>
          <w:rFonts w:asciiTheme="majorHAnsi" w:hAnsiTheme="majorHAnsi"/>
        </w:rPr>
        <w:t>ustralia with the potential consequences</w:t>
      </w:r>
      <w:r w:rsidR="008A3301">
        <w:rPr>
          <w:rFonts w:asciiTheme="majorHAnsi" w:hAnsiTheme="majorHAnsi"/>
        </w:rPr>
        <w:t xml:space="preserve"> </w:t>
      </w:r>
      <w:r w:rsidR="008A3301" w:rsidRPr="00C74220">
        <w:rPr>
          <w:rFonts w:asciiTheme="majorHAnsi" w:hAnsiTheme="majorHAnsi"/>
        </w:rPr>
        <w:t>(</w:t>
      </w:r>
      <w:r w:rsidR="00B75EE2">
        <w:rPr>
          <w:rFonts w:asciiTheme="majorHAnsi" w:hAnsiTheme="majorHAnsi"/>
        </w:rPr>
        <w:fldChar w:fldCharType="begin"/>
      </w:r>
      <w:r w:rsidR="00B75EE2">
        <w:rPr>
          <w:rFonts w:asciiTheme="majorHAnsi" w:hAnsiTheme="majorHAnsi"/>
        </w:rPr>
        <w:instrText xml:space="preserve"> REF _Ref452645479 \h </w:instrText>
      </w:r>
      <w:r w:rsidR="00B75EE2">
        <w:rPr>
          <w:rFonts w:asciiTheme="majorHAnsi" w:hAnsiTheme="majorHAnsi"/>
        </w:rPr>
      </w:r>
      <w:r w:rsidR="00B75EE2">
        <w:rPr>
          <w:rFonts w:asciiTheme="majorHAnsi" w:hAnsiTheme="majorHAnsi"/>
        </w:rPr>
        <w:fldChar w:fldCharType="separate"/>
      </w:r>
      <w:r w:rsidR="00AD068A">
        <w:t xml:space="preserve">Table </w:t>
      </w:r>
      <w:r w:rsidR="00AD068A">
        <w:rPr>
          <w:noProof/>
        </w:rPr>
        <w:t>1</w:t>
      </w:r>
      <w:r w:rsidR="00B75EE2">
        <w:rPr>
          <w:rFonts w:asciiTheme="majorHAnsi" w:hAnsiTheme="majorHAnsi"/>
        </w:rPr>
        <w:fldChar w:fldCharType="end"/>
      </w:r>
      <w:r w:rsidR="008A3301">
        <w:rPr>
          <w:rFonts w:asciiTheme="majorHAnsi" w:hAnsiTheme="majorHAnsi"/>
        </w:rPr>
        <w:t>)</w:t>
      </w:r>
      <w:r w:rsidR="004D73D9" w:rsidRPr="00616892">
        <w:rPr>
          <w:rFonts w:asciiTheme="majorHAnsi" w:hAnsiTheme="majorHAnsi"/>
        </w:rPr>
        <w:t xml:space="preserve"> should that occur</w:t>
      </w:r>
      <w:r w:rsidR="00A25708">
        <w:rPr>
          <w:rFonts w:asciiTheme="majorHAnsi" w:hAnsiTheme="majorHAnsi"/>
        </w:rPr>
        <w:t>,</w:t>
      </w:r>
      <w:r w:rsidR="004D73D9" w:rsidRPr="00616892">
        <w:rPr>
          <w:rFonts w:asciiTheme="majorHAnsi" w:hAnsiTheme="majorHAnsi"/>
        </w:rPr>
        <w:t xml:space="preserve"> and </w:t>
      </w:r>
      <w:r w:rsidR="005F7A62">
        <w:rPr>
          <w:rFonts w:asciiTheme="majorHAnsi" w:hAnsiTheme="majorHAnsi"/>
        </w:rPr>
        <w:t xml:space="preserve">to determine </w:t>
      </w:r>
      <w:r w:rsidR="004D73D9" w:rsidRPr="00616892">
        <w:rPr>
          <w:rFonts w:asciiTheme="majorHAnsi" w:hAnsiTheme="majorHAnsi"/>
        </w:rPr>
        <w:t xml:space="preserve">whether specific risk management measures are required to achieve Australia’s ALOP. </w:t>
      </w:r>
      <w:r w:rsidR="001C0B4A" w:rsidRPr="00616892">
        <w:rPr>
          <w:rFonts w:asciiTheme="majorHAnsi" w:hAnsiTheme="majorHAnsi"/>
        </w:rPr>
        <w:t>It takes into account the whole of the risk pathway from the identified hazard to the u</w:t>
      </w:r>
      <w:r w:rsidR="00211A48">
        <w:rPr>
          <w:rFonts w:asciiTheme="majorHAnsi" w:hAnsiTheme="majorHAnsi"/>
        </w:rPr>
        <w:t>nwanted outcome or consequence.</w:t>
      </w:r>
    </w:p>
    <w:p w14:paraId="3D02F45C" w14:textId="5726AE41" w:rsidR="001C0B4A" w:rsidRDefault="001C0B4A" w:rsidP="001C0B4A">
      <w:pPr>
        <w:rPr>
          <w:rFonts w:asciiTheme="majorHAnsi" w:hAnsiTheme="majorHAnsi"/>
        </w:rPr>
      </w:pPr>
      <w:r w:rsidRPr="00616892">
        <w:rPr>
          <w:rFonts w:asciiTheme="majorHAnsi" w:hAnsiTheme="majorHAnsi"/>
        </w:rPr>
        <w:t xml:space="preserve">The components </w:t>
      </w:r>
      <w:r>
        <w:rPr>
          <w:rFonts w:asciiTheme="majorHAnsi" w:hAnsiTheme="majorHAnsi"/>
        </w:rPr>
        <w:t xml:space="preserve">of risk </w:t>
      </w:r>
      <w:r w:rsidRPr="00616892">
        <w:rPr>
          <w:rFonts w:asciiTheme="majorHAnsi" w:hAnsiTheme="majorHAnsi"/>
        </w:rPr>
        <w:t xml:space="preserve">are combined to give an overall estimate of the unrestricted risks for each </w:t>
      </w:r>
      <w:r w:rsidR="00DC3030">
        <w:rPr>
          <w:rFonts w:asciiTheme="majorHAnsi" w:hAnsiTheme="majorHAnsi"/>
        </w:rPr>
        <w:t>disease or pest</w:t>
      </w:r>
      <w:r w:rsidRPr="00616892">
        <w:rPr>
          <w:rFonts w:asciiTheme="majorHAnsi" w:hAnsiTheme="majorHAnsi"/>
        </w:rPr>
        <w:t xml:space="preserve"> associated with an imported good and whether those risks achieve Australia’s ALOP</w:t>
      </w:r>
      <w:r>
        <w:rPr>
          <w:rFonts w:asciiTheme="majorHAnsi" w:hAnsiTheme="majorHAnsi"/>
        </w:rPr>
        <w:t>. If the estimated risk does not achieve Australia’s ALOP,</w:t>
      </w:r>
      <w:r w:rsidRPr="00616892">
        <w:rPr>
          <w:rFonts w:asciiTheme="majorHAnsi" w:hAnsiTheme="majorHAnsi"/>
        </w:rPr>
        <w:t xml:space="preserve"> </w:t>
      </w:r>
      <w:r w:rsidR="00CD59BA">
        <w:rPr>
          <w:rFonts w:asciiTheme="majorHAnsi" w:hAnsiTheme="majorHAnsi"/>
        </w:rPr>
        <w:t xml:space="preserve">the department considers whether </w:t>
      </w:r>
      <w:r w:rsidRPr="00616892">
        <w:rPr>
          <w:rFonts w:asciiTheme="majorHAnsi" w:hAnsiTheme="majorHAnsi"/>
        </w:rPr>
        <w:t>sanitary or phytosanitary measures</w:t>
      </w:r>
      <w:r>
        <w:rPr>
          <w:rFonts w:asciiTheme="majorHAnsi" w:hAnsiTheme="majorHAnsi"/>
        </w:rPr>
        <w:t xml:space="preserve"> will be considered to mitigate the risk.</w:t>
      </w:r>
      <w:r w:rsidRPr="001C0B4A">
        <w:rPr>
          <w:rFonts w:asciiTheme="majorHAnsi" w:hAnsiTheme="majorHAnsi"/>
        </w:rPr>
        <w:t xml:space="preserve"> </w:t>
      </w:r>
      <w:r w:rsidRPr="00616892">
        <w:rPr>
          <w:rFonts w:asciiTheme="majorHAnsi" w:hAnsiTheme="majorHAnsi"/>
        </w:rPr>
        <w:t>Australia’s ALOP is achieved if the estimated risk is at or below ‘</w:t>
      </w:r>
      <w:r w:rsidR="000F68D3">
        <w:rPr>
          <w:rFonts w:asciiTheme="majorHAnsi" w:hAnsiTheme="majorHAnsi"/>
        </w:rPr>
        <w:t>v</w:t>
      </w:r>
      <w:r w:rsidRPr="00616892">
        <w:rPr>
          <w:rFonts w:asciiTheme="majorHAnsi" w:hAnsiTheme="majorHAnsi"/>
        </w:rPr>
        <w:t>ery low’.</w:t>
      </w:r>
    </w:p>
    <w:p w14:paraId="6C082CB3" w14:textId="073FAA22" w:rsidR="004D73D9" w:rsidRPr="00616892" w:rsidRDefault="004D73D9" w:rsidP="000B0E4F">
      <w:pPr>
        <w:rPr>
          <w:rFonts w:asciiTheme="majorHAnsi" w:hAnsiTheme="majorHAnsi"/>
        </w:rPr>
      </w:pPr>
      <w:r w:rsidRPr="00DC36FE">
        <w:rPr>
          <w:rFonts w:asciiTheme="majorHAnsi" w:hAnsiTheme="majorHAnsi"/>
        </w:rPr>
        <w:lastRenderedPageBreak/>
        <w:t>To reflect Au</w:t>
      </w:r>
      <w:r w:rsidRPr="00616892">
        <w:rPr>
          <w:rFonts w:asciiTheme="majorHAnsi" w:hAnsiTheme="majorHAnsi"/>
        </w:rPr>
        <w:t xml:space="preserve">stralia’s approach to biosecurity, </w:t>
      </w:r>
      <w:r w:rsidR="001750E4">
        <w:rPr>
          <w:rFonts w:asciiTheme="majorHAnsi" w:hAnsiTheme="majorHAnsi"/>
        </w:rPr>
        <w:t>the</w:t>
      </w:r>
      <w:r w:rsidRPr="00616892">
        <w:rPr>
          <w:rFonts w:asciiTheme="majorHAnsi" w:hAnsiTheme="majorHAnsi"/>
        </w:rPr>
        <w:t xml:space="preserve"> risk estimation matrix is not symmetrical</w:t>
      </w:r>
      <w:r w:rsidR="003B3753">
        <w:rPr>
          <w:rFonts w:asciiTheme="majorHAnsi" w:hAnsiTheme="majorHAnsi"/>
        </w:rPr>
        <w:t xml:space="preserve">. </w:t>
      </w:r>
      <w:r w:rsidRPr="00616892">
        <w:rPr>
          <w:rFonts w:asciiTheme="majorHAnsi" w:hAnsiTheme="majorHAnsi"/>
        </w:rPr>
        <w:t xml:space="preserve">When interpreting </w:t>
      </w:r>
      <w:r w:rsidR="00250B60" w:rsidRPr="00616892">
        <w:rPr>
          <w:rFonts w:asciiTheme="majorHAnsi" w:hAnsiTheme="majorHAnsi"/>
        </w:rPr>
        <w:t>a</w:t>
      </w:r>
      <w:r w:rsidRPr="00616892">
        <w:rPr>
          <w:rFonts w:asciiTheme="majorHAnsi" w:hAnsiTheme="majorHAnsi"/>
        </w:rPr>
        <w:t xml:space="preserve"> risk estimation matrix, note the descriptors for each axis are similar (for example</w:t>
      </w:r>
      <w:r w:rsidR="008A3301">
        <w:rPr>
          <w:rFonts w:asciiTheme="majorHAnsi" w:hAnsiTheme="majorHAnsi"/>
        </w:rPr>
        <w:t>,</w:t>
      </w:r>
      <w:r w:rsidRPr="00616892">
        <w:rPr>
          <w:rFonts w:asciiTheme="majorHAnsi" w:hAnsiTheme="majorHAnsi"/>
        </w:rPr>
        <w:t xml:space="preserve"> low, moderate, high) but the vertical axis refers to likelihood and the horizontal axis refers to consequences. Accordingly, a ‘low’ likelihood combined with ‘high’ consequences is not the same as a ‘high’ likelihood combined with ‘low’ consequences. For example, the former combination would give an unrestricted risk rating of ‘moderate’, whereas, the latter would be rated as a ‘low’ unrestricted risk. </w:t>
      </w:r>
    </w:p>
    <w:p w14:paraId="10A7C9FD" w14:textId="67DC6580" w:rsidR="004D73D9" w:rsidRDefault="004D73D9" w:rsidP="000B0E4F">
      <w:pPr>
        <w:rPr>
          <w:rFonts w:asciiTheme="majorHAnsi" w:hAnsiTheme="majorHAnsi"/>
        </w:rPr>
      </w:pPr>
      <w:r w:rsidRPr="00616892">
        <w:rPr>
          <w:rFonts w:asciiTheme="majorHAnsi" w:hAnsiTheme="majorHAnsi"/>
        </w:rPr>
        <w:t>An adapted form of Australia’s risk estimation matrix is used as a basis by Plant Health Australia and by affiliated industries in their industry biosecurity plans.</w:t>
      </w:r>
    </w:p>
    <w:p w14:paraId="1E67347F" w14:textId="716DE8B0" w:rsidR="001C0B4A" w:rsidRPr="00616892" w:rsidRDefault="00AD62FE" w:rsidP="000B0E4F">
      <w:pPr>
        <w:rPr>
          <w:rFonts w:asciiTheme="majorHAnsi" w:hAnsiTheme="majorHAnsi"/>
        </w:rPr>
      </w:pPr>
      <w:r>
        <w:rPr>
          <w:rFonts w:asciiTheme="majorHAnsi" w:hAnsiTheme="majorHAnsi"/>
        </w:rPr>
        <w:t>Examples of</w:t>
      </w:r>
      <w:r w:rsidR="008C13C5">
        <w:rPr>
          <w:rFonts w:asciiTheme="majorHAnsi" w:hAnsiTheme="majorHAnsi"/>
        </w:rPr>
        <w:t xml:space="preserve"> </w:t>
      </w:r>
      <w:r w:rsidR="00241476">
        <w:rPr>
          <w:rFonts w:asciiTheme="majorHAnsi" w:hAnsiTheme="majorHAnsi"/>
        </w:rPr>
        <w:t>Import Risk Analyses</w:t>
      </w:r>
      <w:r w:rsidR="001C0B4A">
        <w:rPr>
          <w:rFonts w:asciiTheme="majorHAnsi" w:hAnsiTheme="majorHAnsi"/>
        </w:rPr>
        <w:t xml:space="preserve"> showing the application of the risk estimation matrix </w:t>
      </w:r>
      <w:r w:rsidR="00770485">
        <w:rPr>
          <w:rFonts w:asciiTheme="majorHAnsi" w:hAnsiTheme="majorHAnsi"/>
        </w:rPr>
        <w:t>are</w:t>
      </w:r>
      <w:r w:rsidR="001C0B4A">
        <w:rPr>
          <w:rFonts w:asciiTheme="majorHAnsi" w:hAnsiTheme="majorHAnsi"/>
        </w:rPr>
        <w:t xml:space="preserve"> on the </w:t>
      </w:r>
      <w:hyperlink r:id="rId30" w:history="1">
        <w:r w:rsidR="001C0B4A" w:rsidRPr="00832CEC">
          <w:rPr>
            <w:rStyle w:val="Hyperlink"/>
            <w:rFonts w:asciiTheme="majorHAnsi" w:hAnsiTheme="majorHAnsi"/>
          </w:rPr>
          <w:t>department’s website</w:t>
        </w:r>
      </w:hyperlink>
      <w:r w:rsidR="001C0B4A">
        <w:rPr>
          <w:rFonts w:asciiTheme="majorHAnsi" w:hAnsiTheme="majorHAnsi"/>
        </w:rPr>
        <w:t>.</w:t>
      </w:r>
    </w:p>
    <w:p w14:paraId="6E2E386E" w14:textId="496F788C" w:rsidR="000B0E4F" w:rsidRPr="00B75EE2" w:rsidRDefault="00B75EE2" w:rsidP="00B75EE2">
      <w:pPr>
        <w:pStyle w:val="Caption"/>
      </w:pPr>
      <w:bookmarkStart w:id="142" w:name="_Ref452645479"/>
      <w:bookmarkStart w:id="143" w:name="_Toc452647544"/>
      <w:r>
        <w:t xml:space="preserve">Table </w:t>
      </w:r>
      <w:fldSimple w:instr=" SEQ Table \* ARABIC ">
        <w:r w:rsidR="00AD068A">
          <w:rPr>
            <w:noProof/>
          </w:rPr>
          <w:t>1</w:t>
        </w:r>
      </w:fldSimple>
      <w:bookmarkEnd w:id="142"/>
      <w:r>
        <w:t xml:space="preserve"> </w:t>
      </w:r>
      <w:proofErr w:type="gramStart"/>
      <w:r>
        <w:t>The</w:t>
      </w:r>
      <w:proofErr w:type="gramEnd"/>
      <w:r>
        <w:t xml:space="preserve"> risk estimation matrix</w:t>
      </w:r>
      <w:bookmarkEnd w:id="143"/>
    </w:p>
    <w:p w14:paraId="4F9F1EB4" w14:textId="2F65314A" w:rsidR="001750E4" w:rsidRPr="001750E4" w:rsidRDefault="001750E4" w:rsidP="006D07B8">
      <w:pPr>
        <w:keepNext/>
      </w:pPr>
      <w:r>
        <w:rPr>
          <w:noProof/>
          <w:lang w:eastAsia="en-AU"/>
        </w:rPr>
        <w:drawing>
          <wp:inline distT="0" distB="0" distL="0" distR="0" wp14:anchorId="16B61FC3" wp14:editId="332FCA03">
            <wp:extent cx="6405210" cy="3105150"/>
            <wp:effectExtent l="0" t="0" r="0" b="0"/>
            <wp:docPr id="5" name="Picture 5" descr="1. When the likelihood of pest entry, establishment and spread is high, and the consequence of pest entry, establishment and spread is negligible then the risk is considered to be negligible. &#10;2. When the likelihood of pest entry, establishment and spread is high, and the consequence of pest entry, establishment and spread is very low then the risk is considered to be very low.&#10;3. When the likelihood of pest entry, establishment and spread is high, and the consequence of pest entry, establishment and spread is moderate, then the risk is considered to be moderate.&#10;4. When the likelihood of pest entry, establishment and spread is high, and the consequence of pest entry, establishment and spread is high then the risk is considered to be high.&#10;5. When the likelihood of pest entry, establishment and spread is high, and the consequence of pest entry, establishment and spread is extreme then the risk is considered to be extreme.&#10;6. When the likelihood of pest entry, establishment and spread is moderate, and the consequence of pest entry, establishment and spread is negligible then the risk is considered to be negligible.&#10;7. When the likelihood of pest entry, establishment and spread is moderate, and the consequence of pest entry, establishment and spread is very low then the risk is considered to be very low.&#10;8. When the likelihood of pest entry, establishment and spread is moderate, and the consequence of pest entry, establishment and spread is low then the risk is considered to be low.&#10;9. When the likelihood of pest entry, establishment and spread is moderate, and the consequence of pest entry, establishment and spread is moderate then the risk is considered to be moderate.&#10;10. When the likelihood of pest entry, establishment and spread is moderate, and the consequence of pest entry, establishment and spread is high then the risk is considered to be high.&#10;11. When the likelihood of pest entry, establishment and spread is moderate, and the consequence of pest entry, establishment and spread is extreme then the risk is considered to be extreme.&#10;12. When the likelihood of pest entry, establishment and spread is low, and the consequence of pest entry, establishment and spread is negligible then the risk is considered to be negligible.&#10;13. When the likelihood of pest entry, establishment and spread is low, and the consequence of pest entry, establishment and spread is very low then the risk is considered to be negligible.&#10;14. When the likelihood of pest entry, establishment and spread is low, and the consequence of pest entry, establishment and spread is low then the risk is considered to be very low.&#10;15. When the likelihood of pest entry, establishment and spread is low, and the consequence of pest entry, establishment and spread is moderate, then the risk is considered to be low.&#10;16. When the likelihood of pest entry, establishment and spread is low, and the consequence of pest entry, establishment and spread is high then the risk is considered to be moderate.&#10;17. When the likelihood of pest entry, establishment and spread is low, and the consequence of pest entry, establishment and spread is extreme then the risk is considered to be high.&#10;18. When the likelihood of pest entry, establishment and spread is very low, and the consequence of pest entry, establishment and spread is negligible then the risk is considered to be negligible.&#10;19. When the likelihood of pest entry, establishment and spread is very low, and the consequence of pest entry, establishment and spread is very low then the risk is considered to be negligible.&#10;20. When the likelihood of pest entry, establishment and spread is very low, and the consequence of pest entry, establishment and spread is low then the risk is considered to be negligible.&#10;21. When the likelihood of pest entry, establishment and spread is very low, and the consequence of pest entry, establishment and spread is moderate then the risk is considered to be very low.&#10;22. When the likelihood of pest entry, establishment and spread is very low, and the consequence of pest entry, establishment and spread is high then the risk is considered to be low.&#10;23. When the likelihood of pest entry, establishment and spread is very low, and the consequence of pest entry, establishment and spread is extreme then the risk is considered to be moderate.&#10;24. When the likelihood of pest entry, establishment and spread is extremely low, and the consequence of pest entry, establishment and spread is negligible then the risk is considered to be negligible.&#10;25. When the likelihood of pest entry, establishment and spread is extremely low, and the consequence of pest entry, establishment and spread is very low then the risk is considered to be negligible.&#10;26. When the likelihood of pest entry, establishment and spread is extremely low, and the consequence of pest entry, establishment and spread is low then the risk is considered to be negligible.&#10;27. When the likelihood of pest entry, establishment and spread is extremely low, and the consequence of pest entry, establishment and spread is moderate then the risk is considered to be negligible.&#10;28. When the likelihood of pest entry, establishment and spread is extremely low, and the consequence of pest entry, establishment and spread is high then the risk is considered to be very low.&#10;29. When the likelihood of pest entry, establishment and spread is extremely low, and the consequence of pest entry, establishment and spread is extreme then the risk is considered to be low risk.&#10;30. When the likelihood of pest entry, establishment and spread is negligible, and the consequence of pest entry, establishment and spread is negligible then the risk is considered to be negligible.&#10;31. When the likelihood of pest entry, establishment and spread is negligible, and the consequence of pest entry, establishment and spread is very low then the risk is considered to be negligible.&#10;32. When the likelihood of pest entry, establishment and spread is negligible, and the consequence of pest entry, establishment and spread is low then the risk is considered to be negligible.&#10;33. When the likelihood of pest entry, establishment and spread is negligible, and the consequence of pest entry, establishment and spread is moderate then the risk is considered to be negligible.&#10;34. When the likelihood of pest entry, establishment and spread is negligible, and the consequence of pest entry, establishment and spread is high then the risk is considered to be negligible.&#10;35. When the likelihood of pest entry, establishment and spread is negligible, and the consequence of pest entry, establishment and spread is extreme then the risk is considered to be very low.&#10;" title="Figure 1 The risk estim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13529" cy="3109183"/>
                    </a:xfrm>
                    <a:prstGeom prst="rect">
                      <a:avLst/>
                    </a:prstGeom>
                  </pic:spPr>
                </pic:pic>
              </a:graphicData>
            </a:graphic>
          </wp:inline>
        </w:drawing>
      </w:r>
    </w:p>
    <w:p w14:paraId="35D200A3" w14:textId="77777777" w:rsidR="006D07B8" w:rsidRDefault="009576AD" w:rsidP="00770485">
      <w:pPr>
        <w:pStyle w:val="FigureTableNoteSource"/>
      </w:pPr>
      <w:bookmarkStart w:id="144" w:name="_Toc430767807"/>
      <w:bookmarkStart w:id="145" w:name="_Toc425164654"/>
      <w:r>
        <w:t>Source: Department of Agriculture</w:t>
      </w:r>
      <w:r w:rsidR="000B0E4F">
        <w:t xml:space="preserve"> and Water Resources</w:t>
      </w:r>
    </w:p>
    <w:p w14:paraId="6ABAC2B8" w14:textId="2E4A5D1C" w:rsidR="004D73D9" w:rsidRPr="00C47E1F" w:rsidRDefault="004D73D9" w:rsidP="007737C1">
      <w:pPr>
        <w:pStyle w:val="Heading2"/>
      </w:pPr>
      <w:bookmarkStart w:id="146" w:name="_Toc452647309"/>
      <w:r w:rsidRPr="00C47E1F">
        <w:lastRenderedPageBreak/>
        <w:t xml:space="preserve">Matters </w:t>
      </w:r>
      <w:r w:rsidR="00382CFE">
        <w:t>to</w:t>
      </w:r>
      <w:r w:rsidRPr="00C47E1F">
        <w:t xml:space="preserve"> be taken into account </w:t>
      </w:r>
      <w:r w:rsidR="00382CFE">
        <w:t>in</w:t>
      </w:r>
      <w:r w:rsidR="00382CFE" w:rsidRPr="00C47E1F">
        <w:t xml:space="preserve"> </w:t>
      </w:r>
      <w:r w:rsidRPr="00C47E1F">
        <w:t>conducting a BIRA</w:t>
      </w:r>
      <w:bookmarkEnd w:id="144"/>
      <w:bookmarkEnd w:id="146"/>
    </w:p>
    <w:p w14:paraId="00B2808E" w14:textId="77777777" w:rsidR="004D73D9" w:rsidRPr="003216D3" w:rsidRDefault="004D73D9" w:rsidP="00211A48">
      <w:pPr>
        <w:pStyle w:val="Heading3"/>
      </w:pPr>
      <w:bookmarkStart w:id="147" w:name="_Toc430081861"/>
      <w:bookmarkStart w:id="148" w:name="_Toc430767809"/>
      <w:bookmarkStart w:id="149" w:name="_Toc452647310"/>
      <w:r w:rsidRPr="003216D3">
        <w:t>Technical methodology used for</w:t>
      </w:r>
      <w:r w:rsidR="0072599C" w:rsidRPr="003216D3">
        <w:t xml:space="preserve"> a</w:t>
      </w:r>
      <w:r w:rsidRPr="003216D3">
        <w:t xml:space="preserve"> BIRA</w:t>
      </w:r>
      <w:bookmarkEnd w:id="147"/>
      <w:bookmarkEnd w:id="148"/>
      <w:bookmarkEnd w:id="149"/>
    </w:p>
    <w:p w14:paraId="5AFA6A5A" w14:textId="52CA8A11" w:rsidR="004D73D9" w:rsidRPr="00616892" w:rsidRDefault="00AD62FE" w:rsidP="000B0E4F">
      <w:pPr>
        <w:rPr>
          <w:rFonts w:asciiTheme="majorHAnsi" w:hAnsiTheme="majorHAnsi"/>
        </w:rPr>
      </w:pPr>
      <w:r>
        <w:rPr>
          <w:rFonts w:asciiTheme="majorHAnsi" w:hAnsiTheme="majorHAnsi"/>
        </w:rPr>
        <w:t>As discussed in chapter 3, t</w:t>
      </w:r>
      <w:r w:rsidR="004D73D9" w:rsidRPr="00616892">
        <w:rPr>
          <w:rFonts w:asciiTheme="majorHAnsi" w:hAnsiTheme="majorHAnsi"/>
        </w:rPr>
        <w:t xml:space="preserve">he department uses a formal methodology to assess biosecurity risk. Australia’s risk </w:t>
      </w:r>
      <w:r w:rsidR="00935DC0">
        <w:rPr>
          <w:rFonts w:asciiTheme="majorHAnsi" w:hAnsiTheme="majorHAnsi"/>
        </w:rPr>
        <w:t>assessment</w:t>
      </w:r>
      <w:r w:rsidR="00935DC0" w:rsidRPr="00616892">
        <w:rPr>
          <w:rFonts w:asciiTheme="majorHAnsi" w:hAnsiTheme="majorHAnsi"/>
        </w:rPr>
        <w:t xml:space="preserve"> </w:t>
      </w:r>
      <w:r w:rsidR="004D73D9" w:rsidRPr="00616892">
        <w:rPr>
          <w:rFonts w:asciiTheme="majorHAnsi" w:hAnsiTheme="majorHAnsi"/>
        </w:rPr>
        <w:t xml:space="preserve">method has been used since 2001 </w:t>
      </w:r>
      <w:r w:rsidR="00FF0150" w:rsidRPr="00616892">
        <w:rPr>
          <w:rFonts w:asciiTheme="majorHAnsi" w:hAnsiTheme="majorHAnsi"/>
        </w:rPr>
        <w:t>and</w:t>
      </w:r>
      <w:r w:rsidR="004D73D9" w:rsidRPr="00616892">
        <w:rPr>
          <w:rFonts w:asciiTheme="majorHAnsi" w:hAnsiTheme="majorHAnsi"/>
        </w:rPr>
        <w:t xml:space="preserve"> includes the risk estimation matrix (</w:t>
      </w:r>
      <w:r w:rsidR="00B75EE2">
        <w:rPr>
          <w:rFonts w:asciiTheme="majorHAnsi" w:hAnsiTheme="majorHAnsi"/>
        </w:rPr>
        <w:fldChar w:fldCharType="begin"/>
      </w:r>
      <w:r w:rsidR="00B75EE2">
        <w:rPr>
          <w:rFonts w:asciiTheme="majorHAnsi" w:hAnsiTheme="majorHAnsi"/>
        </w:rPr>
        <w:instrText xml:space="preserve"> REF _Ref452645479 \h </w:instrText>
      </w:r>
      <w:r w:rsidR="00B75EE2">
        <w:rPr>
          <w:rFonts w:asciiTheme="majorHAnsi" w:hAnsiTheme="majorHAnsi"/>
        </w:rPr>
      </w:r>
      <w:r w:rsidR="00B75EE2">
        <w:rPr>
          <w:rFonts w:asciiTheme="majorHAnsi" w:hAnsiTheme="majorHAnsi"/>
        </w:rPr>
        <w:fldChar w:fldCharType="separate"/>
      </w:r>
      <w:r w:rsidR="00AD068A">
        <w:t xml:space="preserve">Table </w:t>
      </w:r>
      <w:r w:rsidR="00AD068A">
        <w:rPr>
          <w:noProof/>
        </w:rPr>
        <w:t>1</w:t>
      </w:r>
      <w:r w:rsidR="00B75EE2">
        <w:rPr>
          <w:rFonts w:asciiTheme="majorHAnsi" w:hAnsiTheme="majorHAnsi"/>
        </w:rPr>
        <w:fldChar w:fldCharType="end"/>
      </w:r>
      <w:r w:rsidR="004D73D9" w:rsidRPr="00616892">
        <w:rPr>
          <w:rFonts w:asciiTheme="majorHAnsi" w:hAnsiTheme="majorHAnsi"/>
        </w:rPr>
        <w:t>).</w:t>
      </w:r>
      <w:r w:rsidR="00C708BB">
        <w:rPr>
          <w:rFonts w:asciiTheme="majorHAnsi" w:hAnsiTheme="majorHAnsi"/>
        </w:rPr>
        <w:t xml:space="preserve"> A matrix</w:t>
      </w:r>
      <w:r w:rsidR="00084AFA">
        <w:rPr>
          <w:rFonts w:asciiTheme="majorHAnsi" w:hAnsiTheme="majorHAnsi"/>
        </w:rPr>
        <w:t>-</w:t>
      </w:r>
      <w:r w:rsidR="00C708BB">
        <w:rPr>
          <w:rFonts w:asciiTheme="majorHAnsi" w:hAnsiTheme="majorHAnsi"/>
        </w:rPr>
        <w:t>based approach is the supported approach for this type of risk assessment under international standard</w:t>
      </w:r>
      <w:r w:rsidR="00C708BB" w:rsidRPr="00084AFA">
        <w:rPr>
          <w:rFonts w:asciiTheme="majorHAnsi" w:hAnsiTheme="majorHAnsi"/>
        </w:rPr>
        <w:t>s</w:t>
      </w:r>
      <w:r w:rsidR="00E319FE" w:rsidRPr="00084AFA">
        <w:rPr>
          <w:rFonts w:asciiTheme="majorHAnsi" w:hAnsiTheme="majorHAnsi"/>
        </w:rPr>
        <w:t>.</w:t>
      </w:r>
      <w:r w:rsidR="0081466C" w:rsidRPr="00084AFA">
        <w:rPr>
          <w:rFonts w:asciiTheme="majorHAnsi" w:hAnsiTheme="majorHAnsi"/>
        </w:rPr>
        <w:t xml:space="preserve"> These a</w:t>
      </w:r>
      <w:r w:rsidR="0081466C">
        <w:rPr>
          <w:rFonts w:asciiTheme="majorHAnsi" w:hAnsiTheme="majorHAnsi"/>
        </w:rPr>
        <w:t>re consistent with OIE and IPPC risk management standards.</w:t>
      </w:r>
    </w:p>
    <w:p w14:paraId="53CEE353" w14:textId="5BA3B3B8" w:rsidR="004D73D9" w:rsidRPr="00616892" w:rsidRDefault="004D73D9" w:rsidP="000B0E4F">
      <w:pPr>
        <w:rPr>
          <w:rFonts w:asciiTheme="majorHAnsi" w:hAnsiTheme="majorHAnsi"/>
        </w:rPr>
      </w:pPr>
      <w:r w:rsidRPr="00616892">
        <w:rPr>
          <w:rFonts w:asciiTheme="majorHAnsi" w:hAnsiTheme="majorHAnsi"/>
        </w:rPr>
        <w:t>Each BIRA has a unique s</w:t>
      </w:r>
      <w:r w:rsidRPr="00AD62FE">
        <w:rPr>
          <w:rFonts w:asciiTheme="majorHAnsi" w:hAnsiTheme="majorHAnsi"/>
        </w:rPr>
        <w:t>et of circumstances and requirements. While the overarching risk assessment methodology follows international principles</w:t>
      </w:r>
      <w:r w:rsidR="000F68D3" w:rsidRPr="00AD62FE">
        <w:rPr>
          <w:rFonts w:asciiTheme="majorHAnsi" w:hAnsiTheme="majorHAnsi"/>
        </w:rPr>
        <w:t>,</w:t>
      </w:r>
      <w:r w:rsidRPr="00AD62FE">
        <w:rPr>
          <w:rFonts w:asciiTheme="majorHAnsi" w:hAnsiTheme="majorHAnsi"/>
        </w:rPr>
        <w:t xml:space="preserve"> the specific methodology may vary between BIRAs so that it is appro</w:t>
      </w:r>
      <w:r w:rsidRPr="00616892">
        <w:rPr>
          <w:rFonts w:asciiTheme="majorHAnsi" w:hAnsiTheme="majorHAnsi"/>
        </w:rPr>
        <w:t xml:space="preserve">priate to the circumstances. Each BIRA report will detail the technical methodology used to conduct the </w:t>
      </w:r>
      <w:r w:rsidR="00935DC0">
        <w:rPr>
          <w:rFonts w:asciiTheme="majorHAnsi" w:hAnsiTheme="majorHAnsi"/>
        </w:rPr>
        <w:t>assessment</w:t>
      </w:r>
      <w:r w:rsidR="00211A48">
        <w:rPr>
          <w:rFonts w:asciiTheme="majorHAnsi" w:hAnsiTheme="majorHAnsi"/>
        </w:rPr>
        <w:t>.</w:t>
      </w:r>
    </w:p>
    <w:p w14:paraId="42F3CA48" w14:textId="1AD98995" w:rsidR="00FF0150" w:rsidRPr="00616892" w:rsidRDefault="00FF0150" w:rsidP="000B0E4F">
      <w:pPr>
        <w:rPr>
          <w:rFonts w:asciiTheme="majorHAnsi" w:hAnsiTheme="majorHAnsi"/>
        </w:rPr>
      </w:pPr>
      <w:r w:rsidRPr="00616892">
        <w:rPr>
          <w:rFonts w:asciiTheme="majorHAnsi" w:hAnsiTheme="majorHAnsi"/>
        </w:rPr>
        <w:t xml:space="preserve">The BIRA process evaluates the likelihood of the entry, establishment or spread of a </w:t>
      </w:r>
      <w:r w:rsidR="00DC3030">
        <w:rPr>
          <w:rFonts w:asciiTheme="majorHAnsi" w:hAnsiTheme="majorHAnsi"/>
        </w:rPr>
        <w:t>disease or pest</w:t>
      </w:r>
      <w:r w:rsidRPr="00616892">
        <w:rPr>
          <w:rFonts w:asciiTheme="majorHAnsi" w:hAnsiTheme="majorHAnsi"/>
        </w:rPr>
        <w:t xml:space="preserve"> and the magnitude of potential consequences in a defined area, using biological or other sc</w:t>
      </w:r>
      <w:r w:rsidR="00211A48">
        <w:rPr>
          <w:rFonts w:asciiTheme="majorHAnsi" w:hAnsiTheme="majorHAnsi"/>
        </w:rPr>
        <w:t>ientific and economic evidence.</w:t>
      </w:r>
    </w:p>
    <w:p w14:paraId="1DA411E9" w14:textId="2B32FDFE" w:rsidR="004D73D9" w:rsidRPr="00A86093" w:rsidRDefault="004D73D9" w:rsidP="007737C1">
      <w:pPr>
        <w:pStyle w:val="Heading4"/>
      </w:pPr>
      <w:bookmarkStart w:id="150" w:name="_Toc432160933"/>
      <w:bookmarkStart w:id="151" w:name="_Toc381801949"/>
      <w:bookmarkStart w:id="152" w:name="_Toc452647311"/>
      <w:r w:rsidRPr="00A86093">
        <w:rPr>
          <w:szCs w:val="28"/>
        </w:rPr>
        <w:t>Assessment of the likelihood of entry, establishment and spread</w:t>
      </w:r>
      <w:bookmarkEnd w:id="150"/>
      <w:bookmarkEnd w:id="151"/>
      <w:bookmarkEnd w:id="152"/>
    </w:p>
    <w:p w14:paraId="3A4FE4BF" w14:textId="1114FD49" w:rsidR="00697544" w:rsidRPr="00616892" w:rsidRDefault="004D73D9" w:rsidP="000B0E4F">
      <w:pPr>
        <w:rPr>
          <w:rFonts w:asciiTheme="majorHAnsi" w:hAnsiTheme="majorHAnsi"/>
        </w:rPr>
      </w:pPr>
      <w:r w:rsidRPr="00616892">
        <w:rPr>
          <w:rFonts w:asciiTheme="majorHAnsi" w:hAnsiTheme="majorHAnsi"/>
        </w:rPr>
        <w:t xml:space="preserve">The likelihood </w:t>
      </w:r>
      <w:r w:rsidR="0007222A" w:rsidRPr="00616892">
        <w:rPr>
          <w:rFonts w:asciiTheme="majorHAnsi" w:hAnsiTheme="majorHAnsi"/>
        </w:rPr>
        <w:t xml:space="preserve">of entry is </w:t>
      </w:r>
      <w:r w:rsidR="0053090A" w:rsidRPr="00616892">
        <w:rPr>
          <w:rFonts w:asciiTheme="majorHAnsi" w:hAnsiTheme="majorHAnsi"/>
        </w:rPr>
        <w:t xml:space="preserve">the likelihood </w:t>
      </w:r>
      <w:r w:rsidRPr="00616892">
        <w:rPr>
          <w:rFonts w:asciiTheme="majorHAnsi" w:hAnsiTheme="majorHAnsi"/>
        </w:rPr>
        <w:t xml:space="preserve">that a biosecurity </w:t>
      </w:r>
      <w:r w:rsidR="00DC3030">
        <w:rPr>
          <w:rFonts w:asciiTheme="majorHAnsi" w:hAnsiTheme="majorHAnsi"/>
        </w:rPr>
        <w:t>disease or pest</w:t>
      </w:r>
      <w:r w:rsidRPr="00616892">
        <w:rPr>
          <w:rFonts w:asciiTheme="majorHAnsi" w:hAnsiTheme="majorHAnsi"/>
        </w:rPr>
        <w:t xml:space="preserve"> will enter Australia</w:t>
      </w:r>
      <w:r w:rsidR="00253E8E" w:rsidRPr="00616892">
        <w:rPr>
          <w:rFonts w:asciiTheme="majorHAnsi" w:hAnsiTheme="majorHAnsi"/>
        </w:rPr>
        <w:t>n territory</w:t>
      </w:r>
      <w:r w:rsidRPr="00616892">
        <w:rPr>
          <w:rFonts w:asciiTheme="majorHAnsi" w:hAnsiTheme="majorHAnsi"/>
        </w:rPr>
        <w:t xml:space="preserve"> as a result of </w:t>
      </w:r>
      <w:r w:rsidR="00E319FE">
        <w:rPr>
          <w:rFonts w:asciiTheme="majorHAnsi" w:hAnsiTheme="majorHAnsi"/>
        </w:rPr>
        <w:t>importation of</w:t>
      </w:r>
      <w:r w:rsidRPr="00616892">
        <w:rPr>
          <w:rFonts w:asciiTheme="majorHAnsi" w:hAnsiTheme="majorHAnsi"/>
        </w:rPr>
        <w:t xml:space="preserve"> a goo</w:t>
      </w:r>
      <w:r w:rsidRPr="00AD62FE">
        <w:rPr>
          <w:rFonts w:asciiTheme="majorHAnsi" w:hAnsiTheme="majorHAnsi"/>
        </w:rPr>
        <w:t>d, be distributed in the imported area and subsequently be transferred to a host</w:t>
      </w:r>
      <w:r w:rsidRPr="00616892">
        <w:rPr>
          <w:rFonts w:asciiTheme="majorHAnsi" w:hAnsiTheme="majorHAnsi"/>
        </w:rPr>
        <w:t xml:space="preserve">. Establishment is the perpetuation for the foreseeable future, of a </w:t>
      </w:r>
      <w:r w:rsidR="00DC3030">
        <w:rPr>
          <w:rFonts w:asciiTheme="majorHAnsi" w:hAnsiTheme="majorHAnsi"/>
        </w:rPr>
        <w:t>disease or pest</w:t>
      </w:r>
      <w:r w:rsidRPr="00616892">
        <w:rPr>
          <w:rFonts w:asciiTheme="majorHAnsi" w:hAnsiTheme="majorHAnsi"/>
        </w:rPr>
        <w:t xml:space="preserve"> within an area after entry. Spread is the expansion of the geographical distribution of a </w:t>
      </w:r>
      <w:r w:rsidR="00DC3030">
        <w:rPr>
          <w:rFonts w:asciiTheme="majorHAnsi" w:hAnsiTheme="majorHAnsi"/>
        </w:rPr>
        <w:t>disease or pest</w:t>
      </w:r>
      <w:r w:rsidRPr="00616892">
        <w:rPr>
          <w:rFonts w:asciiTheme="majorHAnsi" w:hAnsiTheme="majorHAnsi"/>
        </w:rPr>
        <w:t xml:space="preserve"> within an area. </w:t>
      </w:r>
    </w:p>
    <w:p w14:paraId="260749B5" w14:textId="77777777" w:rsidR="004D73D9" w:rsidRPr="00A86093" w:rsidRDefault="004D73D9" w:rsidP="007737C1">
      <w:pPr>
        <w:pStyle w:val="Heading4"/>
      </w:pPr>
      <w:bookmarkStart w:id="153" w:name="_Toc381801950"/>
      <w:bookmarkStart w:id="154" w:name="_Toc432160934"/>
      <w:bookmarkStart w:id="155" w:name="_Toc452647312"/>
      <w:r w:rsidRPr="00A86093">
        <w:rPr>
          <w:szCs w:val="28"/>
        </w:rPr>
        <w:t>Assessment of potential consequences</w:t>
      </w:r>
      <w:bookmarkEnd w:id="153"/>
      <w:bookmarkEnd w:id="154"/>
      <w:bookmarkEnd w:id="155"/>
    </w:p>
    <w:p w14:paraId="00A361D3" w14:textId="0B6C65BA" w:rsidR="004D73D9" w:rsidRPr="00616892" w:rsidRDefault="004D73D9" w:rsidP="000B0E4F">
      <w:pPr>
        <w:rPr>
          <w:rFonts w:asciiTheme="majorHAnsi" w:hAnsiTheme="majorHAnsi"/>
        </w:rPr>
      </w:pPr>
      <w:r w:rsidRPr="00616892">
        <w:rPr>
          <w:rFonts w:asciiTheme="majorHAnsi" w:hAnsiTheme="majorHAnsi"/>
        </w:rPr>
        <w:t xml:space="preserve">The objective of the consequence assessment is to provide a structured </w:t>
      </w:r>
      <w:r w:rsidR="00935DC0">
        <w:rPr>
          <w:rFonts w:asciiTheme="majorHAnsi" w:hAnsiTheme="majorHAnsi"/>
        </w:rPr>
        <w:t>assessment</w:t>
      </w:r>
      <w:r w:rsidR="00935DC0" w:rsidRPr="00616892">
        <w:rPr>
          <w:rFonts w:asciiTheme="majorHAnsi" w:hAnsiTheme="majorHAnsi"/>
        </w:rPr>
        <w:t xml:space="preserve"> </w:t>
      </w:r>
      <w:r w:rsidRPr="00616892">
        <w:rPr>
          <w:rFonts w:asciiTheme="majorHAnsi" w:hAnsiTheme="majorHAnsi"/>
        </w:rPr>
        <w:t xml:space="preserve">of the consequences if a </w:t>
      </w:r>
      <w:r w:rsidR="00DC3030">
        <w:rPr>
          <w:rFonts w:asciiTheme="majorHAnsi" w:hAnsiTheme="majorHAnsi"/>
        </w:rPr>
        <w:t>disease or pest</w:t>
      </w:r>
      <w:r w:rsidRPr="00616892">
        <w:rPr>
          <w:rFonts w:asciiTheme="majorHAnsi" w:hAnsiTheme="majorHAnsi"/>
        </w:rPr>
        <w:t xml:space="preserve"> w</w:t>
      </w:r>
      <w:r w:rsidR="00966B9E">
        <w:rPr>
          <w:rFonts w:asciiTheme="majorHAnsi" w:hAnsiTheme="majorHAnsi"/>
        </w:rPr>
        <w:t>e</w:t>
      </w:r>
      <w:r w:rsidR="00183000">
        <w:rPr>
          <w:rFonts w:asciiTheme="majorHAnsi" w:hAnsiTheme="majorHAnsi"/>
        </w:rPr>
        <w:t>re</w:t>
      </w:r>
      <w:r w:rsidRPr="00616892">
        <w:rPr>
          <w:rFonts w:asciiTheme="majorHAnsi" w:hAnsiTheme="majorHAnsi"/>
        </w:rPr>
        <w:t xml:space="preserve"> to enter, establish and spread in Australia</w:t>
      </w:r>
      <w:r w:rsidR="00253E8E" w:rsidRPr="00616892">
        <w:rPr>
          <w:rFonts w:asciiTheme="majorHAnsi" w:hAnsiTheme="majorHAnsi"/>
        </w:rPr>
        <w:t>n territory</w:t>
      </w:r>
      <w:r w:rsidRPr="00616892">
        <w:rPr>
          <w:rFonts w:asciiTheme="majorHAnsi" w:hAnsiTheme="majorHAnsi"/>
        </w:rPr>
        <w:t xml:space="preserve">. The assessment considers direct and indirect </w:t>
      </w:r>
      <w:r w:rsidR="00DC3030">
        <w:rPr>
          <w:rFonts w:asciiTheme="majorHAnsi" w:hAnsiTheme="majorHAnsi"/>
        </w:rPr>
        <w:t>disease or pest</w:t>
      </w:r>
      <w:r w:rsidRPr="00616892">
        <w:rPr>
          <w:rFonts w:asciiTheme="majorHAnsi" w:hAnsiTheme="majorHAnsi"/>
        </w:rPr>
        <w:t xml:space="preserve"> effects and their economic and environmental consequences.</w:t>
      </w:r>
    </w:p>
    <w:p w14:paraId="16EC908E" w14:textId="120B52AD" w:rsidR="004D73D9" w:rsidRPr="00616892" w:rsidRDefault="004D73D9" w:rsidP="000B0E4F">
      <w:pPr>
        <w:rPr>
          <w:rFonts w:asciiTheme="majorHAnsi" w:hAnsiTheme="majorHAnsi"/>
        </w:rPr>
      </w:pPr>
      <w:r w:rsidRPr="00616892">
        <w:rPr>
          <w:rFonts w:asciiTheme="majorHAnsi" w:hAnsiTheme="majorHAnsi"/>
        </w:rPr>
        <w:t xml:space="preserve">Direct </w:t>
      </w:r>
      <w:r w:rsidR="00DC3030">
        <w:rPr>
          <w:rFonts w:asciiTheme="majorHAnsi" w:hAnsiTheme="majorHAnsi"/>
        </w:rPr>
        <w:t>disease or pest</w:t>
      </w:r>
      <w:r w:rsidRPr="00616892">
        <w:rPr>
          <w:rFonts w:asciiTheme="majorHAnsi" w:hAnsiTheme="majorHAnsi"/>
        </w:rPr>
        <w:t xml:space="preserve"> effects are cons</w:t>
      </w:r>
      <w:r w:rsidRPr="00AD62FE">
        <w:rPr>
          <w:rFonts w:asciiTheme="majorHAnsi" w:hAnsiTheme="majorHAnsi"/>
        </w:rPr>
        <w:t xml:space="preserve">idered in the context of the effects on plant, animal and/or human life/health and other aspects of the environment. Indirect </w:t>
      </w:r>
      <w:r w:rsidR="00DC3030">
        <w:rPr>
          <w:rFonts w:asciiTheme="majorHAnsi" w:hAnsiTheme="majorHAnsi"/>
        </w:rPr>
        <w:t>disease or pest</w:t>
      </w:r>
      <w:r w:rsidRPr="00AD62FE">
        <w:rPr>
          <w:rFonts w:asciiTheme="majorHAnsi" w:hAnsiTheme="majorHAnsi"/>
        </w:rPr>
        <w:t xml:space="preserve"> effects are considered in the context of the effects on eradication and control, dom</w:t>
      </w:r>
      <w:r w:rsidRPr="00616892">
        <w:rPr>
          <w:rFonts w:asciiTheme="majorHAnsi" w:hAnsiTheme="majorHAnsi"/>
        </w:rPr>
        <w:t xml:space="preserve">estic trade, international trade and the environment. Consequences are estimated over </w:t>
      </w:r>
      <w:r w:rsidR="009742DD">
        <w:rPr>
          <w:rFonts w:asciiTheme="majorHAnsi" w:hAnsiTheme="majorHAnsi"/>
        </w:rPr>
        <w:t>four</w:t>
      </w:r>
      <w:r w:rsidRPr="00616892">
        <w:rPr>
          <w:rFonts w:asciiTheme="majorHAnsi" w:hAnsiTheme="majorHAnsi"/>
        </w:rPr>
        <w:t xml:space="preserve"> geographical levels</w:t>
      </w:r>
      <w:r w:rsidR="000F68D3">
        <w:rPr>
          <w:rFonts w:asciiTheme="majorHAnsi" w:hAnsiTheme="majorHAnsi"/>
        </w:rPr>
        <w:t>:</w:t>
      </w:r>
      <w:r w:rsidR="00E319FE">
        <w:rPr>
          <w:rFonts w:asciiTheme="majorHAnsi" w:hAnsiTheme="majorHAnsi"/>
        </w:rPr>
        <w:t xml:space="preserve"> local, district, regional and national</w:t>
      </w:r>
      <w:bookmarkEnd w:id="145"/>
      <w:r w:rsidR="009742DD">
        <w:rPr>
          <w:rFonts w:asciiTheme="majorHAnsi" w:hAnsiTheme="majorHAnsi"/>
        </w:rPr>
        <w:t>.</w:t>
      </w:r>
    </w:p>
    <w:p w14:paraId="2ED3E9DE" w14:textId="7E58AEB3" w:rsidR="004D73D9" w:rsidRPr="003216D3" w:rsidRDefault="004D73D9" w:rsidP="00211A48">
      <w:pPr>
        <w:pStyle w:val="Heading3"/>
      </w:pPr>
      <w:bookmarkStart w:id="156" w:name="_Toc430767811"/>
      <w:bookmarkStart w:id="157" w:name="_Toc452647313"/>
      <w:r w:rsidRPr="003216D3">
        <w:t>Economic consideration</w:t>
      </w:r>
      <w:bookmarkEnd w:id="156"/>
      <w:r w:rsidR="00382CFE">
        <w:t>s</w:t>
      </w:r>
      <w:bookmarkEnd w:id="157"/>
    </w:p>
    <w:p w14:paraId="12BFC0DE" w14:textId="1EC8D108" w:rsidR="004D73D9" w:rsidRPr="00616892" w:rsidRDefault="004D73D9" w:rsidP="000B0E4F">
      <w:pPr>
        <w:rPr>
          <w:rFonts w:asciiTheme="majorHAnsi" w:hAnsiTheme="majorHAnsi"/>
        </w:rPr>
      </w:pPr>
      <w:r w:rsidRPr="006369CA">
        <w:rPr>
          <w:rFonts w:asciiTheme="majorHAnsi" w:hAnsiTheme="majorHAnsi"/>
        </w:rPr>
        <w:t>In keeping with the scope of</w:t>
      </w:r>
      <w:r w:rsidRPr="00616892">
        <w:rPr>
          <w:rFonts w:asciiTheme="majorHAnsi" w:hAnsiTheme="majorHAnsi"/>
        </w:rPr>
        <w:t xml:space="preserve"> the </w:t>
      </w:r>
      <w:r w:rsidRPr="00403C03">
        <w:rPr>
          <w:rFonts w:asciiTheme="majorHAnsi" w:hAnsiTheme="majorHAnsi"/>
        </w:rPr>
        <w:t>Biosecurity Act</w:t>
      </w:r>
      <w:r w:rsidRPr="00504E4B">
        <w:rPr>
          <w:rFonts w:asciiTheme="majorHAnsi" w:hAnsiTheme="majorHAnsi"/>
        </w:rPr>
        <w:t xml:space="preserve"> </w:t>
      </w:r>
      <w:r w:rsidRPr="00616892">
        <w:rPr>
          <w:rFonts w:asciiTheme="majorHAnsi" w:hAnsiTheme="majorHAnsi"/>
        </w:rPr>
        <w:t xml:space="preserve">and Australia’s obligations as a </w:t>
      </w:r>
      <w:r w:rsidR="00AD62FE">
        <w:rPr>
          <w:rFonts w:asciiTheme="majorHAnsi" w:hAnsiTheme="majorHAnsi"/>
        </w:rPr>
        <w:t xml:space="preserve">WTO </w:t>
      </w:r>
      <w:r w:rsidR="00664302">
        <w:rPr>
          <w:rFonts w:asciiTheme="majorHAnsi" w:hAnsiTheme="majorHAnsi"/>
        </w:rPr>
        <w:t>m</w:t>
      </w:r>
      <w:r w:rsidRPr="00616892">
        <w:rPr>
          <w:rFonts w:asciiTheme="majorHAnsi" w:hAnsiTheme="majorHAnsi"/>
        </w:rPr>
        <w:t xml:space="preserve">ember, economic considerations are taken into account only in relation to matters arising from potential negative direct and indirect impact of diseases </w:t>
      </w:r>
      <w:r w:rsidR="00DC3030">
        <w:rPr>
          <w:rFonts w:asciiTheme="majorHAnsi" w:hAnsiTheme="majorHAnsi"/>
        </w:rPr>
        <w:t xml:space="preserve">and pests </w:t>
      </w:r>
      <w:r w:rsidRPr="00616892">
        <w:rPr>
          <w:rFonts w:asciiTheme="majorHAnsi" w:hAnsiTheme="majorHAnsi"/>
        </w:rPr>
        <w:t>that could enter, establish or spread in Australia</w:t>
      </w:r>
      <w:r w:rsidR="00253E8E" w:rsidRPr="00616892">
        <w:rPr>
          <w:rFonts w:asciiTheme="majorHAnsi" w:hAnsiTheme="majorHAnsi"/>
        </w:rPr>
        <w:t>n territory</w:t>
      </w:r>
      <w:r w:rsidRPr="00616892">
        <w:rPr>
          <w:rFonts w:asciiTheme="majorHAnsi" w:hAnsiTheme="majorHAnsi"/>
        </w:rPr>
        <w:t xml:space="preserve"> as a result of a good being imported.</w:t>
      </w:r>
    </w:p>
    <w:p w14:paraId="6156C89B" w14:textId="76DC6DA5" w:rsidR="004D73D9" w:rsidRDefault="004D73D9" w:rsidP="000B0E4F">
      <w:pPr>
        <w:rPr>
          <w:rFonts w:asciiTheme="majorHAnsi" w:hAnsiTheme="majorHAnsi"/>
        </w:rPr>
      </w:pPr>
      <w:r w:rsidRPr="00FA37E8">
        <w:rPr>
          <w:rFonts w:asciiTheme="majorHAnsi" w:hAnsiTheme="majorHAnsi"/>
        </w:rPr>
        <w:t xml:space="preserve">BIRAs cannot </w:t>
      </w:r>
      <w:r w:rsidR="004E7F2F" w:rsidRPr="00FA37E8">
        <w:rPr>
          <w:rFonts w:asciiTheme="majorHAnsi" w:hAnsiTheme="majorHAnsi"/>
        </w:rPr>
        <w:t xml:space="preserve">take into account </w:t>
      </w:r>
      <w:r w:rsidRPr="00FA37E8">
        <w:rPr>
          <w:rFonts w:asciiTheme="majorHAnsi" w:hAnsiTheme="majorHAnsi"/>
        </w:rPr>
        <w:t>the potential economic impact</w:t>
      </w:r>
      <w:r w:rsidR="004E7F2F" w:rsidRPr="00FA37E8">
        <w:rPr>
          <w:rFonts w:asciiTheme="majorHAnsi" w:hAnsiTheme="majorHAnsi"/>
        </w:rPr>
        <w:t xml:space="preserve"> </w:t>
      </w:r>
      <w:r w:rsidRPr="00FA37E8">
        <w:rPr>
          <w:rFonts w:asciiTheme="majorHAnsi" w:hAnsiTheme="majorHAnsi"/>
        </w:rPr>
        <w:t xml:space="preserve">of </w:t>
      </w:r>
      <w:r w:rsidR="004E7F2F" w:rsidRPr="00FA37E8">
        <w:rPr>
          <w:rFonts w:asciiTheme="majorHAnsi" w:hAnsiTheme="majorHAnsi"/>
        </w:rPr>
        <w:t xml:space="preserve">matters such as the effect on </w:t>
      </w:r>
      <w:r w:rsidRPr="00FA37E8">
        <w:rPr>
          <w:rFonts w:asciiTheme="majorHAnsi" w:hAnsiTheme="majorHAnsi"/>
        </w:rPr>
        <w:t>market competition caused by importing goods</w:t>
      </w:r>
      <w:r w:rsidR="004E7F2F" w:rsidRPr="00FA37E8">
        <w:rPr>
          <w:rFonts w:asciiTheme="majorHAnsi" w:hAnsiTheme="majorHAnsi"/>
        </w:rPr>
        <w:t>, or the net national benefit resulting from the importation</w:t>
      </w:r>
      <w:r w:rsidRPr="00FA37E8">
        <w:rPr>
          <w:rFonts w:asciiTheme="majorHAnsi" w:hAnsiTheme="majorHAnsi"/>
        </w:rPr>
        <w:t xml:space="preserve"> as </w:t>
      </w:r>
      <w:r w:rsidR="004E7F2F" w:rsidRPr="00FA37E8">
        <w:rPr>
          <w:rFonts w:asciiTheme="majorHAnsi" w:hAnsiTheme="majorHAnsi"/>
        </w:rPr>
        <w:t xml:space="preserve">this would not be consistent with </w:t>
      </w:r>
      <w:r w:rsidR="00253E8E" w:rsidRPr="00FA37E8">
        <w:rPr>
          <w:rFonts w:asciiTheme="majorHAnsi" w:hAnsiTheme="majorHAnsi"/>
        </w:rPr>
        <w:t xml:space="preserve">Australia’s </w:t>
      </w:r>
      <w:r w:rsidRPr="00FA37E8">
        <w:rPr>
          <w:rFonts w:asciiTheme="majorHAnsi" w:hAnsiTheme="majorHAnsi"/>
        </w:rPr>
        <w:t xml:space="preserve">international </w:t>
      </w:r>
      <w:r w:rsidR="004E7F2F" w:rsidRPr="00FA37E8">
        <w:rPr>
          <w:rFonts w:asciiTheme="majorHAnsi" w:hAnsiTheme="majorHAnsi"/>
        </w:rPr>
        <w:t xml:space="preserve">trade </w:t>
      </w:r>
      <w:r w:rsidRPr="00FA37E8">
        <w:rPr>
          <w:rFonts w:asciiTheme="majorHAnsi" w:hAnsiTheme="majorHAnsi"/>
        </w:rPr>
        <w:t>obligations.</w:t>
      </w:r>
    </w:p>
    <w:p w14:paraId="595AD8D8" w14:textId="76B0F94B" w:rsidR="004D73D9" w:rsidRPr="003216D3" w:rsidRDefault="004D73D9" w:rsidP="00211A48">
      <w:pPr>
        <w:pStyle w:val="Heading3"/>
      </w:pPr>
      <w:bookmarkStart w:id="158" w:name="_Toc430767812"/>
      <w:bookmarkStart w:id="159" w:name="_Toc452647314"/>
      <w:r w:rsidRPr="003216D3">
        <w:lastRenderedPageBreak/>
        <w:t>Regional differences</w:t>
      </w:r>
      <w:bookmarkEnd w:id="158"/>
      <w:bookmarkEnd w:id="159"/>
    </w:p>
    <w:p w14:paraId="0D3DBDF3" w14:textId="11B92FFD" w:rsidR="004D73D9" w:rsidRPr="00616892" w:rsidRDefault="004D73D9" w:rsidP="000B0E4F">
      <w:pPr>
        <w:rPr>
          <w:rFonts w:asciiTheme="majorHAnsi" w:hAnsiTheme="majorHAnsi"/>
        </w:rPr>
      </w:pPr>
      <w:r w:rsidRPr="00616892">
        <w:rPr>
          <w:rFonts w:asciiTheme="majorHAnsi" w:hAnsiTheme="majorHAnsi"/>
        </w:rPr>
        <w:t xml:space="preserve">Differences in disease </w:t>
      </w:r>
      <w:r w:rsidR="00DC3030">
        <w:rPr>
          <w:rFonts w:asciiTheme="majorHAnsi" w:hAnsiTheme="majorHAnsi"/>
        </w:rPr>
        <w:t xml:space="preserve">and pest </w:t>
      </w:r>
      <w:r w:rsidRPr="004D76AA">
        <w:rPr>
          <w:rFonts w:asciiTheme="majorHAnsi" w:hAnsiTheme="majorHAnsi"/>
        </w:rPr>
        <w:t xml:space="preserve">status, geography, climate, </w:t>
      </w:r>
      <w:r w:rsidR="00E03400" w:rsidRPr="004D76AA">
        <w:rPr>
          <w:rFonts w:asciiTheme="majorHAnsi" w:hAnsiTheme="majorHAnsi"/>
        </w:rPr>
        <w:t xml:space="preserve">and </w:t>
      </w:r>
      <w:r w:rsidRPr="004D76AA">
        <w:rPr>
          <w:rFonts w:asciiTheme="majorHAnsi" w:hAnsiTheme="majorHAnsi"/>
        </w:rPr>
        <w:t>host and vector distribution across geographic</w:t>
      </w:r>
      <w:r w:rsidR="00E03400" w:rsidRPr="004D76AA">
        <w:rPr>
          <w:rFonts w:asciiTheme="majorHAnsi" w:hAnsiTheme="majorHAnsi"/>
        </w:rPr>
        <w:t>al</w:t>
      </w:r>
      <w:r w:rsidRPr="004D76AA">
        <w:rPr>
          <w:rFonts w:asciiTheme="majorHAnsi" w:hAnsiTheme="majorHAnsi"/>
        </w:rPr>
        <w:t xml:space="preserve"> regions </w:t>
      </w:r>
      <w:r w:rsidR="00183000" w:rsidRPr="004D76AA">
        <w:rPr>
          <w:rFonts w:asciiTheme="majorHAnsi" w:hAnsiTheme="majorHAnsi"/>
        </w:rPr>
        <w:t>are</w:t>
      </w:r>
      <w:r w:rsidRPr="004D76AA">
        <w:rPr>
          <w:rFonts w:asciiTheme="majorHAnsi" w:hAnsiTheme="majorHAnsi"/>
        </w:rPr>
        <w:t xml:space="preserve"> considered throughout a BIRA and </w:t>
      </w:r>
      <w:r w:rsidR="00183000" w:rsidRPr="004D76AA">
        <w:rPr>
          <w:rFonts w:asciiTheme="majorHAnsi" w:hAnsiTheme="majorHAnsi"/>
        </w:rPr>
        <w:t>are</w:t>
      </w:r>
      <w:r w:rsidRPr="004D76AA">
        <w:rPr>
          <w:rFonts w:asciiTheme="majorHAnsi" w:hAnsiTheme="majorHAnsi"/>
        </w:rPr>
        <w:t xml:space="preserve"> intrinsic part</w:t>
      </w:r>
      <w:r w:rsidR="00183000" w:rsidRPr="004D76AA">
        <w:rPr>
          <w:rFonts w:asciiTheme="majorHAnsi" w:hAnsiTheme="majorHAnsi"/>
        </w:rPr>
        <w:t>s</w:t>
      </w:r>
      <w:r w:rsidRPr="004D76AA">
        <w:rPr>
          <w:rFonts w:asciiTheme="majorHAnsi" w:hAnsiTheme="majorHAnsi"/>
        </w:rPr>
        <w:t xml:space="preserve"> of the risk </w:t>
      </w:r>
      <w:r w:rsidR="00702E82" w:rsidRPr="004D76AA">
        <w:rPr>
          <w:rFonts w:asciiTheme="majorHAnsi" w:hAnsiTheme="majorHAnsi"/>
        </w:rPr>
        <w:t>analysis</w:t>
      </w:r>
      <w:r w:rsidRPr="004D76AA">
        <w:rPr>
          <w:rFonts w:asciiTheme="majorHAnsi" w:hAnsiTheme="majorHAnsi"/>
        </w:rPr>
        <w:t>. This differentiation is commonly referred to as regional differences</w:t>
      </w:r>
      <w:r w:rsidR="00E03400" w:rsidRPr="004D76AA">
        <w:rPr>
          <w:rFonts w:asciiTheme="majorHAnsi" w:hAnsiTheme="majorHAnsi"/>
        </w:rPr>
        <w:t>,</w:t>
      </w:r>
      <w:r w:rsidR="00761A41">
        <w:rPr>
          <w:rFonts w:asciiTheme="majorHAnsi" w:hAnsiTheme="majorHAnsi"/>
        </w:rPr>
        <w:t xml:space="preserve"> and under the SPS </w:t>
      </w:r>
      <w:r w:rsidRPr="004D76AA">
        <w:rPr>
          <w:rFonts w:asciiTheme="majorHAnsi" w:hAnsiTheme="majorHAnsi"/>
        </w:rPr>
        <w:t xml:space="preserve">agreement </w:t>
      </w:r>
      <w:r w:rsidR="00E03400" w:rsidRPr="004D76AA">
        <w:rPr>
          <w:rFonts w:asciiTheme="majorHAnsi" w:hAnsiTheme="majorHAnsi"/>
        </w:rPr>
        <w:t xml:space="preserve">it </w:t>
      </w:r>
      <w:r w:rsidRPr="004D76AA">
        <w:rPr>
          <w:rFonts w:asciiTheme="majorHAnsi" w:hAnsiTheme="majorHAnsi"/>
        </w:rPr>
        <w:t>is known as regional conditions.</w:t>
      </w:r>
      <w:r w:rsidR="00AC570A" w:rsidRPr="004D76AA">
        <w:rPr>
          <w:rFonts w:asciiTheme="majorHAnsi" w:hAnsiTheme="majorHAnsi"/>
        </w:rPr>
        <w:t xml:space="preserve"> Under the </w:t>
      </w:r>
      <w:r w:rsidR="00AC570A" w:rsidRPr="00403C03">
        <w:rPr>
          <w:rFonts w:asciiTheme="majorHAnsi" w:hAnsiTheme="majorHAnsi"/>
        </w:rPr>
        <w:t>Biosecurity Act</w:t>
      </w:r>
      <w:r w:rsidR="00E03400" w:rsidRPr="004D76AA">
        <w:rPr>
          <w:rFonts w:asciiTheme="majorHAnsi" w:hAnsiTheme="majorHAnsi"/>
        </w:rPr>
        <w:t>,</w:t>
      </w:r>
      <w:r w:rsidR="00AC570A" w:rsidRPr="004D76AA">
        <w:rPr>
          <w:rFonts w:asciiTheme="majorHAnsi" w:hAnsiTheme="majorHAnsi"/>
        </w:rPr>
        <w:t xml:space="preserve"> regional difference is referred to in the definition of biosecurity risk </w:t>
      </w:r>
      <w:r w:rsidR="000F00B5" w:rsidRPr="004D76AA">
        <w:rPr>
          <w:rFonts w:asciiTheme="majorHAnsi" w:hAnsiTheme="majorHAnsi"/>
        </w:rPr>
        <w:t xml:space="preserve">as the likelihood </w:t>
      </w:r>
      <w:r w:rsidR="004D76AA">
        <w:rPr>
          <w:rFonts w:asciiTheme="majorHAnsi" w:hAnsiTheme="majorHAnsi"/>
        </w:rPr>
        <w:t>of</w:t>
      </w:r>
      <w:r w:rsidR="004D76AA" w:rsidRPr="004D76AA">
        <w:rPr>
          <w:rFonts w:asciiTheme="majorHAnsi" w:hAnsiTheme="majorHAnsi"/>
        </w:rPr>
        <w:t xml:space="preserve"> </w:t>
      </w:r>
      <w:r w:rsidR="000F00B5" w:rsidRPr="004D76AA">
        <w:rPr>
          <w:rFonts w:asciiTheme="majorHAnsi" w:hAnsiTheme="majorHAnsi"/>
        </w:rPr>
        <w:t xml:space="preserve">a </w:t>
      </w:r>
      <w:r w:rsidR="00DC3030">
        <w:rPr>
          <w:rFonts w:asciiTheme="majorHAnsi" w:hAnsiTheme="majorHAnsi"/>
        </w:rPr>
        <w:t>disease or pest</w:t>
      </w:r>
      <w:r w:rsidR="00AC570A" w:rsidRPr="004D76AA">
        <w:rPr>
          <w:rFonts w:asciiTheme="majorHAnsi" w:hAnsiTheme="majorHAnsi"/>
        </w:rPr>
        <w:t xml:space="preserve"> enter</w:t>
      </w:r>
      <w:r w:rsidR="004D76AA">
        <w:rPr>
          <w:rFonts w:asciiTheme="majorHAnsi" w:hAnsiTheme="majorHAnsi"/>
        </w:rPr>
        <w:t>ing</w:t>
      </w:r>
      <w:r w:rsidR="00AC570A" w:rsidRPr="004D76AA">
        <w:rPr>
          <w:rFonts w:asciiTheme="majorHAnsi" w:hAnsiTheme="majorHAnsi"/>
        </w:rPr>
        <w:t xml:space="preserve"> or establish</w:t>
      </w:r>
      <w:r w:rsidR="004D76AA">
        <w:rPr>
          <w:rFonts w:asciiTheme="majorHAnsi" w:hAnsiTheme="majorHAnsi"/>
        </w:rPr>
        <w:t>ing itself</w:t>
      </w:r>
      <w:r w:rsidR="00AC570A" w:rsidRPr="004D76AA">
        <w:rPr>
          <w:rFonts w:asciiTheme="majorHAnsi" w:hAnsiTheme="majorHAnsi"/>
        </w:rPr>
        <w:t xml:space="preserve"> in Australian territory, or part of A</w:t>
      </w:r>
      <w:r w:rsidR="00AC570A" w:rsidRPr="00616892">
        <w:rPr>
          <w:rFonts w:asciiTheme="majorHAnsi" w:hAnsiTheme="majorHAnsi"/>
        </w:rPr>
        <w:t xml:space="preserve">ustralian territory. </w:t>
      </w:r>
    </w:p>
    <w:p w14:paraId="14ACC0D6" w14:textId="504B30B7" w:rsidR="004D73D9" w:rsidRPr="00616892" w:rsidRDefault="004D73D9" w:rsidP="000B0E4F">
      <w:pPr>
        <w:rPr>
          <w:rFonts w:asciiTheme="majorHAnsi" w:hAnsiTheme="majorHAnsi"/>
        </w:rPr>
      </w:pPr>
      <w:r w:rsidRPr="00616892">
        <w:rPr>
          <w:rFonts w:asciiTheme="majorHAnsi" w:hAnsiTheme="majorHAnsi"/>
        </w:rPr>
        <w:t>Regional differences may exist in both the exporting a</w:t>
      </w:r>
      <w:r w:rsidR="00761A41">
        <w:rPr>
          <w:rFonts w:asciiTheme="majorHAnsi" w:hAnsiTheme="majorHAnsi"/>
        </w:rPr>
        <w:t>nd importing countries. The SPS </w:t>
      </w:r>
      <w:r w:rsidR="004D76AA">
        <w:rPr>
          <w:rFonts w:asciiTheme="majorHAnsi" w:hAnsiTheme="majorHAnsi"/>
        </w:rPr>
        <w:t>a</w:t>
      </w:r>
      <w:r w:rsidRPr="00616892">
        <w:rPr>
          <w:rFonts w:asciiTheme="majorHAnsi" w:hAnsiTheme="majorHAnsi"/>
        </w:rPr>
        <w:t xml:space="preserve">greement requires WTO members to adapt their SPS measures to the regional conditions from which the product originated and to which the product is destined. </w:t>
      </w:r>
    </w:p>
    <w:p w14:paraId="426E9601" w14:textId="692C1635" w:rsidR="004D73D9" w:rsidRPr="00263CA8" w:rsidRDefault="009B737A" w:rsidP="00E24706">
      <w:r>
        <w:t>The</w:t>
      </w:r>
      <w:r w:rsidRPr="00263CA8">
        <w:t xml:space="preserve"> </w:t>
      </w:r>
      <w:r w:rsidR="004D73D9" w:rsidRPr="00263CA8">
        <w:t>BIRA proces</w:t>
      </w:r>
      <w:r w:rsidR="004D73D9" w:rsidRPr="004D76AA">
        <w:t>s provides for c</w:t>
      </w:r>
      <w:r w:rsidR="004D73D9" w:rsidRPr="00263CA8">
        <w:t xml:space="preserve">onsideration of regional differences so long as it is consistent </w:t>
      </w:r>
      <w:r w:rsidR="004D73D9" w:rsidRPr="009B737A">
        <w:t xml:space="preserve">with </w:t>
      </w:r>
      <w:r>
        <w:t>Australia’s</w:t>
      </w:r>
      <w:r w:rsidRPr="009B737A">
        <w:t xml:space="preserve"> </w:t>
      </w:r>
      <w:r w:rsidR="004D73D9" w:rsidRPr="009B737A">
        <w:t>rig</w:t>
      </w:r>
      <w:r w:rsidR="004D73D9" w:rsidRPr="00263CA8">
        <w:t xml:space="preserve">hts and obligations under the SPS </w:t>
      </w:r>
      <w:r>
        <w:t>a</w:t>
      </w:r>
      <w:r w:rsidR="004D73D9" w:rsidRPr="00263CA8">
        <w:t xml:space="preserve">greement and relevant international standards such as </w:t>
      </w:r>
      <w:r w:rsidR="004E7F2F" w:rsidRPr="00263CA8">
        <w:t xml:space="preserve">those set by </w:t>
      </w:r>
      <w:r w:rsidR="004D73D9" w:rsidRPr="00263CA8">
        <w:t>the OIE and IPPC.</w:t>
      </w:r>
    </w:p>
    <w:p w14:paraId="277D6A0C" w14:textId="501ADD31" w:rsidR="004D73D9" w:rsidRPr="00616892" w:rsidRDefault="004D73D9" w:rsidP="000B0E4F">
      <w:pPr>
        <w:rPr>
          <w:rFonts w:asciiTheme="majorHAnsi" w:hAnsiTheme="majorHAnsi"/>
        </w:rPr>
      </w:pPr>
      <w:r w:rsidRPr="00616892">
        <w:rPr>
          <w:rFonts w:asciiTheme="majorHAnsi" w:hAnsiTheme="majorHAnsi"/>
        </w:rPr>
        <w:t>The department recognises that certain areas of Australia have a different pest and disease status from other areas. Recognising different areas</w:t>
      </w:r>
      <w:r w:rsidR="00A52929">
        <w:rPr>
          <w:rFonts w:asciiTheme="majorHAnsi" w:hAnsiTheme="majorHAnsi"/>
        </w:rPr>
        <w:t>, subpopulations and management practices</w:t>
      </w:r>
      <w:r w:rsidRPr="00616892">
        <w:rPr>
          <w:rFonts w:asciiTheme="majorHAnsi" w:hAnsiTheme="majorHAnsi"/>
        </w:rPr>
        <w:t xml:space="preserve"> </w:t>
      </w:r>
      <w:r w:rsidR="00655491">
        <w:rPr>
          <w:rFonts w:asciiTheme="majorHAnsi" w:hAnsiTheme="majorHAnsi"/>
        </w:rPr>
        <w:t>as having</w:t>
      </w:r>
      <w:r w:rsidR="00655491" w:rsidRPr="00616892">
        <w:rPr>
          <w:rFonts w:asciiTheme="majorHAnsi" w:hAnsiTheme="majorHAnsi"/>
        </w:rPr>
        <w:t xml:space="preserve"> </w:t>
      </w:r>
      <w:r w:rsidRPr="00616892">
        <w:rPr>
          <w:rFonts w:asciiTheme="majorHAnsi" w:hAnsiTheme="majorHAnsi"/>
        </w:rPr>
        <w:t xml:space="preserve">different </w:t>
      </w:r>
      <w:r w:rsidR="00DC3030">
        <w:rPr>
          <w:rFonts w:asciiTheme="majorHAnsi" w:hAnsiTheme="majorHAnsi"/>
        </w:rPr>
        <w:t>disease or pest</w:t>
      </w:r>
      <w:r w:rsidRPr="00616892">
        <w:rPr>
          <w:rFonts w:asciiTheme="majorHAnsi" w:hAnsiTheme="majorHAnsi"/>
        </w:rPr>
        <w:t xml:space="preserve"> status</w:t>
      </w:r>
      <w:r w:rsidR="00655491">
        <w:rPr>
          <w:rFonts w:asciiTheme="majorHAnsi" w:hAnsiTheme="majorHAnsi"/>
        </w:rPr>
        <w:t>es</w:t>
      </w:r>
      <w:r w:rsidRPr="00616892">
        <w:rPr>
          <w:rFonts w:asciiTheme="majorHAnsi" w:hAnsiTheme="majorHAnsi"/>
        </w:rPr>
        <w:t xml:space="preserve"> or low </w:t>
      </w:r>
      <w:r w:rsidR="00DC3030">
        <w:rPr>
          <w:rFonts w:asciiTheme="majorHAnsi" w:hAnsiTheme="majorHAnsi"/>
        </w:rPr>
        <w:t>disease or pest</w:t>
      </w:r>
      <w:r w:rsidRPr="00616892">
        <w:rPr>
          <w:rFonts w:asciiTheme="majorHAnsi" w:hAnsiTheme="majorHAnsi"/>
        </w:rPr>
        <w:t xml:space="preserve"> prevalence is consistent with the standards set by the OIE and the IPPC. </w:t>
      </w:r>
    </w:p>
    <w:p w14:paraId="0A12E291" w14:textId="2033E503" w:rsidR="00655491" w:rsidRDefault="004D73D9" w:rsidP="000B0E4F">
      <w:pPr>
        <w:rPr>
          <w:rFonts w:asciiTheme="majorHAnsi" w:hAnsiTheme="majorHAnsi"/>
        </w:rPr>
      </w:pPr>
      <w:r w:rsidRPr="00616892">
        <w:rPr>
          <w:rFonts w:asciiTheme="majorHAnsi" w:hAnsiTheme="majorHAnsi"/>
        </w:rPr>
        <w:t xml:space="preserve">The department works with state and territory authorities to determine regional </w:t>
      </w:r>
      <w:r w:rsidR="00DC3030">
        <w:rPr>
          <w:rFonts w:asciiTheme="majorHAnsi" w:hAnsiTheme="majorHAnsi"/>
        </w:rPr>
        <w:t>d</w:t>
      </w:r>
      <w:r w:rsidRPr="00616892">
        <w:rPr>
          <w:rFonts w:asciiTheme="majorHAnsi" w:hAnsiTheme="majorHAnsi"/>
        </w:rPr>
        <w:t xml:space="preserve">isease </w:t>
      </w:r>
      <w:r w:rsidR="00DC3030">
        <w:rPr>
          <w:rFonts w:asciiTheme="majorHAnsi" w:hAnsiTheme="majorHAnsi"/>
        </w:rPr>
        <w:t xml:space="preserve">and pest </w:t>
      </w:r>
      <w:r w:rsidRPr="00616892">
        <w:rPr>
          <w:rFonts w:asciiTheme="majorHAnsi" w:hAnsiTheme="majorHAnsi"/>
        </w:rPr>
        <w:t xml:space="preserve">status and </w:t>
      </w:r>
      <w:r w:rsidR="000F00B5">
        <w:rPr>
          <w:rFonts w:asciiTheme="majorHAnsi" w:hAnsiTheme="majorHAnsi"/>
        </w:rPr>
        <w:t>any information provided</w:t>
      </w:r>
      <w:r w:rsidR="001C0B4A">
        <w:rPr>
          <w:rFonts w:asciiTheme="majorHAnsi" w:hAnsiTheme="majorHAnsi"/>
        </w:rPr>
        <w:t xml:space="preserve"> that may </w:t>
      </w:r>
      <w:r w:rsidR="000F00B5">
        <w:rPr>
          <w:rFonts w:asciiTheme="majorHAnsi" w:hAnsiTheme="majorHAnsi"/>
        </w:rPr>
        <w:t>assist</w:t>
      </w:r>
      <w:r w:rsidR="001C0B4A">
        <w:rPr>
          <w:rFonts w:asciiTheme="majorHAnsi" w:hAnsiTheme="majorHAnsi"/>
        </w:rPr>
        <w:t xml:space="preserve"> in</w:t>
      </w:r>
      <w:r w:rsidR="000F00B5">
        <w:rPr>
          <w:rFonts w:asciiTheme="majorHAnsi" w:hAnsiTheme="majorHAnsi"/>
        </w:rPr>
        <w:t xml:space="preserve"> determin</w:t>
      </w:r>
      <w:r w:rsidR="001C0B4A">
        <w:rPr>
          <w:rFonts w:asciiTheme="majorHAnsi" w:hAnsiTheme="majorHAnsi"/>
        </w:rPr>
        <w:t>ing</w:t>
      </w:r>
      <w:r w:rsidR="000F00B5">
        <w:rPr>
          <w:rFonts w:asciiTheme="majorHAnsi" w:hAnsiTheme="majorHAnsi"/>
        </w:rPr>
        <w:t xml:space="preserve"> the level of risk</w:t>
      </w:r>
      <w:r w:rsidRPr="00616892">
        <w:rPr>
          <w:rFonts w:asciiTheme="majorHAnsi" w:hAnsiTheme="majorHAnsi"/>
        </w:rPr>
        <w:t xml:space="preserve">. Early in the BIRA process the department provides a preliminary disease </w:t>
      </w:r>
      <w:r w:rsidR="00DC3030">
        <w:rPr>
          <w:rFonts w:asciiTheme="majorHAnsi" w:hAnsiTheme="majorHAnsi"/>
        </w:rPr>
        <w:t xml:space="preserve">and pest </w:t>
      </w:r>
      <w:r w:rsidRPr="00616892">
        <w:rPr>
          <w:rFonts w:asciiTheme="majorHAnsi" w:hAnsiTheme="majorHAnsi"/>
        </w:rPr>
        <w:t xml:space="preserve">list and categorisation to state and territory authorities for consideration and confirmation on whether identified </w:t>
      </w:r>
      <w:r w:rsidR="00DC3030">
        <w:rPr>
          <w:rFonts w:asciiTheme="majorHAnsi" w:hAnsiTheme="majorHAnsi"/>
        </w:rPr>
        <w:t xml:space="preserve">diseases and </w:t>
      </w:r>
      <w:r w:rsidRPr="00616892">
        <w:rPr>
          <w:rFonts w:asciiTheme="majorHAnsi" w:hAnsiTheme="majorHAnsi"/>
        </w:rPr>
        <w:t xml:space="preserve">pests are regional pests and under official control. </w:t>
      </w:r>
    </w:p>
    <w:p w14:paraId="4A57C31D" w14:textId="6358FBE1" w:rsidR="004D73D9" w:rsidRDefault="004D73D9" w:rsidP="000B0E4F">
      <w:pPr>
        <w:rPr>
          <w:rFonts w:asciiTheme="majorHAnsi" w:hAnsiTheme="majorHAnsi"/>
        </w:rPr>
      </w:pPr>
      <w:r w:rsidRPr="00616892">
        <w:rPr>
          <w:rFonts w:asciiTheme="majorHAnsi" w:hAnsiTheme="majorHAnsi"/>
        </w:rPr>
        <w:t xml:space="preserve">Plant pests that are present in Australia and not under official control as defined by the IPPC cannot be regulated in </w:t>
      </w:r>
      <w:r w:rsidR="00E24706">
        <w:rPr>
          <w:rFonts w:asciiTheme="majorHAnsi" w:hAnsiTheme="majorHAnsi"/>
        </w:rPr>
        <w:t>international trade (see</w:t>
      </w:r>
      <w:r w:rsidR="00C550BC">
        <w:rPr>
          <w:rFonts w:asciiTheme="majorHAnsi" w:hAnsiTheme="majorHAnsi"/>
        </w:rPr>
        <w:t xml:space="preserve"> </w:t>
      </w:r>
      <w:r w:rsidR="00C550BC">
        <w:rPr>
          <w:rFonts w:asciiTheme="majorHAnsi" w:hAnsiTheme="majorHAnsi"/>
        </w:rPr>
        <w:fldChar w:fldCharType="begin"/>
      </w:r>
      <w:r w:rsidR="00C550BC">
        <w:rPr>
          <w:rFonts w:asciiTheme="majorHAnsi" w:hAnsiTheme="majorHAnsi"/>
        </w:rPr>
        <w:instrText xml:space="preserve"> REF _Ref452647650 \h </w:instrText>
      </w:r>
      <w:r w:rsidR="00C550BC">
        <w:rPr>
          <w:rFonts w:asciiTheme="majorHAnsi" w:hAnsiTheme="majorHAnsi"/>
        </w:rPr>
      </w:r>
      <w:r w:rsidR="00C550BC">
        <w:rPr>
          <w:rFonts w:asciiTheme="majorHAnsi" w:hAnsiTheme="majorHAnsi"/>
        </w:rPr>
        <w:fldChar w:fldCharType="separate"/>
      </w:r>
      <w:r w:rsidR="00AD068A">
        <w:t xml:space="preserve">Box </w:t>
      </w:r>
      <w:r w:rsidR="00AD068A">
        <w:rPr>
          <w:noProof/>
        </w:rPr>
        <w:t>1</w:t>
      </w:r>
      <w:r w:rsidR="00C550BC">
        <w:rPr>
          <w:rFonts w:asciiTheme="majorHAnsi" w:hAnsiTheme="majorHAnsi"/>
        </w:rPr>
        <w:fldChar w:fldCharType="end"/>
      </w:r>
      <w:r w:rsidRPr="00616892">
        <w:rPr>
          <w:rFonts w:asciiTheme="majorHAnsi" w:hAnsiTheme="majorHAnsi"/>
        </w:rPr>
        <w:t>).</w:t>
      </w:r>
      <w:r w:rsidR="009F7C6C">
        <w:rPr>
          <w:rFonts w:asciiTheme="majorHAnsi" w:hAnsiTheme="majorHAnsi"/>
        </w:rPr>
        <w:t xml:space="preserve"> </w:t>
      </w:r>
      <w:r w:rsidR="00655491" w:rsidRPr="00616892">
        <w:rPr>
          <w:rFonts w:asciiTheme="majorHAnsi" w:hAnsiTheme="majorHAnsi"/>
        </w:rPr>
        <w:t>Whe</w:t>
      </w:r>
      <w:r w:rsidR="00655491">
        <w:rPr>
          <w:rFonts w:asciiTheme="majorHAnsi" w:hAnsiTheme="majorHAnsi"/>
        </w:rPr>
        <w:t>n</w:t>
      </w:r>
      <w:r w:rsidR="00655491" w:rsidRPr="00616892">
        <w:rPr>
          <w:rFonts w:asciiTheme="majorHAnsi" w:hAnsiTheme="majorHAnsi"/>
        </w:rPr>
        <w:t xml:space="preserve"> </w:t>
      </w:r>
      <w:r w:rsidRPr="00616892">
        <w:rPr>
          <w:rFonts w:asciiTheme="majorHAnsi" w:hAnsiTheme="majorHAnsi"/>
        </w:rPr>
        <w:t>an exporting country claims to have a low pest prevalence or a pest</w:t>
      </w:r>
      <w:r w:rsidR="00655491">
        <w:rPr>
          <w:rFonts w:asciiTheme="majorHAnsi" w:hAnsiTheme="majorHAnsi"/>
        </w:rPr>
        <w:t>-</w:t>
      </w:r>
      <w:r w:rsidRPr="00616892">
        <w:rPr>
          <w:rFonts w:asciiTheme="majorHAnsi" w:hAnsiTheme="majorHAnsi"/>
        </w:rPr>
        <w:t xml:space="preserve"> and disease</w:t>
      </w:r>
      <w:r w:rsidR="00655491">
        <w:rPr>
          <w:rFonts w:asciiTheme="majorHAnsi" w:hAnsiTheme="majorHAnsi"/>
        </w:rPr>
        <w:t>-</w:t>
      </w:r>
      <w:r w:rsidRPr="00616892">
        <w:rPr>
          <w:rFonts w:asciiTheme="majorHAnsi" w:hAnsiTheme="majorHAnsi"/>
        </w:rPr>
        <w:t xml:space="preserve">free area in </w:t>
      </w:r>
      <w:r w:rsidR="00655491">
        <w:rPr>
          <w:rFonts w:asciiTheme="majorHAnsi" w:hAnsiTheme="majorHAnsi"/>
        </w:rPr>
        <w:t>its</w:t>
      </w:r>
      <w:r w:rsidR="00655491" w:rsidRPr="00616892">
        <w:rPr>
          <w:rFonts w:asciiTheme="majorHAnsi" w:hAnsiTheme="majorHAnsi"/>
        </w:rPr>
        <w:t xml:space="preserve"> territor</w:t>
      </w:r>
      <w:r w:rsidR="00655491">
        <w:rPr>
          <w:rFonts w:asciiTheme="majorHAnsi" w:hAnsiTheme="majorHAnsi"/>
        </w:rPr>
        <w:t>y</w:t>
      </w:r>
      <w:r w:rsidRPr="00616892">
        <w:rPr>
          <w:rFonts w:asciiTheme="majorHAnsi" w:hAnsiTheme="majorHAnsi"/>
        </w:rPr>
        <w:t>, or part of</w:t>
      </w:r>
      <w:r w:rsidR="00655491">
        <w:rPr>
          <w:rFonts w:asciiTheme="majorHAnsi" w:hAnsiTheme="majorHAnsi"/>
        </w:rPr>
        <w:t xml:space="preserve"> its territory</w:t>
      </w:r>
      <w:r w:rsidRPr="00616892">
        <w:rPr>
          <w:rFonts w:asciiTheme="majorHAnsi" w:hAnsiTheme="majorHAnsi"/>
        </w:rPr>
        <w:t xml:space="preserve">, </w:t>
      </w:r>
      <w:r w:rsidR="0041416D">
        <w:rPr>
          <w:rFonts w:asciiTheme="majorHAnsi" w:hAnsiTheme="majorHAnsi"/>
        </w:rPr>
        <w:t xml:space="preserve">it must provide </w:t>
      </w:r>
      <w:r w:rsidRPr="00616892">
        <w:rPr>
          <w:rFonts w:asciiTheme="majorHAnsi" w:hAnsiTheme="majorHAnsi"/>
        </w:rPr>
        <w:t>sufficient supporting evidence to the department to substantiate the claim. Following consideration of the evidence</w:t>
      </w:r>
      <w:r w:rsidR="0041416D">
        <w:rPr>
          <w:rFonts w:asciiTheme="majorHAnsi" w:hAnsiTheme="majorHAnsi"/>
        </w:rPr>
        <w:t>,</w:t>
      </w:r>
      <w:r w:rsidRPr="00616892">
        <w:rPr>
          <w:rFonts w:asciiTheme="majorHAnsi" w:hAnsiTheme="majorHAnsi"/>
        </w:rPr>
        <w:t xml:space="preserve"> the department may decide to recognise the claim. </w:t>
      </w:r>
    </w:p>
    <w:p w14:paraId="7067D393" w14:textId="69988852" w:rsidR="00011295" w:rsidRPr="00616892" w:rsidRDefault="00403C03" w:rsidP="00011295">
      <w:pPr>
        <w:rPr>
          <w:rFonts w:asciiTheme="majorHAnsi" w:hAnsiTheme="majorHAnsi"/>
        </w:rPr>
      </w:pPr>
      <w:r>
        <w:rPr>
          <w:rFonts w:asciiTheme="majorHAnsi" w:hAnsiTheme="majorHAnsi"/>
        </w:rPr>
        <w:t xml:space="preserve">Examples of </w:t>
      </w:r>
      <w:r w:rsidR="00241476">
        <w:rPr>
          <w:rFonts w:asciiTheme="majorHAnsi" w:hAnsiTheme="majorHAnsi"/>
        </w:rPr>
        <w:t xml:space="preserve">Import Risk Analyses showing the application of the consideration of regional differences </w:t>
      </w:r>
      <w:r>
        <w:rPr>
          <w:rFonts w:asciiTheme="majorHAnsi" w:hAnsiTheme="majorHAnsi"/>
        </w:rPr>
        <w:t xml:space="preserve">are </w:t>
      </w:r>
      <w:r w:rsidR="00241476">
        <w:rPr>
          <w:rFonts w:asciiTheme="majorHAnsi" w:hAnsiTheme="majorHAnsi"/>
        </w:rPr>
        <w:t xml:space="preserve">on the </w:t>
      </w:r>
      <w:hyperlink r:id="rId32" w:history="1">
        <w:r w:rsidR="00241476" w:rsidRPr="00832CEC">
          <w:rPr>
            <w:rStyle w:val="Hyperlink"/>
            <w:rFonts w:asciiTheme="majorHAnsi" w:hAnsiTheme="majorHAnsi"/>
          </w:rPr>
          <w:t>department’s website</w:t>
        </w:r>
      </w:hyperlink>
      <w:r w:rsidR="00241476">
        <w:rPr>
          <w:rFonts w:asciiTheme="majorHAnsi" w:hAnsiTheme="majorHAnsi"/>
        </w:rPr>
        <w:t>.</w:t>
      </w:r>
    </w:p>
    <w:p w14:paraId="6503AF19" w14:textId="2BD7BABF" w:rsidR="00011295" w:rsidRDefault="00C550BC" w:rsidP="00C550BC">
      <w:pPr>
        <w:pStyle w:val="Caption"/>
      </w:pPr>
      <w:bookmarkStart w:id="160" w:name="_Ref452647650"/>
      <w:bookmarkStart w:id="161" w:name="_Toc452647689"/>
      <w:r>
        <w:t xml:space="preserve">Box </w:t>
      </w:r>
      <w:fldSimple w:instr=" SEQ Box \* ARABIC ">
        <w:r w:rsidR="00AD068A">
          <w:rPr>
            <w:noProof/>
          </w:rPr>
          <w:t>1</w:t>
        </w:r>
      </w:fldSimple>
      <w:bookmarkEnd w:id="160"/>
      <w:r>
        <w:t xml:space="preserve"> Regional differences and ‘official control’</w:t>
      </w:r>
      <w:bookmarkEnd w:id="161"/>
    </w:p>
    <w:p w14:paraId="23E50C13" w14:textId="2E795454" w:rsidR="004D73D9" w:rsidRPr="00616892" w:rsidRDefault="004D73D9" w:rsidP="001914C8">
      <w:pPr>
        <w:pBdr>
          <w:top w:val="single" w:sz="4" w:space="1" w:color="auto"/>
          <w:left w:val="single" w:sz="4" w:space="4" w:color="auto"/>
          <w:bottom w:val="single" w:sz="4" w:space="1" w:color="auto"/>
          <w:right w:val="single" w:sz="4" w:space="4" w:color="auto"/>
        </w:pBdr>
        <w:rPr>
          <w:rStyle w:val="IntenseEmphasis"/>
          <w:rFonts w:asciiTheme="majorHAnsi" w:hAnsiTheme="majorHAnsi"/>
          <w:b w:val="0"/>
          <w:bCs w:val="0"/>
        </w:rPr>
      </w:pPr>
      <w:r w:rsidRPr="00616892">
        <w:rPr>
          <w:rStyle w:val="IntenseEmphasis"/>
          <w:rFonts w:asciiTheme="majorHAnsi" w:hAnsiTheme="majorHAnsi"/>
          <w:b w:val="0"/>
          <w:bCs w:val="0"/>
        </w:rPr>
        <w:t xml:space="preserve">The IPPC has the concept of regional differences embedded into its </w:t>
      </w:r>
      <w:r w:rsidRPr="00DC0A6C">
        <w:rPr>
          <w:rFonts w:asciiTheme="majorHAnsi" w:hAnsiTheme="majorHAnsi"/>
        </w:rPr>
        <w:t>definition</w:t>
      </w:r>
      <w:r w:rsidRPr="00616892">
        <w:rPr>
          <w:rStyle w:val="IntenseEmphasis"/>
          <w:rFonts w:asciiTheme="majorHAnsi" w:hAnsiTheme="majorHAnsi"/>
          <w:b w:val="0"/>
          <w:bCs w:val="0"/>
        </w:rPr>
        <w:t xml:space="preserve"> of </w:t>
      </w:r>
      <w:r w:rsidR="009E1435" w:rsidRPr="00616892">
        <w:rPr>
          <w:rStyle w:val="IntenseEmphasis"/>
          <w:rFonts w:asciiTheme="majorHAnsi" w:hAnsiTheme="majorHAnsi"/>
          <w:b w:val="0"/>
          <w:bCs w:val="0"/>
        </w:rPr>
        <w:t>‘quarantine pest’</w:t>
      </w:r>
      <w:r w:rsidRPr="00616892">
        <w:rPr>
          <w:rStyle w:val="IntenseEmphasis"/>
          <w:rFonts w:asciiTheme="majorHAnsi" w:hAnsiTheme="majorHAnsi"/>
          <w:b w:val="0"/>
          <w:bCs w:val="0"/>
        </w:rPr>
        <w:t xml:space="preserve">. Pests must first meet this definition before they can be considered for regulation in international trade. </w:t>
      </w:r>
    </w:p>
    <w:p w14:paraId="250CF4E5" w14:textId="6019A883" w:rsidR="004D73D9" w:rsidRPr="00616892" w:rsidRDefault="004D73D9" w:rsidP="001914C8">
      <w:pPr>
        <w:pBdr>
          <w:top w:val="single" w:sz="4" w:space="1" w:color="auto"/>
          <w:left w:val="single" w:sz="4" w:space="4" w:color="auto"/>
          <w:bottom w:val="single" w:sz="4" w:space="1" w:color="auto"/>
          <w:right w:val="single" w:sz="4" w:space="4" w:color="auto"/>
        </w:pBdr>
        <w:rPr>
          <w:rStyle w:val="IntenseEmphasis"/>
          <w:rFonts w:asciiTheme="majorHAnsi" w:hAnsiTheme="majorHAnsi"/>
          <w:b w:val="0"/>
          <w:bCs w:val="0"/>
        </w:rPr>
      </w:pPr>
      <w:r w:rsidRPr="00616892">
        <w:rPr>
          <w:rStyle w:val="IntenseEmphasis"/>
          <w:rFonts w:asciiTheme="majorHAnsi" w:hAnsiTheme="majorHAnsi"/>
          <w:b w:val="0"/>
          <w:bCs w:val="0"/>
        </w:rPr>
        <w:t>If a pest is present in Australia and not under</w:t>
      </w:r>
      <w:r w:rsidRPr="00E8268C">
        <w:rPr>
          <w:rStyle w:val="IntenseEmphasis"/>
          <w:rFonts w:asciiTheme="majorHAnsi" w:hAnsiTheme="majorHAnsi"/>
          <w:b w:val="0"/>
          <w:bCs w:val="0"/>
        </w:rPr>
        <w:t xml:space="preserve"> </w:t>
      </w:r>
      <w:hyperlink w:anchor="_Glossary" w:history="1">
        <w:r w:rsidR="00690F16" w:rsidRPr="0070101B">
          <w:rPr>
            <w:rStyle w:val="Hyperlink"/>
          </w:rPr>
          <w:t>official control</w:t>
        </w:r>
      </w:hyperlink>
      <w:r w:rsidR="006D22ED" w:rsidRPr="00E8268C">
        <w:rPr>
          <w:rFonts w:asciiTheme="majorHAnsi" w:hAnsiTheme="majorHAnsi"/>
        </w:rPr>
        <w:t>,</w:t>
      </w:r>
      <w:r w:rsidRPr="00655491">
        <w:rPr>
          <w:rStyle w:val="IntenseEmphasis"/>
          <w:rFonts w:asciiTheme="majorHAnsi" w:hAnsiTheme="majorHAnsi"/>
          <w:b w:val="0"/>
          <w:bCs w:val="0"/>
        </w:rPr>
        <w:t xml:space="preserve"> </w:t>
      </w:r>
      <w:r w:rsidRPr="00616892">
        <w:rPr>
          <w:rStyle w:val="IntenseEmphasis"/>
          <w:rFonts w:asciiTheme="majorHAnsi" w:hAnsiTheme="majorHAnsi"/>
          <w:b w:val="0"/>
          <w:bCs w:val="0"/>
        </w:rPr>
        <w:t xml:space="preserve">it does not meet the definition of a quarantine pest and cannot be considered for regulation in international trade. </w:t>
      </w:r>
    </w:p>
    <w:p w14:paraId="7D1BAD4F" w14:textId="36E503EF" w:rsidR="004D73D9" w:rsidRPr="00616892" w:rsidRDefault="004D73D9" w:rsidP="001914C8">
      <w:pPr>
        <w:pBdr>
          <w:top w:val="single" w:sz="4" w:space="1" w:color="auto"/>
          <w:left w:val="single" w:sz="4" w:space="4" w:color="auto"/>
          <w:bottom w:val="single" w:sz="4" w:space="1" w:color="auto"/>
          <w:right w:val="single" w:sz="4" w:space="4" w:color="auto"/>
        </w:pBdr>
        <w:rPr>
          <w:rFonts w:asciiTheme="majorHAnsi" w:hAnsiTheme="majorHAnsi"/>
        </w:rPr>
      </w:pPr>
      <w:r w:rsidRPr="00616892">
        <w:rPr>
          <w:rStyle w:val="IntenseEmphasis"/>
          <w:rFonts w:asciiTheme="majorHAnsi" w:hAnsiTheme="majorHAnsi"/>
          <w:b w:val="0"/>
          <w:bCs w:val="0"/>
        </w:rPr>
        <w:t xml:space="preserve">In all BIRAs and non-regulated complex risk </w:t>
      </w:r>
      <w:r w:rsidR="00702E82">
        <w:rPr>
          <w:rStyle w:val="IntenseEmphasis"/>
          <w:rFonts w:asciiTheme="majorHAnsi" w:hAnsiTheme="majorHAnsi"/>
          <w:b w:val="0"/>
          <w:bCs w:val="0"/>
        </w:rPr>
        <w:t>analyses</w:t>
      </w:r>
      <w:r w:rsidR="00702E82" w:rsidRPr="00616892">
        <w:rPr>
          <w:rStyle w:val="IntenseEmphasis"/>
          <w:rFonts w:asciiTheme="majorHAnsi" w:hAnsiTheme="majorHAnsi"/>
          <w:b w:val="0"/>
          <w:bCs w:val="0"/>
        </w:rPr>
        <w:t xml:space="preserve"> </w:t>
      </w:r>
      <w:r w:rsidRPr="00616892">
        <w:rPr>
          <w:rStyle w:val="IntenseEmphasis"/>
          <w:rFonts w:asciiTheme="majorHAnsi" w:hAnsiTheme="majorHAnsi"/>
          <w:b w:val="0"/>
          <w:bCs w:val="0"/>
        </w:rPr>
        <w:t>conducted for plant</w:t>
      </w:r>
      <w:r w:rsidR="006D22ED">
        <w:rPr>
          <w:rStyle w:val="IntenseEmphasis"/>
          <w:rFonts w:asciiTheme="majorHAnsi" w:hAnsiTheme="majorHAnsi"/>
          <w:b w:val="0"/>
          <w:bCs w:val="0"/>
        </w:rPr>
        <w:t>s</w:t>
      </w:r>
      <w:r w:rsidRPr="00616892">
        <w:rPr>
          <w:rStyle w:val="IntenseEmphasis"/>
          <w:rFonts w:asciiTheme="majorHAnsi" w:hAnsiTheme="majorHAnsi"/>
          <w:b w:val="0"/>
          <w:bCs w:val="0"/>
        </w:rPr>
        <w:t xml:space="preserve"> </w:t>
      </w:r>
      <w:r w:rsidR="006D22ED">
        <w:rPr>
          <w:rStyle w:val="IntenseEmphasis"/>
          <w:rFonts w:asciiTheme="majorHAnsi" w:hAnsiTheme="majorHAnsi"/>
          <w:b w:val="0"/>
          <w:bCs w:val="0"/>
        </w:rPr>
        <w:t>and</w:t>
      </w:r>
      <w:r w:rsidR="006D22ED" w:rsidRPr="00616892">
        <w:rPr>
          <w:rStyle w:val="IntenseEmphasis"/>
          <w:rFonts w:asciiTheme="majorHAnsi" w:hAnsiTheme="majorHAnsi"/>
          <w:b w:val="0"/>
          <w:bCs w:val="0"/>
        </w:rPr>
        <w:t xml:space="preserve"> </w:t>
      </w:r>
      <w:r w:rsidRPr="00616892">
        <w:rPr>
          <w:rStyle w:val="IntenseEmphasis"/>
          <w:rFonts w:asciiTheme="majorHAnsi" w:hAnsiTheme="majorHAnsi"/>
          <w:b w:val="0"/>
          <w:bCs w:val="0"/>
        </w:rPr>
        <w:t>plant products, each pest is categorised to determine whether it is a regional pest for a part</w:t>
      </w:r>
      <w:r w:rsidR="006D22ED">
        <w:rPr>
          <w:rStyle w:val="IntenseEmphasis"/>
          <w:rFonts w:asciiTheme="majorHAnsi" w:hAnsiTheme="majorHAnsi"/>
          <w:b w:val="0"/>
          <w:bCs w:val="0"/>
        </w:rPr>
        <w:t xml:space="preserve"> or </w:t>
      </w:r>
      <w:r w:rsidRPr="00616892">
        <w:rPr>
          <w:rStyle w:val="IntenseEmphasis"/>
          <w:rFonts w:asciiTheme="majorHAnsi" w:hAnsiTheme="majorHAnsi"/>
          <w:b w:val="0"/>
          <w:bCs w:val="0"/>
        </w:rPr>
        <w:t xml:space="preserve">parts of Australia. Regional considerations are then taken into account in the risk </w:t>
      </w:r>
      <w:r w:rsidR="00702E82">
        <w:rPr>
          <w:rStyle w:val="IntenseEmphasis"/>
          <w:rFonts w:asciiTheme="majorHAnsi" w:hAnsiTheme="majorHAnsi"/>
          <w:b w:val="0"/>
          <w:bCs w:val="0"/>
        </w:rPr>
        <w:t>analysis</w:t>
      </w:r>
      <w:r w:rsidR="00702E82" w:rsidRPr="00616892">
        <w:rPr>
          <w:rStyle w:val="IntenseEmphasis"/>
          <w:rFonts w:asciiTheme="majorHAnsi" w:hAnsiTheme="majorHAnsi"/>
          <w:b w:val="0"/>
          <w:bCs w:val="0"/>
        </w:rPr>
        <w:t xml:space="preserve"> </w:t>
      </w:r>
      <w:r w:rsidRPr="00616892">
        <w:rPr>
          <w:rStyle w:val="IntenseEmphasis"/>
          <w:rFonts w:asciiTheme="majorHAnsi" w:hAnsiTheme="majorHAnsi"/>
          <w:b w:val="0"/>
          <w:bCs w:val="0"/>
        </w:rPr>
        <w:t>and the development of import conditions, where these are justified.</w:t>
      </w:r>
      <w:bookmarkStart w:id="162" w:name="_Toc430767813"/>
      <w:bookmarkStart w:id="163" w:name="_Toc425164310"/>
    </w:p>
    <w:p w14:paraId="29D4B1C7" w14:textId="30EED4D2" w:rsidR="004D73D9" w:rsidRPr="00211A48" w:rsidRDefault="004D73D9" w:rsidP="00211A48">
      <w:pPr>
        <w:pStyle w:val="Heading2"/>
      </w:pPr>
      <w:bookmarkStart w:id="164" w:name="_Toc452647315"/>
      <w:r w:rsidRPr="00211A48">
        <w:lastRenderedPageBreak/>
        <w:t>Potential outcomes from a BIRA</w:t>
      </w:r>
      <w:bookmarkEnd w:id="162"/>
      <w:bookmarkEnd w:id="164"/>
    </w:p>
    <w:p w14:paraId="5FB4DF5B" w14:textId="56FF08AF" w:rsidR="004D73D9" w:rsidRPr="00F757C2" w:rsidRDefault="004D73D9" w:rsidP="00211A48">
      <w:pPr>
        <w:pStyle w:val="Heading3"/>
      </w:pPr>
      <w:bookmarkStart w:id="165" w:name="_Toc452647316"/>
      <w:r w:rsidRPr="00F757C2">
        <w:t>Policy determination</w:t>
      </w:r>
      <w:bookmarkEnd w:id="165"/>
    </w:p>
    <w:p w14:paraId="38E98B83" w14:textId="5B9979CC" w:rsidR="004D73D9" w:rsidRDefault="004D73D9" w:rsidP="000B0E4F">
      <w:pPr>
        <w:rPr>
          <w:rFonts w:asciiTheme="majorHAnsi" w:hAnsiTheme="majorHAnsi"/>
        </w:rPr>
      </w:pPr>
      <w:r w:rsidRPr="00616892">
        <w:rPr>
          <w:rFonts w:asciiTheme="majorHAnsi" w:hAnsiTheme="majorHAnsi"/>
        </w:rPr>
        <w:t xml:space="preserve">A policy determination specifies whether trade may be permitted and if so, what conditions, if any, must be applied to the good to achieve Australia’s ALOP. </w:t>
      </w:r>
    </w:p>
    <w:p w14:paraId="6E588BC3" w14:textId="1CF84B20" w:rsidR="00493203" w:rsidRPr="00616892" w:rsidRDefault="00493203" w:rsidP="00263CA8">
      <w:pPr>
        <w:pBdr>
          <w:top w:val="single" w:sz="4" w:space="1" w:color="auto"/>
          <w:left w:val="single" w:sz="4" w:space="4" w:color="auto"/>
          <w:bottom w:val="single" w:sz="4" w:space="1" w:color="auto"/>
          <w:right w:val="single" w:sz="4" w:space="4" w:color="auto"/>
        </w:pBdr>
        <w:jc w:val="center"/>
        <w:rPr>
          <w:rFonts w:asciiTheme="majorHAnsi" w:hAnsiTheme="majorHAnsi"/>
        </w:rPr>
      </w:pPr>
      <w:r>
        <w:rPr>
          <w:rStyle w:val="IntenseEmphasis"/>
          <w:rFonts w:asciiTheme="majorHAnsi" w:hAnsiTheme="majorHAnsi"/>
          <w:b w:val="0"/>
          <w:bCs w:val="0"/>
        </w:rPr>
        <w:t xml:space="preserve">A BIRA is not a decision to import. </w:t>
      </w:r>
    </w:p>
    <w:p w14:paraId="7299F82E" w14:textId="77777777" w:rsidR="004D73D9" w:rsidRPr="00616892" w:rsidRDefault="004D73D9" w:rsidP="000B0E4F">
      <w:pPr>
        <w:rPr>
          <w:rFonts w:asciiTheme="majorHAnsi" w:hAnsiTheme="majorHAnsi" w:cs="Cambria"/>
        </w:rPr>
      </w:pPr>
      <w:r w:rsidRPr="00616892">
        <w:rPr>
          <w:rFonts w:asciiTheme="majorHAnsi" w:hAnsiTheme="majorHAnsi"/>
        </w:rPr>
        <w:t xml:space="preserve">In making a policy determination, the </w:t>
      </w:r>
      <w:r w:rsidRPr="00616892">
        <w:rPr>
          <w:rFonts w:asciiTheme="majorHAnsi" w:hAnsiTheme="majorHAnsi" w:cs="Cambria"/>
        </w:rPr>
        <w:t>Director of Biosecurity considers:</w:t>
      </w:r>
    </w:p>
    <w:p w14:paraId="17D2E384" w14:textId="77777777" w:rsidR="004D73D9" w:rsidRPr="00616892" w:rsidRDefault="004D73D9" w:rsidP="00211A48">
      <w:pPr>
        <w:pStyle w:val="ListBullet"/>
      </w:pPr>
      <w:r w:rsidRPr="00616892">
        <w:t>the final BIRA report and its recommendations</w:t>
      </w:r>
    </w:p>
    <w:p w14:paraId="106EFA86" w14:textId="54E3269F" w:rsidR="004D73D9" w:rsidRPr="00616892" w:rsidRDefault="004D73D9" w:rsidP="00211A48">
      <w:pPr>
        <w:pStyle w:val="ListBullet"/>
      </w:pPr>
      <w:r w:rsidRPr="00616892">
        <w:t>any final IGB report if completed</w:t>
      </w:r>
    </w:p>
    <w:p w14:paraId="0C8DA9AB" w14:textId="77777777" w:rsidR="004D73D9" w:rsidRPr="00616892" w:rsidRDefault="004D73D9" w:rsidP="00211A48">
      <w:pPr>
        <w:pStyle w:val="ListBullet"/>
      </w:pPr>
      <w:proofErr w:type="gramStart"/>
      <w:r w:rsidRPr="00616892">
        <w:t>any</w:t>
      </w:r>
      <w:proofErr w:type="gramEnd"/>
      <w:r w:rsidRPr="00616892">
        <w:t xml:space="preserve"> other relevant information, including Australia’s international rights and obligations.</w:t>
      </w:r>
    </w:p>
    <w:p w14:paraId="31B2C76F" w14:textId="1AB79A60" w:rsidR="004D73D9" w:rsidRDefault="004D73D9" w:rsidP="00711528">
      <w:pPr>
        <w:spacing w:after="240"/>
        <w:rPr>
          <w:rFonts w:asciiTheme="majorHAnsi" w:hAnsiTheme="majorHAnsi"/>
        </w:rPr>
      </w:pPr>
      <w:r w:rsidRPr="00616892">
        <w:rPr>
          <w:rFonts w:asciiTheme="majorHAnsi" w:hAnsiTheme="majorHAnsi"/>
        </w:rPr>
        <w:t xml:space="preserve">Once the Director of Biosecurity makes a policy determination, the department notifies the proposer, registered stakeholders and the WTO </w:t>
      </w:r>
      <w:r w:rsidR="004D76AA">
        <w:rPr>
          <w:rFonts w:asciiTheme="majorHAnsi" w:hAnsiTheme="majorHAnsi"/>
        </w:rPr>
        <w:t>s</w:t>
      </w:r>
      <w:r w:rsidRPr="00616892">
        <w:rPr>
          <w:rFonts w:asciiTheme="majorHAnsi" w:hAnsiTheme="majorHAnsi"/>
        </w:rPr>
        <w:t>ecretariat. The policy determination</w:t>
      </w:r>
      <w:r w:rsidR="00664302">
        <w:rPr>
          <w:rFonts w:asciiTheme="majorHAnsi" w:hAnsiTheme="majorHAnsi"/>
        </w:rPr>
        <w:t>, and information about what occurs after a policy determination,</w:t>
      </w:r>
      <w:r w:rsidRPr="00616892">
        <w:rPr>
          <w:rFonts w:asciiTheme="majorHAnsi" w:hAnsiTheme="majorHAnsi"/>
        </w:rPr>
        <w:t xml:space="preserve"> </w:t>
      </w:r>
      <w:r w:rsidR="00664302">
        <w:rPr>
          <w:rFonts w:asciiTheme="majorHAnsi" w:hAnsiTheme="majorHAnsi"/>
        </w:rPr>
        <w:t>is available</w:t>
      </w:r>
      <w:r w:rsidRPr="00616892">
        <w:rPr>
          <w:rFonts w:asciiTheme="majorHAnsi" w:hAnsiTheme="majorHAnsi"/>
        </w:rPr>
        <w:t xml:space="preserve"> on the department’s website.</w:t>
      </w:r>
    </w:p>
    <w:p w14:paraId="3299BDA6" w14:textId="77777777" w:rsidR="004D73D9" w:rsidRPr="00616892" w:rsidRDefault="004D73D9" w:rsidP="001914C8">
      <w:pPr>
        <w:pBdr>
          <w:top w:val="single" w:sz="4" w:space="1" w:color="auto"/>
          <w:left w:val="single" w:sz="4" w:space="4" w:color="auto"/>
          <w:bottom w:val="single" w:sz="4" w:space="1" w:color="auto"/>
          <w:right w:val="single" w:sz="4" w:space="4" w:color="auto"/>
        </w:pBdr>
        <w:rPr>
          <w:rStyle w:val="IntenseEmphasis"/>
          <w:rFonts w:asciiTheme="majorHAnsi" w:hAnsiTheme="majorHAnsi"/>
          <w:b w:val="0"/>
          <w:bCs w:val="0"/>
        </w:rPr>
      </w:pPr>
      <w:r w:rsidRPr="00616892">
        <w:rPr>
          <w:rStyle w:val="IntenseEmphasis"/>
          <w:rFonts w:asciiTheme="majorHAnsi" w:hAnsiTheme="majorHAnsi"/>
          <w:b w:val="0"/>
          <w:bCs w:val="0"/>
        </w:rPr>
        <w:t>A policy determination can be reviewed at any time if relevant new information is received, or a review can be initiated by the department for other reasons</w:t>
      </w:r>
    </w:p>
    <w:p w14:paraId="4F0D585A" w14:textId="04476741" w:rsidR="004D73D9" w:rsidRPr="003216D3" w:rsidRDefault="004D73D9" w:rsidP="00211A48">
      <w:pPr>
        <w:pStyle w:val="Heading3"/>
      </w:pPr>
      <w:bookmarkStart w:id="166" w:name="_Toc430767814"/>
      <w:bookmarkStart w:id="167" w:name="_Toc452647317"/>
      <w:r w:rsidRPr="003216D3">
        <w:t>Decision to terminate a BIRA</w:t>
      </w:r>
      <w:bookmarkEnd w:id="166"/>
      <w:bookmarkEnd w:id="167"/>
    </w:p>
    <w:p w14:paraId="265EE0C8" w14:textId="3C724953" w:rsidR="00C02523" w:rsidRDefault="004D73D9" w:rsidP="00263CA8">
      <w:pPr>
        <w:rPr>
          <w:rFonts w:asciiTheme="majorHAnsi" w:hAnsiTheme="majorHAnsi"/>
        </w:rPr>
      </w:pPr>
      <w:r w:rsidRPr="0065353E">
        <w:rPr>
          <w:rFonts w:asciiTheme="majorHAnsi" w:hAnsiTheme="majorHAnsi"/>
        </w:rPr>
        <w:t>In most cases, when a BIRA is started it will be completed. However</w:t>
      </w:r>
      <w:r w:rsidR="00664302">
        <w:rPr>
          <w:rFonts w:asciiTheme="majorHAnsi" w:hAnsiTheme="majorHAnsi"/>
        </w:rPr>
        <w:t>,</w:t>
      </w:r>
      <w:r w:rsidRPr="0065353E">
        <w:rPr>
          <w:rFonts w:asciiTheme="majorHAnsi" w:hAnsiTheme="majorHAnsi"/>
        </w:rPr>
        <w:t xml:space="preserve"> there are situations </w:t>
      </w:r>
      <w:r w:rsidR="00F56746" w:rsidRPr="0065353E">
        <w:rPr>
          <w:rFonts w:asciiTheme="majorHAnsi" w:hAnsiTheme="majorHAnsi"/>
        </w:rPr>
        <w:t>whe</w:t>
      </w:r>
      <w:r w:rsidR="00F56746">
        <w:rPr>
          <w:rFonts w:asciiTheme="majorHAnsi" w:hAnsiTheme="majorHAnsi"/>
        </w:rPr>
        <w:t>n</w:t>
      </w:r>
      <w:r w:rsidR="00F56746" w:rsidRPr="0065353E">
        <w:rPr>
          <w:rFonts w:asciiTheme="majorHAnsi" w:hAnsiTheme="majorHAnsi"/>
        </w:rPr>
        <w:t xml:space="preserve"> </w:t>
      </w:r>
      <w:r w:rsidRPr="0065353E">
        <w:rPr>
          <w:rFonts w:asciiTheme="majorHAnsi" w:hAnsiTheme="majorHAnsi"/>
        </w:rPr>
        <w:t xml:space="preserve">it is not appropriate, or necessary, to complete a BIRA. The Director of Biosecurity may decide </w:t>
      </w:r>
      <w:r w:rsidR="00E7337D" w:rsidRPr="0065353E">
        <w:rPr>
          <w:rFonts w:asciiTheme="majorHAnsi" w:hAnsiTheme="majorHAnsi"/>
        </w:rPr>
        <w:t xml:space="preserve">to </w:t>
      </w:r>
      <w:r w:rsidRPr="0065353E">
        <w:rPr>
          <w:rFonts w:asciiTheme="majorHAnsi" w:hAnsiTheme="majorHAnsi"/>
        </w:rPr>
        <w:t>terminate</w:t>
      </w:r>
      <w:r w:rsidR="00E7337D" w:rsidRPr="0065353E">
        <w:rPr>
          <w:rFonts w:asciiTheme="majorHAnsi" w:hAnsiTheme="majorHAnsi"/>
        </w:rPr>
        <w:t xml:space="preserve"> a BIRA</w:t>
      </w:r>
      <w:r w:rsidRPr="0065353E">
        <w:rPr>
          <w:rFonts w:asciiTheme="majorHAnsi" w:hAnsiTheme="majorHAnsi"/>
        </w:rPr>
        <w:t xml:space="preserve"> at any t</w:t>
      </w:r>
      <w:r w:rsidRPr="006D7260">
        <w:rPr>
          <w:rFonts w:asciiTheme="majorHAnsi" w:hAnsiTheme="majorHAnsi"/>
        </w:rPr>
        <w:t>ime</w:t>
      </w:r>
      <w:r w:rsidR="00E7337D" w:rsidRPr="006D7260">
        <w:rPr>
          <w:rFonts w:asciiTheme="majorHAnsi" w:hAnsiTheme="majorHAnsi"/>
        </w:rPr>
        <w:t xml:space="preserve"> </w:t>
      </w:r>
      <w:r w:rsidR="002E1B3B" w:rsidRPr="006D7260">
        <w:rPr>
          <w:rFonts w:asciiTheme="majorHAnsi" w:hAnsiTheme="majorHAnsi"/>
        </w:rPr>
        <w:t xml:space="preserve">if </w:t>
      </w:r>
      <w:r w:rsidRPr="006D7260">
        <w:rPr>
          <w:rFonts w:asciiTheme="majorHAnsi" w:hAnsiTheme="majorHAnsi"/>
        </w:rPr>
        <w:t>the Director of Biosecurity has</w:t>
      </w:r>
      <w:r w:rsidRPr="0065353E">
        <w:rPr>
          <w:rFonts w:asciiTheme="majorHAnsi" w:hAnsiTheme="majorHAnsi"/>
        </w:rPr>
        <w:t xml:space="preserve"> requested information from </w:t>
      </w:r>
      <w:r w:rsidR="001B6029" w:rsidRPr="0065353E">
        <w:rPr>
          <w:rFonts w:asciiTheme="majorHAnsi" w:hAnsiTheme="majorHAnsi"/>
        </w:rPr>
        <w:t xml:space="preserve">a person, </w:t>
      </w:r>
      <w:r w:rsidR="002E1B3B" w:rsidRPr="0065353E">
        <w:rPr>
          <w:rFonts w:asciiTheme="majorHAnsi" w:hAnsiTheme="majorHAnsi"/>
        </w:rPr>
        <w:t xml:space="preserve">including </w:t>
      </w:r>
      <w:r w:rsidRPr="0065353E">
        <w:rPr>
          <w:rFonts w:asciiTheme="majorHAnsi" w:hAnsiTheme="majorHAnsi"/>
        </w:rPr>
        <w:t>an external expert</w:t>
      </w:r>
      <w:r w:rsidR="002E1B3B" w:rsidRPr="0065353E">
        <w:rPr>
          <w:rFonts w:asciiTheme="majorHAnsi" w:hAnsiTheme="majorHAnsi"/>
        </w:rPr>
        <w:t>,</w:t>
      </w:r>
      <w:r w:rsidRPr="0065353E">
        <w:rPr>
          <w:rFonts w:asciiTheme="majorHAnsi" w:hAnsiTheme="majorHAnsi"/>
        </w:rPr>
        <w:t xml:space="preserve"> or has requested</w:t>
      </w:r>
      <w:r w:rsidR="00E7337D" w:rsidRPr="0065353E">
        <w:rPr>
          <w:rFonts w:asciiTheme="majorHAnsi" w:hAnsiTheme="majorHAnsi"/>
        </w:rPr>
        <w:t xml:space="preserve"> that</w:t>
      </w:r>
      <w:r w:rsidRPr="0065353E">
        <w:rPr>
          <w:rFonts w:asciiTheme="majorHAnsi" w:hAnsiTheme="majorHAnsi"/>
        </w:rPr>
        <w:t xml:space="preserve"> the scientific advisory group examine and provide comment on an aspect of the BIRA</w:t>
      </w:r>
      <w:r w:rsidR="00E7337D" w:rsidRPr="0065353E">
        <w:rPr>
          <w:rFonts w:asciiTheme="majorHAnsi" w:hAnsiTheme="majorHAnsi"/>
        </w:rPr>
        <w:t>,</w:t>
      </w:r>
      <w:r w:rsidRPr="0065353E">
        <w:rPr>
          <w:rFonts w:asciiTheme="majorHAnsi" w:hAnsiTheme="majorHAnsi"/>
        </w:rPr>
        <w:t xml:space="preserve"> and</w:t>
      </w:r>
      <w:r w:rsidR="006F55AB" w:rsidRPr="0065353E">
        <w:rPr>
          <w:rFonts w:asciiTheme="majorHAnsi" w:hAnsiTheme="majorHAnsi"/>
        </w:rPr>
        <w:t xml:space="preserve"> either</w:t>
      </w:r>
      <w:r w:rsidR="00E7337D" w:rsidRPr="0065353E">
        <w:rPr>
          <w:rFonts w:asciiTheme="majorHAnsi" w:hAnsiTheme="majorHAnsi"/>
        </w:rPr>
        <w:t>:</w:t>
      </w:r>
    </w:p>
    <w:p w14:paraId="738925AB" w14:textId="175E1C50" w:rsidR="004D73D9" w:rsidRPr="00211A48" w:rsidRDefault="002E1B3B" w:rsidP="00211A48">
      <w:pPr>
        <w:pStyle w:val="ListBullet"/>
      </w:pPr>
      <w:r w:rsidRPr="00211A48">
        <w:t>has been</w:t>
      </w:r>
      <w:r w:rsidR="004D73D9" w:rsidRPr="00211A48">
        <w:t xml:space="preserve"> given an adequate response</w:t>
      </w:r>
      <w:r w:rsidRPr="00211A48">
        <w:t xml:space="preserve"> to the request and</w:t>
      </w:r>
      <w:r w:rsidR="004D73D9" w:rsidRPr="00211A48">
        <w:t xml:space="preserve"> is satisfied that there is insufficient reason to complete the BIRA, or</w:t>
      </w:r>
    </w:p>
    <w:p w14:paraId="6F76F61F" w14:textId="56A3EF01" w:rsidR="004D73D9" w:rsidRPr="00211A48" w:rsidDel="0065353E" w:rsidRDefault="004D73D9" w:rsidP="00211A48">
      <w:pPr>
        <w:pStyle w:val="ListBullet"/>
      </w:pPr>
      <w:proofErr w:type="gramStart"/>
      <w:r w:rsidRPr="00211A48">
        <w:t>is</w:t>
      </w:r>
      <w:proofErr w:type="gramEnd"/>
      <w:r w:rsidRPr="00211A48">
        <w:t xml:space="preserve"> </w:t>
      </w:r>
      <w:r w:rsidRPr="00211A48" w:rsidDel="0065353E">
        <w:t>satisfied that there is insufficient information or reason to complete the BIRA.</w:t>
      </w:r>
    </w:p>
    <w:p w14:paraId="41CCFDC5" w14:textId="1CC54A27" w:rsidR="004D73D9" w:rsidRPr="00616892" w:rsidRDefault="000E0733" w:rsidP="000B0E4F">
      <w:pPr>
        <w:rPr>
          <w:rFonts w:asciiTheme="majorHAnsi" w:hAnsiTheme="majorHAnsi"/>
        </w:rPr>
      </w:pPr>
      <w:r w:rsidRPr="00616892">
        <w:rPr>
          <w:rFonts w:asciiTheme="majorHAnsi" w:hAnsiTheme="majorHAnsi"/>
        </w:rPr>
        <w:t>T</w:t>
      </w:r>
      <w:r w:rsidR="004D73D9" w:rsidRPr="00616892">
        <w:rPr>
          <w:rFonts w:asciiTheme="majorHAnsi" w:hAnsiTheme="majorHAnsi"/>
        </w:rPr>
        <w:t xml:space="preserve">he Director of Biosecurity will consider the requested information or comments received and decide, based on all other available information and evidence, and taking into account international trade obligations, whether terminating the BIRA is appropriate. </w:t>
      </w:r>
    </w:p>
    <w:p w14:paraId="2D4F6522" w14:textId="4B310A2C" w:rsidR="00A779D6" w:rsidRPr="006B74D8" w:rsidRDefault="007D55CF" w:rsidP="00263CA8">
      <w:pPr>
        <w:rPr>
          <w:rFonts w:asciiTheme="majorHAnsi" w:hAnsiTheme="majorHAnsi"/>
        </w:rPr>
      </w:pPr>
      <w:r>
        <w:rPr>
          <w:rFonts w:asciiTheme="majorHAnsi" w:eastAsiaTheme="minorEastAsia" w:hAnsiTheme="majorHAnsi"/>
        </w:rPr>
        <w:t>Including a provision that allows the</w:t>
      </w:r>
      <w:r w:rsidR="00A779D6" w:rsidRPr="00263CA8">
        <w:rPr>
          <w:rFonts w:asciiTheme="majorHAnsi" w:eastAsiaTheme="minorEastAsia" w:hAnsiTheme="majorHAnsi"/>
        </w:rPr>
        <w:t xml:space="preserve"> Director of Biosecurity to terminate a BIRA before it is complete ensures that a BIRA is not continued where needs have changed. </w:t>
      </w:r>
      <w:r w:rsidR="00A779D6" w:rsidRPr="00A779D6">
        <w:rPr>
          <w:rFonts w:asciiTheme="majorHAnsi" w:hAnsiTheme="majorHAnsi"/>
        </w:rPr>
        <w:t>S</w:t>
      </w:r>
      <w:r w:rsidR="00A779D6" w:rsidRPr="00F63601">
        <w:rPr>
          <w:rFonts w:asciiTheme="majorHAnsi" w:hAnsiTheme="majorHAnsi"/>
        </w:rPr>
        <w:t>ome e</w:t>
      </w:r>
      <w:r w:rsidR="00A779D6" w:rsidRPr="00B36FBE">
        <w:rPr>
          <w:rFonts w:asciiTheme="majorHAnsi" w:hAnsiTheme="majorHAnsi"/>
        </w:rPr>
        <w:t>xa</w:t>
      </w:r>
      <w:r w:rsidR="00A779D6" w:rsidRPr="00D558EA">
        <w:rPr>
          <w:rFonts w:asciiTheme="majorHAnsi" w:hAnsiTheme="majorHAnsi"/>
        </w:rPr>
        <w:t>m</w:t>
      </w:r>
      <w:r w:rsidR="00A779D6" w:rsidRPr="006B74D8">
        <w:rPr>
          <w:rFonts w:asciiTheme="majorHAnsi" w:hAnsiTheme="majorHAnsi"/>
        </w:rPr>
        <w:t xml:space="preserve">ples of this include: </w:t>
      </w:r>
    </w:p>
    <w:p w14:paraId="34D9EA8E" w14:textId="50CFCC10" w:rsidR="00A779D6" w:rsidRPr="00263CA8" w:rsidRDefault="00A779D6" w:rsidP="00211A48">
      <w:pPr>
        <w:pStyle w:val="ListBullet"/>
      </w:pPr>
      <w:r w:rsidRPr="00263CA8">
        <w:t xml:space="preserve">in circumstances where the Director of Biosecurity is reacting to changing priorities (such as where a country withdraws </w:t>
      </w:r>
      <w:r w:rsidR="00935DC0">
        <w:t>its</w:t>
      </w:r>
      <w:r w:rsidRPr="00263CA8">
        <w:t xml:space="preserve"> request for </w:t>
      </w:r>
      <w:r w:rsidR="00935DC0">
        <w:t>market access</w:t>
      </w:r>
      <w:r w:rsidRPr="00263CA8">
        <w:t xml:space="preserve">), or </w:t>
      </w:r>
    </w:p>
    <w:p w14:paraId="121B8218" w14:textId="45CC9052" w:rsidR="00E41893" w:rsidRDefault="00A779D6" w:rsidP="00211A48">
      <w:pPr>
        <w:pStyle w:val="ListBullet"/>
      </w:pPr>
      <w:r w:rsidRPr="00263CA8">
        <w:t>where the policy rationale no longer exists for a BIRA process</w:t>
      </w:r>
      <w:r w:rsidR="00E41893">
        <w:t>, or</w:t>
      </w:r>
    </w:p>
    <w:p w14:paraId="7A7EF2AA" w14:textId="54DFF808" w:rsidR="00A779D6" w:rsidRPr="00A779D6" w:rsidRDefault="00E41893" w:rsidP="00211A48">
      <w:pPr>
        <w:pStyle w:val="ListBullet"/>
      </w:pPr>
      <w:proofErr w:type="gramStart"/>
      <w:r>
        <w:t>where</w:t>
      </w:r>
      <w:proofErr w:type="gramEnd"/>
      <w:r>
        <w:t xml:space="preserve"> new science or information has emerged.</w:t>
      </w:r>
      <w:r w:rsidR="00A779D6" w:rsidRPr="00A779D6">
        <w:t xml:space="preserve"> </w:t>
      </w:r>
    </w:p>
    <w:p w14:paraId="609F29D0" w14:textId="7BB60A58" w:rsidR="00A779D6" w:rsidRDefault="00A779D6" w:rsidP="00A779D6">
      <w:pPr>
        <w:rPr>
          <w:rFonts w:asciiTheme="majorHAnsi" w:hAnsiTheme="majorHAnsi"/>
        </w:rPr>
      </w:pPr>
      <w:r w:rsidRPr="00263CA8">
        <w:rPr>
          <w:rFonts w:asciiTheme="majorHAnsi" w:hAnsiTheme="majorHAnsi"/>
        </w:rPr>
        <w:t>In some of these cases</w:t>
      </w:r>
      <w:r w:rsidR="00A13DE9">
        <w:rPr>
          <w:rFonts w:asciiTheme="majorHAnsi" w:hAnsiTheme="majorHAnsi"/>
        </w:rPr>
        <w:t>,</w:t>
      </w:r>
      <w:r w:rsidRPr="00263CA8">
        <w:rPr>
          <w:rFonts w:asciiTheme="majorHAnsi" w:hAnsiTheme="majorHAnsi"/>
        </w:rPr>
        <w:t xml:space="preserve"> the BIRA may transition into</w:t>
      </w:r>
      <w:r w:rsidR="0075729A" w:rsidRPr="0075729A">
        <w:rPr>
          <w:rFonts w:asciiTheme="majorHAnsi" w:hAnsiTheme="majorHAnsi"/>
        </w:rPr>
        <w:t xml:space="preserve"> a non-r</w:t>
      </w:r>
      <w:r w:rsidR="0075729A">
        <w:rPr>
          <w:rFonts w:asciiTheme="majorHAnsi" w:hAnsiTheme="majorHAnsi"/>
        </w:rPr>
        <w:t>egulated risk analysis</w:t>
      </w:r>
      <w:r w:rsidRPr="00263CA8">
        <w:rPr>
          <w:rFonts w:asciiTheme="majorHAnsi" w:hAnsiTheme="majorHAnsi"/>
        </w:rPr>
        <w:t>.</w:t>
      </w:r>
    </w:p>
    <w:p w14:paraId="38527F8F" w14:textId="0E1E5389" w:rsidR="00E41893" w:rsidRDefault="00A13DE9" w:rsidP="00E41893">
      <w:pPr>
        <w:rPr>
          <w:rFonts w:asciiTheme="majorHAnsi" w:hAnsiTheme="majorHAnsi"/>
        </w:rPr>
      </w:pPr>
      <w:r>
        <w:rPr>
          <w:rFonts w:asciiTheme="majorHAnsi" w:hAnsiTheme="majorHAnsi"/>
        </w:rPr>
        <w:t>If</w:t>
      </w:r>
      <w:r w:rsidR="00E41893" w:rsidRPr="00616892">
        <w:rPr>
          <w:rFonts w:asciiTheme="majorHAnsi" w:hAnsiTheme="majorHAnsi"/>
        </w:rPr>
        <w:t xml:space="preserve"> the Director of Biosecurity </w:t>
      </w:r>
      <w:r>
        <w:rPr>
          <w:rFonts w:asciiTheme="majorHAnsi" w:hAnsiTheme="majorHAnsi"/>
        </w:rPr>
        <w:t xml:space="preserve">terminates a BIRA, they </w:t>
      </w:r>
      <w:r w:rsidR="00E41893" w:rsidRPr="00616892">
        <w:rPr>
          <w:rFonts w:asciiTheme="majorHAnsi" w:hAnsiTheme="majorHAnsi"/>
        </w:rPr>
        <w:t xml:space="preserve">must publish a notice on the department’s website stating that the BIRA has been terminated and the reasons for the termination. </w:t>
      </w:r>
    </w:p>
    <w:p w14:paraId="2C96DF8E" w14:textId="3C7765D8" w:rsidR="004D73D9" w:rsidRPr="003216D3" w:rsidRDefault="004D73D9" w:rsidP="00211A48">
      <w:pPr>
        <w:pStyle w:val="Heading3"/>
      </w:pPr>
      <w:bookmarkStart w:id="168" w:name="_Toc430767815"/>
      <w:bookmarkStart w:id="169" w:name="_Toc452647318"/>
      <w:r w:rsidRPr="003216D3">
        <w:lastRenderedPageBreak/>
        <w:t xml:space="preserve">Provisional </w:t>
      </w:r>
      <w:r w:rsidR="007A0A70" w:rsidRPr="007A0A70">
        <w:t>sanitary and phytosanitary</w:t>
      </w:r>
      <w:r w:rsidR="00DC19C8">
        <w:t xml:space="preserve"> </w:t>
      </w:r>
      <w:r w:rsidRPr="003216D3">
        <w:t>measures</w:t>
      </w:r>
      <w:bookmarkEnd w:id="168"/>
      <w:bookmarkEnd w:id="169"/>
    </w:p>
    <w:p w14:paraId="330B23C0" w14:textId="3EEA0C55" w:rsidR="004D73D9" w:rsidRPr="00616892" w:rsidRDefault="004D73D9" w:rsidP="000B0E4F">
      <w:pPr>
        <w:rPr>
          <w:rFonts w:asciiTheme="majorHAnsi" w:hAnsiTheme="majorHAnsi"/>
        </w:rPr>
      </w:pPr>
      <w:r w:rsidRPr="00616892">
        <w:rPr>
          <w:rFonts w:asciiTheme="majorHAnsi" w:hAnsiTheme="majorHAnsi"/>
        </w:rPr>
        <w:t xml:space="preserve">Under the SPS </w:t>
      </w:r>
      <w:r w:rsidR="00A13DE9">
        <w:rPr>
          <w:rFonts w:asciiTheme="majorHAnsi" w:hAnsiTheme="majorHAnsi"/>
        </w:rPr>
        <w:t>a</w:t>
      </w:r>
      <w:r w:rsidRPr="00616892">
        <w:rPr>
          <w:rFonts w:asciiTheme="majorHAnsi" w:hAnsiTheme="majorHAnsi"/>
        </w:rPr>
        <w:t xml:space="preserve">greement, in cases where relevant scientific evidence is insufficient, WTO members may adopt provisional SPS measures on the basis of available relevant information. However, </w:t>
      </w:r>
      <w:r w:rsidR="00A13DE9">
        <w:rPr>
          <w:rFonts w:asciiTheme="majorHAnsi" w:hAnsiTheme="majorHAnsi"/>
        </w:rPr>
        <w:t>they</w:t>
      </w:r>
      <w:r w:rsidRPr="00616892">
        <w:rPr>
          <w:rFonts w:asciiTheme="majorHAnsi" w:hAnsiTheme="majorHAnsi"/>
        </w:rPr>
        <w:t xml:space="preserve"> are required to seek to obtain the additional information necessary for a more objective risk </w:t>
      </w:r>
      <w:r w:rsidR="0075729A" w:rsidRPr="00616892">
        <w:rPr>
          <w:rFonts w:asciiTheme="majorHAnsi" w:hAnsiTheme="majorHAnsi"/>
        </w:rPr>
        <w:t>a</w:t>
      </w:r>
      <w:r w:rsidR="0075729A">
        <w:rPr>
          <w:rFonts w:asciiTheme="majorHAnsi" w:hAnsiTheme="majorHAnsi"/>
        </w:rPr>
        <w:t>nalysis</w:t>
      </w:r>
      <w:r w:rsidR="0075729A" w:rsidRPr="00616892">
        <w:rPr>
          <w:rFonts w:asciiTheme="majorHAnsi" w:hAnsiTheme="majorHAnsi"/>
        </w:rPr>
        <w:t xml:space="preserve"> </w:t>
      </w:r>
      <w:r w:rsidRPr="00616892">
        <w:rPr>
          <w:rFonts w:asciiTheme="majorHAnsi" w:hAnsiTheme="majorHAnsi"/>
        </w:rPr>
        <w:t xml:space="preserve">within a reasonable period of time. </w:t>
      </w:r>
    </w:p>
    <w:p w14:paraId="486D96EE" w14:textId="6E756C3C" w:rsidR="00334E76" w:rsidRPr="00616892" w:rsidRDefault="004D73D9" w:rsidP="000B0E4F">
      <w:pPr>
        <w:rPr>
          <w:rFonts w:asciiTheme="majorHAnsi" w:hAnsiTheme="majorHAnsi"/>
        </w:rPr>
      </w:pPr>
      <w:r w:rsidRPr="00616892">
        <w:rPr>
          <w:rFonts w:asciiTheme="majorHAnsi" w:hAnsiTheme="majorHAnsi"/>
        </w:rPr>
        <w:t xml:space="preserve">Where provisional </w:t>
      </w:r>
      <w:r w:rsidR="00DC19C8">
        <w:rPr>
          <w:rFonts w:asciiTheme="majorHAnsi" w:hAnsiTheme="majorHAnsi"/>
        </w:rPr>
        <w:t xml:space="preserve">SPS </w:t>
      </w:r>
      <w:r w:rsidRPr="00616892">
        <w:rPr>
          <w:rFonts w:asciiTheme="majorHAnsi" w:hAnsiTheme="majorHAnsi"/>
        </w:rPr>
        <w:t>measures have been applied, the BIRA report will detail the information on which they are based and undertake to review the measure within a reasonable period of time.</w:t>
      </w:r>
      <w:bookmarkStart w:id="170" w:name="_Toc430767816"/>
    </w:p>
    <w:p w14:paraId="0E0247E8" w14:textId="1E63AB94" w:rsidR="004D73D9" w:rsidRPr="00C47E1F" w:rsidRDefault="004D73D9" w:rsidP="007737C1">
      <w:pPr>
        <w:pStyle w:val="Heading2"/>
      </w:pPr>
      <w:bookmarkStart w:id="171" w:name="_Toc452647319"/>
      <w:r w:rsidRPr="00C47E1F">
        <w:lastRenderedPageBreak/>
        <w:t>Consultation and communication</w:t>
      </w:r>
      <w:bookmarkEnd w:id="170"/>
      <w:bookmarkEnd w:id="171"/>
    </w:p>
    <w:p w14:paraId="088D545E" w14:textId="77777777" w:rsidR="004D73D9" w:rsidRPr="003216D3" w:rsidRDefault="004D73D9" w:rsidP="00211A48">
      <w:pPr>
        <w:pStyle w:val="Heading3"/>
      </w:pPr>
      <w:bookmarkStart w:id="172" w:name="_Toc430767817"/>
      <w:bookmarkStart w:id="173" w:name="_Toc452647320"/>
      <w:r w:rsidRPr="003216D3">
        <w:t>Communication with stakeholders</w:t>
      </w:r>
      <w:bookmarkEnd w:id="163"/>
      <w:bookmarkEnd w:id="172"/>
      <w:bookmarkEnd w:id="173"/>
    </w:p>
    <w:p w14:paraId="30EA5FC2" w14:textId="06E7BA76" w:rsidR="004D73D9" w:rsidRPr="00616892" w:rsidRDefault="004D73D9" w:rsidP="000B0E4F">
      <w:pPr>
        <w:rPr>
          <w:rFonts w:asciiTheme="majorHAnsi" w:hAnsiTheme="majorHAnsi"/>
        </w:rPr>
      </w:pPr>
      <w:r w:rsidRPr="00616892">
        <w:rPr>
          <w:rFonts w:asciiTheme="majorHAnsi" w:hAnsiTheme="majorHAnsi"/>
        </w:rPr>
        <w:t xml:space="preserve">Engagement with stakeholders is an important part of the BIRA process. Stakeholders </w:t>
      </w:r>
      <w:r w:rsidR="00825EF7">
        <w:rPr>
          <w:rFonts w:asciiTheme="majorHAnsi" w:hAnsiTheme="majorHAnsi"/>
        </w:rPr>
        <w:t xml:space="preserve">include anyone with an interest in the specific BIRA underway and </w:t>
      </w:r>
      <w:r w:rsidR="007D55CF">
        <w:rPr>
          <w:rFonts w:asciiTheme="majorHAnsi" w:hAnsiTheme="majorHAnsi"/>
        </w:rPr>
        <w:t xml:space="preserve">may </w:t>
      </w:r>
      <w:r w:rsidRPr="00616892">
        <w:rPr>
          <w:rFonts w:asciiTheme="majorHAnsi" w:hAnsiTheme="majorHAnsi"/>
        </w:rPr>
        <w:t>include, but are not limited to, foreign governments, industry groups, state and territory governments, other federal agencies, research organisations, environmental organisations, farmers, importers</w:t>
      </w:r>
      <w:r w:rsidR="00B73A2A" w:rsidRPr="00616892">
        <w:rPr>
          <w:rFonts w:asciiTheme="majorHAnsi" w:hAnsiTheme="majorHAnsi"/>
        </w:rPr>
        <w:t xml:space="preserve">, </w:t>
      </w:r>
      <w:r w:rsidRPr="00616892">
        <w:rPr>
          <w:rFonts w:asciiTheme="majorHAnsi" w:hAnsiTheme="majorHAnsi"/>
        </w:rPr>
        <w:t>exporters</w:t>
      </w:r>
      <w:r w:rsidR="00B73A2A" w:rsidRPr="00616892">
        <w:rPr>
          <w:rFonts w:asciiTheme="majorHAnsi" w:hAnsiTheme="majorHAnsi"/>
        </w:rPr>
        <w:t xml:space="preserve"> and the general public</w:t>
      </w:r>
      <w:r w:rsidRPr="00616892">
        <w:rPr>
          <w:rFonts w:asciiTheme="majorHAnsi" w:hAnsiTheme="majorHAnsi"/>
        </w:rPr>
        <w:t>.</w:t>
      </w:r>
    </w:p>
    <w:p w14:paraId="2A686580" w14:textId="10CB2CBC" w:rsidR="004D73D9" w:rsidRPr="00616892" w:rsidRDefault="004D73D9" w:rsidP="000B0E4F">
      <w:pPr>
        <w:rPr>
          <w:rFonts w:asciiTheme="majorHAnsi" w:hAnsiTheme="majorHAnsi"/>
        </w:rPr>
      </w:pPr>
      <w:r w:rsidRPr="00616892">
        <w:rPr>
          <w:rFonts w:asciiTheme="majorHAnsi" w:hAnsiTheme="majorHAnsi"/>
        </w:rPr>
        <w:t xml:space="preserve">Consultation throughout the BIRA process is both formal and informal and aims to seek stakeholder views on technical issues relevant to the risk </w:t>
      </w:r>
      <w:r w:rsidR="0075729A">
        <w:rPr>
          <w:rFonts w:asciiTheme="majorHAnsi" w:hAnsiTheme="majorHAnsi"/>
        </w:rPr>
        <w:t>analysis</w:t>
      </w:r>
      <w:r w:rsidRPr="00616892">
        <w:rPr>
          <w:rFonts w:asciiTheme="majorHAnsi" w:hAnsiTheme="majorHAnsi"/>
        </w:rPr>
        <w:t>. Engagement with stakeholders occurs through conversations and meetings</w:t>
      </w:r>
      <w:r w:rsidR="007D55CF">
        <w:rPr>
          <w:rFonts w:asciiTheme="majorHAnsi" w:hAnsiTheme="majorHAnsi"/>
        </w:rPr>
        <w:t>,</w:t>
      </w:r>
      <w:r w:rsidRPr="00616892">
        <w:rPr>
          <w:rFonts w:asciiTheme="majorHAnsi" w:hAnsiTheme="majorHAnsi"/>
        </w:rPr>
        <w:t xml:space="preserve"> as well as through website updates</w:t>
      </w:r>
      <w:r w:rsidR="007D55CF">
        <w:rPr>
          <w:rFonts w:asciiTheme="majorHAnsi" w:hAnsiTheme="majorHAnsi"/>
        </w:rPr>
        <w:t xml:space="preserve">, </w:t>
      </w:r>
      <w:r w:rsidRPr="00616892">
        <w:rPr>
          <w:rFonts w:asciiTheme="majorHAnsi" w:hAnsiTheme="majorHAnsi"/>
        </w:rPr>
        <w:t>publication</w:t>
      </w:r>
      <w:r w:rsidR="009E1435" w:rsidRPr="00616892">
        <w:rPr>
          <w:rFonts w:asciiTheme="majorHAnsi" w:hAnsiTheme="majorHAnsi"/>
        </w:rPr>
        <w:t xml:space="preserve"> of biosecurity advice notices</w:t>
      </w:r>
      <w:r w:rsidR="007D55CF">
        <w:rPr>
          <w:rFonts w:asciiTheme="majorHAnsi" w:hAnsiTheme="majorHAnsi"/>
        </w:rPr>
        <w:t xml:space="preserve"> and information sent directly to registered stakeholders</w:t>
      </w:r>
      <w:r w:rsidR="00664302">
        <w:rPr>
          <w:rFonts w:asciiTheme="majorHAnsi" w:hAnsiTheme="majorHAnsi"/>
        </w:rPr>
        <w:t>.</w:t>
      </w:r>
    </w:p>
    <w:p w14:paraId="020AB90B" w14:textId="663225F2" w:rsidR="004D73D9" w:rsidRPr="00616892" w:rsidRDefault="004D73D9" w:rsidP="000B0E4F">
      <w:pPr>
        <w:rPr>
          <w:rFonts w:asciiTheme="majorHAnsi" w:hAnsiTheme="majorHAnsi"/>
        </w:rPr>
      </w:pPr>
      <w:r w:rsidRPr="00616892">
        <w:rPr>
          <w:rFonts w:asciiTheme="majorHAnsi" w:hAnsiTheme="majorHAnsi"/>
        </w:rPr>
        <w:t>The department maintains a database of registered stakeholders to facilitate engagement and communication with people and organisations with an interest in the department’s work. The database enables stakeholders to indicate areas of interest and the way they prefer to receive information.</w:t>
      </w:r>
    </w:p>
    <w:p w14:paraId="706990CB" w14:textId="1213105E" w:rsidR="004D73D9" w:rsidRDefault="004D73D9" w:rsidP="000B0E4F">
      <w:pPr>
        <w:rPr>
          <w:rFonts w:asciiTheme="majorHAnsi" w:hAnsiTheme="majorHAnsi"/>
        </w:rPr>
      </w:pPr>
      <w:r w:rsidRPr="00616892">
        <w:rPr>
          <w:rFonts w:asciiTheme="majorHAnsi" w:hAnsiTheme="majorHAnsi"/>
        </w:rPr>
        <w:t>The department also welcomes stakeholder comments or submissions at any time on matters relevant to the BIRA or other import conditions.</w:t>
      </w:r>
    </w:p>
    <w:p w14:paraId="1CE4A5A0" w14:textId="77777777" w:rsidR="009A6347" w:rsidRPr="003216D3" w:rsidRDefault="009A6347" w:rsidP="00211A48">
      <w:pPr>
        <w:pStyle w:val="Heading3"/>
      </w:pPr>
      <w:bookmarkStart w:id="174" w:name="_Toc452647321"/>
      <w:r w:rsidRPr="003216D3">
        <w:t>Opportunities for stakeholders to contribute to the BIRA process</w:t>
      </w:r>
      <w:bookmarkEnd w:id="174"/>
    </w:p>
    <w:p w14:paraId="0AB2A87F" w14:textId="0F305D3C" w:rsidR="009A6347" w:rsidRPr="00616892" w:rsidRDefault="0056198A" w:rsidP="009A6347">
      <w:pPr>
        <w:rPr>
          <w:rFonts w:asciiTheme="majorHAnsi" w:hAnsiTheme="majorHAnsi"/>
        </w:rPr>
      </w:pPr>
      <w:r>
        <w:rPr>
          <w:rFonts w:asciiTheme="majorHAnsi" w:hAnsiTheme="majorHAnsi"/>
        </w:rPr>
        <w:t>The Biosecurity</w:t>
      </w:r>
      <w:r w:rsidR="00E24706">
        <w:rPr>
          <w:rFonts w:asciiTheme="majorHAnsi" w:hAnsiTheme="majorHAnsi"/>
        </w:rPr>
        <w:t xml:space="preserve"> R</w:t>
      </w:r>
      <w:r w:rsidR="009A6347" w:rsidRPr="00616892">
        <w:rPr>
          <w:rFonts w:asciiTheme="majorHAnsi" w:hAnsiTheme="majorHAnsi"/>
        </w:rPr>
        <w:t xml:space="preserve">egulation </w:t>
      </w:r>
      <w:r w:rsidR="007038AA">
        <w:rPr>
          <w:rFonts w:asciiTheme="majorHAnsi" w:hAnsiTheme="majorHAnsi"/>
        </w:rPr>
        <w:t>specifies the</w:t>
      </w:r>
      <w:r w:rsidR="007038AA" w:rsidRPr="00616892">
        <w:rPr>
          <w:rFonts w:asciiTheme="majorHAnsi" w:hAnsiTheme="majorHAnsi"/>
        </w:rPr>
        <w:t xml:space="preserve"> </w:t>
      </w:r>
      <w:r w:rsidR="009A6347" w:rsidRPr="00616892">
        <w:rPr>
          <w:rFonts w:asciiTheme="majorHAnsi" w:hAnsiTheme="majorHAnsi"/>
        </w:rPr>
        <w:t xml:space="preserve">stages of the </w:t>
      </w:r>
      <w:r w:rsidR="007038AA">
        <w:rPr>
          <w:rFonts w:asciiTheme="majorHAnsi" w:hAnsiTheme="majorHAnsi"/>
        </w:rPr>
        <w:t xml:space="preserve">BIRA </w:t>
      </w:r>
      <w:r w:rsidR="009A6347" w:rsidRPr="00616892">
        <w:rPr>
          <w:rFonts w:asciiTheme="majorHAnsi" w:hAnsiTheme="majorHAnsi"/>
        </w:rPr>
        <w:t xml:space="preserve">process </w:t>
      </w:r>
      <w:r w:rsidR="007038AA">
        <w:rPr>
          <w:rFonts w:asciiTheme="majorHAnsi" w:hAnsiTheme="majorHAnsi"/>
        </w:rPr>
        <w:t>at which</w:t>
      </w:r>
      <w:r w:rsidR="007038AA" w:rsidRPr="00616892">
        <w:rPr>
          <w:rFonts w:asciiTheme="majorHAnsi" w:hAnsiTheme="majorHAnsi"/>
        </w:rPr>
        <w:t xml:space="preserve"> </w:t>
      </w:r>
      <w:r w:rsidR="009A6347" w:rsidRPr="00616892">
        <w:rPr>
          <w:rFonts w:asciiTheme="majorHAnsi" w:hAnsiTheme="majorHAnsi"/>
        </w:rPr>
        <w:t>stakeholder consultation is required. This is in the form of a formal submission process with set time</w:t>
      </w:r>
      <w:r w:rsidR="00711528">
        <w:rPr>
          <w:rFonts w:asciiTheme="majorHAnsi" w:hAnsiTheme="majorHAnsi"/>
        </w:rPr>
        <w:t xml:space="preserve"> </w:t>
      </w:r>
      <w:r w:rsidR="009A6347" w:rsidRPr="00616892">
        <w:rPr>
          <w:rFonts w:asciiTheme="majorHAnsi" w:hAnsiTheme="majorHAnsi"/>
        </w:rPr>
        <w:t>frames.</w:t>
      </w:r>
    </w:p>
    <w:p w14:paraId="02F6BA8D" w14:textId="5A06C380" w:rsidR="009A6347" w:rsidRPr="00616892" w:rsidRDefault="009A6347" w:rsidP="009A6347">
      <w:pPr>
        <w:rPr>
          <w:rFonts w:asciiTheme="majorHAnsi" w:hAnsiTheme="majorHAnsi"/>
        </w:rPr>
      </w:pPr>
      <w:r w:rsidRPr="00616892">
        <w:rPr>
          <w:rFonts w:asciiTheme="majorHAnsi" w:hAnsiTheme="majorHAnsi"/>
        </w:rPr>
        <w:t>In addition to this regulated process</w:t>
      </w:r>
      <w:r w:rsidR="007038AA">
        <w:rPr>
          <w:rFonts w:asciiTheme="majorHAnsi" w:hAnsiTheme="majorHAnsi"/>
        </w:rPr>
        <w:t>,</w:t>
      </w:r>
      <w:r w:rsidRPr="00616892">
        <w:rPr>
          <w:rFonts w:asciiTheme="majorHAnsi" w:hAnsiTheme="majorHAnsi"/>
        </w:rPr>
        <w:t xml:space="preserve"> the department welcomes comments, concerns, queries and scientific information </w:t>
      </w:r>
      <w:r w:rsidR="000B125B">
        <w:rPr>
          <w:rFonts w:asciiTheme="majorHAnsi" w:hAnsiTheme="majorHAnsi"/>
        </w:rPr>
        <w:t xml:space="preserve">from stakeholders </w:t>
      </w:r>
      <w:r w:rsidRPr="00616892">
        <w:rPr>
          <w:rFonts w:asciiTheme="majorHAnsi" w:hAnsiTheme="majorHAnsi"/>
        </w:rPr>
        <w:t xml:space="preserve">at any time. Additional comments can be provided either through the </w:t>
      </w:r>
      <w:hyperlink w:anchor="_BIRA_liaison_officer" w:history="1">
        <w:r w:rsidR="006772EF">
          <w:rPr>
            <w:rStyle w:val="Hyperlink"/>
            <w:rFonts w:asciiTheme="majorHAnsi" w:hAnsiTheme="majorHAnsi"/>
          </w:rPr>
          <w:t>BIRA Liaison Officer</w:t>
        </w:r>
      </w:hyperlink>
      <w:r w:rsidRPr="007038AA">
        <w:rPr>
          <w:rFonts w:asciiTheme="majorHAnsi" w:hAnsiTheme="majorHAnsi"/>
        </w:rPr>
        <w:t xml:space="preserve"> </w:t>
      </w:r>
      <w:r w:rsidRPr="00616892">
        <w:rPr>
          <w:rFonts w:asciiTheme="majorHAnsi" w:hAnsiTheme="majorHAnsi"/>
        </w:rPr>
        <w:t xml:space="preserve">or to the relevant area (Plant Biosecurity or Animal Biosecurity) </w:t>
      </w:r>
      <w:r w:rsidR="007038AA">
        <w:rPr>
          <w:rFonts w:asciiTheme="majorHAnsi" w:hAnsiTheme="majorHAnsi"/>
        </w:rPr>
        <w:t>that is conducting</w:t>
      </w:r>
      <w:r w:rsidR="007038AA" w:rsidRPr="00616892">
        <w:rPr>
          <w:rFonts w:asciiTheme="majorHAnsi" w:hAnsiTheme="majorHAnsi"/>
        </w:rPr>
        <w:t xml:space="preserve"> </w:t>
      </w:r>
      <w:r w:rsidRPr="00616892">
        <w:rPr>
          <w:rFonts w:asciiTheme="majorHAnsi" w:hAnsiTheme="majorHAnsi"/>
        </w:rPr>
        <w:t>the BIRA</w:t>
      </w:r>
      <w:r w:rsidR="007038AA">
        <w:rPr>
          <w:rFonts w:asciiTheme="majorHAnsi" w:hAnsiTheme="majorHAnsi"/>
        </w:rPr>
        <w:t xml:space="preserve"> (see the appendix to these guidelines for contact details).</w:t>
      </w:r>
    </w:p>
    <w:p w14:paraId="4E5F5F5B" w14:textId="7F0520D9" w:rsidR="009A6347" w:rsidRPr="00616892" w:rsidRDefault="00711528" w:rsidP="009A6347">
      <w:pPr>
        <w:rPr>
          <w:rFonts w:asciiTheme="majorHAnsi" w:hAnsiTheme="majorHAnsi"/>
        </w:rPr>
      </w:pPr>
      <w:r>
        <w:rPr>
          <w:rFonts w:asciiTheme="majorHAnsi" w:hAnsiTheme="majorHAnsi"/>
        </w:rPr>
        <w:fldChar w:fldCharType="begin"/>
      </w:r>
      <w:r>
        <w:rPr>
          <w:rFonts w:asciiTheme="majorHAnsi" w:hAnsiTheme="majorHAnsi"/>
        </w:rPr>
        <w:instrText xml:space="preserve"> REF _Ref452646963 \h </w:instrText>
      </w:r>
      <w:r>
        <w:rPr>
          <w:rFonts w:asciiTheme="majorHAnsi" w:hAnsiTheme="majorHAnsi"/>
        </w:rPr>
      </w:r>
      <w:r>
        <w:rPr>
          <w:rFonts w:asciiTheme="majorHAnsi" w:hAnsiTheme="majorHAnsi"/>
        </w:rPr>
        <w:fldChar w:fldCharType="separate"/>
      </w:r>
      <w:r w:rsidR="00AD068A">
        <w:t xml:space="preserve">Figure </w:t>
      </w:r>
      <w:r w:rsidR="00AD068A">
        <w:rPr>
          <w:noProof/>
        </w:rPr>
        <w:t>1</w:t>
      </w:r>
      <w:r>
        <w:rPr>
          <w:rFonts w:asciiTheme="majorHAnsi" w:hAnsiTheme="majorHAnsi"/>
        </w:rPr>
        <w:fldChar w:fldCharType="end"/>
      </w:r>
      <w:r>
        <w:rPr>
          <w:rFonts w:asciiTheme="majorHAnsi" w:hAnsiTheme="majorHAnsi"/>
        </w:rPr>
        <w:t xml:space="preserve"> </w:t>
      </w:r>
      <w:r w:rsidR="009A6347" w:rsidRPr="00616892">
        <w:rPr>
          <w:rFonts w:asciiTheme="majorHAnsi" w:hAnsiTheme="majorHAnsi"/>
        </w:rPr>
        <w:t xml:space="preserve">outlines </w:t>
      </w:r>
      <w:r w:rsidR="00AE330B">
        <w:rPr>
          <w:rFonts w:asciiTheme="majorHAnsi" w:hAnsiTheme="majorHAnsi"/>
        </w:rPr>
        <w:t xml:space="preserve">BIRA process and </w:t>
      </w:r>
      <w:r w:rsidR="009A6347" w:rsidRPr="00616892">
        <w:rPr>
          <w:rFonts w:asciiTheme="majorHAnsi" w:hAnsiTheme="majorHAnsi"/>
        </w:rPr>
        <w:t xml:space="preserve">the opportunities for consultation </w:t>
      </w:r>
      <w:r w:rsidR="00AE330B">
        <w:rPr>
          <w:rFonts w:asciiTheme="majorHAnsi" w:hAnsiTheme="majorHAnsi"/>
        </w:rPr>
        <w:t>at various stages of the process</w:t>
      </w:r>
      <w:r w:rsidR="009A6347" w:rsidRPr="00616892">
        <w:rPr>
          <w:rFonts w:asciiTheme="majorHAnsi" w:hAnsiTheme="majorHAnsi"/>
        </w:rPr>
        <w:t>.</w:t>
      </w:r>
    </w:p>
    <w:p w14:paraId="4D29DFCA" w14:textId="360862AE" w:rsidR="00050A28" w:rsidRPr="00B75EE2" w:rsidRDefault="00B75EE2" w:rsidP="00B75EE2">
      <w:pPr>
        <w:pStyle w:val="Caption"/>
      </w:pPr>
      <w:bookmarkStart w:id="175" w:name="_Ref452646963"/>
      <w:bookmarkStart w:id="176" w:name="_Toc452646031"/>
      <w:bookmarkStart w:id="177" w:name="_Toc448752510"/>
      <w:bookmarkStart w:id="178" w:name="_Toc430767818"/>
      <w:r>
        <w:lastRenderedPageBreak/>
        <w:t xml:space="preserve">Figure </w:t>
      </w:r>
      <w:fldSimple w:instr=" SEQ Figure \* ARABIC ">
        <w:r w:rsidR="00AD068A">
          <w:rPr>
            <w:noProof/>
          </w:rPr>
          <w:t>1</w:t>
        </w:r>
      </w:fldSimple>
      <w:bookmarkEnd w:id="175"/>
      <w:r>
        <w:t xml:space="preserve"> The BIRA process</w:t>
      </w:r>
      <w:bookmarkEnd w:id="176"/>
    </w:p>
    <w:p w14:paraId="3F242821" w14:textId="41523494" w:rsidR="00C94B55" w:rsidRDefault="003055A2" w:rsidP="00050A28">
      <w:pPr>
        <w:pStyle w:val="FigureTableNoteSource"/>
      </w:pPr>
      <w:r>
        <w:object w:dxaOrig="11087" w:dyaOrig="15961" w14:anchorId="42006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2 The BIRA process&#10;1. New science is considered throughout the entire BIRA process.&#10;2. The BIRA Liaison Officer is engaged throughout the entire BIRA process.&#10;3. The Department of Agriculture and Water Resources conducts preliminary research. Stakeholders receive preliminary notification of the BIRA.&#10;4. The departments makes an announcement about the BIRA.&#10;Stakeholders receive notification of the BIRA.&#10;5. The department publishes an Issues Paper.&#10;6. The department publishes the draft BIRA report.&#10;Stakeholders have the opportunity to provide a submission on the draft BIRA report.&#10;The Scientific Advisory Group examines and provides comment on the draft BIRA report.&#10;7. The department considers submissions and Scientific Advisory Group comments on the draft BIRA report.&#10;8. The department drafts the provisional BIRA report.&#10;The Scientific Advisory Group examines and provides comment on the provisional BIRA report.&#10;9. The department publishes the provisional BIRA report.&#10;Stakeholders have the opportunity to request a review of process by the Inspector-General of Biosecurity.&#10;10. If no request is made then the final BIRA report is published.&#10;11. If a request is made the Inspector-General of Biosecurity decides whether to conduct a review of process. &#10;The Inspector-General of Biosecurity notifies the department and stakeholders of the decision.&#10;12. If the Inspector-General of Biosecurity decides not to conduct the review then the final BIRA report is published.&#10;13. If the Inspector-General of Biosecurity proceeds with the review; the Inspector-General of Biosecurity provides a final report to the department of findings.&#10;14. The department considers the Inspector-General of Biosecurity’s final report.&#10;15. The final BIRA report is published. &#10;" style="width:454.45pt;height:655.5pt" o:ole="">
            <v:imagedata r:id="rId33" o:title=""/>
          </v:shape>
          <o:OLEObject Type="Embed" ProgID="Visio.Drawing.15" ShapeID="_x0000_i1025" DrawAspect="Content" ObjectID="_1527575189" r:id="rId34"/>
        </w:object>
      </w:r>
      <w:r w:rsidR="00C94B55">
        <w:t>IGB = Inspector-General of Biosecurity.</w:t>
      </w:r>
    </w:p>
    <w:p w14:paraId="79220E22" w14:textId="69245519" w:rsidR="000B0E4F" w:rsidRDefault="000B0E4F" w:rsidP="00050A28">
      <w:pPr>
        <w:pStyle w:val="FigureTableNoteSource"/>
      </w:pPr>
      <w:r>
        <w:t>Source: Department of Agriculture and Water Resources</w:t>
      </w:r>
      <w:bookmarkEnd w:id="177"/>
    </w:p>
    <w:p w14:paraId="2A8536DF" w14:textId="5DA962EE" w:rsidR="009A6347" w:rsidRDefault="00541121" w:rsidP="00211A48">
      <w:pPr>
        <w:pStyle w:val="Heading3"/>
      </w:pPr>
      <w:bookmarkStart w:id="179" w:name="_BIRA_liaison_officer"/>
      <w:bookmarkStart w:id="180" w:name="_Toc425164311"/>
      <w:bookmarkStart w:id="181" w:name="_Toc430767820"/>
      <w:bookmarkStart w:id="182" w:name="_Toc452647322"/>
      <w:bookmarkStart w:id="183" w:name="_Toc430767819"/>
      <w:bookmarkEnd w:id="178"/>
      <w:bookmarkEnd w:id="179"/>
      <w:r>
        <w:lastRenderedPageBreak/>
        <w:t>BIRA L</w:t>
      </w:r>
      <w:r w:rsidR="009A6347" w:rsidRPr="003216D3">
        <w:t xml:space="preserve">iaison </w:t>
      </w:r>
      <w:r w:rsidR="00825EF7">
        <w:t>O</w:t>
      </w:r>
      <w:r w:rsidR="009A6347" w:rsidRPr="003216D3">
        <w:t>fficer</w:t>
      </w:r>
      <w:bookmarkEnd w:id="180"/>
      <w:bookmarkEnd w:id="181"/>
      <w:bookmarkEnd w:id="182"/>
    </w:p>
    <w:p w14:paraId="5E1F5EEC" w14:textId="1B04868D" w:rsidR="006103EE" w:rsidRPr="00263CA8" w:rsidRDefault="006103EE" w:rsidP="006103EE">
      <w:pPr>
        <w:rPr>
          <w:rFonts w:asciiTheme="majorHAnsi" w:hAnsiTheme="majorHAnsi"/>
        </w:rPr>
      </w:pPr>
      <w:r w:rsidRPr="00263CA8">
        <w:rPr>
          <w:rFonts w:asciiTheme="majorHAnsi" w:hAnsiTheme="majorHAnsi"/>
        </w:rPr>
        <w:t xml:space="preserve">One BIRA Liaison Officer will be </w:t>
      </w:r>
      <w:r>
        <w:rPr>
          <w:rFonts w:asciiTheme="majorHAnsi" w:hAnsiTheme="majorHAnsi"/>
        </w:rPr>
        <w:t>assigned to</w:t>
      </w:r>
      <w:r w:rsidRPr="00263CA8">
        <w:rPr>
          <w:rFonts w:asciiTheme="majorHAnsi" w:hAnsiTheme="majorHAnsi"/>
        </w:rPr>
        <w:t xml:space="preserve"> each BIRA. The role will be undertaken by a departmental officer</w:t>
      </w:r>
      <w:r>
        <w:rPr>
          <w:rFonts w:asciiTheme="majorHAnsi" w:hAnsiTheme="majorHAnsi"/>
        </w:rPr>
        <w:t xml:space="preserve">. </w:t>
      </w:r>
    </w:p>
    <w:p w14:paraId="022DAAFF" w14:textId="6788144D" w:rsidR="000C2ED6" w:rsidRPr="006E7EA5" w:rsidRDefault="000C2ED6" w:rsidP="007737C1">
      <w:pPr>
        <w:pStyle w:val="Heading4"/>
      </w:pPr>
      <w:bookmarkStart w:id="184" w:name="_Toc452647323"/>
      <w:r w:rsidRPr="00263CA8">
        <w:rPr>
          <w:szCs w:val="28"/>
        </w:rPr>
        <w:t>Purpose</w:t>
      </w:r>
      <w:bookmarkEnd w:id="184"/>
    </w:p>
    <w:p w14:paraId="2D05B302" w14:textId="7A1B9153" w:rsidR="000C2ED6" w:rsidRPr="00263CA8" w:rsidRDefault="000C2ED6" w:rsidP="000C2ED6">
      <w:pPr>
        <w:rPr>
          <w:rFonts w:asciiTheme="majorHAnsi" w:hAnsiTheme="majorHAnsi"/>
        </w:rPr>
      </w:pPr>
      <w:r w:rsidRPr="00263CA8">
        <w:rPr>
          <w:rFonts w:asciiTheme="majorHAnsi" w:hAnsiTheme="majorHAnsi"/>
        </w:rPr>
        <w:t xml:space="preserve">The BIRA Liaison Officer will be the first point of contact for BIRA </w:t>
      </w:r>
      <w:r w:rsidR="006103EE">
        <w:rPr>
          <w:rFonts w:asciiTheme="majorHAnsi" w:hAnsiTheme="majorHAnsi"/>
        </w:rPr>
        <w:t>i</w:t>
      </w:r>
      <w:r w:rsidRPr="00263CA8">
        <w:rPr>
          <w:rFonts w:asciiTheme="majorHAnsi" w:hAnsiTheme="majorHAnsi"/>
        </w:rPr>
        <w:t xml:space="preserve">nquiries when a BIRA is underway. The officer will act as a conduit between </w:t>
      </w:r>
      <w:r w:rsidR="00555F41">
        <w:rPr>
          <w:rFonts w:asciiTheme="majorHAnsi" w:hAnsiTheme="majorHAnsi"/>
        </w:rPr>
        <w:t xml:space="preserve">domestic </w:t>
      </w:r>
      <w:r w:rsidRPr="00263CA8">
        <w:rPr>
          <w:rFonts w:asciiTheme="majorHAnsi" w:hAnsiTheme="majorHAnsi"/>
        </w:rPr>
        <w:t>stakeholders, the BIRA project team and other interested parties throughout the BIRA process. The</w:t>
      </w:r>
      <w:r w:rsidR="00825EF7">
        <w:rPr>
          <w:rFonts w:asciiTheme="majorHAnsi" w:hAnsiTheme="majorHAnsi"/>
        </w:rPr>
        <w:t xml:space="preserve"> officer</w:t>
      </w:r>
      <w:r w:rsidR="00DF6DD4">
        <w:rPr>
          <w:rFonts w:asciiTheme="majorHAnsi" w:hAnsiTheme="majorHAnsi"/>
        </w:rPr>
        <w:t xml:space="preserve"> will facilitate </w:t>
      </w:r>
      <w:r w:rsidR="00DF6DD4">
        <w:rPr>
          <w:rFonts w:asciiTheme="majorHAnsi" w:hAnsiTheme="majorHAnsi"/>
        </w:rPr>
        <w:br/>
        <w:t>two-</w:t>
      </w:r>
      <w:r w:rsidRPr="00263CA8">
        <w:rPr>
          <w:rFonts w:asciiTheme="majorHAnsi" w:hAnsiTheme="majorHAnsi"/>
        </w:rPr>
        <w:t xml:space="preserve">way information sharing between stakeholders and the BIRA project team. </w:t>
      </w:r>
    </w:p>
    <w:p w14:paraId="7B4B3D96" w14:textId="6C21BF91" w:rsidR="000C2ED6" w:rsidRPr="00263CA8" w:rsidRDefault="000C2ED6" w:rsidP="000C2ED6">
      <w:pPr>
        <w:rPr>
          <w:rFonts w:asciiTheme="majorHAnsi" w:hAnsiTheme="majorHAnsi"/>
        </w:rPr>
      </w:pPr>
      <w:r w:rsidRPr="00263CA8">
        <w:rPr>
          <w:rFonts w:asciiTheme="majorHAnsi" w:hAnsiTheme="majorHAnsi"/>
        </w:rPr>
        <w:t>The BIRA Liaison Officer will be responsible for sharing information</w:t>
      </w:r>
      <w:r w:rsidR="007103E6">
        <w:rPr>
          <w:rFonts w:asciiTheme="majorHAnsi" w:hAnsiTheme="majorHAnsi"/>
        </w:rPr>
        <w:t>, consulting</w:t>
      </w:r>
      <w:r w:rsidRPr="00263CA8">
        <w:rPr>
          <w:rFonts w:asciiTheme="majorHAnsi" w:hAnsiTheme="majorHAnsi"/>
        </w:rPr>
        <w:t xml:space="preserve"> </w:t>
      </w:r>
      <w:r w:rsidR="007103E6">
        <w:rPr>
          <w:rFonts w:asciiTheme="majorHAnsi" w:hAnsiTheme="majorHAnsi"/>
        </w:rPr>
        <w:t xml:space="preserve">with stakeholders </w:t>
      </w:r>
      <w:r w:rsidRPr="00263CA8">
        <w:rPr>
          <w:rFonts w:asciiTheme="majorHAnsi" w:hAnsiTheme="majorHAnsi"/>
        </w:rPr>
        <w:t xml:space="preserve">and communicating the process and outcomes of the BIRA to stakeholders. </w:t>
      </w:r>
    </w:p>
    <w:p w14:paraId="1493DFD5" w14:textId="2EF2C6FA" w:rsidR="000C2ED6" w:rsidRPr="00263CA8" w:rsidRDefault="000C2ED6" w:rsidP="000C2ED6">
      <w:pPr>
        <w:rPr>
          <w:rFonts w:asciiTheme="majorHAnsi" w:hAnsiTheme="majorHAnsi"/>
        </w:rPr>
      </w:pPr>
      <w:r w:rsidRPr="00263CA8">
        <w:rPr>
          <w:rFonts w:asciiTheme="majorHAnsi" w:hAnsiTheme="majorHAnsi"/>
        </w:rPr>
        <w:t>The BIRA Liaison Officer will be an optional contact for stakeholders</w:t>
      </w:r>
      <w:r w:rsidR="007103E6">
        <w:rPr>
          <w:rFonts w:asciiTheme="majorHAnsi" w:hAnsiTheme="majorHAnsi"/>
        </w:rPr>
        <w:t xml:space="preserve"> as</w:t>
      </w:r>
      <w:r w:rsidRPr="00263CA8">
        <w:rPr>
          <w:rFonts w:asciiTheme="majorHAnsi" w:hAnsiTheme="majorHAnsi"/>
        </w:rPr>
        <w:t xml:space="preserve"> </w:t>
      </w:r>
      <w:r w:rsidR="007103E6">
        <w:rPr>
          <w:rFonts w:asciiTheme="majorHAnsi" w:hAnsiTheme="majorHAnsi"/>
        </w:rPr>
        <w:t>a</w:t>
      </w:r>
      <w:r w:rsidRPr="00263CA8">
        <w:rPr>
          <w:rFonts w:asciiTheme="majorHAnsi" w:hAnsiTheme="majorHAnsi"/>
        </w:rPr>
        <w:t>lready established relationships and contacts can be used instead.</w:t>
      </w:r>
    </w:p>
    <w:p w14:paraId="4E94F031" w14:textId="2A40A0DA" w:rsidR="000C2ED6" w:rsidRPr="00263CA8" w:rsidRDefault="000C2ED6" w:rsidP="007737C1">
      <w:pPr>
        <w:pStyle w:val="Heading4"/>
      </w:pPr>
      <w:bookmarkStart w:id="185" w:name="_Toc452647324"/>
      <w:r w:rsidRPr="00263CA8">
        <w:rPr>
          <w:szCs w:val="28"/>
        </w:rPr>
        <w:t>Tasks</w:t>
      </w:r>
      <w:bookmarkEnd w:id="185"/>
    </w:p>
    <w:p w14:paraId="42CF56DA" w14:textId="32C827A8" w:rsidR="000C2ED6" w:rsidRPr="00263CA8" w:rsidRDefault="000C2ED6" w:rsidP="000C2ED6">
      <w:pPr>
        <w:rPr>
          <w:rFonts w:asciiTheme="majorHAnsi" w:hAnsiTheme="majorHAnsi"/>
        </w:rPr>
      </w:pPr>
      <w:r w:rsidRPr="00263CA8">
        <w:rPr>
          <w:rFonts w:asciiTheme="majorHAnsi" w:hAnsiTheme="majorHAnsi"/>
        </w:rPr>
        <w:t>The BIRA Liaison Officer</w:t>
      </w:r>
      <w:r w:rsidR="006103EE">
        <w:rPr>
          <w:rFonts w:asciiTheme="majorHAnsi" w:hAnsiTheme="majorHAnsi"/>
        </w:rPr>
        <w:t>’s role</w:t>
      </w:r>
      <w:r w:rsidRPr="00263CA8">
        <w:rPr>
          <w:rFonts w:asciiTheme="majorHAnsi" w:hAnsiTheme="majorHAnsi"/>
        </w:rPr>
        <w:t xml:space="preserve"> will be to:</w:t>
      </w:r>
    </w:p>
    <w:p w14:paraId="2743B4E0" w14:textId="59F68821" w:rsidR="000C2ED6" w:rsidRPr="00211A48" w:rsidRDefault="00AE330B" w:rsidP="00211A48">
      <w:pPr>
        <w:pStyle w:val="ListBullet"/>
      </w:pPr>
      <w:r w:rsidRPr="00211A48">
        <w:t>f</w:t>
      </w:r>
      <w:r w:rsidR="000C2ED6" w:rsidRPr="00211A48">
        <w:t>acilitate greater understanding of BIRA processes and issues</w:t>
      </w:r>
      <w:r w:rsidR="006103EE" w:rsidRPr="00211A48">
        <w:t>,</w:t>
      </w:r>
      <w:r w:rsidR="000C2ED6" w:rsidRPr="00211A48">
        <w:t xml:space="preserve"> including how, when and why BIRAs are conducted and their importance, through regular two-way c</w:t>
      </w:r>
      <w:r w:rsidRPr="00211A48">
        <w:t>ommunication and consultation</w:t>
      </w:r>
      <w:r w:rsidR="006103EE" w:rsidRPr="00211A48">
        <w:t xml:space="preserve"> with domestic stakeholders</w:t>
      </w:r>
    </w:p>
    <w:p w14:paraId="6B7EBA62" w14:textId="334A1629" w:rsidR="000C2ED6" w:rsidRPr="00211A48" w:rsidRDefault="00AE330B" w:rsidP="00211A48">
      <w:pPr>
        <w:pStyle w:val="ListBullet"/>
      </w:pPr>
      <w:proofErr w:type="gramStart"/>
      <w:r w:rsidRPr="00211A48">
        <w:t>b</w:t>
      </w:r>
      <w:r w:rsidR="000C2ED6" w:rsidRPr="00211A48">
        <w:t>e</w:t>
      </w:r>
      <w:proofErr w:type="gramEnd"/>
      <w:r w:rsidR="000C2ED6" w:rsidRPr="00211A48">
        <w:t xml:space="preserve"> the first point of contact for BIRA </w:t>
      </w:r>
      <w:r w:rsidR="002C2CB4" w:rsidRPr="00211A48">
        <w:t>i</w:t>
      </w:r>
      <w:r w:rsidR="000C2ED6" w:rsidRPr="00211A48">
        <w:t>nquiries and act as a conduit between those conducting the BIRA and</w:t>
      </w:r>
      <w:r w:rsidR="00BC7446" w:rsidRPr="00211A48">
        <w:t xml:space="preserve"> domestic</w:t>
      </w:r>
      <w:r w:rsidR="000C2ED6" w:rsidRPr="00211A48">
        <w:t xml:space="preserve"> stakeholders. This includes:</w:t>
      </w:r>
    </w:p>
    <w:p w14:paraId="77C1269A" w14:textId="160E9ADE" w:rsidR="000C2ED6" w:rsidRPr="00211A48" w:rsidRDefault="003A787F" w:rsidP="00211A48">
      <w:pPr>
        <w:pStyle w:val="ListBullet2"/>
      </w:pPr>
      <w:r w:rsidRPr="00211A48">
        <w:t>notifying</w:t>
      </w:r>
      <w:r w:rsidR="00080422" w:rsidRPr="00211A48">
        <w:t xml:space="preserve"> identified</w:t>
      </w:r>
      <w:r w:rsidR="000C2ED6" w:rsidRPr="00211A48">
        <w:t xml:space="preserve"> stakeholders </w:t>
      </w:r>
      <w:r w:rsidR="00EE2310" w:rsidRPr="00211A48">
        <w:t xml:space="preserve">that </w:t>
      </w:r>
      <w:r w:rsidR="000C2ED6" w:rsidRPr="00211A48">
        <w:t>a BIRA is going to be conducted</w:t>
      </w:r>
    </w:p>
    <w:p w14:paraId="4B002761" w14:textId="6E39AE9C" w:rsidR="000C2ED6" w:rsidRPr="00211A48" w:rsidRDefault="003A787F" w:rsidP="00211A48">
      <w:pPr>
        <w:pStyle w:val="ListBullet2"/>
      </w:pPr>
      <w:r w:rsidRPr="00211A48">
        <w:t>informing</w:t>
      </w:r>
      <w:r w:rsidR="000C2ED6" w:rsidRPr="00211A48">
        <w:t xml:space="preserve"> relevant stakeholders </w:t>
      </w:r>
      <w:r w:rsidRPr="00211A48">
        <w:t xml:space="preserve">of </w:t>
      </w:r>
      <w:r w:rsidR="000C2ED6" w:rsidRPr="00211A48">
        <w:t>the issues that will be considered in the BIRA</w:t>
      </w:r>
    </w:p>
    <w:p w14:paraId="5FF39AE3" w14:textId="0C392839" w:rsidR="000C2ED6" w:rsidRPr="00211A48" w:rsidRDefault="000C2ED6" w:rsidP="00211A48">
      <w:pPr>
        <w:pStyle w:val="ListBullet2"/>
      </w:pPr>
      <w:r w:rsidRPr="00211A48">
        <w:t xml:space="preserve">providing regular updates, </w:t>
      </w:r>
      <w:r w:rsidR="009900BA" w:rsidRPr="00211A48">
        <w:t>including clarifying information,</w:t>
      </w:r>
      <w:r w:rsidR="00DF6DD4">
        <w:t xml:space="preserve"> throughout the BIRA </w:t>
      </w:r>
      <w:r w:rsidRPr="00211A48">
        <w:t>process</w:t>
      </w:r>
    </w:p>
    <w:p w14:paraId="1F89F0D3" w14:textId="356B26C5" w:rsidR="000C2ED6" w:rsidRPr="00211A48" w:rsidRDefault="000C2ED6" w:rsidP="00211A48">
      <w:pPr>
        <w:pStyle w:val="ListBullet2"/>
      </w:pPr>
      <w:r w:rsidRPr="00211A48">
        <w:t>communicating the timing of a BIRA, including when submissions can be made</w:t>
      </w:r>
    </w:p>
    <w:p w14:paraId="09E899E2" w14:textId="6ABB2F6D" w:rsidR="000C2ED6" w:rsidRPr="00211A48" w:rsidRDefault="000C2ED6" w:rsidP="00211A48">
      <w:pPr>
        <w:pStyle w:val="ListBullet2"/>
      </w:pPr>
      <w:r w:rsidRPr="00211A48">
        <w:t xml:space="preserve">providing information from </w:t>
      </w:r>
      <w:r w:rsidR="009900BA" w:rsidRPr="00211A48">
        <w:t xml:space="preserve">domestic </w:t>
      </w:r>
      <w:r w:rsidRPr="00211A48">
        <w:t>stakeholders to the department</w:t>
      </w:r>
    </w:p>
    <w:p w14:paraId="3B6434AA" w14:textId="5F4DD5F9" w:rsidR="000C2ED6" w:rsidRPr="00211A48" w:rsidDel="003A787F" w:rsidRDefault="000C2ED6" w:rsidP="00211A48">
      <w:pPr>
        <w:pStyle w:val="ListBullet2"/>
      </w:pPr>
      <w:r w:rsidRPr="00211A48" w:rsidDel="003A787F">
        <w:t>communicating the outcomes of the BIRA process</w:t>
      </w:r>
    </w:p>
    <w:p w14:paraId="0E453521" w14:textId="7E560C28" w:rsidR="000C2ED6" w:rsidRPr="00211A48" w:rsidRDefault="00850FE9" w:rsidP="00211A48">
      <w:pPr>
        <w:pStyle w:val="ListBullet2"/>
      </w:pPr>
      <w:r w:rsidRPr="00211A48">
        <w:t>o</w:t>
      </w:r>
      <w:r w:rsidR="000C2ED6" w:rsidRPr="00211A48">
        <w:t>rganis</w:t>
      </w:r>
      <w:r w:rsidR="008F4B65" w:rsidRPr="00211A48">
        <w:t>ing</w:t>
      </w:r>
      <w:r w:rsidR="000C2ED6" w:rsidRPr="00211A48">
        <w:t xml:space="preserve"> and coordinat</w:t>
      </w:r>
      <w:r w:rsidR="008F4B65" w:rsidRPr="00211A48">
        <w:t>ing</w:t>
      </w:r>
      <w:r w:rsidR="000C2ED6" w:rsidRPr="00211A48">
        <w:t xml:space="preserve"> face-to-face meetings and telec</w:t>
      </w:r>
      <w:r w:rsidR="00AE330B" w:rsidRPr="00211A48">
        <w:t>onferences as and when required</w:t>
      </w:r>
    </w:p>
    <w:p w14:paraId="1013DE86" w14:textId="0D41F90C" w:rsidR="000C2ED6" w:rsidRDefault="00850FE9" w:rsidP="007624E0">
      <w:pPr>
        <w:pStyle w:val="ListBullet2"/>
        <w:spacing w:after="240"/>
      </w:pPr>
      <w:proofErr w:type="gramStart"/>
      <w:r>
        <w:t>c</w:t>
      </w:r>
      <w:r w:rsidR="000C2ED6" w:rsidRPr="00263CA8">
        <w:t>ontinu</w:t>
      </w:r>
      <w:r w:rsidR="008F4B65">
        <w:t>ing</w:t>
      </w:r>
      <w:proofErr w:type="gramEnd"/>
      <w:r w:rsidR="000C2ED6" w:rsidRPr="00263CA8">
        <w:t xml:space="preserve"> to provide support </w:t>
      </w:r>
      <w:r w:rsidR="003A787F">
        <w:t>after</w:t>
      </w:r>
      <w:r w:rsidR="003A787F" w:rsidRPr="00263CA8">
        <w:t xml:space="preserve"> </w:t>
      </w:r>
      <w:r w:rsidR="000C2ED6" w:rsidRPr="00263CA8">
        <w:t xml:space="preserve">the completion of the BIRA, up until first import (if relevant). </w:t>
      </w:r>
    </w:p>
    <w:p w14:paraId="1B272E5D" w14:textId="7E593FF7" w:rsidR="00113483" w:rsidRPr="00616892" w:rsidRDefault="00113483" w:rsidP="00113483">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 xml:space="preserve">NOTE: The role of the </w:t>
      </w:r>
      <w:r w:rsidR="004935FD">
        <w:rPr>
          <w:rFonts w:asciiTheme="majorHAnsi" w:hAnsiTheme="majorHAnsi"/>
        </w:rPr>
        <w:t xml:space="preserve">BIRA </w:t>
      </w:r>
      <w:r>
        <w:rPr>
          <w:rFonts w:asciiTheme="majorHAnsi" w:hAnsiTheme="majorHAnsi"/>
        </w:rPr>
        <w:t xml:space="preserve">Liaison Officer may be revised after first </w:t>
      </w:r>
      <w:r w:rsidR="00135C2F">
        <w:rPr>
          <w:rFonts w:asciiTheme="majorHAnsi" w:hAnsiTheme="majorHAnsi"/>
        </w:rPr>
        <w:t xml:space="preserve">being </w:t>
      </w:r>
      <w:r>
        <w:rPr>
          <w:rFonts w:asciiTheme="majorHAnsi" w:hAnsiTheme="majorHAnsi"/>
        </w:rPr>
        <w:t>use</w:t>
      </w:r>
      <w:r w:rsidR="00135C2F">
        <w:rPr>
          <w:rFonts w:asciiTheme="majorHAnsi" w:hAnsiTheme="majorHAnsi"/>
        </w:rPr>
        <w:t>d</w:t>
      </w:r>
      <w:r>
        <w:rPr>
          <w:rFonts w:asciiTheme="majorHAnsi" w:hAnsiTheme="majorHAnsi"/>
        </w:rPr>
        <w:t xml:space="preserve"> following stakeholder feedback.</w:t>
      </w:r>
    </w:p>
    <w:p w14:paraId="397AEC1B" w14:textId="39892CDD" w:rsidR="00B73A2A" w:rsidRPr="00F757C2" w:rsidRDefault="00B73A2A" w:rsidP="007737C1">
      <w:pPr>
        <w:pStyle w:val="Heading2"/>
      </w:pPr>
      <w:bookmarkStart w:id="186" w:name="_Scientific_Advisory_Group"/>
      <w:bookmarkStart w:id="187" w:name="_Toc432160947"/>
      <w:bookmarkStart w:id="188" w:name="_Toc452647325"/>
      <w:bookmarkEnd w:id="183"/>
      <w:bookmarkEnd w:id="186"/>
      <w:r w:rsidRPr="00F757C2">
        <w:lastRenderedPageBreak/>
        <w:t xml:space="preserve">Scientific </w:t>
      </w:r>
      <w:r w:rsidR="00711528" w:rsidRPr="00F757C2">
        <w:t>advisory group</w:t>
      </w:r>
      <w:bookmarkEnd w:id="187"/>
      <w:bookmarkEnd w:id="188"/>
    </w:p>
    <w:p w14:paraId="3BC08B3F" w14:textId="53DE9E85" w:rsidR="00B73A2A" w:rsidRPr="00616892" w:rsidRDefault="00B73A2A" w:rsidP="000B0E4F">
      <w:pPr>
        <w:rPr>
          <w:rFonts w:asciiTheme="majorHAnsi" w:hAnsiTheme="majorHAnsi"/>
        </w:rPr>
      </w:pPr>
      <w:r w:rsidRPr="00616892">
        <w:rPr>
          <w:rFonts w:asciiTheme="majorHAnsi" w:hAnsiTheme="majorHAnsi"/>
        </w:rPr>
        <w:t xml:space="preserve">Under the BIRA </w:t>
      </w:r>
      <w:r w:rsidR="008F4B65">
        <w:rPr>
          <w:rFonts w:asciiTheme="majorHAnsi" w:hAnsiTheme="majorHAnsi"/>
        </w:rPr>
        <w:t>R</w:t>
      </w:r>
      <w:r w:rsidRPr="00616892">
        <w:rPr>
          <w:rFonts w:asciiTheme="majorHAnsi" w:hAnsiTheme="majorHAnsi"/>
        </w:rPr>
        <w:t>egulation</w:t>
      </w:r>
      <w:r w:rsidR="008F3EE5">
        <w:rPr>
          <w:rFonts w:asciiTheme="majorHAnsi" w:hAnsiTheme="majorHAnsi"/>
        </w:rPr>
        <w:t>,</w:t>
      </w:r>
      <w:r w:rsidRPr="00616892">
        <w:rPr>
          <w:rFonts w:asciiTheme="majorHAnsi" w:hAnsiTheme="majorHAnsi"/>
        </w:rPr>
        <w:t xml:space="preserve"> the Director of Biosecurity must appoint, in writing, external persons to be members of a scientific advisory group (the group).</w:t>
      </w:r>
      <w:r w:rsidR="004945B7">
        <w:rPr>
          <w:rFonts w:asciiTheme="majorHAnsi" w:hAnsiTheme="majorHAnsi"/>
        </w:rPr>
        <w:t xml:space="preserve"> </w:t>
      </w:r>
      <w:r w:rsidR="00943D7C">
        <w:rPr>
          <w:rFonts w:asciiTheme="majorHAnsi" w:hAnsiTheme="majorHAnsi"/>
        </w:rPr>
        <w:t xml:space="preserve">The group will be established </w:t>
      </w:r>
      <w:r w:rsidR="00935DC0">
        <w:rPr>
          <w:rFonts w:asciiTheme="majorHAnsi" w:hAnsiTheme="majorHAnsi"/>
        </w:rPr>
        <w:t>at</w:t>
      </w:r>
      <w:r w:rsidR="00943D7C">
        <w:rPr>
          <w:rFonts w:asciiTheme="majorHAnsi" w:hAnsiTheme="majorHAnsi"/>
        </w:rPr>
        <w:t xml:space="preserve"> the commencement of a BIRA.</w:t>
      </w:r>
    </w:p>
    <w:p w14:paraId="64AAB5A5" w14:textId="3C900C0B" w:rsidR="00B73A2A" w:rsidRPr="00616892" w:rsidRDefault="00B73A2A" w:rsidP="000B0E4F">
      <w:pPr>
        <w:rPr>
          <w:rFonts w:asciiTheme="majorHAnsi" w:hAnsiTheme="majorHAnsi"/>
        </w:rPr>
      </w:pPr>
      <w:r w:rsidRPr="00616892">
        <w:rPr>
          <w:rFonts w:asciiTheme="majorHAnsi" w:hAnsiTheme="majorHAnsi"/>
        </w:rPr>
        <w:t>At any stage in the process of conducting a BIRA, the Director of Biosecurity may (either orally or i</w:t>
      </w:r>
      <w:r w:rsidR="00E24706">
        <w:rPr>
          <w:rFonts w:asciiTheme="majorHAnsi" w:hAnsiTheme="majorHAnsi"/>
        </w:rPr>
        <w:t xml:space="preserve">n writing) request the group </w:t>
      </w:r>
      <w:r w:rsidRPr="00616892">
        <w:rPr>
          <w:rFonts w:asciiTheme="majorHAnsi" w:hAnsiTheme="majorHAnsi"/>
        </w:rPr>
        <w:t xml:space="preserve">examine and provide comments on </w:t>
      </w:r>
      <w:r w:rsidRPr="006772EF">
        <w:rPr>
          <w:rFonts w:asciiTheme="majorHAnsi" w:hAnsiTheme="majorHAnsi"/>
          <w:b/>
        </w:rPr>
        <w:t>any aspect</w:t>
      </w:r>
      <w:r w:rsidRPr="003A787F">
        <w:rPr>
          <w:rFonts w:asciiTheme="majorHAnsi" w:hAnsiTheme="majorHAnsi"/>
        </w:rPr>
        <w:t xml:space="preserve"> </w:t>
      </w:r>
      <w:r w:rsidRPr="00616892">
        <w:rPr>
          <w:rFonts w:asciiTheme="majorHAnsi" w:hAnsiTheme="majorHAnsi"/>
        </w:rPr>
        <w:t xml:space="preserve">of the BIRA. The group must then complete an examination </w:t>
      </w:r>
      <w:r w:rsidR="00DA5427">
        <w:rPr>
          <w:rFonts w:asciiTheme="majorHAnsi" w:hAnsiTheme="majorHAnsi"/>
        </w:rPr>
        <w:t xml:space="preserve">of the requested aspect, </w:t>
      </w:r>
      <w:r w:rsidRPr="00616892">
        <w:rPr>
          <w:rFonts w:asciiTheme="majorHAnsi" w:hAnsiTheme="majorHAnsi"/>
        </w:rPr>
        <w:t xml:space="preserve">and give its comments and findings to the Director of Biosecurity, in the form requested by the Director of Biosecurity. </w:t>
      </w:r>
    </w:p>
    <w:p w14:paraId="040758E8" w14:textId="2447C54C" w:rsidR="00B73A2A" w:rsidRPr="00616892" w:rsidRDefault="00B73A2A" w:rsidP="000B0E4F">
      <w:pPr>
        <w:rPr>
          <w:rFonts w:asciiTheme="majorHAnsi" w:hAnsiTheme="majorHAnsi"/>
        </w:rPr>
      </w:pPr>
      <w:r w:rsidRPr="00616892">
        <w:rPr>
          <w:rFonts w:asciiTheme="majorHAnsi" w:hAnsiTheme="majorHAnsi"/>
        </w:rPr>
        <w:t xml:space="preserve">Any requested comments and findings given by the group must be considered by the Director of Biosecurity in preparing the final BIRA report. </w:t>
      </w:r>
    </w:p>
    <w:p w14:paraId="28EA6738" w14:textId="314A4740" w:rsidR="00B73A2A" w:rsidRPr="009200CC" w:rsidRDefault="00AB17EC" w:rsidP="009200CC">
      <w:pPr>
        <w:pStyle w:val="Heading3"/>
      </w:pPr>
      <w:bookmarkStart w:id="189" w:name="_Toc452647326"/>
      <w:r w:rsidRPr="009200CC">
        <w:t>C</w:t>
      </w:r>
      <w:r w:rsidR="00B73A2A" w:rsidRPr="009200CC">
        <w:t>omposition</w:t>
      </w:r>
      <w:bookmarkEnd w:id="189"/>
    </w:p>
    <w:p w14:paraId="7D1B26C5" w14:textId="078DA3A7" w:rsidR="00E06330" w:rsidRPr="00263CA8" w:rsidRDefault="00E06330" w:rsidP="00E06330">
      <w:pPr>
        <w:rPr>
          <w:rFonts w:asciiTheme="majorHAnsi" w:hAnsiTheme="majorHAnsi"/>
        </w:rPr>
      </w:pPr>
      <w:r w:rsidRPr="00263CA8">
        <w:rPr>
          <w:rFonts w:asciiTheme="majorHAnsi" w:hAnsiTheme="majorHAnsi"/>
        </w:rPr>
        <w:t xml:space="preserve">To ensure consistency between BIRAs, the Director of Biosecurity will appoint three standing members to the group with relevant experience in risk </w:t>
      </w:r>
      <w:r w:rsidR="0075729A">
        <w:rPr>
          <w:rFonts w:asciiTheme="majorHAnsi" w:hAnsiTheme="majorHAnsi"/>
        </w:rPr>
        <w:t>analyses</w:t>
      </w:r>
      <w:r w:rsidRPr="00263CA8">
        <w:rPr>
          <w:rFonts w:asciiTheme="majorHAnsi" w:hAnsiTheme="majorHAnsi"/>
        </w:rPr>
        <w:t xml:space="preserve">. This will include a </w:t>
      </w:r>
      <w:r w:rsidR="001E54D7">
        <w:rPr>
          <w:rFonts w:asciiTheme="majorHAnsi" w:hAnsiTheme="majorHAnsi"/>
        </w:rPr>
        <w:t>c</w:t>
      </w:r>
      <w:r w:rsidRPr="00263CA8">
        <w:rPr>
          <w:rFonts w:asciiTheme="majorHAnsi" w:hAnsiTheme="majorHAnsi"/>
        </w:rPr>
        <w:t>hair, an economist</w:t>
      </w:r>
      <w:r w:rsidR="001E54D7">
        <w:rPr>
          <w:rFonts w:asciiTheme="majorHAnsi" w:hAnsiTheme="majorHAnsi"/>
        </w:rPr>
        <w:t>,</w:t>
      </w:r>
      <w:r w:rsidRPr="00263CA8">
        <w:rPr>
          <w:rFonts w:asciiTheme="majorHAnsi" w:hAnsiTheme="majorHAnsi"/>
        </w:rPr>
        <w:t xml:space="preserve"> and a </w:t>
      </w:r>
      <w:r w:rsidR="00943D7C">
        <w:rPr>
          <w:rFonts w:asciiTheme="majorHAnsi" w:hAnsiTheme="majorHAnsi"/>
        </w:rPr>
        <w:t>person experienced in risk analysis.</w:t>
      </w:r>
      <w:r w:rsidRPr="00263CA8">
        <w:rPr>
          <w:rFonts w:asciiTheme="majorHAnsi" w:hAnsiTheme="majorHAnsi"/>
        </w:rPr>
        <w:t xml:space="preserve"> </w:t>
      </w:r>
    </w:p>
    <w:p w14:paraId="15AB453C" w14:textId="08DB3E9A" w:rsidR="00E06330" w:rsidRPr="00263CA8" w:rsidRDefault="00E06330" w:rsidP="00E06330">
      <w:pPr>
        <w:rPr>
          <w:rFonts w:asciiTheme="majorHAnsi" w:hAnsiTheme="majorHAnsi"/>
        </w:rPr>
      </w:pPr>
      <w:r w:rsidRPr="00263CA8">
        <w:rPr>
          <w:rFonts w:asciiTheme="majorHAnsi" w:hAnsiTheme="majorHAnsi"/>
        </w:rPr>
        <w:t xml:space="preserve">Outside of the standing members, the composition of the group will be decided depending on the BIRA to be conducted. Selections will be based on the scientific and technical expertise that is relevant to the good or class of goods being analysed in the BIRA. There will not be a </w:t>
      </w:r>
      <w:r w:rsidR="007103E6">
        <w:rPr>
          <w:rFonts w:asciiTheme="majorHAnsi" w:hAnsiTheme="majorHAnsi"/>
        </w:rPr>
        <w:br/>
      </w:r>
      <w:r w:rsidRPr="00263CA8">
        <w:rPr>
          <w:rFonts w:asciiTheme="majorHAnsi" w:hAnsiTheme="majorHAnsi"/>
        </w:rPr>
        <w:t xml:space="preserve">pre-determined number of people </w:t>
      </w:r>
      <w:r w:rsidR="007103E6">
        <w:rPr>
          <w:rFonts w:asciiTheme="majorHAnsi" w:hAnsiTheme="majorHAnsi"/>
        </w:rPr>
        <w:t>who</w:t>
      </w:r>
      <w:r w:rsidRPr="00263CA8">
        <w:rPr>
          <w:rFonts w:asciiTheme="majorHAnsi" w:hAnsiTheme="majorHAnsi"/>
        </w:rPr>
        <w:t xml:space="preserve"> can be appointed</w:t>
      </w:r>
      <w:r w:rsidR="00935DC0">
        <w:rPr>
          <w:rFonts w:asciiTheme="majorHAnsi" w:hAnsiTheme="majorHAnsi"/>
        </w:rPr>
        <w:t xml:space="preserve"> to</w:t>
      </w:r>
      <w:r w:rsidR="00761A41">
        <w:rPr>
          <w:rFonts w:asciiTheme="majorHAnsi" w:hAnsiTheme="majorHAnsi"/>
        </w:rPr>
        <w:t xml:space="preserve"> the group.</w:t>
      </w:r>
    </w:p>
    <w:p w14:paraId="668BD766" w14:textId="5DF4B9A5" w:rsidR="00E06330" w:rsidRPr="00263CA8" w:rsidRDefault="00113483" w:rsidP="00E06330">
      <w:pPr>
        <w:rPr>
          <w:rFonts w:asciiTheme="majorHAnsi" w:hAnsiTheme="majorHAnsi"/>
        </w:rPr>
      </w:pPr>
      <w:r w:rsidRPr="0056198A">
        <w:rPr>
          <w:rFonts w:asciiTheme="majorHAnsi" w:hAnsiTheme="majorHAnsi"/>
        </w:rPr>
        <w:t>Suggestions</w:t>
      </w:r>
      <w:r w:rsidR="007103E6" w:rsidRPr="0056198A">
        <w:rPr>
          <w:rFonts w:asciiTheme="majorHAnsi" w:hAnsiTheme="majorHAnsi"/>
        </w:rPr>
        <w:t xml:space="preserve"> </w:t>
      </w:r>
      <w:r w:rsidR="00E06330" w:rsidRPr="0056198A">
        <w:rPr>
          <w:rFonts w:asciiTheme="majorHAnsi" w:hAnsiTheme="majorHAnsi"/>
        </w:rPr>
        <w:t>for additional members will be sought from state and territory governments</w:t>
      </w:r>
      <w:r w:rsidR="00CA78D0" w:rsidRPr="0056198A">
        <w:rPr>
          <w:rFonts w:asciiTheme="majorHAnsi" w:hAnsiTheme="majorHAnsi"/>
        </w:rPr>
        <w:t xml:space="preserve"> and other stakeholders</w:t>
      </w:r>
      <w:r w:rsidR="00E06330" w:rsidRPr="0056198A">
        <w:rPr>
          <w:rFonts w:asciiTheme="majorHAnsi" w:hAnsiTheme="majorHAnsi"/>
        </w:rPr>
        <w:t xml:space="preserve"> prior to the commencement of any new BIRA.</w:t>
      </w:r>
    </w:p>
    <w:p w14:paraId="5CBD2CB5" w14:textId="1A6BACC1" w:rsidR="001E54D7" w:rsidRDefault="00E06330" w:rsidP="000B0E4F">
      <w:pPr>
        <w:rPr>
          <w:rFonts w:asciiTheme="majorHAnsi" w:hAnsiTheme="majorHAnsi"/>
        </w:rPr>
      </w:pPr>
      <w:r w:rsidRPr="00263CA8">
        <w:rPr>
          <w:rFonts w:asciiTheme="majorHAnsi" w:hAnsiTheme="majorHAnsi"/>
        </w:rPr>
        <w:t xml:space="preserve">Selected members will have a proven record of scientific or </w:t>
      </w:r>
      <w:r w:rsidR="00113483">
        <w:rPr>
          <w:rFonts w:asciiTheme="majorHAnsi" w:hAnsiTheme="majorHAnsi"/>
        </w:rPr>
        <w:t>technical expertise</w:t>
      </w:r>
      <w:r w:rsidRPr="00263CA8">
        <w:rPr>
          <w:rFonts w:asciiTheme="majorHAnsi" w:hAnsiTheme="majorHAnsi"/>
        </w:rPr>
        <w:t xml:space="preserve"> </w:t>
      </w:r>
      <w:r w:rsidR="005D05D0">
        <w:rPr>
          <w:rFonts w:asciiTheme="majorHAnsi" w:hAnsiTheme="majorHAnsi"/>
        </w:rPr>
        <w:t>relevant to the</w:t>
      </w:r>
      <w:r w:rsidRPr="00263CA8">
        <w:rPr>
          <w:rFonts w:asciiTheme="majorHAnsi" w:hAnsiTheme="majorHAnsi"/>
        </w:rPr>
        <w:t xml:space="preserve"> BIRA</w:t>
      </w:r>
      <w:r w:rsidR="00113483">
        <w:rPr>
          <w:rFonts w:asciiTheme="majorHAnsi" w:hAnsiTheme="majorHAnsi"/>
        </w:rPr>
        <w:t xml:space="preserve"> or</w:t>
      </w:r>
      <w:r w:rsidRPr="00263CA8">
        <w:rPr>
          <w:rFonts w:asciiTheme="majorHAnsi" w:hAnsiTheme="majorHAnsi"/>
        </w:rPr>
        <w:t xml:space="preserve"> will have made </w:t>
      </w:r>
      <w:r w:rsidR="00113483">
        <w:rPr>
          <w:rFonts w:asciiTheme="majorHAnsi" w:hAnsiTheme="majorHAnsi"/>
        </w:rPr>
        <w:t xml:space="preserve">a </w:t>
      </w:r>
      <w:r w:rsidRPr="00263CA8">
        <w:rPr>
          <w:rFonts w:asciiTheme="majorHAnsi" w:hAnsiTheme="majorHAnsi"/>
        </w:rPr>
        <w:t>significant contribution to the science or technical methods</w:t>
      </w:r>
      <w:r w:rsidR="00935DC0">
        <w:rPr>
          <w:rFonts w:asciiTheme="majorHAnsi" w:hAnsiTheme="majorHAnsi"/>
        </w:rPr>
        <w:t xml:space="preserve"> relevant to</w:t>
      </w:r>
      <w:r w:rsidRPr="00263CA8">
        <w:rPr>
          <w:rFonts w:asciiTheme="majorHAnsi" w:hAnsiTheme="majorHAnsi"/>
        </w:rPr>
        <w:t xml:space="preserve"> the BIRA. Overseas experts may be appointed as members of the group.</w:t>
      </w:r>
    </w:p>
    <w:p w14:paraId="73745B4B" w14:textId="640E3BAE" w:rsidR="00E06330" w:rsidRPr="009200CC" w:rsidRDefault="00E06330" w:rsidP="009200CC">
      <w:pPr>
        <w:pStyle w:val="Heading3"/>
      </w:pPr>
      <w:bookmarkStart w:id="190" w:name="_Toc452647327"/>
      <w:r w:rsidRPr="009200CC">
        <w:t>Conflicts of interest</w:t>
      </w:r>
      <w:r w:rsidR="001E54D7" w:rsidRPr="009200CC">
        <w:t xml:space="preserve"> and confidentiality</w:t>
      </w:r>
      <w:bookmarkEnd w:id="190"/>
    </w:p>
    <w:p w14:paraId="302420A3" w14:textId="7A759985" w:rsidR="001E54D7" w:rsidRDefault="001E54D7" w:rsidP="00E06330">
      <w:pPr>
        <w:rPr>
          <w:rFonts w:asciiTheme="majorHAnsi" w:hAnsiTheme="majorHAnsi"/>
        </w:rPr>
      </w:pPr>
      <w:r>
        <w:rPr>
          <w:rFonts w:asciiTheme="majorHAnsi" w:hAnsiTheme="majorHAnsi"/>
        </w:rPr>
        <w:t>The department</w:t>
      </w:r>
      <w:r w:rsidR="00E06330" w:rsidRPr="00263CA8">
        <w:rPr>
          <w:rFonts w:asciiTheme="majorHAnsi" w:hAnsiTheme="majorHAnsi"/>
        </w:rPr>
        <w:t xml:space="preserve"> recognise</w:t>
      </w:r>
      <w:r>
        <w:rPr>
          <w:rFonts w:asciiTheme="majorHAnsi" w:hAnsiTheme="majorHAnsi"/>
        </w:rPr>
        <w:t>s</w:t>
      </w:r>
      <w:r w:rsidR="00E06330" w:rsidRPr="00263CA8">
        <w:rPr>
          <w:rFonts w:asciiTheme="majorHAnsi" w:hAnsiTheme="majorHAnsi"/>
        </w:rPr>
        <w:t xml:space="preserve"> that depending on the particular BIRA being conducted that there may be limited scientific/technical expertise available to draw from. As such it is anticipated that conflicts of interest may arise from time to time. Any conflicts of interest </w:t>
      </w:r>
      <w:r w:rsidR="00113483">
        <w:rPr>
          <w:rFonts w:asciiTheme="majorHAnsi" w:hAnsiTheme="majorHAnsi"/>
        </w:rPr>
        <w:t>must</w:t>
      </w:r>
      <w:r w:rsidR="00E06330" w:rsidRPr="00263CA8">
        <w:rPr>
          <w:rFonts w:asciiTheme="majorHAnsi" w:hAnsiTheme="majorHAnsi"/>
        </w:rPr>
        <w:t xml:space="preserve"> be declared by members of the group and document</w:t>
      </w:r>
      <w:r w:rsidR="00113483">
        <w:rPr>
          <w:rFonts w:asciiTheme="majorHAnsi" w:hAnsiTheme="majorHAnsi"/>
        </w:rPr>
        <w:t>ed</w:t>
      </w:r>
      <w:r w:rsidR="00E06330" w:rsidRPr="00263CA8">
        <w:rPr>
          <w:rFonts w:asciiTheme="majorHAnsi" w:hAnsiTheme="majorHAnsi"/>
        </w:rPr>
        <w:t xml:space="preserve">. </w:t>
      </w:r>
    </w:p>
    <w:p w14:paraId="51DF3CDD" w14:textId="7504CE8D" w:rsidR="00E06330" w:rsidRPr="00263CA8" w:rsidRDefault="00E06330" w:rsidP="00E06330">
      <w:pPr>
        <w:rPr>
          <w:rFonts w:asciiTheme="majorHAnsi" w:hAnsiTheme="majorHAnsi"/>
        </w:rPr>
      </w:pPr>
      <w:r w:rsidRPr="00263CA8">
        <w:rPr>
          <w:rFonts w:asciiTheme="majorHAnsi" w:hAnsiTheme="majorHAnsi"/>
        </w:rPr>
        <w:t>All members of the group will be required to sign confidentiality agreements.</w:t>
      </w:r>
    </w:p>
    <w:p w14:paraId="71BE9F79" w14:textId="38778885" w:rsidR="00CA78D0" w:rsidDel="001E54D7" w:rsidRDefault="00CA78D0" w:rsidP="000B0E4F">
      <w:pPr>
        <w:rPr>
          <w:rFonts w:asciiTheme="majorHAnsi" w:hAnsiTheme="majorHAnsi"/>
        </w:rPr>
      </w:pPr>
      <w:r w:rsidDel="001E54D7">
        <w:rPr>
          <w:rFonts w:asciiTheme="majorHAnsi" w:hAnsiTheme="majorHAnsi"/>
        </w:rPr>
        <w:t>T</w:t>
      </w:r>
      <w:r w:rsidR="00E06330" w:rsidRPr="00263CA8" w:rsidDel="001E54D7">
        <w:rPr>
          <w:rFonts w:asciiTheme="majorHAnsi" w:hAnsiTheme="majorHAnsi"/>
        </w:rPr>
        <w:t xml:space="preserve">he </w:t>
      </w:r>
      <w:r w:rsidDel="001E54D7">
        <w:rPr>
          <w:rFonts w:asciiTheme="majorHAnsi" w:hAnsiTheme="majorHAnsi"/>
        </w:rPr>
        <w:t>Director of Biosecurity will make the final decision on the composition of the group.</w:t>
      </w:r>
    </w:p>
    <w:p w14:paraId="7043C89E" w14:textId="1743AB30" w:rsidR="00E06330" w:rsidRPr="00F766F5" w:rsidDel="003A787F" w:rsidRDefault="00CA78D0" w:rsidP="000B0E4F">
      <w:pPr>
        <w:rPr>
          <w:rFonts w:asciiTheme="majorHAnsi" w:hAnsiTheme="majorHAnsi"/>
        </w:rPr>
      </w:pPr>
      <w:r w:rsidDel="003A787F">
        <w:rPr>
          <w:rFonts w:asciiTheme="majorHAnsi" w:hAnsiTheme="majorHAnsi"/>
        </w:rPr>
        <w:t xml:space="preserve">It is also </w:t>
      </w:r>
      <w:r w:rsidRPr="003A4CA5" w:rsidDel="003A787F">
        <w:rPr>
          <w:rFonts w:asciiTheme="majorHAnsi" w:hAnsiTheme="majorHAnsi"/>
        </w:rPr>
        <w:t xml:space="preserve">important to note that </w:t>
      </w:r>
      <w:r w:rsidDel="003A787F">
        <w:rPr>
          <w:rFonts w:asciiTheme="majorHAnsi" w:hAnsiTheme="majorHAnsi"/>
        </w:rPr>
        <w:t xml:space="preserve">the </w:t>
      </w:r>
      <w:r w:rsidR="00E06330" w:rsidRPr="00263CA8" w:rsidDel="003A787F">
        <w:rPr>
          <w:rFonts w:asciiTheme="majorHAnsi" w:hAnsiTheme="majorHAnsi"/>
        </w:rPr>
        <w:t xml:space="preserve">group is not the final decision maker and can only make recommendations to the department. </w:t>
      </w:r>
    </w:p>
    <w:p w14:paraId="1ACB5EA9" w14:textId="0C679FA5" w:rsidR="00B73A2A" w:rsidRPr="009200CC" w:rsidRDefault="00AB17EC" w:rsidP="009200CC">
      <w:pPr>
        <w:pStyle w:val="Heading3"/>
      </w:pPr>
      <w:bookmarkStart w:id="191" w:name="_Toc452647328"/>
      <w:r w:rsidRPr="009200CC">
        <w:t>R</w:t>
      </w:r>
      <w:r w:rsidR="00E24706" w:rsidRPr="009200CC">
        <w:t>ole</w:t>
      </w:r>
      <w:bookmarkEnd w:id="191"/>
    </w:p>
    <w:p w14:paraId="06FB4347" w14:textId="4208E193" w:rsidR="00B73A2A" w:rsidRPr="00616892" w:rsidRDefault="00B73A2A" w:rsidP="000B0E4F">
      <w:pPr>
        <w:rPr>
          <w:rFonts w:asciiTheme="majorHAnsi" w:hAnsiTheme="majorHAnsi"/>
        </w:rPr>
      </w:pPr>
      <w:r w:rsidRPr="00616892">
        <w:rPr>
          <w:rFonts w:asciiTheme="majorHAnsi" w:hAnsiTheme="majorHAnsi"/>
        </w:rPr>
        <w:t>The group may be asked to examine or provide comment on any aspect of the BIRA. This includes examining or provid</w:t>
      </w:r>
      <w:r w:rsidR="00014BB8">
        <w:rPr>
          <w:rFonts w:asciiTheme="majorHAnsi" w:hAnsiTheme="majorHAnsi"/>
        </w:rPr>
        <w:t>ing</w:t>
      </w:r>
      <w:r w:rsidRPr="00616892">
        <w:rPr>
          <w:rFonts w:asciiTheme="majorHAnsi" w:hAnsiTheme="majorHAnsi"/>
        </w:rPr>
        <w:t xml:space="preserve"> comment on issues that have arisen during the development of the BIRA. </w:t>
      </w:r>
    </w:p>
    <w:p w14:paraId="42E44F21" w14:textId="3946A1AB" w:rsidR="005D05D0" w:rsidRPr="009208B0" w:rsidRDefault="009208B0" w:rsidP="009200CC">
      <w:pPr>
        <w:keepNext/>
        <w:rPr>
          <w:rFonts w:asciiTheme="majorHAnsi" w:hAnsiTheme="majorHAnsi"/>
        </w:rPr>
      </w:pPr>
      <w:r>
        <w:rPr>
          <w:rFonts w:asciiTheme="majorHAnsi" w:hAnsiTheme="majorHAnsi"/>
        </w:rPr>
        <w:lastRenderedPageBreak/>
        <w:t xml:space="preserve">The </w:t>
      </w:r>
      <w:r w:rsidR="00AB17EC">
        <w:rPr>
          <w:rFonts w:asciiTheme="majorHAnsi" w:hAnsiTheme="majorHAnsi"/>
        </w:rPr>
        <w:t>group</w:t>
      </w:r>
      <w:r>
        <w:rPr>
          <w:rFonts w:asciiTheme="majorHAnsi" w:hAnsiTheme="majorHAnsi"/>
        </w:rPr>
        <w:t xml:space="preserve"> will be asked to </w:t>
      </w:r>
      <w:r w:rsidR="00AB17EC">
        <w:rPr>
          <w:rFonts w:asciiTheme="majorHAnsi" w:hAnsiTheme="majorHAnsi"/>
        </w:rPr>
        <w:t>examine and provide comments</w:t>
      </w:r>
      <w:r>
        <w:rPr>
          <w:rFonts w:asciiTheme="majorHAnsi" w:hAnsiTheme="majorHAnsi"/>
        </w:rPr>
        <w:t xml:space="preserve"> on the draft and provisional BIRA reports</w:t>
      </w:r>
      <w:r w:rsidR="008A18E9">
        <w:rPr>
          <w:rFonts w:asciiTheme="majorHAnsi" w:hAnsiTheme="majorHAnsi"/>
        </w:rPr>
        <w:t>. The group may be asked to consider whether:</w:t>
      </w:r>
    </w:p>
    <w:p w14:paraId="60BCC295" w14:textId="258A34FD" w:rsidR="006148E8" w:rsidRPr="00263CA8" w:rsidRDefault="001A4D2F" w:rsidP="009200CC">
      <w:pPr>
        <w:keepNext/>
        <w:numPr>
          <w:ilvl w:val="0"/>
          <w:numId w:val="47"/>
        </w:numPr>
        <w:rPr>
          <w:rFonts w:asciiTheme="majorHAnsi" w:hAnsiTheme="majorHAnsi"/>
        </w:rPr>
      </w:pPr>
      <w:r>
        <w:rPr>
          <w:rFonts w:asciiTheme="majorHAnsi" w:hAnsiTheme="majorHAnsi"/>
        </w:rPr>
        <w:t xml:space="preserve">technical </w:t>
      </w:r>
      <w:r w:rsidR="006148E8" w:rsidRPr="00263CA8">
        <w:rPr>
          <w:rFonts w:asciiTheme="majorHAnsi" w:hAnsiTheme="majorHAnsi"/>
        </w:rPr>
        <w:t xml:space="preserve">submissions received from stakeholders in response to the draft </w:t>
      </w:r>
      <w:r w:rsidR="006148E8">
        <w:rPr>
          <w:rFonts w:asciiTheme="majorHAnsi" w:hAnsiTheme="majorHAnsi"/>
        </w:rPr>
        <w:t>B</w:t>
      </w:r>
      <w:r w:rsidR="006148E8" w:rsidRPr="00263CA8">
        <w:rPr>
          <w:rFonts w:asciiTheme="majorHAnsi" w:hAnsiTheme="majorHAnsi"/>
        </w:rPr>
        <w:t>IRA report have been properly considered</w:t>
      </w:r>
    </w:p>
    <w:p w14:paraId="4481B0A9" w14:textId="0D49BF88" w:rsidR="006148E8" w:rsidRPr="00263CA8" w:rsidRDefault="006148E8" w:rsidP="00263CA8">
      <w:pPr>
        <w:numPr>
          <w:ilvl w:val="0"/>
          <w:numId w:val="47"/>
        </w:numPr>
        <w:rPr>
          <w:rFonts w:asciiTheme="majorHAnsi" w:hAnsiTheme="majorHAnsi"/>
        </w:rPr>
      </w:pPr>
      <w:r w:rsidRPr="00263CA8">
        <w:rPr>
          <w:rFonts w:asciiTheme="majorHAnsi" w:hAnsiTheme="majorHAnsi"/>
        </w:rPr>
        <w:t xml:space="preserve">all relevant matters relating to the likely economic consequences of a </w:t>
      </w:r>
      <w:r w:rsidR="00DC3030">
        <w:rPr>
          <w:rFonts w:asciiTheme="majorHAnsi" w:hAnsiTheme="majorHAnsi"/>
        </w:rPr>
        <w:t>disease or pest</w:t>
      </w:r>
      <w:r w:rsidRPr="00263CA8">
        <w:rPr>
          <w:rFonts w:asciiTheme="majorHAnsi" w:hAnsiTheme="majorHAnsi"/>
        </w:rPr>
        <w:t xml:space="preserve"> incursion have been properly considered, and</w:t>
      </w:r>
    </w:p>
    <w:p w14:paraId="3E6317C4" w14:textId="421F95C4" w:rsidR="006148E8" w:rsidRPr="00263CA8" w:rsidRDefault="006148E8" w:rsidP="00263CA8">
      <w:pPr>
        <w:numPr>
          <w:ilvl w:val="0"/>
          <w:numId w:val="47"/>
        </w:numPr>
        <w:rPr>
          <w:rFonts w:asciiTheme="majorHAnsi" w:hAnsiTheme="majorHAnsi"/>
        </w:rPr>
      </w:pPr>
      <w:proofErr w:type="gramStart"/>
      <w:r w:rsidRPr="00263CA8">
        <w:rPr>
          <w:rFonts w:asciiTheme="majorHAnsi" w:hAnsiTheme="majorHAnsi"/>
        </w:rPr>
        <w:t>the</w:t>
      </w:r>
      <w:proofErr w:type="gramEnd"/>
      <w:r w:rsidRPr="00263CA8">
        <w:rPr>
          <w:rFonts w:asciiTheme="majorHAnsi" w:hAnsiTheme="majorHAnsi"/>
        </w:rPr>
        <w:t xml:space="preserve"> conclusions of </w:t>
      </w:r>
      <w:r w:rsidR="00443628">
        <w:rPr>
          <w:rFonts w:asciiTheme="majorHAnsi" w:hAnsiTheme="majorHAnsi"/>
        </w:rPr>
        <w:t xml:space="preserve">the </w:t>
      </w:r>
      <w:r w:rsidR="00253E4F">
        <w:rPr>
          <w:rFonts w:asciiTheme="majorHAnsi" w:hAnsiTheme="majorHAnsi"/>
        </w:rPr>
        <w:t xml:space="preserve">draft and </w:t>
      </w:r>
      <w:r w:rsidR="00E06330">
        <w:rPr>
          <w:rFonts w:asciiTheme="majorHAnsi" w:hAnsiTheme="majorHAnsi"/>
        </w:rPr>
        <w:t>provisional</w:t>
      </w:r>
      <w:r w:rsidRPr="00263CA8">
        <w:rPr>
          <w:rFonts w:asciiTheme="majorHAnsi" w:hAnsiTheme="majorHAnsi"/>
        </w:rPr>
        <w:t xml:space="preserve"> </w:t>
      </w:r>
      <w:r w:rsidR="00443628">
        <w:rPr>
          <w:rFonts w:asciiTheme="majorHAnsi" w:hAnsiTheme="majorHAnsi"/>
        </w:rPr>
        <w:t>B</w:t>
      </w:r>
      <w:r w:rsidRPr="00263CA8">
        <w:rPr>
          <w:rFonts w:asciiTheme="majorHAnsi" w:hAnsiTheme="majorHAnsi"/>
        </w:rPr>
        <w:t>IRA report are scientifically reasonable, based on the material presented.</w:t>
      </w:r>
    </w:p>
    <w:p w14:paraId="1B37E22A" w14:textId="1C824514" w:rsidR="00E06330" w:rsidRPr="00616892" w:rsidRDefault="00E06330" w:rsidP="00263CA8">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NOTE: T</w:t>
      </w:r>
      <w:r w:rsidR="00850FE9">
        <w:rPr>
          <w:rFonts w:asciiTheme="majorHAnsi" w:hAnsiTheme="majorHAnsi"/>
        </w:rPr>
        <w:t>his approach is a trial and may</w:t>
      </w:r>
      <w:r>
        <w:rPr>
          <w:rFonts w:asciiTheme="majorHAnsi" w:hAnsiTheme="majorHAnsi"/>
        </w:rPr>
        <w:t xml:space="preserve"> be revised after the first BIRA</w:t>
      </w:r>
      <w:r w:rsidR="00F766F5">
        <w:rPr>
          <w:rFonts w:asciiTheme="majorHAnsi" w:hAnsiTheme="majorHAnsi"/>
        </w:rPr>
        <w:t>, taking into account stakeholder feedback on the group.</w:t>
      </w:r>
    </w:p>
    <w:p w14:paraId="7E120094" w14:textId="1216EE41" w:rsidR="004D73D9" w:rsidRPr="00A86093" w:rsidRDefault="004D73D9" w:rsidP="007737C1">
      <w:pPr>
        <w:pStyle w:val="Heading2"/>
      </w:pPr>
      <w:bookmarkStart w:id="192" w:name="_Inspector-General_of_Biosecurity"/>
      <w:bookmarkStart w:id="193" w:name="_Toc432160948"/>
      <w:bookmarkStart w:id="194" w:name="_Toc452647329"/>
      <w:bookmarkEnd w:id="192"/>
      <w:r w:rsidRPr="00A86093">
        <w:lastRenderedPageBreak/>
        <w:t>Inspector</w:t>
      </w:r>
      <w:r w:rsidR="00714756">
        <w:t>-</w:t>
      </w:r>
      <w:r w:rsidRPr="00A86093">
        <w:t>General of Biosecurity</w:t>
      </w:r>
      <w:bookmarkEnd w:id="193"/>
      <w:bookmarkEnd w:id="194"/>
    </w:p>
    <w:p w14:paraId="10247800" w14:textId="2EF895DA" w:rsidR="00714756" w:rsidRDefault="00714756" w:rsidP="000B0E4F">
      <w:pPr>
        <w:rPr>
          <w:rFonts w:asciiTheme="majorHAnsi" w:hAnsiTheme="majorHAnsi"/>
        </w:rPr>
      </w:pPr>
      <w:r>
        <w:rPr>
          <w:rFonts w:asciiTheme="majorHAnsi" w:hAnsiTheme="majorHAnsi"/>
        </w:rPr>
        <w:t>The Inspector-General of Biosecurity</w:t>
      </w:r>
      <w:r w:rsidR="00684B91">
        <w:rPr>
          <w:rFonts w:asciiTheme="majorHAnsi" w:hAnsiTheme="majorHAnsi"/>
        </w:rPr>
        <w:t xml:space="preserve"> </w:t>
      </w:r>
      <w:r>
        <w:rPr>
          <w:rFonts w:asciiTheme="majorHAnsi" w:hAnsiTheme="majorHAnsi"/>
        </w:rPr>
        <w:t xml:space="preserve">is a statutory position </w:t>
      </w:r>
      <w:r w:rsidR="00011295">
        <w:rPr>
          <w:rFonts w:asciiTheme="majorHAnsi" w:hAnsiTheme="majorHAnsi"/>
        </w:rPr>
        <w:t xml:space="preserve">that </w:t>
      </w:r>
      <w:r w:rsidR="00684B91">
        <w:rPr>
          <w:rFonts w:asciiTheme="majorHAnsi" w:hAnsiTheme="majorHAnsi"/>
        </w:rPr>
        <w:t xml:space="preserve">reports directly to the </w:t>
      </w:r>
      <w:r w:rsidR="00762E74">
        <w:rPr>
          <w:rFonts w:asciiTheme="majorHAnsi" w:hAnsiTheme="majorHAnsi"/>
        </w:rPr>
        <w:t xml:space="preserve">Agriculture </w:t>
      </w:r>
      <w:r w:rsidR="00684B91">
        <w:rPr>
          <w:rFonts w:asciiTheme="majorHAnsi" w:hAnsiTheme="majorHAnsi"/>
        </w:rPr>
        <w:t>Minister.</w:t>
      </w:r>
    </w:p>
    <w:p w14:paraId="13AD3517" w14:textId="028AB395" w:rsidR="004D73D9" w:rsidRPr="00616892" w:rsidRDefault="00762E74" w:rsidP="000B0E4F">
      <w:pPr>
        <w:rPr>
          <w:rFonts w:asciiTheme="majorHAnsi" w:hAnsiTheme="majorHAnsi"/>
        </w:rPr>
      </w:pPr>
      <w:r>
        <w:rPr>
          <w:rFonts w:asciiTheme="majorHAnsi" w:hAnsiTheme="majorHAnsi"/>
        </w:rPr>
        <w:t>A</w:t>
      </w:r>
      <w:r w:rsidR="000762C5">
        <w:rPr>
          <w:rFonts w:asciiTheme="majorHAnsi" w:hAnsiTheme="majorHAnsi"/>
        </w:rPr>
        <w:t>ny</w:t>
      </w:r>
      <w:r>
        <w:rPr>
          <w:rFonts w:asciiTheme="majorHAnsi" w:hAnsiTheme="majorHAnsi"/>
        </w:rPr>
        <w:t xml:space="preserve"> pers</w:t>
      </w:r>
      <w:r w:rsidR="000762C5">
        <w:rPr>
          <w:rFonts w:asciiTheme="majorHAnsi" w:hAnsiTheme="majorHAnsi"/>
        </w:rPr>
        <w:t>on</w:t>
      </w:r>
      <w:r w:rsidRPr="00616892">
        <w:rPr>
          <w:rFonts w:asciiTheme="majorHAnsi" w:hAnsiTheme="majorHAnsi"/>
        </w:rPr>
        <w:t xml:space="preserve"> </w:t>
      </w:r>
      <w:r w:rsidR="004D73D9" w:rsidRPr="00616892">
        <w:rPr>
          <w:rFonts w:asciiTheme="majorHAnsi" w:hAnsiTheme="majorHAnsi"/>
        </w:rPr>
        <w:t>who believe</w:t>
      </w:r>
      <w:r w:rsidR="000762C5">
        <w:rPr>
          <w:rFonts w:asciiTheme="majorHAnsi" w:hAnsiTheme="majorHAnsi"/>
        </w:rPr>
        <w:t>s</w:t>
      </w:r>
      <w:r w:rsidR="004D73D9" w:rsidRPr="00616892">
        <w:rPr>
          <w:rFonts w:asciiTheme="majorHAnsi" w:hAnsiTheme="majorHAnsi"/>
        </w:rPr>
        <w:t xml:space="preserve"> there was a significant deviation from</w:t>
      </w:r>
      <w:r w:rsidR="0056198A">
        <w:rPr>
          <w:rFonts w:asciiTheme="majorHAnsi" w:hAnsiTheme="majorHAnsi"/>
        </w:rPr>
        <w:t xml:space="preserve"> the process set out in the Biosecurity</w:t>
      </w:r>
      <w:r w:rsidR="004D73D9" w:rsidRPr="00616892">
        <w:rPr>
          <w:rFonts w:asciiTheme="majorHAnsi" w:hAnsiTheme="majorHAnsi"/>
        </w:rPr>
        <w:t xml:space="preserve"> Regulation that </w:t>
      </w:r>
      <w:r w:rsidR="00253E8E" w:rsidRPr="00616892">
        <w:rPr>
          <w:rFonts w:asciiTheme="majorHAnsi" w:hAnsiTheme="majorHAnsi"/>
        </w:rPr>
        <w:t>has</w:t>
      </w:r>
      <w:r w:rsidR="004D73D9" w:rsidRPr="00616892">
        <w:rPr>
          <w:rFonts w:asciiTheme="majorHAnsi" w:hAnsiTheme="majorHAnsi"/>
        </w:rPr>
        <w:t xml:space="preserve"> adversely affected</w:t>
      </w:r>
      <w:r w:rsidR="000762C5">
        <w:rPr>
          <w:rFonts w:asciiTheme="majorHAnsi" w:hAnsiTheme="majorHAnsi"/>
        </w:rPr>
        <w:t xml:space="preserve">, or might adversely affect, </w:t>
      </w:r>
      <w:r w:rsidR="004D73D9" w:rsidRPr="00616892">
        <w:rPr>
          <w:rFonts w:asciiTheme="majorHAnsi" w:hAnsiTheme="majorHAnsi"/>
        </w:rPr>
        <w:t xml:space="preserve">their interests may request in writing that the </w:t>
      </w:r>
      <w:r w:rsidR="00011295">
        <w:rPr>
          <w:rFonts w:asciiTheme="majorHAnsi" w:hAnsiTheme="majorHAnsi"/>
        </w:rPr>
        <w:t>Inspector-General</w:t>
      </w:r>
      <w:r w:rsidR="000F4464" w:rsidRPr="00616892">
        <w:rPr>
          <w:rFonts w:asciiTheme="majorHAnsi" w:hAnsiTheme="majorHAnsi"/>
        </w:rPr>
        <w:t xml:space="preserve"> review the</w:t>
      </w:r>
      <w:r w:rsidR="004D73D9" w:rsidRPr="00616892">
        <w:rPr>
          <w:rFonts w:asciiTheme="majorHAnsi" w:hAnsiTheme="majorHAnsi"/>
        </w:rPr>
        <w:t xml:space="preserve"> process </w:t>
      </w:r>
      <w:r>
        <w:rPr>
          <w:rFonts w:asciiTheme="majorHAnsi" w:hAnsiTheme="majorHAnsi"/>
        </w:rPr>
        <w:t>used</w:t>
      </w:r>
      <w:r w:rsidR="004D73D9" w:rsidRPr="00616892">
        <w:rPr>
          <w:rFonts w:asciiTheme="majorHAnsi" w:hAnsiTheme="majorHAnsi"/>
        </w:rPr>
        <w:t xml:space="preserve"> </w:t>
      </w:r>
      <w:r>
        <w:rPr>
          <w:rFonts w:asciiTheme="majorHAnsi" w:hAnsiTheme="majorHAnsi"/>
        </w:rPr>
        <w:t>to conduct</w:t>
      </w:r>
      <w:r w:rsidR="004D73D9" w:rsidRPr="00616892">
        <w:rPr>
          <w:rFonts w:asciiTheme="majorHAnsi" w:hAnsiTheme="majorHAnsi"/>
        </w:rPr>
        <w:t xml:space="preserve"> the BIRA. </w:t>
      </w:r>
    </w:p>
    <w:p w14:paraId="76DA68A0" w14:textId="41282FB5" w:rsidR="004D73D9" w:rsidRPr="00616892" w:rsidRDefault="004D73D9" w:rsidP="000B0E4F">
      <w:pPr>
        <w:rPr>
          <w:rFonts w:asciiTheme="majorHAnsi" w:hAnsiTheme="majorHAnsi"/>
        </w:rPr>
      </w:pPr>
      <w:r w:rsidRPr="00616892">
        <w:rPr>
          <w:rFonts w:asciiTheme="majorHAnsi" w:hAnsiTheme="majorHAnsi"/>
        </w:rPr>
        <w:t>Requests for review must be lodged within 30 </w:t>
      </w:r>
      <w:r w:rsidRPr="00616892">
        <w:rPr>
          <w:rFonts w:asciiTheme="majorHAnsi" w:hAnsiTheme="majorHAnsi"/>
          <w:bCs/>
          <w:iCs/>
        </w:rPr>
        <w:t>calendar days</w:t>
      </w:r>
      <w:r w:rsidRPr="00616892">
        <w:rPr>
          <w:rFonts w:asciiTheme="majorHAnsi" w:hAnsiTheme="majorHAnsi"/>
        </w:rPr>
        <w:t xml:space="preserve"> of the </w:t>
      </w:r>
      <w:r w:rsidR="000762C5">
        <w:rPr>
          <w:rFonts w:asciiTheme="majorHAnsi" w:hAnsiTheme="majorHAnsi"/>
        </w:rPr>
        <w:t xml:space="preserve">publication of the </w:t>
      </w:r>
      <w:r w:rsidR="0043546F">
        <w:rPr>
          <w:rFonts w:asciiTheme="majorHAnsi" w:hAnsiTheme="majorHAnsi"/>
        </w:rPr>
        <w:t>provisional BIRA report.</w:t>
      </w:r>
    </w:p>
    <w:p w14:paraId="33ECC7F3" w14:textId="29D0584E" w:rsidR="004D73D9" w:rsidRPr="00616892" w:rsidRDefault="004D73D9" w:rsidP="000B0E4F">
      <w:pPr>
        <w:rPr>
          <w:rFonts w:asciiTheme="majorHAnsi" w:hAnsiTheme="majorHAnsi"/>
        </w:rPr>
      </w:pPr>
      <w:r w:rsidRPr="00616892">
        <w:rPr>
          <w:rFonts w:asciiTheme="majorHAnsi" w:hAnsiTheme="majorHAnsi"/>
        </w:rPr>
        <w:t xml:space="preserve">The </w:t>
      </w:r>
      <w:r w:rsidR="00011295">
        <w:rPr>
          <w:rFonts w:asciiTheme="majorHAnsi" w:hAnsiTheme="majorHAnsi"/>
        </w:rPr>
        <w:t>Inspector-General</w:t>
      </w:r>
      <w:r w:rsidRPr="00616892">
        <w:rPr>
          <w:rFonts w:asciiTheme="majorHAnsi" w:hAnsiTheme="majorHAnsi"/>
        </w:rPr>
        <w:t xml:space="preserve"> reviews the process only, not the scientific merits of the BIRA, the merits of the recommendations made, or the conclusions reached by the department. </w:t>
      </w:r>
      <w:r w:rsidR="000762C5">
        <w:rPr>
          <w:rFonts w:asciiTheme="majorHAnsi" w:hAnsiTheme="majorHAnsi"/>
        </w:rPr>
        <w:t>It</w:t>
      </w:r>
      <w:r w:rsidRPr="00616892">
        <w:rPr>
          <w:rFonts w:asciiTheme="majorHAnsi" w:hAnsiTheme="majorHAnsi"/>
        </w:rPr>
        <w:t xml:space="preserve"> is a non-judicial review.</w:t>
      </w:r>
    </w:p>
    <w:p w14:paraId="1DBF78A4" w14:textId="1FC4E2E5" w:rsidR="004D73D9" w:rsidRPr="00616892" w:rsidRDefault="004D73D9" w:rsidP="000B0E4F">
      <w:pPr>
        <w:rPr>
          <w:rFonts w:asciiTheme="majorHAnsi" w:hAnsiTheme="majorHAnsi"/>
        </w:rPr>
      </w:pPr>
      <w:r w:rsidRPr="00616892">
        <w:rPr>
          <w:rFonts w:asciiTheme="majorHAnsi" w:hAnsiTheme="majorHAnsi"/>
        </w:rPr>
        <w:t xml:space="preserve">The </w:t>
      </w:r>
      <w:r w:rsidR="00011295">
        <w:rPr>
          <w:rFonts w:asciiTheme="majorHAnsi" w:hAnsiTheme="majorHAnsi"/>
        </w:rPr>
        <w:t>Inspector-General</w:t>
      </w:r>
      <w:r w:rsidRPr="00616892">
        <w:rPr>
          <w:rFonts w:asciiTheme="majorHAnsi" w:hAnsiTheme="majorHAnsi"/>
        </w:rPr>
        <w:t xml:space="preserve"> considers any requests for review and decides in each case whether the evidence warrants </w:t>
      </w:r>
      <w:r w:rsidR="000762C5">
        <w:rPr>
          <w:rFonts w:asciiTheme="majorHAnsi" w:hAnsiTheme="majorHAnsi"/>
        </w:rPr>
        <w:t>a review</w:t>
      </w:r>
      <w:r w:rsidRPr="00616892">
        <w:rPr>
          <w:rFonts w:asciiTheme="majorHAnsi" w:hAnsiTheme="majorHAnsi"/>
        </w:rPr>
        <w:t xml:space="preserve">. If so, they will review the process used to </w:t>
      </w:r>
      <w:r w:rsidR="000762C5">
        <w:rPr>
          <w:rFonts w:asciiTheme="majorHAnsi" w:hAnsiTheme="majorHAnsi"/>
        </w:rPr>
        <w:t>conduct</w:t>
      </w:r>
      <w:r w:rsidR="000762C5" w:rsidRPr="00616892">
        <w:rPr>
          <w:rFonts w:asciiTheme="majorHAnsi" w:hAnsiTheme="majorHAnsi"/>
        </w:rPr>
        <w:t xml:space="preserve"> </w:t>
      </w:r>
      <w:r w:rsidRPr="00616892">
        <w:rPr>
          <w:rFonts w:asciiTheme="majorHAnsi" w:hAnsiTheme="majorHAnsi"/>
        </w:rPr>
        <w:t xml:space="preserve">the BIRA. If, after considering the grounds of the review, </w:t>
      </w:r>
      <w:r w:rsidR="000762C5">
        <w:rPr>
          <w:rFonts w:asciiTheme="majorHAnsi" w:hAnsiTheme="majorHAnsi"/>
        </w:rPr>
        <w:t xml:space="preserve">the Inspector-General </w:t>
      </w:r>
      <w:r w:rsidRPr="00616892">
        <w:rPr>
          <w:rFonts w:asciiTheme="majorHAnsi" w:hAnsiTheme="majorHAnsi"/>
        </w:rPr>
        <w:t>decides that a review is not appropriate</w:t>
      </w:r>
      <w:r w:rsidR="000762C5">
        <w:rPr>
          <w:rFonts w:asciiTheme="majorHAnsi" w:hAnsiTheme="majorHAnsi"/>
        </w:rPr>
        <w:t>,</w:t>
      </w:r>
      <w:r w:rsidRPr="00616892">
        <w:rPr>
          <w:rFonts w:asciiTheme="majorHAnsi" w:hAnsiTheme="majorHAnsi"/>
        </w:rPr>
        <w:t xml:space="preserve"> they will notify the person who requested the review and the Director of Biosecurity.</w:t>
      </w:r>
    </w:p>
    <w:p w14:paraId="14BEF75A" w14:textId="28A64EF9" w:rsidR="00211A48" w:rsidRDefault="004D73D9" w:rsidP="00263CA8">
      <w:pPr>
        <w:rPr>
          <w:rFonts w:asciiTheme="majorHAnsi" w:hAnsiTheme="majorHAnsi"/>
        </w:rPr>
      </w:pPr>
      <w:r w:rsidRPr="00616892">
        <w:rPr>
          <w:rFonts w:asciiTheme="majorHAnsi" w:hAnsiTheme="majorHAnsi"/>
        </w:rPr>
        <w:t xml:space="preserve">The </w:t>
      </w:r>
      <w:r w:rsidR="00011295">
        <w:rPr>
          <w:rFonts w:asciiTheme="majorHAnsi" w:hAnsiTheme="majorHAnsi"/>
        </w:rPr>
        <w:t>Inspector-General</w:t>
      </w:r>
      <w:r w:rsidRPr="00616892">
        <w:rPr>
          <w:rFonts w:asciiTheme="majorHAnsi" w:hAnsiTheme="majorHAnsi"/>
        </w:rPr>
        <w:t xml:space="preserve"> has 45 calendar days to conduct a review and prepare a </w:t>
      </w:r>
      <w:r w:rsidR="000762C5">
        <w:rPr>
          <w:rFonts w:asciiTheme="majorHAnsi" w:hAnsiTheme="majorHAnsi"/>
        </w:rPr>
        <w:t xml:space="preserve">final </w:t>
      </w:r>
      <w:r w:rsidRPr="00616892">
        <w:rPr>
          <w:rFonts w:asciiTheme="majorHAnsi" w:hAnsiTheme="majorHAnsi"/>
        </w:rPr>
        <w:t xml:space="preserve">report. </w:t>
      </w:r>
      <w:r w:rsidR="00711528">
        <w:rPr>
          <w:rFonts w:asciiTheme="majorHAnsi" w:hAnsiTheme="majorHAnsi"/>
        </w:rPr>
        <w:br/>
      </w:r>
      <w:r w:rsidRPr="00616892">
        <w:rPr>
          <w:rFonts w:asciiTheme="majorHAnsi" w:hAnsiTheme="majorHAnsi"/>
        </w:rPr>
        <w:t>The report will outline th</w:t>
      </w:r>
      <w:r w:rsidR="000762C5">
        <w:rPr>
          <w:rFonts w:asciiTheme="majorHAnsi" w:hAnsiTheme="majorHAnsi"/>
        </w:rPr>
        <w:t>eir</w:t>
      </w:r>
      <w:r w:rsidRPr="00616892">
        <w:rPr>
          <w:rFonts w:asciiTheme="majorHAnsi" w:hAnsiTheme="majorHAnsi"/>
        </w:rPr>
        <w:t xml:space="preserve"> findings, the evidence and other material which the findings were based on and any recommendation resulting from the review. </w:t>
      </w:r>
      <w:r w:rsidR="0043546F">
        <w:rPr>
          <w:rFonts w:asciiTheme="majorHAnsi" w:hAnsiTheme="majorHAnsi"/>
        </w:rPr>
        <w:t xml:space="preserve">The </w:t>
      </w:r>
      <w:r w:rsidRPr="00616892">
        <w:rPr>
          <w:rFonts w:asciiTheme="majorHAnsi" w:hAnsiTheme="majorHAnsi"/>
        </w:rPr>
        <w:t xml:space="preserve">report will be provided </w:t>
      </w:r>
      <w:r w:rsidR="00711528">
        <w:rPr>
          <w:rFonts w:asciiTheme="majorHAnsi" w:hAnsiTheme="majorHAnsi"/>
        </w:rPr>
        <w:br/>
      </w:r>
      <w:r w:rsidRPr="00616892">
        <w:rPr>
          <w:rFonts w:asciiTheme="majorHAnsi" w:hAnsiTheme="majorHAnsi"/>
        </w:rPr>
        <w:t xml:space="preserve">to the Director of Biosecurity </w:t>
      </w:r>
      <w:r w:rsidR="000762C5">
        <w:rPr>
          <w:rFonts w:asciiTheme="majorHAnsi" w:hAnsiTheme="majorHAnsi"/>
        </w:rPr>
        <w:t>before</w:t>
      </w:r>
      <w:r w:rsidRPr="00616892">
        <w:rPr>
          <w:rFonts w:asciiTheme="majorHAnsi" w:hAnsiTheme="majorHAnsi"/>
        </w:rPr>
        <w:t xml:space="preserve"> being published on the department’s website.</w:t>
      </w:r>
      <w:bookmarkStart w:id="195" w:name="_Appendix_A:_Australia’s"/>
      <w:bookmarkEnd w:id="23"/>
      <w:bookmarkEnd w:id="124"/>
      <w:bookmarkEnd w:id="125"/>
      <w:bookmarkEnd w:id="195"/>
      <w:r w:rsidR="0043546F">
        <w:rPr>
          <w:rFonts w:asciiTheme="majorHAnsi" w:hAnsiTheme="majorHAnsi"/>
        </w:rPr>
        <w:t xml:space="preserve"> </w:t>
      </w:r>
      <w:r w:rsidR="0043546F" w:rsidRPr="00616892">
        <w:rPr>
          <w:rFonts w:asciiTheme="majorHAnsi" w:hAnsiTheme="majorHAnsi"/>
        </w:rPr>
        <w:t>The</w:t>
      </w:r>
      <w:r w:rsidR="0043546F">
        <w:rPr>
          <w:rFonts w:asciiTheme="majorHAnsi" w:hAnsiTheme="majorHAnsi"/>
        </w:rPr>
        <w:t xml:space="preserve"> Inspector</w:t>
      </w:r>
      <w:r w:rsidR="00711528">
        <w:rPr>
          <w:rFonts w:asciiTheme="majorHAnsi" w:hAnsiTheme="majorHAnsi"/>
        </w:rPr>
        <w:t>-</w:t>
      </w:r>
      <w:r w:rsidR="0043546F">
        <w:rPr>
          <w:rFonts w:asciiTheme="majorHAnsi" w:hAnsiTheme="majorHAnsi"/>
        </w:rPr>
        <w:t>General will write to the person who requested the review</w:t>
      </w:r>
      <w:r w:rsidR="0043546F" w:rsidRPr="00616892">
        <w:rPr>
          <w:rFonts w:asciiTheme="majorHAnsi" w:hAnsiTheme="majorHAnsi"/>
        </w:rPr>
        <w:t xml:space="preserve"> </w:t>
      </w:r>
      <w:r w:rsidR="0043546F">
        <w:rPr>
          <w:rFonts w:asciiTheme="majorHAnsi" w:hAnsiTheme="majorHAnsi"/>
        </w:rPr>
        <w:t xml:space="preserve">to tell them the report </w:t>
      </w:r>
      <w:r w:rsidR="00711528">
        <w:rPr>
          <w:rFonts w:asciiTheme="majorHAnsi" w:hAnsiTheme="majorHAnsi"/>
        </w:rPr>
        <w:br/>
      </w:r>
      <w:r w:rsidR="0043546F">
        <w:rPr>
          <w:rFonts w:asciiTheme="majorHAnsi" w:hAnsiTheme="majorHAnsi"/>
        </w:rPr>
        <w:t>has been published.</w:t>
      </w:r>
    </w:p>
    <w:p w14:paraId="13067A5C" w14:textId="1A60721B" w:rsidR="009F4F4A" w:rsidRPr="00C47E1F" w:rsidRDefault="001A23BF" w:rsidP="00211A48">
      <w:pPr>
        <w:pStyle w:val="Heading2"/>
        <w:numPr>
          <w:ilvl w:val="0"/>
          <w:numId w:val="0"/>
        </w:numPr>
        <w:ind w:left="567" w:hanging="567"/>
      </w:pPr>
      <w:bookmarkStart w:id="196" w:name="_Toc432162354"/>
      <w:bookmarkStart w:id="197" w:name="_Toc452647330"/>
      <w:r>
        <w:lastRenderedPageBreak/>
        <w:t>Appendix</w:t>
      </w:r>
      <w:r w:rsidR="009F4F4A" w:rsidRPr="00C47E1F">
        <w:t xml:space="preserve">: Biosecurity </w:t>
      </w:r>
      <w:r w:rsidR="00386231">
        <w:t>c</w:t>
      </w:r>
      <w:r w:rsidR="009F4F4A" w:rsidRPr="00C47E1F">
        <w:t xml:space="preserve">ontact </w:t>
      </w:r>
      <w:r w:rsidR="00386231">
        <w:t>d</w:t>
      </w:r>
      <w:r w:rsidR="009F4F4A" w:rsidRPr="00C47E1F">
        <w:t>etails</w:t>
      </w:r>
      <w:bookmarkEnd w:id="196"/>
      <w:bookmarkEnd w:id="197"/>
    </w:p>
    <w:p w14:paraId="5599D485" w14:textId="616C5CD0" w:rsidR="000F1683" w:rsidRDefault="009F4F4A" w:rsidP="009F4F4A">
      <w:pPr>
        <w:rPr>
          <w:rFonts w:asciiTheme="majorHAnsi" w:hAnsiTheme="majorHAnsi"/>
        </w:rPr>
      </w:pPr>
      <w:r w:rsidRPr="00616892">
        <w:rPr>
          <w:rFonts w:asciiTheme="majorHAnsi" w:hAnsiTheme="majorHAnsi"/>
        </w:rPr>
        <w:t xml:space="preserve">Australian stakeholders are encouraged to provide any information to the department regarding what may be a biosecurity risk by calling the department’s hotline on </w:t>
      </w:r>
      <w:r w:rsidRPr="00616892">
        <w:rPr>
          <w:rFonts w:asciiTheme="majorHAnsi" w:hAnsiTheme="majorHAnsi"/>
          <w:b/>
        </w:rPr>
        <w:t>1800 798 636</w:t>
      </w:r>
      <w:r w:rsidRPr="000F1683">
        <w:rPr>
          <w:rFonts w:asciiTheme="majorHAnsi" w:hAnsiTheme="majorHAnsi"/>
        </w:rPr>
        <w:t xml:space="preserve">. </w:t>
      </w:r>
    </w:p>
    <w:p w14:paraId="525ED35D" w14:textId="1EF705F1" w:rsidR="000F1683" w:rsidRDefault="00A83984" w:rsidP="009F4F4A">
      <w:pPr>
        <w:rPr>
          <w:rFonts w:asciiTheme="majorHAnsi" w:hAnsiTheme="majorHAnsi"/>
          <w:b/>
        </w:rPr>
      </w:pPr>
      <w:r>
        <w:rPr>
          <w:rFonts w:asciiTheme="majorHAnsi" w:hAnsiTheme="majorHAnsi"/>
        </w:rPr>
        <w:t xml:space="preserve">Domestic stakeholders can also </w:t>
      </w:r>
      <w:r w:rsidRPr="00616892">
        <w:rPr>
          <w:rFonts w:asciiTheme="majorHAnsi" w:hAnsiTheme="majorHAnsi"/>
        </w:rPr>
        <w:t>contact the department through the following contact points</w:t>
      </w:r>
      <w:r>
        <w:rPr>
          <w:rFonts w:asciiTheme="majorHAnsi" w:hAnsiTheme="majorHAnsi"/>
        </w:rPr>
        <w:t>:</w:t>
      </w:r>
    </w:p>
    <w:p w14:paraId="215B13D9" w14:textId="63CDA534" w:rsidR="009F4F4A" w:rsidRPr="00616892" w:rsidRDefault="009F4F4A" w:rsidP="009F4F4A">
      <w:pPr>
        <w:rPr>
          <w:rFonts w:asciiTheme="majorHAnsi" w:hAnsiTheme="majorHAnsi"/>
        </w:rPr>
      </w:pPr>
      <w:r w:rsidRPr="00616892">
        <w:rPr>
          <w:rFonts w:asciiTheme="majorHAnsi" w:hAnsiTheme="majorHAnsi"/>
          <w:b/>
        </w:rPr>
        <w:t>Animal Biosecurity</w:t>
      </w:r>
      <w:r w:rsidRPr="00616892">
        <w:rPr>
          <w:rFonts w:asciiTheme="majorHAnsi" w:hAnsiTheme="majorHAnsi"/>
          <w:b/>
        </w:rPr>
        <w:br/>
      </w:r>
      <w:r w:rsidRPr="00616892">
        <w:rPr>
          <w:rFonts w:asciiTheme="majorHAnsi" w:hAnsiTheme="majorHAnsi"/>
        </w:rPr>
        <w:t xml:space="preserve">Email </w:t>
      </w:r>
      <w:hyperlink r:id="rId35" w:history="1">
        <w:r w:rsidRPr="00616892">
          <w:rPr>
            <w:rStyle w:val="Hyperlink"/>
            <w:rFonts w:asciiTheme="majorHAnsi" w:hAnsiTheme="majorHAnsi"/>
          </w:rPr>
          <w:t>animal@agriculture.gov.au</w:t>
        </w:r>
      </w:hyperlink>
      <w:r w:rsidRPr="00616892">
        <w:rPr>
          <w:rFonts w:asciiTheme="majorHAnsi" w:hAnsiTheme="majorHAnsi"/>
        </w:rPr>
        <w:t xml:space="preserve"> </w:t>
      </w:r>
    </w:p>
    <w:p w14:paraId="7C4F781D" w14:textId="3E07875F" w:rsidR="00211A48" w:rsidRDefault="009F4F4A" w:rsidP="00211A48">
      <w:pPr>
        <w:rPr>
          <w:rFonts w:asciiTheme="majorHAnsi" w:hAnsiTheme="majorHAnsi"/>
        </w:rPr>
      </w:pPr>
      <w:r w:rsidRPr="00761A41">
        <w:rPr>
          <w:rStyle w:val="IntenseEmphasis"/>
        </w:rPr>
        <w:t>Plant Biosecurity</w:t>
      </w:r>
      <w:r w:rsidRPr="00761A41">
        <w:rPr>
          <w:rStyle w:val="IntenseEmphasis"/>
        </w:rPr>
        <w:br/>
      </w:r>
      <w:r w:rsidRPr="00616892">
        <w:rPr>
          <w:rFonts w:asciiTheme="majorHAnsi" w:hAnsiTheme="majorHAnsi"/>
        </w:rPr>
        <w:t xml:space="preserve">Email </w:t>
      </w:r>
      <w:hyperlink r:id="rId36" w:history="1">
        <w:r w:rsidRPr="00616892">
          <w:rPr>
            <w:rStyle w:val="Hyperlink"/>
            <w:rFonts w:asciiTheme="majorHAnsi" w:hAnsiTheme="majorHAnsi"/>
          </w:rPr>
          <w:t>plant@agriculture.gov.au</w:t>
        </w:r>
      </w:hyperlink>
    </w:p>
    <w:p w14:paraId="77F5D0F8" w14:textId="41E12B17" w:rsidR="0043546F" w:rsidRDefault="0043546F" w:rsidP="00211A48">
      <w:pPr>
        <w:spacing w:after="240"/>
        <w:rPr>
          <w:rFonts w:asciiTheme="majorHAnsi" w:hAnsiTheme="majorHAnsi"/>
        </w:rPr>
      </w:pPr>
      <w:r w:rsidRPr="00761A41">
        <w:rPr>
          <w:rStyle w:val="IntenseEmphasis"/>
        </w:rPr>
        <w:t>BIRA Liaison Officer</w:t>
      </w:r>
      <w:r w:rsidRPr="00761A41">
        <w:rPr>
          <w:rStyle w:val="IntenseEmphasis"/>
        </w:rPr>
        <w:br/>
      </w:r>
      <w:r w:rsidR="00965029" w:rsidRPr="00761A41">
        <w:t xml:space="preserve">Email </w:t>
      </w:r>
      <w:hyperlink r:id="rId37" w:history="1">
        <w:r w:rsidR="008253E3" w:rsidRPr="00040B1B">
          <w:rPr>
            <w:rStyle w:val="Hyperlink"/>
            <w:rFonts w:asciiTheme="majorHAnsi" w:hAnsiTheme="majorHAnsi"/>
          </w:rPr>
          <w:t>liaisonofficer@agriculture.gov.au</w:t>
        </w:r>
      </w:hyperlink>
    </w:p>
    <w:p w14:paraId="4E7847AD" w14:textId="72551C5F" w:rsidR="009F4F4A" w:rsidRPr="00616892" w:rsidRDefault="009F4F4A" w:rsidP="00965029">
      <w:pPr>
        <w:rPr>
          <w:rFonts w:asciiTheme="majorHAnsi" w:hAnsiTheme="majorHAnsi"/>
        </w:rPr>
      </w:pPr>
      <w:r w:rsidRPr="00616892">
        <w:rPr>
          <w:rFonts w:asciiTheme="majorHAnsi" w:hAnsiTheme="majorHAnsi"/>
        </w:rPr>
        <w:t>International stakeholders can contact the department through the following contact points:</w:t>
      </w:r>
    </w:p>
    <w:p w14:paraId="1D70081C" w14:textId="59ACB89D" w:rsidR="009F4F4A" w:rsidRPr="00761A41" w:rsidRDefault="00761A41" w:rsidP="0043546F">
      <w:r w:rsidRPr="00761A41">
        <w:rPr>
          <w:rStyle w:val="IntenseEmphasis"/>
        </w:rPr>
        <w:t>Chief Veterinary Officer</w:t>
      </w:r>
      <w:r>
        <w:br/>
      </w:r>
      <w:r w:rsidR="009F4F4A" w:rsidRPr="00616892">
        <w:rPr>
          <w:rFonts w:asciiTheme="majorHAnsi" w:hAnsiTheme="majorHAnsi"/>
        </w:rPr>
        <w:t xml:space="preserve">Email </w:t>
      </w:r>
      <w:hyperlink r:id="rId38" w:history="1">
        <w:r w:rsidR="009F4F4A" w:rsidRPr="00616892">
          <w:rPr>
            <w:rStyle w:val="Hyperlink"/>
            <w:rFonts w:asciiTheme="majorHAnsi" w:hAnsiTheme="majorHAnsi"/>
          </w:rPr>
          <w:t>OCVO@agriculture.gov.au</w:t>
        </w:r>
      </w:hyperlink>
    </w:p>
    <w:p w14:paraId="3EDA1752" w14:textId="119B40BE" w:rsidR="009F4F4A" w:rsidRPr="00761A41" w:rsidRDefault="00761A41" w:rsidP="0043546F">
      <w:r w:rsidRPr="00761A41">
        <w:rPr>
          <w:rStyle w:val="IntenseEmphasis"/>
        </w:rPr>
        <w:t>Chief Plant Protection Officer</w:t>
      </w:r>
      <w:r w:rsidRPr="00761A41">
        <w:rPr>
          <w:rStyle w:val="IntenseEmphasis"/>
        </w:rPr>
        <w:br/>
      </w:r>
      <w:r w:rsidR="009F4F4A" w:rsidRPr="00616892">
        <w:rPr>
          <w:rFonts w:asciiTheme="majorHAnsi" w:hAnsiTheme="majorHAnsi"/>
        </w:rPr>
        <w:t xml:space="preserve">Email </w:t>
      </w:r>
      <w:hyperlink r:id="rId39" w:history="1">
        <w:r w:rsidR="009F4F4A" w:rsidRPr="00616892">
          <w:rPr>
            <w:rStyle w:val="Hyperlink"/>
            <w:rFonts w:asciiTheme="majorHAnsi" w:hAnsiTheme="majorHAnsi"/>
          </w:rPr>
          <w:t>ippc.contactpoint@agriculture.gov.au</w:t>
        </w:r>
      </w:hyperlink>
    </w:p>
    <w:p w14:paraId="5AC74C3E" w14:textId="77777777" w:rsidR="00A83984" w:rsidRPr="00616892" w:rsidRDefault="00A83984" w:rsidP="00761A41">
      <w:pPr>
        <w:spacing w:before="240"/>
        <w:rPr>
          <w:rFonts w:asciiTheme="majorHAnsi" w:hAnsiTheme="majorHAnsi"/>
          <w:b/>
        </w:rPr>
      </w:pPr>
      <w:bookmarkStart w:id="198" w:name="_Toc430767844"/>
      <w:bookmarkStart w:id="199" w:name="_Toc409769088"/>
      <w:r w:rsidRPr="00A83984">
        <w:rPr>
          <w:rFonts w:asciiTheme="majorHAnsi" w:hAnsiTheme="majorHAnsi"/>
        </w:rPr>
        <w:t>The department’s postal address is:</w:t>
      </w:r>
    </w:p>
    <w:p w14:paraId="2AC4D4D2" w14:textId="77777777" w:rsidR="00A83984" w:rsidRDefault="00A83984" w:rsidP="00A83984">
      <w:pPr>
        <w:rPr>
          <w:rFonts w:asciiTheme="majorHAnsi" w:hAnsiTheme="majorHAnsi"/>
        </w:rPr>
      </w:pPr>
      <w:r w:rsidRPr="00616892">
        <w:rPr>
          <w:rFonts w:asciiTheme="majorHAnsi" w:hAnsiTheme="majorHAnsi"/>
        </w:rPr>
        <w:t>Department of Agriculture and Water Resources</w:t>
      </w:r>
      <w:r w:rsidRPr="00616892">
        <w:rPr>
          <w:rFonts w:asciiTheme="majorHAnsi" w:hAnsiTheme="majorHAnsi"/>
        </w:rPr>
        <w:br/>
        <w:t xml:space="preserve">GPO Box </w:t>
      </w:r>
      <w:r>
        <w:rPr>
          <w:rFonts w:asciiTheme="majorHAnsi" w:hAnsiTheme="majorHAnsi"/>
        </w:rPr>
        <w:t>858</w:t>
      </w:r>
      <w:r>
        <w:rPr>
          <w:rFonts w:asciiTheme="majorHAnsi" w:hAnsiTheme="majorHAnsi"/>
        </w:rPr>
        <w:br/>
        <w:t>Canberra ACT 2601</w:t>
      </w:r>
      <w:r>
        <w:rPr>
          <w:rFonts w:asciiTheme="majorHAnsi" w:hAnsiTheme="majorHAnsi"/>
        </w:rPr>
        <w:br/>
        <w:t>Australia</w:t>
      </w:r>
    </w:p>
    <w:p w14:paraId="31C14E68" w14:textId="77777777" w:rsidR="009F4F4A" w:rsidRPr="00C47E1F" w:rsidRDefault="009F4F4A" w:rsidP="00211A48">
      <w:pPr>
        <w:pStyle w:val="Heading2"/>
        <w:numPr>
          <w:ilvl w:val="0"/>
          <w:numId w:val="0"/>
        </w:numPr>
        <w:ind w:left="567" w:hanging="567"/>
      </w:pPr>
      <w:bookmarkStart w:id="200" w:name="_Glossary"/>
      <w:bookmarkStart w:id="201" w:name="_Toc432162355"/>
      <w:bookmarkStart w:id="202" w:name="_Toc452647331"/>
      <w:bookmarkEnd w:id="200"/>
      <w:r w:rsidRPr="0098590B">
        <w:lastRenderedPageBreak/>
        <w:t>Glossary</w:t>
      </w:r>
      <w:bookmarkEnd w:id="198"/>
      <w:bookmarkEnd w:id="201"/>
      <w:bookmarkEnd w:id="20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5"/>
      </w:tblGrid>
      <w:tr w:rsidR="000F1683" w:rsidRPr="000F1683" w14:paraId="4FA5AC9B" w14:textId="77777777" w:rsidTr="00E50F1E">
        <w:tc>
          <w:tcPr>
            <w:tcW w:w="2835" w:type="dxa"/>
          </w:tcPr>
          <w:bookmarkEnd w:id="199"/>
          <w:p w14:paraId="2507B935" w14:textId="546AC1D0" w:rsidR="000F1683" w:rsidRPr="000F1683" w:rsidRDefault="0098590B" w:rsidP="00CC6325">
            <w:pPr>
              <w:pStyle w:val="glossarytext"/>
              <w:tabs>
                <w:tab w:val="clear" w:pos="1560"/>
                <w:tab w:val="left" w:pos="2552"/>
              </w:tabs>
              <w:rPr>
                <w:rFonts w:asciiTheme="majorHAnsi" w:hAnsiTheme="majorHAnsi"/>
              </w:rPr>
            </w:pPr>
            <w:r w:rsidRPr="000F1683">
              <w:rPr>
                <w:rFonts w:asciiTheme="majorHAnsi" w:hAnsiTheme="majorHAnsi"/>
              </w:rPr>
              <w:t>appropriate level of protection</w:t>
            </w:r>
            <w:r w:rsidR="006D2F0E">
              <w:rPr>
                <w:rFonts w:asciiTheme="majorHAnsi" w:hAnsiTheme="majorHAnsi"/>
              </w:rPr>
              <w:t xml:space="preserve"> (</w:t>
            </w:r>
            <w:r w:rsidR="000F1683" w:rsidRPr="000F1683">
              <w:rPr>
                <w:rFonts w:asciiTheme="majorHAnsi" w:hAnsiTheme="majorHAnsi"/>
              </w:rPr>
              <w:t>ALOP</w:t>
            </w:r>
            <w:r w:rsidR="006D2F0E">
              <w:rPr>
                <w:rFonts w:asciiTheme="majorHAnsi" w:hAnsiTheme="majorHAnsi"/>
              </w:rPr>
              <w:t>)</w:t>
            </w:r>
          </w:p>
        </w:tc>
        <w:tc>
          <w:tcPr>
            <w:tcW w:w="6235" w:type="dxa"/>
          </w:tcPr>
          <w:p w14:paraId="3458D9BB" w14:textId="51DC365C" w:rsidR="000F1683" w:rsidRPr="000F1683" w:rsidRDefault="0098590B" w:rsidP="00CC6325">
            <w:pPr>
              <w:pStyle w:val="glossarytext"/>
              <w:tabs>
                <w:tab w:val="clear" w:pos="1560"/>
                <w:tab w:val="left" w:pos="2552"/>
              </w:tabs>
              <w:rPr>
                <w:rFonts w:asciiTheme="majorHAnsi" w:hAnsiTheme="majorHAnsi"/>
              </w:rPr>
            </w:pPr>
            <w:r>
              <w:rPr>
                <w:rFonts w:asciiTheme="majorHAnsi" w:hAnsiTheme="majorHAnsi"/>
              </w:rPr>
              <w:t>The</w:t>
            </w:r>
            <w:r w:rsidR="000F1683" w:rsidRPr="000F1683">
              <w:rPr>
                <w:rFonts w:asciiTheme="majorHAnsi" w:hAnsiTheme="majorHAnsi"/>
              </w:rPr>
              <w:t xml:space="preserve"> level of protection </w:t>
            </w:r>
            <w:r>
              <w:rPr>
                <w:rFonts w:asciiTheme="majorHAnsi" w:hAnsiTheme="majorHAnsi"/>
              </w:rPr>
              <w:t>that a</w:t>
            </w:r>
            <w:r w:rsidRPr="000F1683">
              <w:rPr>
                <w:rFonts w:asciiTheme="majorHAnsi" w:hAnsiTheme="majorHAnsi"/>
              </w:rPr>
              <w:t xml:space="preserve"> </w:t>
            </w:r>
            <w:r w:rsidR="006D2F0E">
              <w:rPr>
                <w:rFonts w:asciiTheme="majorHAnsi" w:hAnsiTheme="majorHAnsi"/>
              </w:rPr>
              <w:t xml:space="preserve">country </w:t>
            </w:r>
            <w:r w:rsidR="000F1683" w:rsidRPr="000F1683">
              <w:rPr>
                <w:rFonts w:asciiTheme="majorHAnsi" w:hAnsiTheme="majorHAnsi"/>
              </w:rPr>
              <w:t>considers appropriate to protect human, animal or plant life or health within its territory.</w:t>
            </w:r>
          </w:p>
        </w:tc>
      </w:tr>
      <w:tr w:rsidR="000F1683" w:rsidRPr="000F1683" w14:paraId="39584D5E" w14:textId="77777777" w:rsidTr="00E50F1E">
        <w:tc>
          <w:tcPr>
            <w:tcW w:w="2835" w:type="dxa"/>
          </w:tcPr>
          <w:p w14:paraId="21DB8FB3" w14:textId="0BDA01B5" w:rsidR="000F1683" w:rsidRPr="000F1683" w:rsidRDefault="0043546F" w:rsidP="00CC6325">
            <w:pPr>
              <w:pStyle w:val="glossarytext"/>
              <w:tabs>
                <w:tab w:val="clear" w:pos="1560"/>
              </w:tabs>
              <w:rPr>
                <w:rFonts w:asciiTheme="majorHAnsi" w:hAnsiTheme="majorHAnsi"/>
              </w:rPr>
            </w:pPr>
            <w:r w:rsidRPr="000F1683">
              <w:rPr>
                <w:rFonts w:asciiTheme="majorHAnsi" w:hAnsiTheme="majorHAnsi"/>
              </w:rPr>
              <w:t xml:space="preserve">Biosecurity Import Risk Analysis </w:t>
            </w:r>
            <w:r>
              <w:rPr>
                <w:rFonts w:asciiTheme="majorHAnsi" w:hAnsiTheme="majorHAnsi"/>
              </w:rPr>
              <w:t>(</w:t>
            </w:r>
            <w:r w:rsidR="000F1683" w:rsidRPr="000F1683">
              <w:rPr>
                <w:rFonts w:asciiTheme="majorHAnsi" w:hAnsiTheme="majorHAnsi"/>
              </w:rPr>
              <w:t>BIRA</w:t>
            </w:r>
            <w:r>
              <w:rPr>
                <w:rFonts w:asciiTheme="majorHAnsi" w:hAnsiTheme="majorHAnsi"/>
              </w:rPr>
              <w:t>)</w:t>
            </w:r>
          </w:p>
        </w:tc>
        <w:tc>
          <w:tcPr>
            <w:tcW w:w="6235" w:type="dxa"/>
          </w:tcPr>
          <w:p w14:paraId="7F249440" w14:textId="250FC380" w:rsidR="000F1683" w:rsidRPr="000F1683" w:rsidRDefault="000F1683" w:rsidP="0043546F">
            <w:pPr>
              <w:pStyle w:val="glossarytext"/>
              <w:tabs>
                <w:tab w:val="clear" w:pos="1560"/>
              </w:tabs>
              <w:rPr>
                <w:rFonts w:asciiTheme="majorHAnsi" w:hAnsiTheme="majorHAnsi"/>
              </w:rPr>
            </w:pPr>
            <w:r w:rsidRPr="000F1683">
              <w:rPr>
                <w:rFonts w:asciiTheme="majorHAnsi" w:hAnsiTheme="majorHAnsi"/>
              </w:rPr>
              <w:t>A regulated scientific evaluation of the level of biosecurity risk associated with particular goods, or a class of goods, that may be imported into Australian territory. A BIRA can identify conditions that must be satisfied to manage the level of biosecurity risk to achieve Australia’s ALOP.</w:t>
            </w:r>
          </w:p>
        </w:tc>
      </w:tr>
      <w:tr w:rsidR="000F1683" w:rsidRPr="000F1683" w14:paraId="4F3128A3" w14:textId="77777777" w:rsidTr="00E50F1E">
        <w:tc>
          <w:tcPr>
            <w:tcW w:w="2835" w:type="dxa"/>
          </w:tcPr>
          <w:p w14:paraId="0B9CDB34" w14:textId="120DC344" w:rsidR="000F1683" w:rsidRPr="000F1683" w:rsidRDefault="000F1683" w:rsidP="00CC6325">
            <w:pPr>
              <w:pStyle w:val="glossarytext"/>
              <w:tabs>
                <w:tab w:val="clear" w:pos="1560"/>
                <w:tab w:val="left" w:pos="2552"/>
              </w:tabs>
              <w:rPr>
                <w:rFonts w:asciiTheme="majorHAnsi" w:hAnsiTheme="majorHAnsi"/>
              </w:rPr>
            </w:pPr>
            <w:r w:rsidRPr="000F1683">
              <w:rPr>
                <w:rFonts w:asciiTheme="majorHAnsi" w:hAnsiTheme="majorHAnsi"/>
              </w:rPr>
              <w:t>Biosecurity Regulation</w:t>
            </w:r>
            <w:r w:rsidR="006D2F0E">
              <w:rPr>
                <w:rFonts w:asciiTheme="majorHAnsi" w:hAnsiTheme="majorHAnsi"/>
              </w:rPr>
              <w:t xml:space="preserve"> 2016</w:t>
            </w:r>
          </w:p>
        </w:tc>
        <w:tc>
          <w:tcPr>
            <w:tcW w:w="6235" w:type="dxa"/>
          </w:tcPr>
          <w:p w14:paraId="1B921B61" w14:textId="1C251CF1" w:rsidR="000F1683" w:rsidRPr="000F1683" w:rsidRDefault="006D2F0E" w:rsidP="00CC6325">
            <w:pPr>
              <w:pStyle w:val="glossarytext"/>
              <w:tabs>
                <w:tab w:val="clear" w:pos="1560"/>
                <w:tab w:val="left" w:pos="2552"/>
              </w:tabs>
              <w:rPr>
                <w:rFonts w:asciiTheme="majorHAnsi" w:hAnsiTheme="majorHAnsi"/>
              </w:rPr>
            </w:pPr>
            <w:r>
              <w:rPr>
                <w:rFonts w:asciiTheme="majorHAnsi" w:hAnsiTheme="majorHAnsi"/>
              </w:rPr>
              <w:t>A legislative instrument that</w:t>
            </w:r>
            <w:r w:rsidR="000F1683" w:rsidRPr="000F1683">
              <w:rPr>
                <w:rFonts w:asciiTheme="majorHAnsi" w:hAnsiTheme="majorHAnsi"/>
              </w:rPr>
              <w:t xml:space="preserve"> sets</w:t>
            </w:r>
            <w:r>
              <w:rPr>
                <w:rFonts w:asciiTheme="majorHAnsi" w:hAnsiTheme="majorHAnsi"/>
              </w:rPr>
              <w:t xml:space="preserve"> </w:t>
            </w:r>
            <w:r w:rsidR="000F1683" w:rsidRPr="000F1683">
              <w:rPr>
                <w:rFonts w:asciiTheme="majorHAnsi" w:hAnsiTheme="majorHAnsi"/>
              </w:rPr>
              <w:t xml:space="preserve">out and regulates key steps of the BIRA process. </w:t>
            </w:r>
          </w:p>
        </w:tc>
      </w:tr>
      <w:tr w:rsidR="000F1683" w:rsidRPr="000F1683" w14:paraId="682F5C71" w14:textId="77777777" w:rsidTr="00E50F1E">
        <w:tc>
          <w:tcPr>
            <w:tcW w:w="2835" w:type="dxa"/>
          </w:tcPr>
          <w:p w14:paraId="2BF0CB3C" w14:textId="2C9580DA" w:rsidR="000F1683" w:rsidRPr="000F1683" w:rsidRDefault="006D2F0E" w:rsidP="00CC6325">
            <w:pPr>
              <w:pStyle w:val="glossarytext"/>
              <w:tabs>
                <w:tab w:val="clear" w:pos="1560"/>
                <w:tab w:val="left" w:pos="2552"/>
              </w:tabs>
              <w:rPr>
                <w:rFonts w:asciiTheme="majorHAnsi" w:hAnsiTheme="majorHAnsi"/>
              </w:rPr>
            </w:pPr>
            <w:r w:rsidRPr="000F1683">
              <w:rPr>
                <w:rFonts w:asciiTheme="majorHAnsi" w:hAnsiTheme="majorHAnsi"/>
              </w:rPr>
              <w:t xml:space="preserve">International Plant Protection Convention </w:t>
            </w:r>
            <w:r>
              <w:rPr>
                <w:rFonts w:asciiTheme="majorHAnsi" w:hAnsiTheme="majorHAnsi"/>
              </w:rPr>
              <w:t>(</w:t>
            </w:r>
            <w:r w:rsidR="000F1683" w:rsidRPr="000F1683">
              <w:rPr>
                <w:rFonts w:asciiTheme="majorHAnsi" w:hAnsiTheme="majorHAnsi"/>
              </w:rPr>
              <w:t>IPPC</w:t>
            </w:r>
            <w:r>
              <w:rPr>
                <w:rFonts w:asciiTheme="majorHAnsi" w:hAnsiTheme="majorHAnsi"/>
              </w:rPr>
              <w:t>)</w:t>
            </w:r>
          </w:p>
        </w:tc>
        <w:tc>
          <w:tcPr>
            <w:tcW w:w="6235" w:type="dxa"/>
          </w:tcPr>
          <w:p w14:paraId="4FB1845A" w14:textId="29F096AD" w:rsidR="000F1683" w:rsidRPr="000F1683" w:rsidRDefault="006D2F0E" w:rsidP="00CC6325">
            <w:pPr>
              <w:pStyle w:val="glossarytext"/>
              <w:tabs>
                <w:tab w:val="clear" w:pos="1560"/>
                <w:tab w:val="left" w:pos="2552"/>
              </w:tabs>
              <w:rPr>
                <w:rFonts w:asciiTheme="majorHAnsi" w:hAnsiTheme="majorHAnsi"/>
              </w:rPr>
            </w:pPr>
            <w:r>
              <w:rPr>
                <w:rFonts w:asciiTheme="majorHAnsi" w:hAnsiTheme="majorHAnsi"/>
              </w:rPr>
              <w:t>A</w:t>
            </w:r>
            <w:r w:rsidR="000F1683" w:rsidRPr="000F1683">
              <w:rPr>
                <w:rFonts w:asciiTheme="majorHAnsi" w:hAnsiTheme="majorHAnsi"/>
              </w:rPr>
              <w:t xml:space="preserve">n international plant health agreement established in 1951 that aims to protect cultivated and wild plants from harmful pests </w:t>
            </w:r>
            <w:r>
              <w:rPr>
                <w:rFonts w:asciiTheme="majorHAnsi" w:hAnsiTheme="majorHAnsi"/>
              </w:rPr>
              <w:t>that</w:t>
            </w:r>
            <w:r w:rsidRPr="000F1683">
              <w:rPr>
                <w:rFonts w:asciiTheme="majorHAnsi" w:hAnsiTheme="majorHAnsi"/>
              </w:rPr>
              <w:t xml:space="preserve"> </w:t>
            </w:r>
            <w:r w:rsidR="000F1683" w:rsidRPr="000F1683">
              <w:rPr>
                <w:rFonts w:asciiTheme="majorHAnsi" w:hAnsiTheme="majorHAnsi"/>
              </w:rPr>
              <w:t>may be introduced through international trade. WTO members are expected to base their phytosanitary measures on international standards developed by the IPPC.</w:t>
            </w:r>
          </w:p>
        </w:tc>
      </w:tr>
      <w:tr w:rsidR="000F1683" w:rsidRPr="000F1683" w14:paraId="407E98BD" w14:textId="77777777" w:rsidTr="00E50F1E">
        <w:tc>
          <w:tcPr>
            <w:tcW w:w="2835" w:type="dxa"/>
          </w:tcPr>
          <w:p w14:paraId="7BFA3C87" w14:textId="68CBD239" w:rsidR="000F1683" w:rsidRPr="000F1683" w:rsidRDefault="006D2F0E" w:rsidP="00CC6325">
            <w:pPr>
              <w:pStyle w:val="glossarytext"/>
              <w:tabs>
                <w:tab w:val="clear" w:pos="1560"/>
                <w:tab w:val="left" w:pos="2552"/>
              </w:tabs>
              <w:rPr>
                <w:rFonts w:asciiTheme="majorHAnsi" w:hAnsiTheme="majorHAnsi"/>
              </w:rPr>
            </w:pPr>
            <w:r w:rsidRPr="000F1683">
              <w:rPr>
                <w:rFonts w:asciiTheme="majorHAnsi" w:hAnsiTheme="majorHAnsi"/>
              </w:rPr>
              <w:t xml:space="preserve">International Standards for Phytosanitary Measures </w:t>
            </w:r>
            <w:r>
              <w:rPr>
                <w:rFonts w:asciiTheme="majorHAnsi" w:hAnsiTheme="majorHAnsi"/>
              </w:rPr>
              <w:t>(</w:t>
            </w:r>
            <w:r w:rsidR="000F1683" w:rsidRPr="000F1683">
              <w:rPr>
                <w:rFonts w:asciiTheme="majorHAnsi" w:hAnsiTheme="majorHAnsi"/>
              </w:rPr>
              <w:t>ISPMs</w:t>
            </w:r>
            <w:r>
              <w:rPr>
                <w:rFonts w:asciiTheme="majorHAnsi" w:hAnsiTheme="majorHAnsi"/>
              </w:rPr>
              <w:t>)</w:t>
            </w:r>
          </w:p>
        </w:tc>
        <w:tc>
          <w:tcPr>
            <w:tcW w:w="6235" w:type="dxa"/>
          </w:tcPr>
          <w:p w14:paraId="49F1134F" w14:textId="5CE4B3B3" w:rsidR="000F1683" w:rsidRPr="000F1683" w:rsidRDefault="006D2F0E" w:rsidP="00CC6325">
            <w:pPr>
              <w:pStyle w:val="glossarytext"/>
              <w:tabs>
                <w:tab w:val="clear" w:pos="1560"/>
                <w:tab w:val="left" w:pos="2552"/>
              </w:tabs>
              <w:rPr>
                <w:rFonts w:asciiTheme="majorHAnsi" w:hAnsiTheme="majorHAnsi"/>
              </w:rPr>
            </w:pPr>
            <w:r>
              <w:rPr>
                <w:rFonts w:asciiTheme="majorHAnsi" w:hAnsiTheme="majorHAnsi"/>
              </w:rPr>
              <w:t>S</w:t>
            </w:r>
            <w:r w:rsidR="000F1683" w:rsidRPr="000F1683">
              <w:rPr>
                <w:rFonts w:asciiTheme="majorHAnsi" w:hAnsiTheme="majorHAnsi"/>
              </w:rPr>
              <w:t xml:space="preserve">tandards adopted by the Commission on Phytosanitary Measures, the governing body of the IPPC. ISPMs are </w:t>
            </w:r>
            <w:proofErr w:type="spellStart"/>
            <w:r w:rsidR="000F1683" w:rsidRPr="000F1683">
              <w:rPr>
                <w:rFonts w:asciiTheme="majorHAnsi" w:hAnsiTheme="majorHAnsi"/>
              </w:rPr>
              <w:t>recognised</w:t>
            </w:r>
            <w:proofErr w:type="spellEnd"/>
            <w:r w:rsidR="000F1683" w:rsidRPr="000F1683">
              <w:rPr>
                <w:rFonts w:asciiTheme="majorHAnsi" w:hAnsiTheme="majorHAnsi"/>
              </w:rPr>
              <w:t xml:space="preserve"> as the basis for phytosanitary measures applied in trade by </w:t>
            </w:r>
            <w:r w:rsidR="00E50F1E">
              <w:rPr>
                <w:rFonts w:asciiTheme="majorHAnsi" w:hAnsiTheme="majorHAnsi"/>
              </w:rPr>
              <w:t>WTO</w:t>
            </w:r>
            <w:r w:rsidR="00E50F1E" w:rsidRPr="000F1683">
              <w:rPr>
                <w:rFonts w:asciiTheme="majorHAnsi" w:hAnsiTheme="majorHAnsi"/>
              </w:rPr>
              <w:t xml:space="preserve"> </w:t>
            </w:r>
            <w:r>
              <w:rPr>
                <w:rFonts w:asciiTheme="majorHAnsi" w:hAnsiTheme="majorHAnsi"/>
              </w:rPr>
              <w:t>m</w:t>
            </w:r>
            <w:r w:rsidR="000F1683" w:rsidRPr="000F1683">
              <w:rPr>
                <w:rFonts w:asciiTheme="majorHAnsi" w:hAnsiTheme="majorHAnsi"/>
              </w:rPr>
              <w:t>embers under the SPS </w:t>
            </w:r>
            <w:r w:rsidR="00E50F1E">
              <w:rPr>
                <w:rFonts w:asciiTheme="majorHAnsi" w:hAnsiTheme="majorHAnsi"/>
              </w:rPr>
              <w:t>a</w:t>
            </w:r>
            <w:r w:rsidR="000F1683" w:rsidRPr="000F1683">
              <w:rPr>
                <w:rFonts w:asciiTheme="majorHAnsi" w:hAnsiTheme="majorHAnsi"/>
              </w:rPr>
              <w:t>greement.</w:t>
            </w:r>
          </w:p>
        </w:tc>
      </w:tr>
      <w:tr w:rsidR="000F1683" w:rsidRPr="000F1683" w14:paraId="128D048B" w14:textId="77777777" w:rsidTr="00E50F1E">
        <w:tc>
          <w:tcPr>
            <w:tcW w:w="2835" w:type="dxa"/>
          </w:tcPr>
          <w:p w14:paraId="53B658BC" w14:textId="34A2B19C" w:rsidR="000F1683" w:rsidRPr="000F1683" w:rsidRDefault="006D2F0E" w:rsidP="00CC6325">
            <w:pPr>
              <w:pStyle w:val="glossarytext"/>
              <w:tabs>
                <w:tab w:val="clear" w:pos="1560"/>
                <w:tab w:val="left" w:pos="2552"/>
              </w:tabs>
              <w:rPr>
                <w:rFonts w:asciiTheme="majorHAnsi" w:hAnsiTheme="majorHAnsi"/>
              </w:rPr>
            </w:pPr>
            <w:r>
              <w:rPr>
                <w:rFonts w:asciiTheme="majorHAnsi" w:hAnsiTheme="majorHAnsi"/>
              </w:rPr>
              <w:t>o</w:t>
            </w:r>
            <w:r w:rsidR="000F1683" w:rsidRPr="000F1683">
              <w:rPr>
                <w:rFonts w:asciiTheme="majorHAnsi" w:hAnsiTheme="majorHAnsi"/>
              </w:rPr>
              <w:t xml:space="preserve">fficial </w:t>
            </w:r>
            <w:r>
              <w:rPr>
                <w:rFonts w:asciiTheme="majorHAnsi" w:hAnsiTheme="majorHAnsi"/>
              </w:rPr>
              <w:t>c</w:t>
            </w:r>
            <w:r w:rsidR="000F1683" w:rsidRPr="000F1683">
              <w:rPr>
                <w:rFonts w:asciiTheme="majorHAnsi" w:hAnsiTheme="majorHAnsi"/>
              </w:rPr>
              <w:t>ontrol</w:t>
            </w:r>
          </w:p>
        </w:tc>
        <w:tc>
          <w:tcPr>
            <w:tcW w:w="6235" w:type="dxa"/>
          </w:tcPr>
          <w:p w14:paraId="1577087B" w14:textId="7A8FD3A8" w:rsidR="000F1683" w:rsidRPr="000F1683" w:rsidRDefault="00E50F1E" w:rsidP="00CC6325">
            <w:pPr>
              <w:pStyle w:val="glossarytext"/>
              <w:tabs>
                <w:tab w:val="clear" w:pos="1560"/>
                <w:tab w:val="left" w:pos="2552"/>
              </w:tabs>
              <w:rPr>
                <w:rFonts w:asciiTheme="majorHAnsi" w:hAnsiTheme="majorHAnsi"/>
              </w:rPr>
            </w:pPr>
            <w:r>
              <w:rPr>
                <w:rFonts w:asciiTheme="majorHAnsi" w:hAnsiTheme="majorHAnsi"/>
              </w:rPr>
              <w:t xml:space="preserve">As defined </w:t>
            </w:r>
            <w:r w:rsidR="006026A4">
              <w:rPr>
                <w:rFonts w:asciiTheme="majorHAnsi" w:hAnsiTheme="majorHAnsi"/>
              </w:rPr>
              <w:t>under</w:t>
            </w:r>
            <w:r>
              <w:rPr>
                <w:rFonts w:asciiTheme="majorHAnsi" w:hAnsiTheme="majorHAnsi"/>
              </w:rPr>
              <w:t xml:space="preserve"> the IPPC, t</w:t>
            </w:r>
            <w:r w:rsidR="000F1683" w:rsidRPr="000F1683">
              <w:rPr>
                <w:rFonts w:asciiTheme="majorHAnsi" w:hAnsiTheme="majorHAnsi"/>
              </w:rPr>
              <w:t xml:space="preserve">he active enforcement of mandatory phytosanitary regulations, and the application of mandatory phytosanitary procedures with the objective of eradication or containment of quarantine pests, or management of regulated non-quarantine pests. </w:t>
            </w:r>
          </w:p>
        </w:tc>
      </w:tr>
      <w:tr w:rsidR="000F1683" w:rsidRPr="000F1683" w14:paraId="374DF732" w14:textId="77777777" w:rsidTr="00E50F1E">
        <w:tc>
          <w:tcPr>
            <w:tcW w:w="2835" w:type="dxa"/>
          </w:tcPr>
          <w:p w14:paraId="46F40244" w14:textId="7F2A74CA" w:rsidR="000F1683" w:rsidRPr="000F1683" w:rsidRDefault="006D2F0E" w:rsidP="00CC6325">
            <w:pPr>
              <w:pStyle w:val="glossarytext"/>
              <w:rPr>
                <w:rFonts w:asciiTheme="majorHAnsi" w:hAnsiTheme="majorHAnsi"/>
              </w:rPr>
            </w:pPr>
            <w:r>
              <w:rPr>
                <w:rFonts w:asciiTheme="majorHAnsi" w:hAnsiTheme="majorHAnsi"/>
              </w:rPr>
              <w:t>World Organiz</w:t>
            </w:r>
            <w:r w:rsidRPr="000F1683">
              <w:rPr>
                <w:rFonts w:asciiTheme="majorHAnsi" w:hAnsiTheme="majorHAnsi"/>
              </w:rPr>
              <w:t xml:space="preserve">ation for Animal Health </w:t>
            </w:r>
            <w:r>
              <w:rPr>
                <w:rFonts w:asciiTheme="majorHAnsi" w:hAnsiTheme="majorHAnsi"/>
              </w:rPr>
              <w:t>(</w:t>
            </w:r>
            <w:r w:rsidR="000F1683" w:rsidRPr="000F1683">
              <w:rPr>
                <w:rFonts w:asciiTheme="majorHAnsi" w:hAnsiTheme="majorHAnsi"/>
              </w:rPr>
              <w:t>OIE</w:t>
            </w:r>
            <w:r>
              <w:rPr>
                <w:rFonts w:asciiTheme="majorHAnsi" w:hAnsiTheme="majorHAnsi"/>
              </w:rPr>
              <w:t>)</w:t>
            </w:r>
          </w:p>
        </w:tc>
        <w:tc>
          <w:tcPr>
            <w:tcW w:w="6235" w:type="dxa"/>
          </w:tcPr>
          <w:p w14:paraId="1A07C645" w14:textId="38A57AA7" w:rsidR="000F1683" w:rsidRPr="000F1683" w:rsidRDefault="006D2F0E" w:rsidP="00CC6325">
            <w:pPr>
              <w:pStyle w:val="glossarytext"/>
              <w:rPr>
                <w:rFonts w:asciiTheme="majorHAnsi" w:hAnsiTheme="majorHAnsi"/>
              </w:rPr>
            </w:pPr>
            <w:r>
              <w:rPr>
                <w:rFonts w:asciiTheme="majorHAnsi" w:hAnsiTheme="majorHAnsi"/>
              </w:rPr>
              <w:t>T</w:t>
            </w:r>
            <w:r w:rsidR="000F1683" w:rsidRPr="000F1683">
              <w:rPr>
                <w:rFonts w:asciiTheme="majorHAnsi" w:hAnsiTheme="majorHAnsi"/>
              </w:rPr>
              <w:t xml:space="preserve">he intergovernmental </w:t>
            </w:r>
            <w:proofErr w:type="spellStart"/>
            <w:r w:rsidR="000F1683" w:rsidRPr="000F1683">
              <w:rPr>
                <w:rFonts w:asciiTheme="majorHAnsi" w:hAnsiTheme="majorHAnsi"/>
              </w:rPr>
              <w:t>organisation</w:t>
            </w:r>
            <w:proofErr w:type="spellEnd"/>
            <w:r w:rsidR="000F1683" w:rsidRPr="000F1683">
              <w:rPr>
                <w:rFonts w:asciiTheme="majorHAnsi" w:hAnsiTheme="majorHAnsi"/>
              </w:rPr>
              <w:t xml:space="preserve"> responsible for improving animal health worldwide. The OIE develops documents relating to rules that WTO members can use to protect themselves from the introduction of diseases and pathogens, without setting up</w:t>
            </w:r>
            <w:r w:rsidR="000F1683">
              <w:rPr>
                <w:rFonts w:asciiTheme="majorHAnsi" w:hAnsiTheme="majorHAnsi"/>
              </w:rPr>
              <w:t xml:space="preserve"> unjustified sanitary barriers.</w:t>
            </w:r>
          </w:p>
        </w:tc>
      </w:tr>
      <w:tr w:rsidR="000F1683" w:rsidRPr="000F1683" w14:paraId="78130AA9" w14:textId="77777777" w:rsidTr="00E50F1E">
        <w:tc>
          <w:tcPr>
            <w:tcW w:w="2835" w:type="dxa"/>
          </w:tcPr>
          <w:p w14:paraId="4511007F" w14:textId="3F5F3A86" w:rsidR="000F1683" w:rsidRPr="000F1683" w:rsidRDefault="00E50F1E" w:rsidP="00CC6325">
            <w:pPr>
              <w:pStyle w:val="glossarytext"/>
              <w:tabs>
                <w:tab w:val="clear" w:pos="1560"/>
                <w:tab w:val="left" w:pos="2552"/>
              </w:tabs>
              <w:rPr>
                <w:rFonts w:asciiTheme="majorHAnsi" w:hAnsiTheme="majorHAnsi"/>
              </w:rPr>
            </w:pPr>
            <w:r>
              <w:rPr>
                <w:rFonts w:asciiTheme="majorHAnsi" w:hAnsiTheme="majorHAnsi"/>
              </w:rPr>
              <w:t>r</w:t>
            </w:r>
            <w:r w:rsidR="000F1683" w:rsidRPr="000F1683">
              <w:rPr>
                <w:rFonts w:asciiTheme="majorHAnsi" w:hAnsiTheme="majorHAnsi"/>
              </w:rPr>
              <w:t xml:space="preserve">isk management </w:t>
            </w:r>
          </w:p>
        </w:tc>
        <w:tc>
          <w:tcPr>
            <w:tcW w:w="6235" w:type="dxa"/>
          </w:tcPr>
          <w:p w14:paraId="384CDEFB" w14:textId="77777777" w:rsidR="000F1683" w:rsidRPr="000F1683" w:rsidRDefault="000F1683" w:rsidP="00CC6325">
            <w:pPr>
              <w:pStyle w:val="glossarytext"/>
              <w:tabs>
                <w:tab w:val="clear" w:pos="1560"/>
                <w:tab w:val="left" w:pos="2552"/>
              </w:tabs>
              <w:rPr>
                <w:rFonts w:asciiTheme="majorHAnsi" w:hAnsiTheme="majorHAnsi"/>
              </w:rPr>
            </w:pPr>
            <w:r w:rsidRPr="000F1683">
              <w:rPr>
                <w:rFonts w:asciiTheme="majorHAnsi" w:hAnsiTheme="majorHAnsi"/>
              </w:rPr>
              <w:t>The process of identifying, selecting and implementing measures that can be applied to reduce and manage the level of biosecurity risk.</w:t>
            </w:r>
          </w:p>
        </w:tc>
      </w:tr>
      <w:tr w:rsidR="000F1683" w:rsidRPr="000F1683" w14:paraId="0528AF5D" w14:textId="77777777" w:rsidTr="00E50F1E">
        <w:tc>
          <w:tcPr>
            <w:tcW w:w="2835" w:type="dxa"/>
          </w:tcPr>
          <w:p w14:paraId="22B4B716" w14:textId="0C8A4DD7" w:rsidR="000F1683" w:rsidRPr="000F1683" w:rsidRDefault="000F1683" w:rsidP="00CC6325">
            <w:pPr>
              <w:pStyle w:val="glossarytext"/>
              <w:keepLines/>
              <w:rPr>
                <w:rFonts w:asciiTheme="majorHAnsi" w:hAnsiTheme="majorHAnsi"/>
              </w:rPr>
            </w:pPr>
            <w:r>
              <w:rPr>
                <w:rFonts w:asciiTheme="majorHAnsi" w:hAnsiTheme="majorHAnsi"/>
              </w:rPr>
              <w:t xml:space="preserve">SPS </w:t>
            </w:r>
            <w:r w:rsidR="008F3EE5">
              <w:rPr>
                <w:rFonts w:asciiTheme="majorHAnsi" w:hAnsiTheme="majorHAnsi"/>
              </w:rPr>
              <w:t>a</w:t>
            </w:r>
            <w:r>
              <w:rPr>
                <w:rFonts w:asciiTheme="majorHAnsi" w:hAnsiTheme="majorHAnsi"/>
              </w:rPr>
              <w:t>greement</w:t>
            </w:r>
          </w:p>
        </w:tc>
        <w:tc>
          <w:tcPr>
            <w:tcW w:w="6235" w:type="dxa"/>
          </w:tcPr>
          <w:p w14:paraId="09E083B0" w14:textId="7C5EE777" w:rsidR="000F1683" w:rsidRPr="000F1683" w:rsidRDefault="008F3EE5" w:rsidP="008F3EE5">
            <w:pPr>
              <w:pStyle w:val="glossarytext"/>
              <w:keepLines/>
              <w:rPr>
                <w:rFonts w:asciiTheme="majorHAnsi" w:hAnsiTheme="majorHAnsi"/>
              </w:rPr>
            </w:pPr>
            <w:r>
              <w:rPr>
                <w:rFonts w:asciiTheme="majorHAnsi" w:hAnsiTheme="majorHAnsi"/>
              </w:rPr>
              <w:t xml:space="preserve">The WTO </w:t>
            </w:r>
            <w:r w:rsidRPr="000F1683">
              <w:rPr>
                <w:rFonts w:asciiTheme="majorHAnsi" w:hAnsiTheme="majorHAnsi"/>
              </w:rPr>
              <w:t>Agreement on the Application of Sanitary a</w:t>
            </w:r>
            <w:r>
              <w:rPr>
                <w:rFonts w:asciiTheme="majorHAnsi" w:hAnsiTheme="majorHAnsi"/>
              </w:rPr>
              <w:t>nd Phytosanitary Measures, which</w:t>
            </w:r>
            <w:r w:rsidR="00E50F1E">
              <w:rPr>
                <w:rFonts w:asciiTheme="majorHAnsi" w:hAnsiTheme="majorHAnsi"/>
              </w:rPr>
              <w:t xml:space="preserve"> </w:t>
            </w:r>
            <w:r w:rsidR="000F1683" w:rsidRPr="000F1683">
              <w:rPr>
                <w:rFonts w:asciiTheme="majorHAnsi" w:hAnsiTheme="majorHAnsi"/>
              </w:rPr>
              <w:t xml:space="preserve">establishes rights and obligations </w:t>
            </w:r>
            <w:r w:rsidR="00E50F1E">
              <w:rPr>
                <w:rFonts w:asciiTheme="majorHAnsi" w:hAnsiTheme="majorHAnsi"/>
              </w:rPr>
              <w:t>of</w:t>
            </w:r>
            <w:r w:rsidR="00E50F1E" w:rsidRPr="000F1683">
              <w:rPr>
                <w:rFonts w:asciiTheme="majorHAnsi" w:hAnsiTheme="majorHAnsi"/>
              </w:rPr>
              <w:t xml:space="preserve"> </w:t>
            </w:r>
            <w:r w:rsidR="000F1683" w:rsidRPr="000F1683">
              <w:rPr>
                <w:rFonts w:asciiTheme="majorHAnsi" w:hAnsiTheme="majorHAnsi"/>
              </w:rPr>
              <w:t>WTO members when applying measures to protect human, animal or plant health in international trade.</w:t>
            </w:r>
          </w:p>
        </w:tc>
      </w:tr>
      <w:tr w:rsidR="000F1683" w:rsidRPr="000F1683" w14:paraId="7C260D0D" w14:textId="77777777" w:rsidTr="00E50F1E">
        <w:tc>
          <w:tcPr>
            <w:tcW w:w="2835" w:type="dxa"/>
          </w:tcPr>
          <w:p w14:paraId="04DC2DA6" w14:textId="7CD6397F" w:rsidR="000F1683" w:rsidRPr="000F1683" w:rsidRDefault="00E50F1E" w:rsidP="00CC6325">
            <w:pPr>
              <w:pStyle w:val="glossarytext"/>
              <w:tabs>
                <w:tab w:val="clear" w:pos="1560"/>
                <w:tab w:val="left" w:pos="2552"/>
              </w:tabs>
              <w:rPr>
                <w:rFonts w:asciiTheme="majorHAnsi" w:hAnsiTheme="majorHAnsi"/>
              </w:rPr>
            </w:pPr>
            <w:r>
              <w:rPr>
                <w:rFonts w:asciiTheme="majorHAnsi" w:hAnsiTheme="majorHAnsi"/>
              </w:rPr>
              <w:t>World Trade Organiz</w:t>
            </w:r>
            <w:r w:rsidRPr="000F1683">
              <w:rPr>
                <w:rFonts w:asciiTheme="majorHAnsi" w:hAnsiTheme="majorHAnsi"/>
              </w:rPr>
              <w:t xml:space="preserve">ation </w:t>
            </w:r>
            <w:r>
              <w:rPr>
                <w:rFonts w:asciiTheme="majorHAnsi" w:hAnsiTheme="majorHAnsi"/>
              </w:rPr>
              <w:t>(</w:t>
            </w:r>
            <w:r w:rsidR="000F1683" w:rsidRPr="000F1683">
              <w:rPr>
                <w:rFonts w:asciiTheme="majorHAnsi" w:hAnsiTheme="majorHAnsi"/>
              </w:rPr>
              <w:t>WTO</w:t>
            </w:r>
            <w:r>
              <w:rPr>
                <w:rFonts w:asciiTheme="majorHAnsi" w:hAnsiTheme="majorHAnsi"/>
              </w:rPr>
              <w:t>)</w:t>
            </w:r>
          </w:p>
        </w:tc>
        <w:tc>
          <w:tcPr>
            <w:tcW w:w="6235" w:type="dxa"/>
          </w:tcPr>
          <w:p w14:paraId="0DCFE8E3" w14:textId="5FE2B6D7" w:rsidR="000F1683" w:rsidRPr="000F1683" w:rsidRDefault="00E50F1E" w:rsidP="00CC6325">
            <w:pPr>
              <w:pStyle w:val="glossarytext"/>
              <w:tabs>
                <w:tab w:val="clear" w:pos="1560"/>
                <w:tab w:val="left" w:pos="2552"/>
              </w:tabs>
              <w:rPr>
                <w:rFonts w:asciiTheme="majorHAnsi" w:hAnsiTheme="majorHAnsi"/>
              </w:rPr>
            </w:pPr>
            <w:r>
              <w:rPr>
                <w:rFonts w:asciiTheme="majorHAnsi" w:hAnsiTheme="majorHAnsi"/>
              </w:rPr>
              <w:t>A</w:t>
            </w:r>
            <w:r w:rsidR="000F1683" w:rsidRPr="000F1683">
              <w:rPr>
                <w:rFonts w:asciiTheme="majorHAnsi" w:hAnsiTheme="majorHAnsi"/>
              </w:rPr>
              <w:t xml:space="preserve"> global international </w:t>
            </w:r>
            <w:proofErr w:type="spellStart"/>
            <w:r w:rsidR="000F1683" w:rsidRPr="000F1683">
              <w:rPr>
                <w:rFonts w:asciiTheme="majorHAnsi" w:hAnsiTheme="majorHAnsi"/>
              </w:rPr>
              <w:t>organisation</w:t>
            </w:r>
            <w:proofErr w:type="spellEnd"/>
            <w:r w:rsidR="000F1683" w:rsidRPr="000F1683">
              <w:rPr>
                <w:rFonts w:asciiTheme="majorHAnsi" w:hAnsiTheme="majorHAnsi"/>
              </w:rPr>
              <w:t xml:space="preserve"> dealing with the rules of trade between nations.</w:t>
            </w:r>
          </w:p>
        </w:tc>
      </w:tr>
    </w:tbl>
    <w:p w14:paraId="248E025F" w14:textId="77777777" w:rsidR="004D73D9" w:rsidRPr="00714F79" w:rsidRDefault="004D73D9" w:rsidP="00211A48">
      <w:pPr>
        <w:rPr>
          <w:rFonts w:asciiTheme="majorHAnsi" w:hAnsiTheme="majorHAnsi"/>
          <w:highlight w:val="yellow"/>
        </w:rPr>
      </w:pPr>
    </w:p>
    <w:sectPr w:rsidR="004D73D9" w:rsidRPr="00714F79" w:rsidSect="0019672B">
      <w:footerReference w:type="default" r:id="rId40"/>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A01C2" w14:textId="77777777" w:rsidR="00E74DFE" w:rsidRDefault="00E74DFE" w:rsidP="00267841">
      <w:r>
        <w:separator/>
      </w:r>
    </w:p>
    <w:p w14:paraId="4802638A" w14:textId="77777777" w:rsidR="00E74DFE" w:rsidRDefault="00E74DFE"/>
  </w:endnote>
  <w:endnote w:type="continuationSeparator" w:id="0">
    <w:p w14:paraId="1C779014" w14:textId="77777777" w:rsidR="00E74DFE" w:rsidRDefault="00E74DFE" w:rsidP="00267841">
      <w:r>
        <w:continuationSeparator/>
      </w:r>
    </w:p>
    <w:p w14:paraId="31DF030B" w14:textId="77777777" w:rsidR="00E74DFE" w:rsidRDefault="00E74DFE"/>
  </w:endnote>
  <w:endnote w:type="continuationNotice" w:id="1">
    <w:p w14:paraId="1DCFA19E" w14:textId="77777777" w:rsidR="00E74DFE" w:rsidRPr="00696C70" w:rsidRDefault="00E74DFE" w:rsidP="00267841">
      <w:pPr>
        <w:pStyle w:val="Footer"/>
      </w:pPr>
    </w:p>
    <w:p w14:paraId="4177FA1F" w14:textId="77777777" w:rsidR="00E74DFE" w:rsidRDefault="00E74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CAD59" w14:textId="597B83FC" w:rsidR="00E74DFE" w:rsidRDefault="00E74DFE" w:rsidP="00267841">
    <w:pPr>
      <w:pStyle w:val="Footer"/>
    </w:pPr>
    <w:r>
      <w:t>Australian Government Department of Agriculture and Water Resources</w:t>
    </w:r>
    <w:r>
      <w:tab/>
    </w:r>
    <w:r>
      <w:fldChar w:fldCharType="begin"/>
    </w:r>
    <w:r>
      <w:instrText xml:space="preserve"> PAGE   \* MERGEFORMAT </w:instrText>
    </w:r>
    <w:r>
      <w:fldChar w:fldCharType="separate"/>
    </w:r>
    <w:r w:rsidR="00AD068A">
      <w:rPr>
        <w:noProof/>
      </w:rPr>
      <w:t>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F4B5" w14:textId="77777777" w:rsidR="00E74DFE" w:rsidRDefault="00E74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695633"/>
      <w:docPartObj>
        <w:docPartGallery w:val="Page Numbers (Bottom of Page)"/>
        <w:docPartUnique/>
      </w:docPartObj>
    </w:sdtPr>
    <w:sdtEndPr>
      <w:rPr>
        <w:noProof/>
      </w:rPr>
    </w:sdtEndPr>
    <w:sdtContent>
      <w:p w14:paraId="41FCA61C" w14:textId="0F5A779D" w:rsidR="00E74DFE" w:rsidRDefault="00E74DFE" w:rsidP="003601ED">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EE3E" w14:textId="77777777" w:rsidR="00E74DFE" w:rsidRDefault="00E74DFE" w:rsidP="00267841">
    <w:pPr>
      <w:pStyle w:val="Footer"/>
    </w:pPr>
    <w:r>
      <w:t>Australian Government Department of Agriculture and Water Resources</w:t>
    </w:r>
    <w:r>
      <w:tab/>
    </w:r>
    <w:r>
      <w:fldChar w:fldCharType="begin"/>
    </w:r>
    <w:r>
      <w:instrText xml:space="preserve"> PAGE   \* MERGEFORMAT </w:instrText>
    </w:r>
    <w:r>
      <w:fldChar w:fldCharType="separate"/>
    </w:r>
    <w:r w:rsidR="00AD068A">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936E8" w14:textId="77777777" w:rsidR="00E74DFE" w:rsidRDefault="00E74DFE" w:rsidP="00267841">
      <w:r>
        <w:separator/>
      </w:r>
    </w:p>
    <w:p w14:paraId="4BCC1BE7" w14:textId="77777777" w:rsidR="00E74DFE" w:rsidRDefault="00E74DFE"/>
  </w:footnote>
  <w:footnote w:type="continuationSeparator" w:id="0">
    <w:p w14:paraId="5D6DC73A" w14:textId="77777777" w:rsidR="00E74DFE" w:rsidRDefault="00E74DFE" w:rsidP="00267841">
      <w:r>
        <w:continuationSeparator/>
      </w:r>
    </w:p>
    <w:p w14:paraId="5780E917" w14:textId="77777777" w:rsidR="00E74DFE" w:rsidRDefault="00E74DFE"/>
  </w:footnote>
  <w:footnote w:type="continuationNotice" w:id="1">
    <w:p w14:paraId="142A69D4" w14:textId="77777777" w:rsidR="00E74DFE" w:rsidRPr="00310C6A" w:rsidRDefault="00E74DFE" w:rsidP="00267841">
      <w:pPr>
        <w:pStyle w:val="Footer"/>
      </w:pPr>
    </w:p>
    <w:p w14:paraId="3A2AA50F" w14:textId="77777777" w:rsidR="00E74DFE" w:rsidRDefault="00E74D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1288" w14:textId="047EC914" w:rsidR="00E74DFE" w:rsidRPr="007723F3" w:rsidRDefault="00E74DFE" w:rsidP="006D07B8">
    <w:pPr>
      <w:pStyle w:val="Header"/>
      <w:rPr>
        <w:szCs w:val="22"/>
      </w:rPr>
    </w:pPr>
    <w:r w:rsidRPr="006D07B8">
      <w:t xml:space="preserve">Biosecurity </w:t>
    </w:r>
    <w:r>
      <w:t>Import Risk Analysis G</w:t>
    </w:r>
    <w:r w:rsidRPr="006D07B8">
      <w:t>uidelines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0B827" w14:textId="77777777" w:rsidR="00E74DFE" w:rsidRDefault="00E74DFE" w:rsidP="00C16FC4">
    <w:pPr>
      <w:pStyle w:val="Header"/>
    </w:pPr>
    <w:r>
      <w:rPr>
        <w:noProof/>
      </w:rPr>
      <w:drawing>
        <wp:inline distT="0" distB="0" distL="0" distR="0" wp14:anchorId="28BED59E" wp14:editId="3C15C47F">
          <wp:extent cx="2316480" cy="7376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20Brandmark%20Left%20Aligned-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6BAA" w14:textId="3DA0E96B" w:rsidR="00E74DFE" w:rsidRPr="003601ED" w:rsidRDefault="00E74DFE" w:rsidP="003601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E4419" w14:textId="77777777" w:rsidR="00E74DFE" w:rsidRPr="003601ED" w:rsidRDefault="00E74DFE" w:rsidP="00360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60042"/>
    <w:lvl w:ilvl="0">
      <w:start w:val="1"/>
      <w:numFmt w:val="lowerRoman"/>
      <w:lvlText w:val="%1)"/>
      <w:lvlJc w:val="left"/>
      <w:pPr>
        <w:tabs>
          <w:tab w:val="num" w:pos="926"/>
        </w:tabs>
        <w:ind w:left="926" w:hanging="360"/>
      </w:pPr>
      <w:rPr>
        <w:rFonts w:hint="default"/>
      </w:rPr>
    </w:lvl>
  </w:abstractNum>
  <w:abstractNum w:abstractNumId="3"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CBCA74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A5A6F8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102702"/>
    <w:multiLevelType w:val="hybridMultilevel"/>
    <w:tmpl w:val="5FB0481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0D371EBA"/>
    <w:multiLevelType w:val="hybridMultilevel"/>
    <w:tmpl w:val="D6B0D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6646F1"/>
    <w:multiLevelType w:val="hybridMultilevel"/>
    <w:tmpl w:val="93DC0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83243"/>
    <w:multiLevelType w:val="hybridMultilevel"/>
    <w:tmpl w:val="50764ED0"/>
    <w:lvl w:ilvl="0" w:tplc="0C090001">
      <w:start w:val="1"/>
      <w:numFmt w:val="bullet"/>
      <w:lvlText w:val=""/>
      <w:lvlJc w:val="left"/>
      <w:pPr>
        <w:ind w:left="760" w:hanging="360"/>
      </w:pPr>
      <w:rPr>
        <w:rFonts w:ascii="Symbol" w:hAnsi="Symbol" w:hint="default"/>
      </w:rPr>
    </w:lvl>
    <w:lvl w:ilvl="1" w:tplc="1974C258">
      <w:start w:val="1"/>
      <w:numFmt w:val="bullet"/>
      <w:lvlText w:val="­"/>
      <w:lvlJc w:val="left"/>
      <w:pPr>
        <w:ind w:left="1480" w:hanging="360"/>
      </w:pPr>
      <w:rPr>
        <w:rFonts w:ascii="Courier New" w:hAnsi="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2" w15:restartNumberingAfterBreak="0">
    <w:nsid w:val="127706A2"/>
    <w:multiLevelType w:val="hybridMultilevel"/>
    <w:tmpl w:val="5A944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DE6F96"/>
    <w:multiLevelType w:val="hybridMultilevel"/>
    <w:tmpl w:val="4BF0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8D458D"/>
    <w:multiLevelType w:val="hybridMultilevel"/>
    <w:tmpl w:val="DA766B78"/>
    <w:lvl w:ilvl="0" w:tplc="1974C258">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86A4DCE"/>
    <w:multiLevelType w:val="multilevel"/>
    <w:tmpl w:val="4798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1CB87799"/>
    <w:multiLevelType w:val="hybridMultilevel"/>
    <w:tmpl w:val="EF38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BB62D1"/>
    <w:multiLevelType w:val="hybridMultilevel"/>
    <w:tmpl w:val="63C88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4D57CA"/>
    <w:multiLevelType w:val="hybridMultilevel"/>
    <w:tmpl w:val="45125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0D02B1"/>
    <w:multiLevelType w:val="hybridMultilevel"/>
    <w:tmpl w:val="7A5C9E00"/>
    <w:lvl w:ilvl="0" w:tplc="0C090015">
      <w:start w:val="1"/>
      <w:numFmt w:val="upperLetter"/>
      <w:lvlText w:val="%1."/>
      <w:lvlJc w:val="left"/>
      <w:pPr>
        <w:ind w:left="720" w:hanging="360"/>
      </w:pPr>
      <w:rPr>
        <w:rFonts w:hint="default"/>
      </w:rPr>
    </w:lvl>
    <w:lvl w:ilvl="1" w:tplc="1974C25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F30BBF"/>
    <w:multiLevelType w:val="hybridMultilevel"/>
    <w:tmpl w:val="C2EE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4429EE"/>
    <w:multiLevelType w:val="hybridMultilevel"/>
    <w:tmpl w:val="83D4E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5" w15:restartNumberingAfterBreak="0">
    <w:nsid w:val="2A913599"/>
    <w:multiLevelType w:val="multilevel"/>
    <w:tmpl w:val="02AA8FA0"/>
    <w:numStyleLink w:val="ListBullets"/>
  </w:abstractNum>
  <w:abstractNum w:abstractNumId="26" w15:restartNumberingAfterBreak="0">
    <w:nsid w:val="2C3E0AF1"/>
    <w:multiLevelType w:val="hybridMultilevel"/>
    <w:tmpl w:val="0844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4C66BB"/>
    <w:multiLevelType w:val="hybridMultilevel"/>
    <w:tmpl w:val="C50CFF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F2425AB"/>
    <w:multiLevelType w:val="multilevel"/>
    <w:tmpl w:val="BC8603C0"/>
    <w:numStyleLink w:val="ListNumbers"/>
  </w:abstractNum>
  <w:abstractNum w:abstractNumId="29" w15:restartNumberingAfterBreak="0">
    <w:nsid w:val="302A071F"/>
    <w:multiLevelType w:val="hybridMultilevel"/>
    <w:tmpl w:val="C0E6B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9F6A23"/>
    <w:multiLevelType w:val="hybridMultilevel"/>
    <w:tmpl w:val="05DC30A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1" w15:restartNumberingAfterBreak="0">
    <w:nsid w:val="34A71C82"/>
    <w:multiLevelType w:val="hybridMultilevel"/>
    <w:tmpl w:val="D65C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E743DD"/>
    <w:multiLevelType w:val="hybridMultilevel"/>
    <w:tmpl w:val="50CADB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1B02BA"/>
    <w:multiLevelType w:val="hybridMultilevel"/>
    <w:tmpl w:val="9688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DF642A"/>
    <w:multiLevelType w:val="hybridMultilevel"/>
    <w:tmpl w:val="BFAEE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B0F6519"/>
    <w:multiLevelType w:val="hybridMultilevel"/>
    <w:tmpl w:val="0546C234"/>
    <w:lvl w:ilvl="0" w:tplc="F4CCF1BE">
      <w:start w:val="1"/>
      <w:numFmt w:val="decimal"/>
      <w:lvlText w:val="%1)"/>
      <w:lvlJc w:val="left"/>
      <w:pPr>
        <w:ind w:left="360" w:hanging="360"/>
      </w:pPr>
      <w:rPr>
        <w:rFonts w:hint="default"/>
        <w:color w:val="4F81BD" w:themeColor="accent1"/>
      </w:rPr>
    </w:lvl>
    <w:lvl w:ilvl="1" w:tplc="0C090003">
      <w:start w:val="1"/>
      <w:numFmt w:val="lowerLetter"/>
      <w:lvlText w:val="(%2)"/>
      <w:lvlJc w:val="left"/>
      <w:pPr>
        <w:ind w:left="1080" w:hanging="360"/>
      </w:pPr>
      <w:rPr>
        <w:rFonts w:hint="default"/>
      </w:rPr>
    </w:lvl>
    <w:lvl w:ilvl="2" w:tplc="0C090005">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6" w15:restartNumberingAfterBreak="0">
    <w:nsid w:val="3FDD470D"/>
    <w:multiLevelType w:val="singleLevel"/>
    <w:tmpl w:val="B664CF16"/>
    <w:lvl w:ilvl="0">
      <w:start w:val="1"/>
      <w:numFmt w:val="decimal"/>
      <w:lvlText w:val="%1)"/>
      <w:lvlJc w:val="left"/>
      <w:pPr>
        <w:ind w:left="360" w:hanging="360"/>
      </w:pPr>
      <w:rPr>
        <w:color w:val="auto"/>
      </w:rPr>
    </w:lvl>
  </w:abstractNum>
  <w:abstractNum w:abstractNumId="37" w15:restartNumberingAfterBreak="0">
    <w:nsid w:val="40717111"/>
    <w:multiLevelType w:val="hybridMultilevel"/>
    <w:tmpl w:val="C1660A24"/>
    <w:lvl w:ilvl="0" w:tplc="A3EE5CE0">
      <w:start w:val="1"/>
      <w:numFmt w:val="bullet"/>
      <w:lvlText w:val=""/>
      <w:lvlJc w:val="left"/>
      <w:pPr>
        <w:ind w:left="720" w:hanging="360"/>
      </w:pPr>
      <w:rPr>
        <w:rFonts w:ascii="Symbol" w:hAnsi="Symbol" w:hint="default"/>
      </w:rPr>
    </w:lvl>
    <w:lvl w:ilvl="1" w:tplc="77B4A7AC" w:tentative="1">
      <w:start w:val="1"/>
      <w:numFmt w:val="bullet"/>
      <w:lvlText w:val="o"/>
      <w:lvlJc w:val="left"/>
      <w:pPr>
        <w:ind w:left="1440" w:hanging="360"/>
      </w:pPr>
      <w:rPr>
        <w:rFonts w:ascii="Courier New" w:hAnsi="Courier New" w:cs="Courier New" w:hint="default"/>
      </w:rPr>
    </w:lvl>
    <w:lvl w:ilvl="2" w:tplc="1A3CBA2E" w:tentative="1">
      <w:start w:val="1"/>
      <w:numFmt w:val="bullet"/>
      <w:lvlText w:val=""/>
      <w:lvlJc w:val="left"/>
      <w:pPr>
        <w:ind w:left="2160" w:hanging="360"/>
      </w:pPr>
      <w:rPr>
        <w:rFonts w:ascii="Wingdings" w:hAnsi="Wingdings" w:hint="default"/>
      </w:rPr>
    </w:lvl>
    <w:lvl w:ilvl="3" w:tplc="1090E224" w:tentative="1">
      <w:start w:val="1"/>
      <w:numFmt w:val="bullet"/>
      <w:lvlText w:val=""/>
      <w:lvlJc w:val="left"/>
      <w:pPr>
        <w:ind w:left="2880" w:hanging="360"/>
      </w:pPr>
      <w:rPr>
        <w:rFonts w:ascii="Symbol" w:hAnsi="Symbol" w:hint="default"/>
      </w:rPr>
    </w:lvl>
    <w:lvl w:ilvl="4" w:tplc="1DFA7A60" w:tentative="1">
      <w:start w:val="1"/>
      <w:numFmt w:val="bullet"/>
      <w:lvlText w:val="o"/>
      <w:lvlJc w:val="left"/>
      <w:pPr>
        <w:ind w:left="3600" w:hanging="360"/>
      </w:pPr>
      <w:rPr>
        <w:rFonts w:ascii="Courier New" w:hAnsi="Courier New" w:cs="Courier New" w:hint="default"/>
      </w:rPr>
    </w:lvl>
    <w:lvl w:ilvl="5" w:tplc="46D4AC4A" w:tentative="1">
      <w:start w:val="1"/>
      <w:numFmt w:val="bullet"/>
      <w:lvlText w:val=""/>
      <w:lvlJc w:val="left"/>
      <w:pPr>
        <w:ind w:left="4320" w:hanging="360"/>
      </w:pPr>
      <w:rPr>
        <w:rFonts w:ascii="Wingdings" w:hAnsi="Wingdings" w:hint="default"/>
      </w:rPr>
    </w:lvl>
    <w:lvl w:ilvl="6" w:tplc="FEAA6C94" w:tentative="1">
      <w:start w:val="1"/>
      <w:numFmt w:val="bullet"/>
      <w:lvlText w:val=""/>
      <w:lvlJc w:val="left"/>
      <w:pPr>
        <w:ind w:left="5040" w:hanging="360"/>
      </w:pPr>
      <w:rPr>
        <w:rFonts w:ascii="Symbol" w:hAnsi="Symbol" w:hint="default"/>
      </w:rPr>
    </w:lvl>
    <w:lvl w:ilvl="7" w:tplc="C67AE100" w:tentative="1">
      <w:start w:val="1"/>
      <w:numFmt w:val="bullet"/>
      <w:lvlText w:val="o"/>
      <w:lvlJc w:val="left"/>
      <w:pPr>
        <w:ind w:left="5760" w:hanging="360"/>
      </w:pPr>
      <w:rPr>
        <w:rFonts w:ascii="Courier New" w:hAnsi="Courier New" w:cs="Courier New" w:hint="default"/>
      </w:rPr>
    </w:lvl>
    <w:lvl w:ilvl="8" w:tplc="6F7E9BC6" w:tentative="1">
      <w:start w:val="1"/>
      <w:numFmt w:val="bullet"/>
      <w:lvlText w:val=""/>
      <w:lvlJc w:val="left"/>
      <w:pPr>
        <w:ind w:left="6480" w:hanging="360"/>
      </w:pPr>
      <w:rPr>
        <w:rFonts w:ascii="Wingdings" w:hAnsi="Wingdings" w:hint="default"/>
      </w:rPr>
    </w:lvl>
  </w:abstractNum>
  <w:abstractNum w:abstractNumId="38" w15:restartNumberingAfterBreak="0">
    <w:nsid w:val="445C2FA4"/>
    <w:multiLevelType w:val="hybridMultilevel"/>
    <w:tmpl w:val="E86A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DD5C12"/>
    <w:multiLevelType w:val="multilevel"/>
    <w:tmpl w:val="20F2356A"/>
    <w:numStyleLink w:val="Appendix"/>
  </w:abstractNum>
  <w:abstractNum w:abstractNumId="40" w15:restartNumberingAfterBreak="0">
    <w:nsid w:val="4791449D"/>
    <w:multiLevelType w:val="hybridMultilevel"/>
    <w:tmpl w:val="F98E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003935"/>
    <w:multiLevelType w:val="hybridMultilevel"/>
    <w:tmpl w:val="C6DC8880"/>
    <w:lvl w:ilvl="0" w:tplc="0068CC12">
      <w:start w:val="1"/>
      <w:numFmt w:val="decimal"/>
      <w:lvlText w:val="%1"/>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6C4FF0"/>
    <w:multiLevelType w:val="hybridMultilevel"/>
    <w:tmpl w:val="FE3C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E833EE2"/>
    <w:multiLevelType w:val="hybridMultilevel"/>
    <w:tmpl w:val="6A6E8530"/>
    <w:lvl w:ilvl="0" w:tplc="1974C258">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6" w15:restartNumberingAfterBreak="0">
    <w:nsid w:val="5BF51EC7"/>
    <w:multiLevelType w:val="multilevel"/>
    <w:tmpl w:val="1B34D8B4"/>
    <w:styleLink w:val="Headings"/>
    <w:lvl w:ilvl="0">
      <w:start w:val="1"/>
      <w:numFmt w:val="decimal"/>
      <w:pStyle w:val="Heading2"/>
      <w:lvlText w:val="%1"/>
      <w:lvlJc w:val="left"/>
      <w:pPr>
        <w:ind w:left="567" w:hanging="567"/>
      </w:pPr>
      <w:rPr>
        <w:rFonts w:hint="default"/>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B03EF2"/>
    <w:multiLevelType w:val="hybridMultilevel"/>
    <w:tmpl w:val="350E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F3B32E3"/>
    <w:multiLevelType w:val="hybridMultilevel"/>
    <w:tmpl w:val="8160D7AA"/>
    <w:lvl w:ilvl="0" w:tplc="E444AF16">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00D18B2"/>
    <w:multiLevelType w:val="hybridMultilevel"/>
    <w:tmpl w:val="2C622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117734A"/>
    <w:multiLevelType w:val="multilevel"/>
    <w:tmpl w:val="7D08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9F2F2C"/>
    <w:multiLevelType w:val="hybridMultilevel"/>
    <w:tmpl w:val="EC90ED40"/>
    <w:lvl w:ilvl="0" w:tplc="63D2D674">
      <w:start w:val="1"/>
      <w:numFmt w:val="bullet"/>
      <w:pStyle w:val="Lis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2E95C87"/>
    <w:multiLevelType w:val="hybridMultilevel"/>
    <w:tmpl w:val="C842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0078A5"/>
    <w:multiLevelType w:val="hybridMultilevel"/>
    <w:tmpl w:val="503C7282"/>
    <w:lvl w:ilvl="0" w:tplc="0C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5" w15:restartNumberingAfterBreak="0">
    <w:nsid w:val="6E837679"/>
    <w:multiLevelType w:val="hybridMultilevel"/>
    <w:tmpl w:val="803296E6"/>
    <w:lvl w:ilvl="0" w:tplc="0C090001">
      <w:start w:val="1"/>
      <w:numFmt w:val="bullet"/>
      <w:lvlText w:val=""/>
      <w:lvlJc w:val="left"/>
      <w:pPr>
        <w:ind w:left="3268" w:hanging="360"/>
      </w:pPr>
      <w:rPr>
        <w:rFonts w:ascii="Symbol" w:hAnsi="Symbol" w:hint="default"/>
      </w:rPr>
    </w:lvl>
    <w:lvl w:ilvl="1" w:tplc="0C090003" w:tentative="1">
      <w:start w:val="1"/>
      <w:numFmt w:val="bullet"/>
      <w:lvlText w:val="o"/>
      <w:lvlJc w:val="left"/>
      <w:pPr>
        <w:ind w:left="3988" w:hanging="360"/>
      </w:pPr>
      <w:rPr>
        <w:rFonts w:ascii="Courier New" w:hAnsi="Courier New" w:cs="Courier New" w:hint="default"/>
      </w:rPr>
    </w:lvl>
    <w:lvl w:ilvl="2" w:tplc="0C090005" w:tentative="1">
      <w:start w:val="1"/>
      <w:numFmt w:val="bullet"/>
      <w:lvlText w:val=""/>
      <w:lvlJc w:val="left"/>
      <w:pPr>
        <w:ind w:left="4708" w:hanging="360"/>
      </w:pPr>
      <w:rPr>
        <w:rFonts w:ascii="Wingdings" w:hAnsi="Wingdings" w:hint="default"/>
      </w:rPr>
    </w:lvl>
    <w:lvl w:ilvl="3" w:tplc="0C090001" w:tentative="1">
      <w:start w:val="1"/>
      <w:numFmt w:val="bullet"/>
      <w:lvlText w:val=""/>
      <w:lvlJc w:val="left"/>
      <w:pPr>
        <w:ind w:left="5428" w:hanging="360"/>
      </w:pPr>
      <w:rPr>
        <w:rFonts w:ascii="Symbol" w:hAnsi="Symbol" w:hint="default"/>
      </w:rPr>
    </w:lvl>
    <w:lvl w:ilvl="4" w:tplc="0C090003" w:tentative="1">
      <w:start w:val="1"/>
      <w:numFmt w:val="bullet"/>
      <w:lvlText w:val="o"/>
      <w:lvlJc w:val="left"/>
      <w:pPr>
        <w:ind w:left="6148" w:hanging="360"/>
      </w:pPr>
      <w:rPr>
        <w:rFonts w:ascii="Courier New" w:hAnsi="Courier New" w:cs="Courier New" w:hint="default"/>
      </w:rPr>
    </w:lvl>
    <w:lvl w:ilvl="5" w:tplc="0C090005" w:tentative="1">
      <w:start w:val="1"/>
      <w:numFmt w:val="bullet"/>
      <w:lvlText w:val=""/>
      <w:lvlJc w:val="left"/>
      <w:pPr>
        <w:ind w:left="6868" w:hanging="360"/>
      </w:pPr>
      <w:rPr>
        <w:rFonts w:ascii="Wingdings" w:hAnsi="Wingdings" w:hint="default"/>
      </w:rPr>
    </w:lvl>
    <w:lvl w:ilvl="6" w:tplc="0C090001" w:tentative="1">
      <w:start w:val="1"/>
      <w:numFmt w:val="bullet"/>
      <w:lvlText w:val=""/>
      <w:lvlJc w:val="left"/>
      <w:pPr>
        <w:ind w:left="7588" w:hanging="360"/>
      </w:pPr>
      <w:rPr>
        <w:rFonts w:ascii="Symbol" w:hAnsi="Symbol" w:hint="default"/>
      </w:rPr>
    </w:lvl>
    <w:lvl w:ilvl="7" w:tplc="0C090003" w:tentative="1">
      <w:start w:val="1"/>
      <w:numFmt w:val="bullet"/>
      <w:lvlText w:val="o"/>
      <w:lvlJc w:val="left"/>
      <w:pPr>
        <w:ind w:left="8308" w:hanging="360"/>
      </w:pPr>
      <w:rPr>
        <w:rFonts w:ascii="Courier New" w:hAnsi="Courier New" w:cs="Courier New" w:hint="default"/>
      </w:rPr>
    </w:lvl>
    <w:lvl w:ilvl="8" w:tplc="0C090005" w:tentative="1">
      <w:start w:val="1"/>
      <w:numFmt w:val="bullet"/>
      <w:lvlText w:val=""/>
      <w:lvlJc w:val="left"/>
      <w:pPr>
        <w:ind w:left="9028" w:hanging="360"/>
      </w:pPr>
      <w:rPr>
        <w:rFonts w:ascii="Wingdings" w:hAnsi="Wingdings" w:hint="default"/>
      </w:rPr>
    </w:lvl>
  </w:abstractNum>
  <w:abstractNum w:abstractNumId="5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0D330FE"/>
    <w:multiLevelType w:val="singleLevel"/>
    <w:tmpl w:val="05420F66"/>
    <w:lvl w:ilvl="0">
      <w:start w:val="1"/>
      <w:numFmt w:val="lowerLetter"/>
      <w:lvlText w:val="%1)"/>
      <w:lvlJc w:val="left"/>
      <w:pPr>
        <w:ind w:left="709" w:hanging="426"/>
      </w:pPr>
      <w:rPr>
        <w:rFonts w:hint="default"/>
      </w:rPr>
    </w:lvl>
  </w:abstractNum>
  <w:abstractNum w:abstractNumId="58" w15:restartNumberingAfterBreak="0">
    <w:nsid w:val="78F635AC"/>
    <w:multiLevelType w:val="hybridMultilevel"/>
    <w:tmpl w:val="679C2EC2"/>
    <w:lvl w:ilvl="0" w:tplc="0C090001">
      <w:start w:val="1"/>
      <w:numFmt w:val="bullet"/>
      <w:lvlText w:val=""/>
      <w:lvlJc w:val="left"/>
      <w:pPr>
        <w:ind w:left="720" w:hanging="360"/>
      </w:pPr>
      <w:rPr>
        <w:rFonts w:ascii="Symbol" w:hAnsi="Symbol" w:hint="default"/>
      </w:rPr>
    </w:lvl>
    <w:lvl w:ilvl="1" w:tplc="1974C258">
      <w:start w:val="1"/>
      <w:numFmt w:val="bullet"/>
      <w:lvlText w:val="­"/>
      <w:lvlJc w:val="left"/>
      <w:pPr>
        <w:ind w:left="1440" w:hanging="360"/>
      </w:pPr>
      <w:rPr>
        <w:rFonts w:ascii="Courier New" w:hAnsi="Courier New" w:hint="default"/>
      </w:rPr>
    </w:lvl>
    <w:lvl w:ilvl="2" w:tplc="1E48028A">
      <w:numFmt w:val="bullet"/>
      <w:lvlText w:val="•"/>
      <w:lvlJc w:val="left"/>
      <w:pPr>
        <w:ind w:left="2520" w:hanging="720"/>
      </w:pPr>
      <w:rPr>
        <w:rFonts w:ascii="Cambria" w:eastAsiaTheme="minorEastAsia" w:hAnsi="Cambria"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9726B72"/>
    <w:multiLevelType w:val="hybridMultilevel"/>
    <w:tmpl w:val="9A563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E8C0ED3"/>
    <w:multiLevelType w:val="hybridMultilevel"/>
    <w:tmpl w:val="DFFA12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EA23FD"/>
    <w:multiLevelType w:val="hybridMultilevel"/>
    <w:tmpl w:val="BAD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num>
  <w:num w:numId="3">
    <w:abstractNumId w:val="57"/>
    <w:lvlOverride w:ilvl="0">
      <w:startOverride w:val="1"/>
    </w:lvlOverride>
  </w:num>
  <w:num w:numId="4">
    <w:abstractNumId w:val="2"/>
    <w:lvlOverride w:ilvl="0">
      <w:startOverride w:val="1"/>
    </w:lvlOverride>
  </w:num>
  <w:num w:numId="5">
    <w:abstractNumId w:val="41"/>
  </w:num>
  <w:num w:numId="6">
    <w:abstractNumId w:val="16"/>
  </w:num>
  <w:num w:numId="7">
    <w:abstractNumId w:val="36"/>
    <w:lvlOverride w:ilvl="0">
      <w:startOverride w:val="1"/>
    </w:lvlOverride>
  </w:num>
  <w:num w:numId="8">
    <w:abstractNumId w:val="45"/>
  </w:num>
  <w:num w:numId="9">
    <w:abstractNumId w:val="42"/>
  </w:num>
  <w:num w:numId="10">
    <w:abstractNumId w:val="32"/>
  </w:num>
  <w:num w:numId="11">
    <w:abstractNumId w:val="12"/>
  </w:num>
  <w:num w:numId="12">
    <w:abstractNumId w:val="35"/>
  </w:num>
  <w:num w:numId="13">
    <w:abstractNumId w:val="37"/>
  </w:num>
  <w:num w:numId="14">
    <w:abstractNumId w:val="35"/>
    <w:lvlOverride w:ilvl="0">
      <w:startOverride w:val="1"/>
    </w:lvlOverride>
  </w:num>
  <w:num w:numId="15">
    <w:abstractNumId w:val="10"/>
  </w:num>
  <w:num w:numId="16">
    <w:abstractNumId w:val="21"/>
  </w:num>
  <w:num w:numId="17">
    <w:abstractNumId w:val="59"/>
  </w:num>
  <w:num w:numId="18">
    <w:abstractNumId w:val="40"/>
  </w:num>
  <w:num w:numId="19">
    <w:abstractNumId w:val="58"/>
  </w:num>
  <w:num w:numId="20">
    <w:abstractNumId w:val="23"/>
  </w:num>
  <w:num w:numId="21">
    <w:abstractNumId w:val="18"/>
  </w:num>
  <w:num w:numId="22">
    <w:abstractNumId w:val="9"/>
  </w:num>
  <w:num w:numId="23">
    <w:abstractNumId w:val="34"/>
  </w:num>
  <w:num w:numId="24">
    <w:abstractNumId w:val="43"/>
  </w:num>
  <w:num w:numId="25">
    <w:abstractNumId w:val="27"/>
  </w:num>
  <w:num w:numId="26">
    <w:abstractNumId w:val="30"/>
  </w:num>
  <w:num w:numId="27">
    <w:abstractNumId w:val="11"/>
  </w:num>
  <w:num w:numId="28">
    <w:abstractNumId w:val="54"/>
  </w:num>
  <w:num w:numId="29">
    <w:abstractNumId w:val="29"/>
  </w:num>
  <w:num w:numId="30">
    <w:abstractNumId w:val="53"/>
  </w:num>
  <w:num w:numId="31">
    <w:abstractNumId w:val="48"/>
  </w:num>
  <w:num w:numId="32">
    <w:abstractNumId w:val="8"/>
  </w:num>
  <w:num w:numId="33">
    <w:abstractNumId w:val="49"/>
  </w:num>
  <w:num w:numId="34">
    <w:abstractNumId w:val="49"/>
    <w:lvlOverride w:ilvl="0">
      <w:startOverride w:val="1"/>
    </w:lvlOverride>
  </w:num>
  <w:num w:numId="35">
    <w:abstractNumId w:val="49"/>
  </w:num>
  <w:num w:numId="36">
    <w:abstractNumId w:val="44"/>
  </w:num>
  <w:num w:numId="37">
    <w:abstractNumId w:val="14"/>
  </w:num>
  <w:num w:numId="38">
    <w:abstractNumId w:val="51"/>
  </w:num>
  <w:num w:numId="39">
    <w:abstractNumId w:val="50"/>
  </w:num>
  <w:num w:numId="40">
    <w:abstractNumId w:val="7"/>
  </w:num>
  <w:num w:numId="41">
    <w:abstractNumId w:val="55"/>
  </w:num>
  <w:num w:numId="42">
    <w:abstractNumId w:val="22"/>
  </w:num>
  <w:num w:numId="43">
    <w:abstractNumId w:val="52"/>
  </w:num>
  <w:num w:numId="44">
    <w:abstractNumId w:val="7"/>
  </w:num>
  <w:num w:numId="45">
    <w:abstractNumId w:val="15"/>
  </w:num>
  <w:num w:numId="46">
    <w:abstractNumId w:val="26"/>
  </w:num>
  <w:num w:numId="47">
    <w:abstractNumId w:val="13"/>
  </w:num>
  <w:num w:numId="48">
    <w:abstractNumId w:val="19"/>
  </w:num>
  <w:num w:numId="49">
    <w:abstractNumId w:val="31"/>
  </w:num>
  <w:num w:numId="50">
    <w:abstractNumId w:val="33"/>
  </w:num>
  <w:num w:numId="51">
    <w:abstractNumId w:val="20"/>
  </w:num>
  <w:num w:numId="52">
    <w:abstractNumId w:val="61"/>
  </w:num>
  <w:num w:numId="53">
    <w:abstractNumId w:val="35"/>
    <w:lvlOverride w:ilvl="0">
      <w:startOverride w:val="1"/>
    </w:lvlOverride>
  </w:num>
  <w:num w:numId="54">
    <w:abstractNumId w:val="38"/>
  </w:num>
  <w:num w:numId="55">
    <w:abstractNumId w:val="5"/>
  </w:num>
  <w:num w:numId="56">
    <w:abstractNumId w:val="4"/>
  </w:num>
  <w:num w:numId="57">
    <w:abstractNumId w:val="3"/>
  </w:num>
  <w:num w:numId="58">
    <w:abstractNumId w:val="1"/>
  </w:num>
  <w:num w:numId="59">
    <w:abstractNumId w:val="0"/>
  </w:num>
  <w:num w:numId="60">
    <w:abstractNumId w:val="35"/>
    <w:lvlOverride w:ilvl="0">
      <w:startOverride w:val="1"/>
    </w:lvlOverride>
  </w:num>
  <w:num w:numId="61">
    <w:abstractNumId w:val="17"/>
  </w:num>
  <w:num w:numId="62">
    <w:abstractNumId w:val="25"/>
  </w:num>
  <w:num w:numId="63">
    <w:abstractNumId w:val="56"/>
  </w:num>
  <w:num w:numId="64">
    <w:abstractNumId w:val="28"/>
  </w:num>
  <w:num w:numId="65">
    <w:abstractNumId w:val="46"/>
  </w:num>
  <w:num w:numId="66">
    <w:abstractNumId w:val="24"/>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47"/>
  </w:num>
  <w:num w:numId="70">
    <w:abstractNumId w:val="46"/>
  </w:num>
  <w:num w:numId="71">
    <w:abstractNumId w:val="46"/>
  </w:num>
  <w:num w:numId="72">
    <w:abstractNumId w:val="60"/>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48"/>
    <w:rsid w:val="000008A6"/>
    <w:rsid w:val="00001B76"/>
    <w:rsid w:val="000020B5"/>
    <w:rsid w:val="000027C9"/>
    <w:rsid w:val="000039FD"/>
    <w:rsid w:val="000045BE"/>
    <w:rsid w:val="0000510A"/>
    <w:rsid w:val="00005693"/>
    <w:rsid w:val="00006FBD"/>
    <w:rsid w:val="00007FD4"/>
    <w:rsid w:val="00011295"/>
    <w:rsid w:val="00011A8A"/>
    <w:rsid w:val="000121BF"/>
    <w:rsid w:val="000125BB"/>
    <w:rsid w:val="00013757"/>
    <w:rsid w:val="00014BB8"/>
    <w:rsid w:val="00014EF6"/>
    <w:rsid w:val="0001504C"/>
    <w:rsid w:val="000150DB"/>
    <w:rsid w:val="000152F2"/>
    <w:rsid w:val="000165F4"/>
    <w:rsid w:val="00020B9F"/>
    <w:rsid w:val="0002273A"/>
    <w:rsid w:val="00022D85"/>
    <w:rsid w:val="000232C5"/>
    <w:rsid w:val="00023C00"/>
    <w:rsid w:val="000257A6"/>
    <w:rsid w:val="0002655F"/>
    <w:rsid w:val="000304DC"/>
    <w:rsid w:val="00030743"/>
    <w:rsid w:val="00030DBE"/>
    <w:rsid w:val="000313BC"/>
    <w:rsid w:val="00033EE3"/>
    <w:rsid w:val="00034415"/>
    <w:rsid w:val="00034582"/>
    <w:rsid w:val="0003507A"/>
    <w:rsid w:val="000353F7"/>
    <w:rsid w:val="000357D6"/>
    <w:rsid w:val="00037065"/>
    <w:rsid w:val="000409CF"/>
    <w:rsid w:val="000413BD"/>
    <w:rsid w:val="00041B91"/>
    <w:rsid w:val="00041C73"/>
    <w:rsid w:val="00041D7C"/>
    <w:rsid w:val="0004353E"/>
    <w:rsid w:val="00044210"/>
    <w:rsid w:val="00044441"/>
    <w:rsid w:val="00044A45"/>
    <w:rsid w:val="00044B19"/>
    <w:rsid w:val="00045C03"/>
    <w:rsid w:val="00045C0E"/>
    <w:rsid w:val="00046640"/>
    <w:rsid w:val="000476A2"/>
    <w:rsid w:val="000509C7"/>
    <w:rsid w:val="00050A28"/>
    <w:rsid w:val="00050D60"/>
    <w:rsid w:val="00050ECB"/>
    <w:rsid w:val="00050FA4"/>
    <w:rsid w:val="00051268"/>
    <w:rsid w:val="0005234D"/>
    <w:rsid w:val="00052573"/>
    <w:rsid w:val="0005465F"/>
    <w:rsid w:val="00054C14"/>
    <w:rsid w:val="00054E5C"/>
    <w:rsid w:val="000552AB"/>
    <w:rsid w:val="00055E1D"/>
    <w:rsid w:val="00056540"/>
    <w:rsid w:val="00057C26"/>
    <w:rsid w:val="0006118A"/>
    <w:rsid w:val="00062969"/>
    <w:rsid w:val="00063145"/>
    <w:rsid w:val="000657DE"/>
    <w:rsid w:val="00066293"/>
    <w:rsid w:val="00066BCD"/>
    <w:rsid w:val="00067C92"/>
    <w:rsid w:val="00067D89"/>
    <w:rsid w:val="0007222A"/>
    <w:rsid w:val="00072255"/>
    <w:rsid w:val="0007238F"/>
    <w:rsid w:val="00072BB5"/>
    <w:rsid w:val="00072F5D"/>
    <w:rsid w:val="00073001"/>
    <w:rsid w:val="00073076"/>
    <w:rsid w:val="000735F9"/>
    <w:rsid w:val="00073C5D"/>
    <w:rsid w:val="0007442E"/>
    <w:rsid w:val="0007466B"/>
    <w:rsid w:val="00074FA1"/>
    <w:rsid w:val="00075E46"/>
    <w:rsid w:val="00075F7A"/>
    <w:rsid w:val="000762B2"/>
    <w:rsid w:val="000762C5"/>
    <w:rsid w:val="00076791"/>
    <w:rsid w:val="000768B4"/>
    <w:rsid w:val="00076F1E"/>
    <w:rsid w:val="00080422"/>
    <w:rsid w:val="0008105D"/>
    <w:rsid w:val="0008128C"/>
    <w:rsid w:val="000812F7"/>
    <w:rsid w:val="000819C6"/>
    <w:rsid w:val="00082202"/>
    <w:rsid w:val="0008286D"/>
    <w:rsid w:val="00082B00"/>
    <w:rsid w:val="00082BFB"/>
    <w:rsid w:val="00083505"/>
    <w:rsid w:val="00083BBC"/>
    <w:rsid w:val="00083FCE"/>
    <w:rsid w:val="00084AFA"/>
    <w:rsid w:val="00084FAB"/>
    <w:rsid w:val="00085A2C"/>
    <w:rsid w:val="0008610B"/>
    <w:rsid w:val="0008679E"/>
    <w:rsid w:val="00086969"/>
    <w:rsid w:val="0008702B"/>
    <w:rsid w:val="00087F29"/>
    <w:rsid w:val="000908B8"/>
    <w:rsid w:val="000917A0"/>
    <w:rsid w:val="00092BD5"/>
    <w:rsid w:val="00092F06"/>
    <w:rsid w:val="00092F0D"/>
    <w:rsid w:val="00097278"/>
    <w:rsid w:val="00097F1D"/>
    <w:rsid w:val="000A0288"/>
    <w:rsid w:val="000A0EFD"/>
    <w:rsid w:val="000A10E2"/>
    <w:rsid w:val="000A165C"/>
    <w:rsid w:val="000A17CE"/>
    <w:rsid w:val="000A1F76"/>
    <w:rsid w:val="000A2463"/>
    <w:rsid w:val="000A3013"/>
    <w:rsid w:val="000A342F"/>
    <w:rsid w:val="000A37FE"/>
    <w:rsid w:val="000A3E36"/>
    <w:rsid w:val="000A4F76"/>
    <w:rsid w:val="000A4FA1"/>
    <w:rsid w:val="000A66A7"/>
    <w:rsid w:val="000A6A8B"/>
    <w:rsid w:val="000A6CE8"/>
    <w:rsid w:val="000A6E29"/>
    <w:rsid w:val="000B0517"/>
    <w:rsid w:val="000B0E4F"/>
    <w:rsid w:val="000B125B"/>
    <w:rsid w:val="000B2059"/>
    <w:rsid w:val="000B234A"/>
    <w:rsid w:val="000B31BB"/>
    <w:rsid w:val="000B3563"/>
    <w:rsid w:val="000B3B4D"/>
    <w:rsid w:val="000B573A"/>
    <w:rsid w:val="000B57B0"/>
    <w:rsid w:val="000B5859"/>
    <w:rsid w:val="000B5D1C"/>
    <w:rsid w:val="000B66AE"/>
    <w:rsid w:val="000B6917"/>
    <w:rsid w:val="000B6B51"/>
    <w:rsid w:val="000C1F61"/>
    <w:rsid w:val="000C2ED6"/>
    <w:rsid w:val="000C3074"/>
    <w:rsid w:val="000C3123"/>
    <w:rsid w:val="000C44C0"/>
    <w:rsid w:val="000C4A92"/>
    <w:rsid w:val="000C4F8B"/>
    <w:rsid w:val="000C5064"/>
    <w:rsid w:val="000C5217"/>
    <w:rsid w:val="000C5532"/>
    <w:rsid w:val="000C55B6"/>
    <w:rsid w:val="000C6D11"/>
    <w:rsid w:val="000C6D47"/>
    <w:rsid w:val="000C7033"/>
    <w:rsid w:val="000C77CB"/>
    <w:rsid w:val="000D0236"/>
    <w:rsid w:val="000D0A73"/>
    <w:rsid w:val="000D1B32"/>
    <w:rsid w:val="000D4B9C"/>
    <w:rsid w:val="000D51AA"/>
    <w:rsid w:val="000D5CBE"/>
    <w:rsid w:val="000E04F1"/>
    <w:rsid w:val="000E04FE"/>
    <w:rsid w:val="000E0733"/>
    <w:rsid w:val="000E1B48"/>
    <w:rsid w:val="000E2148"/>
    <w:rsid w:val="000E2D89"/>
    <w:rsid w:val="000E3A1C"/>
    <w:rsid w:val="000E5684"/>
    <w:rsid w:val="000F00B5"/>
    <w:rsid w:val="000F036B"/>
    <w:rsid w:val="000F041C"/>
    <w:rsid w:val="000F061B"/>
    <w:rsid w:val="000F1683"/>
    <w:rsid w:val="000F28CF"/>
    <w:rsid w:val="000F2911"/>
    <w:rsid w:val="000F4464"/>
    <w:rsid w:val="000F4AC8"/>
    <w:rsid w:val="000F4E34"/>
    <w:rsid w:val="000F5AC5"/>
    <w:rsid w:val="000F68D3"/>
    <w:rsid w:val="000F6B5F"/>
    <w:rsid w:val="000F7B2E"/>
    <w:rsid w:val="00102736"/>
    <w:rsid w:val="001029E3"/>
    <w:rsid w:val="00103291"/>
    <w:rsid w:val="00103B88"/>
    <w:rsid w:val="00104AFD"/>
    <w:rsid w:val="0010519D"/>
    <w:rsid w:val="00105AC2"/>
    <w:rsid w:val="00106A53"/>
    <w:rsid w:val="00106F10"/>
    <w:rsid w:val="00107171"/>
    <w:rsid w:val="0011051E"/>
    <w:rsid w:val="00113483"/>
    <w:rsid w:val="00113808"/>
    <w:rsid w:val="00113B9E"/>
    <w:rsid w:val="001141D3"/>
    <w:rsid w:val="00114AAB"/>
    <w:rsid w:val="00115AEC"/>
    <w:rsid w:val="00115E20"/>
    <w:rsid w:val="00115FB0"/>
    <w:rsid w:val="00116CED"/>
    <w:rsid w:val="00120DE4"/>
    <w:rsid w:val="00121944"/>
    <w:rsid w:val="0012363D"/>
    <w:rsid w:val="0012395C"/>
    <w:rsid w:val="00124376"/>
    <w:rsid w:val="00124CCD"/>
    <w:rsid w:val="001267E6"/>
    <w:rsid w:val="0013137B"/>
    <w:rsid w:val="001320CF"/>
    <w:rsid w:val="00132C2A"/>
    <w:rsid w:val="00132D29"/>
    <w:rsid w:val="00135269"/>
    <w:rsid w:val="00135C2F"/>
    <w:rsid w:val="00136F06"/>
    <w:rsid w:val="00137026"/>
    <w:rsid w:val="00137058"/>
    <w:rsid w:val="00137B2F"/>
    <w:rsid w:val="001403ED"/>
    <w:rsid w:val="00140403"/>
    <w:rsid w:val="0014069B"/>
    <w:rsid w:val="00140ABD"/>
    <w:rsid w:val="00140B61"/>
    <w:rsid w:val="001419F7"/>
    <w:rsid w:val="00141A65"/>
    <w:rsid w:val="00142AA0"/>
    <w:rsid w:val="00142E21"/>
    <w:rsid w:val="00143503"/>
    <w:rsid w:val="001437F8"/>
    <w:rsid w:val="00143A99"/>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F7A"/>
    <w:rsid w:val="00155149"/>
    <w:rsid w:val="00155F0B"/>
    <w:rsid w:val="001568B8"/>
    <w:rsid w:val="00157321"/>
    <w:rsid w:val="0015764B"/>
    <w:rsid w:val="001576A2"/>
    <w:rsid w:val="001578A4"/>
    <w:rsid w:val="00157C13"/>
    <w:rsid w:val="00157C7C"/>
    <w:rsid w:val="00157D1E"/>
    <w:rsid w:val="00161ACC"/>
    <w:rsid w:val="00162233"/>
    <w:rsid w:val="00162F72"/>
    <w:rsid w:val="00163B7B"/>
    <w:rsid w:val="00164202"/>
    <w:rsid w:val="0016454F"/>
    <w:rsid w:val="00164AB2"/>
    <w:rsid w:val="001654D0"/>
    <w:rsid w:val="00165E98"/>
    <w:rsid w:val="00166452"/>
    <w:rsid w:val="00166505"/>
    <w:rsid w:val="00167417"/>
    <w:rsid w:val="0017118A"/>
    <w:rsid w:val="00171413"/>
    <w:rsid w:val="0017195A"/>
    <w:rsid w:val="00171AD9"/>
    <w:rsid w:val="00172A5F"/>
    <w:rsid w:val="00173C56"/>
    <w:rsid w:val="00174B32"/>
    <w:rsid w:val="00174F3A"/>
    <w:rsid w:val="001750E4"/>
    <w:rsid w:val="00175477"/>
    <w:rsid w:val="0017615D"/>
    <w:rsid w:val="001808CD"/>
    <w:rsid w:val="00180A17"/>
    <w:rsid w:val="00181533"/>
    <w:rsid w:val="00182084"/>
    <w:rsid w:val="001825E2"/>
    <w:rsid w:val="00183000"/>
    <w:rsid w:val="00183CE1"/>
    <w:rsid w:val="001846E8"/>
    <w:rsid w:val="00184AAE"/>
    <w:rsid w:val="001853F3"/>
    <w:rsid w:val="00185963"/>
    <w:rsid w:val="00185EBD"/>
    <w:rsid w:val="00186088"/>
    <w:rsid w:val="0018762B"/>
    <w:rsid w:val="00190057"/>
    <w:rsid w:val="00190F9D"/>
    <w:rsid w:val="001912C6"/>
    <w:rsid w:val="001914C8"/>
    <w:rsid w:val="00191E2B"/>
    <w:rsid w:val="00192613"/>
    <w:rsid w:val="001926EB"/>
    <w:rsid w:val="00192B7F"/>
    <w:rsid w:val="00193D66"/>
    <w:rsid w:val="001944D0"/>
    <w:rsid w:val="00195D43"/>
    <w:rsid w:val="00196211"/>
    <w:rsid w:val="0019672B"/>
    <w:rsid w:val="00197838"/>
    <w:rsid w:val="001A0D11"/>
    <w:rsid w:val="001A12B2"/>
    <w:rsid w:val="001A1A0B"/>
    <w:rsid w:val="001A1B5E"/>
    <w:rsid w:val="001A2162"/>
    <w:rsid w:val="001A21CB"/>
    <w:rsid w:val="001A23BF"/>
    <w:rsid w:val="001A24EC"/>
    <w:rsid w:val="001A3315"/>
    <w:rsid w:val="001A3426"/>
    <w:rsid w:val="001A4983"/>
    <w:rsid w:val="001A4D2F"/>
    <w:rsid w:val="001A5035"/>
    <w:rsid w:val="001A618A"/>
    <w:rsid w:val="001A6572"/>
    <w:rsid w:val="001A68C3"/>
    <w:rsid w:val="001A7C00"/>
    <w:rsid w:val="001A7F88"/>
    <w:rsid w:val="001B02BE"/>
    <w:rsid w:val="001B1BDB"/>
    <w:rsid w:val="001B1C7D"/>
    <w:rsid w:val="001B3503"/>
    <w:rsid w:val="001B37E2"/>
    <w:rsid w:val="001B4470"/>
    <w:rsid w:val="001B4FBE"/>
    <w:rsid w:val="001B6029"/>
    <w:rsid w:val="001B6877"/>
    <w:rsid w:val="001B71AF"/>
    <w:rsid w:val="001C0B4A"/>
    <w:rsid w:val="001C147B"/>
    <w:rsid w:val="001C1D7F"/>
    <w:rsid w:val="001C2157"/>
    <w:rsid w:val="001C2F2D"/>
    <w:rsid w:val="001C391A"/>
    <w:rsid w:val="001C50A0"/>
    <w:rsid w:val="001C6898"/>
    <w:rsid w:val="001C6A9B"/>
    <w:rsid w:val="001C6CC1"/>
    <w:rsid w:val="001C7F63"/>
    <w:rsid w:val="001D0E08"/>
    <w:rsid w:val="001D14E9"/>
    <w:rsid w:val="001D14F7"/>
    <w:rsid w:val="001D157D"/>
    <w:rsid w:val="001D1DE5"/>
    <w:rsid w:val="001D2444"/>
    <w:rsid w:val="001D2F47"/>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54D7"/>
    <w:rsid w:val="001E5501"/>
    <w:rsid w:val="001E5818"/>
    <w:rsid w:val="001E67EB"/>
    <w:rsid w:val="001E6E04"/>
    <w:rsid w:val="001F0308"/>
    <w:rsid w:val="001F1528"/>
    <w:rsid w:val="001F1F30"/>
    <w:rsid w:val="001F1F5A"/>
    <w:rsid w:val="001F2331"/>
    <w:rsid w:val="001F25B1"/>
    <w:rsid w:val="001F2FD2"/>
    <w:rsid w:val="001F3911"/>
    <w:rsid w:val="001F4186"/>
    <w:rsid w:val="001F558B"/>
    <w:rsid w:val="001F6BBF"/>
    <w:rsid w:val="001F7E9C"/>
    <w:rsid w:val="00200708"/>
    <w:rsid w:val="00200903"/>
    <w:rsid w:val="00201135"/>
    <w:rsid w:val="0020114C"/>
    <w:rsid w:val="002013A9"/>
    <w:rsid w:val="00201EE2"/>
    <w:rsid w:val="00202144"/>
    <w:rsid w:val="00202A58"/>
    <w:rsid w:val="00203CC0"/>
    <w:rsid w:val="002072BC"/>
    <w:rsid w:val="00207CAC"/>
    <w:rsid w:val="00210233"/>
    <w:rsid w:val="002105B1"/>
    <w:rsid w:val="0021080C"/>
    <w:rsid w:val="00210C13"/>
    <w:rsid w:val="00211A48"/>
    <w:rsid w:val="00212EDE"/>
    <w:rsid w:val="002142FC"/>
    <w:rsid w:val="002152B6"/>
    <w:rsid w:val="0021543F"/>
    <w:rsid w:val="002161BF"/>
    <w:rsid w:val="00216FC3"/>
    <w:rsid w:val="002170F2"/>
    <w:rsid w:val="00217F02"/>
    <w:rsid w:val="002202FB"/>
    <w:rsid w:val="00221012"/>
    <w:rsid w:val="00223006"/>
    <w:rsid w:val="00223164"/>
    <w:rsid w:val="002231C2"/>
    <w:rsid w:val="002246DD"/>
    <w:rsid w:val="002251C5"/>
    <w:rsid w:val="00225776"/>
    <w:rsid w:val="0022648D"/>
    <w:rsid w:val="00226694"/>
    <w:rsid w:val="00226A69"/>
    <w:rsid w:val="00226EEE"/>
    <w:rsid w:val="00227FE6"/>
    <w:rsid w:val="00230C8D"/>
    <w:rsid w:val="0023139E"/>
    <w:rsid w:val="00231C98"/>
    <w:rsid w:val="002327C2"/>
    <w:rsid w:val="00232891"/>
    <w:rsid w:val="0023338C"/>
    <w:rsid w:val="00233AB4"/>
    <w:rsid w:val="0023438B"/>
    <w:rsid w:val="00235A04"/>
    <w:rsid w:val="002360AA"/>
    <w:rsid w:val="0023774F"/>
    <w:rsid w:val="00237871"/>
    <w:rsid w:val="00237993"/>
    <w:rsid w:val="00241122"/>
    <w:rsid w:val="00241476"/>
    <w:rsid w:val="00242775"/>
    <w:rsid w:val="00242E2E"/>
    <w:rsid w:val="002436DE"/>
    <w:rsid w:val="002436E0"/>
    <w:rsid w:val="00244CD6"/>
    <w:rsid w:val="00245D70"/>
    <w:rsid w:val="00246104"/>
    <w:rsid w:val="0024645F"/>
    <w:rsid w:val="00246554"/>
    <w:rsid w:val="00246824"/>
    <w:rsid w:val="00246901"/>
    <w:rsid w:val="00246D4F"/>
    <w:rsid w:val="00247E51"/>
    <w:rsid w:val="00250B60"/>
    <w:rsid w:val="00250E19"/>
    <w:rsid w:val="00251614"/>
    <w:rsid w:val="00251760"/>
    <w:rsid w:val="002517E7"/>
    <w:rsid w:val="00251A2E"/>
    <w:rsid w:val="0025201A"/>
    <w:rsid w:val="002525A6"/>
    <w:rsid w:val="00252E72"/>
    <w:rsid w:val="00253C3C"/>
    <w:rsid w:val="00253D32"/>
    <w:rsid w:val="00253E4F"/>
    <w:rsid w:val="00253E8E"/>
    <w:rsid w:val="00254335"/>
    <w:rsid w:val="002543D6"/>
    <w:rsid w:val="0025448D"/>
    <w:rsid w:val="0025465A"/>
    <w:rsid w:val="00254A1E"/>
    <w:rsid w:val="00254AAC"/>
    <w:rsid w:val="002550AA"/>
    <w:rsid w:val="002561E3"/>
    <w:rsid w:val="00256C20"/>
    <w:rsid w:val="00256D17"/>
    <w:rsid w:val="00256F2A"/>
    <w:rsid w:val="0025706E"/>
    <w:rsid w:val="00257466"/>
    <w:rsid w:val="002600E2"/>
    <w:rsid w:val="00262A31"/>
    <w:rsid w:val="0026328F"/>
    <w:rsid w:val="00263AEF"/>
    <w:rsid w:val="00263BE0"/>
    <w:rsid w:val="00263CA8"/>
    <w:rsid w:val="00264FEB"/>
    <w:rsid w:val="00265C44"/>
    <w:rsid w:val="00265E69"/>
    <w:rsid w:val="0026661F"/>
    <w:rsid w:val="002667AC"/>
    <w:rsid w:val="00266DAF"/>
    <w:rsid w:val="00266DEC"/>
    <w:rsid w:val="002677C7"/>
    <w:rsid w:val="00267841"/>
    <w:rsid w:val="00267A47"/>
    <w:rsid w:val="00270FF8"/>
    <w:rsid w:val="00271356"/>
    <w:rsid w:val="00273AE5"/>
    <w:rsid w:val="0027403A"/>
    <w:rsid w:val="002746EF"/>
    <w:rsid w:val="002749D5"/>
    <w:rsid w:val="00275F76"/>
    <w:rsid w:val="002761E6"/>
    <w:rsid w:val="00277BB9"/>
    <w:rsid w:val="0028000D"/>
    <w:rsid w:val="00281272"/>
    <w:rsid w:val="00281C1B"/>
    <w:rsid w:val="0028208A"/>
    <w:rsid w:val="002821C0"/>
    <w:rsid w:val="002824DE"/>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3F1"/>
    <w:rsid w:val="002A17FB"/>
    <w:rsid w:val="002A23DD"/>
    <w:rsid w:val="002A2E7D"/>
    <w:rsid w:val="002A2F85"/>
    <w:rsid w:val="002A33E4"/>
    <w:rsid w:val="002A4CE2"/>
    <w:rsid w:val="002A54CA"/>
    <w:rsid w:val="002A584F"/>
    <w:rsid w:val="002A6BE6"/>
    <w:rsid w:val="002A7718"/>
    <w:rsid w:val="002A7C75"/>
    <w:rsid w:val="002B041C"/>
    <w:rsid w:val="002B115C"/>
    <w:rsid w:val="002B11DB"/>
    <w:rsid w:val="002B1209"/>
    <w:rsid w:val="002B2FC4"/>
    <w:rsid w:val="002B3A00"/>
    <w:rsid w:val="002B3E57"/>
    <w:rsid w:val="002B3F79"/>
    <w:rsid w:val="002B5E4C"/>
    <w:rsid w:val="002B7460"/>
    <w:rsid w:val="002B77D7"/>
    <w:rsid w:val="002B7DB6"/>
    <w:rsid w:val="002C0D29"/>
    <w:rsid w:val="002C1642"/>
    <w:rsid w:val="002C1CDF"/>
    <w:rsid w:val="002C1E54"/>
    <w:rsid w:val="002C2070"/>
    <w:rsid w:val="002C21D8"/>
    <w:rsid w:val="002C2976"/>
    <w:rsid w:val="002C2C3D"/>
    <w:rsid w:val="002C2CB4"/>
    <w:rsid w:val="002C38E0"/>
    <w:rsid w:val="002C39F5"/>
    <w:rsid w:val="002C3C34"/>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328"/>
    <w:rsid w:val="002D4884"/>
    <w:rsid w:val="002D49A7"/>
    <w:rsid w:val="002D570E"/>
    <w:rsid w:val="002D6678"/>
    <w:rsid w:val="002D6C06"/>
    <w:rsid w:val="002D770B"/>
    <w:rsid w:val="002E15C1"/>
    <w:rsid w:val="002E1B3B"/>
    <w:rsid w:val="002E1F51"/>
    <w:rsid w:val="002E369B"/>
    <w:rsid w:val="002E36E9"/>
    <w:rsid w:val="002E371A"/>
    <w:rsid w:val="002E47E9"/>
    <w:rsid w:val="002E49EC"/>
    <w:rsid w:val="002E58BF"/>
    <w:rsid w:val="002E6220"/>
    <w:rsid w:val="002E6C58"/>
    <w:rsid w:val="002E6F1A"/>
    <w:rsid w:val="002F0E6B"/>
    <w:rsid w:val="002F10AE"/>
    <w:rsid w:val="002F17E3"/>
    <w:rsid w:val="002F1BA4"/>
    <w:rsid w:val="002F1BC1"/>
    <w:rsid w:val="002F2530"/>
    <w:rsid w:val="002F274D"/>
    <w:rsid w:val="002F3062"/>
    <w:rsid w:val="002F35FB"/>
    <w:rsid w:val="002F36A9"/>
    <w:rsid w:val="002F37D3"/>
    <w:rsid w:val="002F397E"/>
    <w:rsid w:val="002F461F"/>
    <w:rsid w:val="002F4C2D"/>
    <w:rsid w:val="002F5DD6"/>
    <w:rsid w:val="002F5F8F"/>
    <w:rsid w:val="002F62C7"/>
    <w:rsid w:val="002F6488"/>
    <w:rsid w:val="002F788D"/>
    <w:rsid w:val="002F7B1E"/>
    <w:rsid w:val="00301961"/>
    <w:rsid w:val="00301E66"/>
    <w:rsid w:val="003020C4"/>
    <w:rsid w:val="003022CA"/>
    <w:rsid w:val="00302F2E"/>
    <w:rsid w:val="003035F8"/>
    <w:rsid w:val="003055A2"/>
    <w:rsid w:val="003064D3"/>
    <w:rsid w:val="00306C67"/>
    <w:rsid w:val="0031086C"/>
    <w:rsid w:val="00310C6A"/>
    <w:rsid w:val="00310C71"/>
    <w:rsid w:val="00311643"/>
    <w:rsid w:val="00311AE5"/>
    <w:rsid w:val="00313686"/>
    <w:rsid w:val="00313B55"/>
    <w:rsid w:val="00313FC3"/>
    <w:rsid w:val="00314F0F"/>
    <w:rsid w:val="003165F8"/>
    <w:rsid w:val="00316C39"/>
    <w:rsid w:val="0031752B"/>
    <w:rsid w:val="00320781"/>
    <w:rsid w:val="00320B83"/>
    <w:rsid w:val="00320C9A"/>
    <w:rsid w:val="003216D3"/>
    <w:rsid w:val="00321731"/>
    <w:rsid w:val="003217B8"/>
    <w:rsid w:val="00322325"/>
    <w:rsid w:val="00322505"/>
    <w:rsid w:val="0032367D"/>
    <w:rsid w:val="00324398"/>
    <w:rsid w:val="003244ED"/>
    <w:rsid w:val="0032481D"/>
    <w:rsid w:val="00324E1E"/>
    <w:rsid w:val="003250E1"/>
    <w:rsid w:val="00326A34"/>
    <w:rsid w:val="00330AA8"/>
    <w:rsid w:val="00330B23"/>
    <w:rsid w:val="00331C28"/>
    <w:rsid w:val="00331E25"/>
    <w:rsid w:val="003322ED"/>
    <w:rsid w:val="003329E9"/>
    <w:rsid w:val="00332DB8"/>
    <w:rsid w:val="00333663"/>
    <w:rsid w:val="003339BE"/>
    <w:rsid w:val="003340EB"/>
    <w:rsid w:val="00334B8E"/>
    <w:rsid w:val="00334E76"/>
    <w:rsid w:val="00335B32"/>
    <w:rsid w:val="00335CD5"/>
    <w:rsid w:val="00336225"/>
    <w:rsid w:val="00336792"/>
    <w:rsid w:val="00336F6D"/>
    <w:rsid w:val="003375D8"/>
    <w:rsid w:val="003376BE"/>
    <w:rsid w:val="00342B3D"/>
    <w:rsid w:val="0034357E"/>
    <w:rsid w:val="003435B5"/>
    <w:rsid w:val="0034379B"/>
    <w:rsid w:val="00343B1C"/>
    <w:rsid w:val="0034406C"/>
    <w:rsid w:val="00344DE6"/>
    <w:rsid w:val="003453B6"/>
    <w:rsid w:val="00345A0B"/>
    <w:rsid w:val="003468F6"/>
    <w:rsid w:val="00346D3D"/>
    <w:rsid w:val="003475C2"/>
    <w:rsid w:val="00347E8B"/>
    <w:rsid w:val="00350747"/>
    <w:rsid w:val="00351FA5"/>
    <w:rsid w:val="0035238F"/>
    <w:rsid w:val="00352441"/>
    <w:rsid w:val="003524A5"/>
    <w:rsid w:val="00352605"/>
    <w:rsid w:val="0035441E"/>
    <w:rsid w:val="00354D6A"/>
    <w:rsid w:val="0035510C"/>
    <w:rsid w:val="0035581B"/>
    <w:rsid w:val="00355E15"/>
    <w:rsid w:val="00356108"/>
    <w:rsid w:val="003567B9"/>
    <w:rsid w:val="00356F49"/>
    <w:rsid w:val="003601ED"/>
    <w:rsid w:val="003609D9"/>
    <w:rsid w:val="003618B4"/>
    <w:rsid w:val="00362AF5"/>
    <w:rsid w:val="00362B0C"/>
    <w:rsid w:val="00362E5F"/>
    <w:rsid w:val="003637BA"/>
    <w:rsid w:val="003641A4"/>
    <w:rsid w:val="0036478C"/>
    <w:rsid w:val="00364B23"/>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4C1"/>
    <w:rsid w:val="0037626B"/>
    <w:rsid w:val="003769A7"/>
    <w:rsid w:val="003808AB"/>
    <w:rsid w:val="0038217A"/>
    <w:rsid w:val="0038231F"/>
    <w:rsid w:val="00382CFE"/>
    <w:rsid w:val="00383FB8"/>
    <w:rsid w:val="00383FEA"/>
    <w:rsid w:val="003841DB"/>
    <w:rsid w:val="0038456A"/>
    <w:rsid w:val="00384D41"/>
    <w:rsid w:val="00384E58"/>
    <w:rsid w:val="00386231"/>
    <w:rsid w:val="00386DCD"/>
    <w:rsid w:val="003873A0"/>
    <w:rsid w:val="0038793A"/>
    <w:rsid w:val="00390285"/>
    <w:rsid w:val="00390590"/>
    <w:rsid w:val="003912D2"/>
    <w:rsid w:val="00391B47"/>
    <w:rsid w:val="00391BC5"/>
    <w:rsid w:val="00392350"/>
    <w:rsid w:val="00392846"/>
    <w:rsid w:val="00393C00"/>
    <w:rsid w:val="00394186"/>
    <w:rsid w:val="00394B1D"/>
    <w:rsid w:val="00394B8A"/>
    <w:rsid w:val="0039642D"/>
    <w:rsid w:val="00396A21"/>
    <w:rsid w:val="00396FE1"/>
    <w:rsid w:val="0039776B"/>
    <w:rsid w:val="0039777A"/>
    <w:rsid w:val="003A1544"/>
    <w:rsid w:val="003A1F8A"/>
    <w:rsid w:val="003A341E"/>
    <w:rsid w:val="003A43E0"/>
    <w:rsid w:val="003A4D54"/>
    <w:rsid w:val="003A6D6E"/>
    <w:rsid w:val="003A72BA"/>
    <w:rsid w:val="003A75E1"/>
    <w:rsid w:val="003A778C"/>
    <w:rsid w:val="003A787F"/>
    <w:rsid w:val="003B12B0"/>
    <w:rsid w:val="003B19C9"/>
    <w:rsid w:val="003B1BCB"/>
    <w:rsid w:val="003B1CD5"/>
    <w:rsid w:val="003B3753"/>
    <w:rsid w:val="003B41DB"/>
    <w:rsid w:val="003B490D"/>
    <w:rsid w:val="003B4A60"/>
    <w:rsid w:val="003B5279"/>
    <w:rsid w:val="003B585C"/>
    <w:rsid w:val="003B5935"/>
    <w:rsid w:val="003B5B5B"/>
    <w:rsid w:val="003B732F"/>
    <w:rsid w:val="003B79E1"/>
    <w:rsid w:val="003C0C9E"/>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A1D"/>
    <w:rsid w:val="003F31BE"/>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2DA"/>
    <w:rsid w:val="00403BA3"/>
    <w:rsid w:val="00403C0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16D"/>
    <w:rsid w:val="0041423E"/>
    <w:rsid w:val="00414417"/>
    <w:rsid w:val="00414BAC"/>
    <w:rsid w:val="00414F28"/>
    <w:rsid w:val="004162B6"/>
    <w:rsid w:val="0041651B"/>
    <w:rsid w:val="00416BCE"/>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018"/>
    <w:rsid w:val="00432707"/>
    <w:rsid w:val="00432A10"/>
    <w:rsid w:val="00432AE9"/>
    <w:rsid w:val="0043315F"/>
    <w:rsid w:val="0043318B"/>
    <w:rsid w:val="004335F6"/>
    <w:rsid w:val="00433AF3"/>
    <w:rsid w:val="00433D4A"/>
    <w:rsid w:val="00435424"/>
    <w:rsid w:val="0043546F"/>
    <w:rsid w:val="00436184"/>
    <w:rsid w:val="00436C67"/>
    <w:rsid w:val="004371A6"/>
    <w:rsid w:val="004401CA"/>
    <w:rsid w:val="00440BF8"/>
    <w:rsid w:val="00440D8E"/>
    <w:rsid w:val="004411B8"/>
    <w:rsid w:val="004416FE"/>
    <w:rsid w:val="00441882"/>
    <w:rsid w:val="004418CA"/>
    <w:rsid w:val="00442A53"/>
    <w:rsid w:val="00443104"/>
    <w:rsid w:val="00443628"/>
    <w:rsid w:val="00444066"/>
    <w:rsid w:val="004443ED"/>
    <w:rsid w:val="00444D96"/>
    <w:rsid w:val="00444E80"/>
    <w:rsid w:val="0044567B"/>
    <w:rsid w:val="004470C1"/>
    <w:rsid w:val="004519FB"/>
    <w:rsid w:val="00451D43"/>
    <w:rsid w:val="00452412"/>
    <w:rsid w:val="00452593"/>
    <w:rsid w:val="00452A40"/>
    <w:rsid w:val="00452F3A"/>
    <w:rsid w:val="004546B7"/>
    <w:rsid w:val="00455779"/>
    <w:rsid w:val="00455B9E"/>
    <w:rsid w:val="0045621B"/>
    <w:rsid w:val="004578FF"/>
    <w:rsid w:val="00460A87"/>
    <w:rsid w:val="00460F78"/>
    <w:rsid w:val="004614BC"/>
    <w:rsid w:val="004615AA"/>
    <w:rsid w:val="00461A51"/>
    <w:rsid w:val="00461A70"/>
    <w:rsid w:val="00462D9E"/>
    <w:rsid w:val="00462F75"/>
    <w:rsid w:val="00463549"/>
    <w:rsid w:val="00463666"/>
    <w:rsid w:val="00463F3E"/>
    <w:rsid w:val="00464443"/>
    <w:rsid w:val="00464E8F"/>
    <w:rsid w:val="0046563C"/>
    <w:rsid w:val="004660D4"/>
    <w:rsid w:val="0046659D"/>
    <w:rsid w:val="004675EC"/>
    <w:rsid w:val="00467B8E"/>
    <w:rsid w:val="00467F54"/>
    <w:rsid w:val="00470E34"/>
    <w:rsid w:val="004712D7"/>
    <w:rsid w:val="0047191D"/>
    <w:rsid w:val="00472100"/>
    <w:rsid w:val="00472659"/>
    <w:rsid w:val="00472D2D"/>
    <w:rsid w:val="00472ED2"/>
    <w:rsid w:val="004732E7"/>
    <w:rsid w:val="00473C6A"/>
    <w:rsid w:val="00474C03"/>
    <w:rsid w:val="00475160"/>
    <w:rsid w:val="00476F32"/>
    <w:rsid w:val="00477E84"/>
    <w:rsid w:val="00484A1A"/>
    <w:rsid w:val="00484D03"/>
    <w:rsid w:val="00486452"/>
    <w:rsid w:val="00487C43"/>
    <w:rsid w:val="00490443"/>
    <w:rsid w:val="0049128F"/>
    <w:rsid w:val="004916D9"/>
    <w:rsid w:val="00491AEC"/>
    <w:rsid w:val="00492320"/>
    <w:rsid w:val="00492A26"/>
    <w:rsid w:val="00492E12"/>
    <w:rsid w:val="00493203"/>
    <w:rsid w:val="004933D3"/>
    <w:rsid w:val="004935FD"/>
    <w:rsid w:val="004945B7"/>
    <w:rsid w:val="004947D8"/>
    <w:rsid w:val="00495A06"/>
    <w:rsid w:val="00496418"/>
    <w:rsid w:val="00496A7F"/>
    <w:rsid w:val="00496E7E"/>
    <w:rsid w:val="004971DA"/>
    <w:rsid w:val="0049774D"/>
    <w:rsid w:val="004A0729"/>
    <w:rsid w:val="004A0BD3"/>
    <w:rsid w:val="004A21AA"/>
    <w:rsid w:val="004A285C"/>
    <w:rsid w:val="004A5C97"/>
    <w:rsid w:val="004A6006"/>
    <w:rsid w:val="004A7C75"/>
    <w:rsid w:val="004B1DF0"/>
    <w:rsid w:val="004B23D7"/>
    <w:rsid w:val="004B2A00"/>
    <w:rsid w:val="004B391B"/>
    <w:rsid w:val="004B3E38"/>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22FF"/>
    <w:rsid w:val="004C3484"/>
    <w:rsid w:val="004C377B"/>
    <w:rsid w:val="004C43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3A84"/>
    <w:rsid w:val="004D4268"/>
    <w:rsid w:val="004D45FA"/>
    <w:rsid w:val="004D4BA0"/>
    <w:rsid w:val="004D4D66"/>
    <w:rsid w:val="004D536C"/>
    <w:rsid w:val="004D56A7"/>
    <w:rsid w:val="004D6DEE"/>
    <w:rsid w:val="004D73D9"/>
    <w:rsid w:val="004D76AA"/>
    <w:rsid w:val="004E0D46"/>
    <w:rsid w:val="004E1711"/>
    <w:rsid w:val="004E1E54"/>
    <w:rsid w:val="004E2582"/>
    <w:rsid w:val="004E31D1"/>
    <w:rsid w:val="004E4683"/>
    <w:rsid w:val="004E54AE"/>
    <w:rsid w:val="004E5D19"/>
    <w:rsid w:val="004E60BD"/>
    <w:rsid w:val="004E76C5"/>
    <w:rsid w:val="004E79B1"/>
    <w:rsid w:val="004E7F2F"/>
    <w:rsid w:val="004F06E7"/>
    <w:rsid w:val="004F165E"/>
    <w:rsid w:val="004F1C24"/>
    <w:rsid w:val="004F2AD5"/>
    <w:rsid w:val="004F2C05"/>
    <w:rsid w:val="004F2C93"/>
    <w:rsid w:val="004F3CE8"/>
    <w:rsid w:val="004F3FBE"/>
    <w:rsid w:val="004F49E8"/>
    <w:rsid w:val="004F4C1B"/>
    <w:rsid w:val="004F4C6E"/>
    <w:rsid w:val="004F51D5"/>
    <w:rsid w:val="004F5A9B"/>
    <w:rsid w:val="004F66AF"/>
    <w:rsid w:val="004F7910"/>
    <w:rsid w:val="00501808"/>
    <w:rsid w:val="00501BF1"/>
    <w:rsid w:val="00501EF6"/>
    <w:rsid w:val="00501FE0"/>
    <w:rsid w:val="0050203A"/>
    <w:rsid w:val="00503C66"/>
    <w:rsid w:val="00504994"/>
    <w:rsid w:val="00504E4B"/>
    <w:rsid w:val="00505082"/>
    <w:rsid w:val="00506E2E"/>
    <w:rsid w:val="00506E94"/>
    <w:rsid w:val="005073DC"/>
    <w:rsid w:val="005074D5"/>
    <w:rsid w:val="00510618"/>
    <w:rsid w:val="00510B17"/>
    <w:rsid w:val="00510BC5"/>
    <w:rsid w:val="0051105A"/>
    <w:rsid w:val="00511373"/>
    <w:rsid w:val="00511BD6"/>
    <w:rsid w:val="00511CF7"/>
    <w:rsid w:val="00511E0E"/>
    <w:rsid w:val="005129D4"/>
    <w:rsid w:val="00512A59"/>
    <w:rsid w:val="005135E2"/>
    <w:rsid w:val="00513C8B"/>
    <w:rsid w:val="0051444D"/>
    <w:rsid w:val="00515B4D"/>
    <w:rsid w:val="00516BDA"/>
    <w:rsid w:val="0051715D"/>
    <w:rsid w:val="00517AD6"/>
    <w:rsid w:val="005212E4"/>
    <w:rsid w:val="0052206F"/>
    <w:rsid w:val="00522BC2"/>
    <w:rsid w:val="00524ADB"/>
    <w:rsid w:val="0052534C"/>
    <w:rsid w:val="00525450"/>
    <w:rsid w:val="00525E99"/>
    <w:rsid w:val="00526497"/>
    <w:rsid w:val="00526DD3"/>
    <w:rsid w:val="00526E30"/>
    <w:rsid w:val="0052700A"/>
    <w:rsid w:val="005277EA"/>
    <w:rsid w:val="0053090A"/>
    <w:rsid w:val="0053096C"/>
    <w:rsid w:val="00530E23"/>
    <w:rsid w:val="00531659"/>
    <w:rsid w:val="005324DD"/>
    <w:rsid w:val="005326BF"/>
    <w:rsid w:val="005326EF"/>
    <w:rsid w:val="005327E8"/>
    <w:rsid w:val="00533889"/>
    <w:rsid w:val="0053534F"/>
    <w:rsid w:val="00535B1C"/>
    <w:rsid w:val="00535BB3"/>
    <w:rsid w:val="00537ADB"/>
    <w:rsid w:val="00537CDD"/>
    <w:rsid w:val="005406E5"/>
    <w:rsid w:val="00541121"/>
    <w:rsid w:val="005412E1"/>
    <w:rsid w:val="00541AD4"/>
    <w:rsid w:val="00543134"/>
    <w:rsid w:val="0054318A"/>
    <w:rsid w:val="00543CE3"/>
    <w:rsid w:val="00543FD3"/>
    <w:rsid w:val="00544B37"/>
    <w:rsid w:val="00544C1D"/>
    <w:rsid w:val="00545FAE"/>
    <w:rsid w:val="00546502"/>
    <w:rsid w:val="00546F63"/>
    <w:rsid w:val="00547112"/>
    <w:rsid w:val="005476EF"/>
    <w:rsid w:val="005478E4"/>
    <w:rsid w:val="00547CE0"/>
    <w:rsid w:val="005517FF"/>
    <w:rsid w:val="00551877"/>
    <w:rsid w:val="00553194"/>
    <w:rsid w:val="00553B6D"/>
    <w:rsid w:val="0055410B"/>
    <w:rsid w:val="005542D1"/>
    <w:rsid w:val="00554960"/>
    <w:rsid w:val="005558B7"/>
    <w:rsid w:val="00555E31"/>
    <w:rsid w:val="00555F41"/>
    <w:rsid w:val="00555F57"/>
    <w:rsid w:val="00555FC1"/>
    <w:rsid w:val="00556345"/>
    <w:rsid w:val="0055649E"/>
    <w:rsid w:val="00557311"/>
    <w:rsid w:val="00557829"/>
    <w:rsid w:val="005603F5"/>
    <w:rsid w:val="0056058E"/>
    <w:rsid w:val="00560D0B"/>
    <w:rsid w:val="00561167"/>
    <w:rsid w:val="005617AF"/>
    <w:rsid w:val="0056198A"/>
    <w:rsid w:val="00561A0A"/>
    <w:rsid w:val="00562061"/>
    <w:rsid w:val="00562739"/>
    <w:rsid w:val="005632FD"/>
    <w:rsid w:val="00563FAF"/>
    <w:rsid w:val="00564125"/>
    <w:rsid w:val="00565579"/>
    <w:rsid w:val="00565D7A"/>
    <w:rsid w:val="0056698B"/>
    <w:rsid w:val="00566AED"/>
    <w:rsid w:val="00566CDA"/>
    <w:rsid w:val="005678AE"/>
    <w:rsid w:val="00570397"/>
    <w:rsid w:val="0057067B"/>
    <w:rsid w:val="005707D0"/>
    <w:rsid w:val="0057096D"/>
    <w:rsid w:val="0057159D"/>
    <w:rsid w:val="0057166A"/>
    <w:rsid w:val="0057258C"/>
    <w:rsid w:val="00572CCA"/>
    <w:rsid w:val="00572E47"/>
    <w:rsid w:val="0057327C"/>
    <w:rsid w:val="00573591"/>
    <w:rsid w:val="00573807"/>
    <w:rsid w:val="005741E8"/>
    <w:rsid w:val="005757E3"/>
    <w:rsid w:val="005765E4"/>
    <w:rsid w:val="0057671C"/>
    <w:rsid w:val="005768EE"/>
    <w:rsid w:val="00576B0A"/>
    <w:rsid w:val="00576C48"/>
    <w:rsid w:val="00576DAF"/>
    <w:rsid w:val="00576E29"/>
    <w:rsid w:val="0057704E"/>
    <w:rsid w:val="0057767F"/>
    <w:rsid w:val="00580202"/>
    <w:rsid w:val="005812F9"/>
    <w:rsid w:val="0058240B"/>
    <w:rsid w:val="0058256A"/>
    <w:rsid w:val="00582CFC"/>
    <w:rsid w:val="005831DA"/>
    <w:rsid w:val="005852D5"/>
    <w:rsid w:val="0058595C"/>
    <w:rsid w:val="00585B06"/>
    <w:rsid w:val="00586926"/>
    <w:rsid w:val="005869CE"/>
    <w:rsid w:val="00587FBF"/>
    <w:rsid w:val="00590662"/>
    <w:rsid w:val="00590746"/>
    <w:rsid w:val="00591B19"/>
    <w:rsid w:val="00592679"/>
    <w:rsid w:val="0059333E"/>
    <w:rsid w:val="00593CA6"/>
    <w:rsid w:val="00594334"/>
    <w:rsid w:val="00594A40"/>
    <w:rsid w:val="005958F2"/>
    <w:rsid w:val="00595B1F"/>
    <w:rsid w:val="00596C04"/>
    <w:rsid w:val="00596D63"/>
    <w:rsid w:val="0059778C"/>
    <w:rsid w:val="005A0829"/>
    <w:rsid w:val="005A08D5"/>
    <w:rsid w:val="005A09BB"/>
    <w:rsid w:val="005A0FC8"/>
    <w:rsid w:val="005A1563"/>
    <w:rsid w:val="005A305A"/>
    <w:rsid w:val="005A37E0"/>
    <w:rsid w:val="005A3C14"/>
    <w:rsid w:val="005A4C64"/>
    <w:rsid w:val="005A4D48"/>
    <w:rsid w:val="005A5021"/>
    <w:rsid w:val="005A5497"/>
    <w:rsid w:val="005A5673"/>
    <w:rsid w:val="005A62D3"/>
    <w:rsid w:val="005A6423"/>
    <w:rsid w:val="005A710E"/>
    <w:rsid w:val="005B03A6"/>
    <w:rsid w:val="005B104C"/>
    <w:rsid w:val="005B1694"/>
    <w:rsid w:val="005B2827"/>
    <w:rsid w:val="005B2B38"/>
    <w:rsid w:val="005B2E10"/>
    <w:rsid w:val="005B35C1"/>
    <w:rsid w:val="005B3617"/>
    <w:rsid w:val="005B3B07"/>
    <w:rsid w:val="005B5FDE"/>
    <w:rsid w:val="005B62EA"/>
    <w:rsid w:val="005B6577"/>
    <w:rsid w:val="005B69B3"/>
    <w:rsid w:val="005B7B28"/>
    <w:rsid w:val="005C05DB"/>
    <w:rsid w:val="005C0F59"/>
    <w:rsid w:val="005C1084"/>
    <w:rsid w:val="005C1605"/>
    <w:rsid w:val="005C16A7"/>
    <w:rsid w:val="005C1B5F"/>
    <w:rsid w:val="005C1C69"/>
    <w:rsid w:val="005C203A"/>
    <w:rsid w:val="005C235C"/>
    <w:rsid w:val="005C2A41"/>
    <w:rsid w:val="005C433E"/>
    <w:rsid w:val="005C640D"/>
    <w:rsid w:val="005C72BE"/>
    <w:rsid w:val="005C77B4"/>
    <w:rsid w:val="005C7ABE"/>
    <w:rsid w:val="005D00CA"/>
    <w:rsid w:val="005D05D0"/>
    <w:rsid w:val="005D26F7"/>
    <w:rsid w:val="005D5179"/>
    <w:rsid w:val="005D561A"/>
    <w:rsid w:val="005D660A"/>
    <w:rsid w:val="005D6C0F"/>
    <w:rsid w:val="005D7B41"/>
    <w:rsid w:val="005D7BD7"/>
    <w:rsid w:val="005E035E"/>
    <w:rsid w:val="005E168A"/>
    <w:rsid w:val="005E18F9"/>
    <w:rsid w:val="005E3148"/>
    <w:rsid w:val="005E3F32"/>
    <w:rsid w:val="005E41EC"/>
    <w:rsid w:val="005E4210"/>
    <w:rsid w:val="005E49A6"/>
    <w:rsid w:val="005E4E3F"/>
    <w:rsid w:val="005E5B4A"/>
    <w:rsid w:val="005E66AC"/>
    <w:rsid w:val="005E6A42"/>
    <w:rsid w:val="005E7B56"/>
    <w:rsid w:val="005E7C32"/>
    <w:rsid w:val="005F014D"/>
    <w:rsid w:val="005F026B"/>
    <w:rsid w:val="005F03AE"/>
    <w:rsid w:val="005F18A6"/>
    <w:rsid w:val="005F2551"/>
    <w:rsid w:val="005F2AF4"/>
    <w:rsid w:val="005F2EEC"/>
    <w:rsid w:val="005F3885"/>
    <w:rsid w:val="005F39A5"/>
    <w:rsid w:val="005F42E1"/>
    <w:rsid w:val="005F4921"/>
    <w:rsid w:val="005F50D2"/>
    <w:rsid w:val="005F5A23"/>
    <w:rsid w:val="005F5B1F"/>
    <w:rsid w:val="005F5C2B"/>
    <w:rsid w:val="005F5D9C"/>
    <w:rsid w:val="005F7A62"/>
    <w:rsid w:val="006008B7"/>
    <w:rsid w:val="006026A4"/>
    <w:rsid w:val="0060271E"/>
    <w:rsid w:val="00602E10"/>
    <w:rsid w:val="00603400"/>
    <w:rsid w:val="00603CAD"/>
    <w:rsid w:val="00603D5C"/>
    <w:rsid w:val="006048B5"/>
    <w:rsid w:val="00605113"/>
    <w:rsid w:val="0060588A"/>
    <w:rsid w:val="00605AEB"/>
    <w:rsid w:val="00606019"/>
    <w:rsid w:val="00607373"/>
    <w:rsid w:val="0060764F"/>
    <w:rsid w:val="0060779C"/>
    <w:rsid w:val="006103BE"/>
    <w:rsid w:val="006103EE"/>
    <w:rsid w:val="006106C8"/>
    <w:rsid w:val="00610D0C"/>
    <w:rsid w:val="00611ECA"/>
    <w:rsid w:val="006127D1"/>
    <w:rsid w:val="0061363E"/>
    <w:rsid w:val="006141A3"/>
    <w:rsid w:val="006148E8"/>
    <w:rsid w:val="0061542D"/>
    <w:rsid w:val="00616892"/>
    <w:rsid w:val="00617820"/>
    <w:rsid w:val="00620144"/>
    <w:rsid w:val="006210B8"/>
    <w:rsid w:val="00621557"/>
    <w:rsid w:val="00621A78"/>
    <w:rsid w:val="00621A7E"/>
    <w:rsid w:val="00621ACD"/>
    <w:rsid w:val="00621C5A"/>
    <w:rsid w:val="00622AEF"/>
    <w:rsid w:val="0062352A"/>
    <w:rsid w:val="0062358C"/>
    <w:rsid w:val="00624B3C"/>
    <w:rsid w:val="0062686F"/>
    <w:rsid w:val="00627344"/>
    <w:rsid w:val="00627A06"/>
    <w:rsid w:val="006300E5"/>
    <w:rsid w:val="00630B5C"/>
    <w:rsid w:val="00630F94"/>
    <w:rsid w:val="00631B08"/>
    <w:rsid w:val="00631EA6"/>
    <w:rsid w:val="0063272C"/>
    <w:rsid w:val="00632D50"/>
    <w:rsid w:val="0063313F"/>
    <w:rsid w:val="00633581"/>
    <w:rsid w:val="006336FC"/>
    <w:rsid w:val="006343CE"/>
    <w:rsid w:val="006344C2"/>
    <w:rsid w:val="0063507A"/>
    <w:rsid w:val="00635315"/>
    <w:rsid w:val="00635CE8"/>
    <w:rsid w:val="006369CA"/>
    <w:rsid w:val="0063716B"/>
    <w:rsid w:val="0063774B"/>
    <w:rsid w:val="00640F7A"/>
    <w:rsid w:val="00641192"/>
    <w:rsid w:val="00642F61"/>
    <w:rsid w:val="00643D50"/>
    <w:rsid w:val="00644600"/>
    <w:rsid w:val="00644B6C"/>
    <w:rsid w:val="006450AD"/>
    <w:rsid w:val="00646234"/>
    <w:rsid w:val="00646FF6"/>
    <w:rsid w:val="00647DDA"/>
    <w:rsid w:val="0065049F"/>
    <w:rsid w:val="00650D95"/>
    <w:rsid w:val="00651D2B"/>
    <w:rsid w:val="00651D36"/>
    <w:rsid w:val="00651E20"/>
    <w:rsid w:val="0065353E"/>
    <w:rsid w:val="00654402"/>
    <w:rsid w:val="00655070"/>
    <w:rsid w:val="006553AB"/>
    <w:rsid w:val="00655491"/>
    <w:rsid w:val="00655BDE"/>
    <w:rsid w:val="00655E8A"/>
    <w:rsid w:val="0065672D"/>
    <w:rsid w:val="00656EF1"/>
    <w:rsid w:val="0065745F"/>
    <w:rsid w:val="00660817"/>
    <w:rsid w:val="00660C1F"/>
    <w:rsid w:val="00661F44"/>
    <w:rsid w:val="00662515"/>
    <w:rsid w:val="006630C0"/>
    <w:rsid w:val="00663EF8"/>
    <w:rsid w:val="006641E4"/>
    <w:rsid w:val="00664302"/>
    <w:rsid w:val="00664DDB"/>
    <w:rsid w:val="00665777"/>
    <w:rsid w:val="00665BC3"/>
    <w:rsid w:val="00665E8D"/>
    <w:rsid w:val="006664C7"/>
    <w:rsid w:val="00667806"/>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772EF"/>
    <w:rsid w:val="0068058C"/>
    <w:rsid w:val="00680976"/>
    <w:rsid w:val="006813D4"/>
    <w:rsid w:val="00681C89"/>
    <w:rsid w:val="0068323B"/>
    <w:rsid w:val="0068412C"/>
    <w:rsid w:val="00684A68"/>
    <w:rsid w:val="00684B91"/>
    <w:rsid w:val="006854F7"/>
    <w:rsid w:val="006867F6"/>
    <w:rsid w:val="00687131"/>
    <w:rsid w:val="00690226"/>
    <w:rsid w:val="00690824"/>
    <w:rsid w:val="006909CE"/>
    <w:rsid w:val="00690F16"/>
    <w:rsid w:val="00692C9B"/>
    <w:rsid w:val="00693568"/>
    <w:rsid w:val="00693F24"/>
    <w:rsid w:val="00694406"/>
    <w:rsid w:val="00694FF9"/>
    <w:rsid w:val="0069563C"/>
    <w:rsid w:val="0069687F"/>
    <w:rsid w:val="00696C70"/>
    <w:rsid w:val="00697544"/>
    <w:rsid w:val="006976AE"/>
    <w:rsid w:val="00697F72"/>
    <w:rsid w:val="006A0197"/>
    <w:rsid w:val="006A1CE8"/>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2908"/>
    <w:rsid w:val="006B39E9"/>
    <w:rsid w:val="006B46F2"/>
    <w:rsid w:val="006B5152"/>
    <w:rsid w:val="006B5BC7"/>
    <w:rsid w:val="006B5F7E"/>
    <w:rsid w:val="006B6604"/>
    <w:rsid w:val="006B71E3"/>
    <w:rsid w:val="006B73BD"/>
    <w:rsid w:val="006B74D8"/>
    <w:rsid w:val="006B7F60"/>
    <w:rsid w:val="006C0EE8"/>
    <w:rsid w:val="006C181F"/>
    <w:rsid w:val="006C1849"/>
    <w:rsid w:val="006C1B75"/>
    <w:rsid w:val="006C202E"/>
    <w:rsid w:val="006C2101"/>
    <w:rsid w:val="006C26D7"/>
    <w:rsid w:val="006C486E"/>
    <w:rsid w:val="006C5433"/>
    <w:rsid w:val="006C5A76"/>
    <w:rsid w:val="006C5E1E"/>
    <w:rsid w:val="006C621B"/>
    <w:rsid w:val="006C6597"/>
    <w:rsid w:val="006C6B33"/>
    <w:rsid w:val="006C75D4"/>
    <w:rsid w:val="006C7877"/>
    <w:rsid w:val="006C7C6C"/>
    <w:rsid w:val="006D028D"/>
    <w:rsid w:val="006D058B"/>
    <w:rsid w:val="006D07B8"/>
    <w:rsid w:val="006D120C"/>
    <w:rsid w:val="006D1BD8"/>
    <w:rsid w:val="006D22ED"/>
    <w:rsid w:val="006D2F0E"/>
    <w:rsid w:val="006D3BF3"/>
    <w:rsid w:val="006D3FA4"/>
    <w:rsid w:val="006D4566"/>
    <w:rsid w:val="006D4599"/>
    <w:rsid w:val="006D50BD"/>
    <w:rsid w:val="006D53A0"/>
    <w:rsid w:val="006D5CCE"/>
    <w:rsid w:val="006D62C0"/>
    <w:rsid w:val="006D63CA"/>
    <w:rsid w:val="006D7260"/>
    <w:rsid w:val="006E0122"/>
    <w:rsid w:val="006E074D"/>
    <w:rsid w:val="006E0BB4"/>
    <w:rsid w:val="006E1CA1"/>
    <w:rsid w:val="006E1EFC"/>
    <w:rsid w:val="006E2166"/>
    <w:rsid w:val="006E2CB7"/>
    <w:rsid w:val="006E31EA"/>
    <w:rsid w:val="006E39B1"/>
    <w:rsid w:val="006E5A26"/>
    <w:rsid w:val="006E6322"/>
    <w:rsid w:val="006E6494"/>
    <w:rsid w:val="006E77BC"/>
    <w:rsid w:val="006E7EA5"/>
    <w:rsid w:val="006F0095"/>
    <w:rsid w:val="006F0C57"/>
    <w:rsid w:val="006F189D"/>
    <w:rsid w:val="006F2643"/>
    <w:rsid w:val="006F2E79"/>
    <w:rsid w:val="006F31E7"/>
    <w:rsid w:val="006F3B1A"/>
    <w:rsid w:val="006F4911"/>
    <w:rsid w:val="006F500C"/>
    <w:rsid w:val="006F55AB"/>
    <w:rsid w:val="006F56D9"/>
    <w:rsid w:val="006F6740"/>
    <w:rsid w:val="007003FE"/>
    <w:rsid w:val="00700502"/>
    <w:rsid w:val="0070101B"/>
    <w:rsid w:val="00701DD1"/>
    <w:rsid w:val="00701F08"/>
    <w:rsid w:val="00702CB5"/>
    <w:rsid w:val="00702E82"/>
    <w:rsid w:val="00703709"/>
    <w:rsid w:val="007038AA"/>
    <w:rsid w:val="00704995"/>
    <w:rsid w:val="00704F1C"/>
    <w:rsid w:val="00706508"/>
    <w:rsid w:val="0070731E"/>
    <w:rsid w:val="007103E6"/>
    <w:rsid w:val="00710571"/>
    <w:rsid w:val="007106CF"/>
    <w:rsid w:val="00710C82"/>
    <w:rsid w:val="007111CB"/>
    <w:rsid w:val="007111DF"/>
    <w:rsid w:val="00711528"/>
    <w:rsid w:val="00711D5E"/>
    <w:rsid w:val="007126D7"/>
    <w:rsid w:val="00712706"/>
    <w:rsid w:val="00712B8C"/>
    <w:rsid w:val="00714756"/>
    <w:rsid w:val="00714EF6"/>
    <w:rsid w:val="00714F79"/>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599C"/>
    <w:rsid w:val="00726CF5"/>
    <w:rsid w:val="00726DAD"/>
    <w:rsid w:val="00727898"/>
    <w:rsid w:val="007279CD"/>
    <w:rsid w:val="007316EC"/>
    <w:rsid w:val="00732118"/>
    <w:rsid w:val="00732869"/>
    <w:rsid w:val="007336EF"/>
    <w:rsid w:val="00733D4B"/>
    <w:rsid w:val="00733DF4"/>
    <w:rsid w:val="0073435D"/>
    <w:rsid w:val="0073483A"/>
    <w:rsid w:val="007371F0"/>
    <w:rsid w:val="00737235"/>
    <w:rsid w:val="0073730F"/>
    <w:rsid w:val="00737A18"/>
    <w:rsid w:val="00737B34"/>
    <w:rsid w:val="00737D8A"/>
    <w:rsid w:val="00737F4B"/>
    <w:rsid w:val="007406C0"/>
    <w:rsid w:val="007409D0"/>
    <w:rsid w:val="00741431"/>
    <w:rsid w:val="0074204B"/>
    <w:rsid w:val="00742122"/>
    <w:rsid w:val="00742978"/>
    <w:rsid w:val="0074342F"/>
    <w:rsid w:val="00743F32"/>
    <w:rsid w:val="00744CEC"/>
    <w:rsid w:val="00744F40"/>
    <w:rsid w:val="00745130"/>
    <w:rsid w:val="007465A9"/>
    <w:rsid w:val="007467A3"/>
    <w:rsid w:val="00746FDF"/>
    <w:rsid w:val="007471F8"/>
    <w:rsid w:val="00747640"/>
    <w:rsid w:val="0075002D"/>
    <w:rsid w:val="0075033D"/>
    <w:rsid w:val="007509BE"/>
    <w:rsid w:val="0075111C"/>
    <w:rsid w:val="0075164A"/>
    <w:rsid w:val="00751B8E"/>
    <w:rsid w:val="00751D2C"/>
    <w:rsid w:val="007524F0"/>
    <w:rsid w:val="007528C6"/>
    <w:rsid w:val="007528EB"/>
    <w:rsid w:val="00752BA9"/>
    <w:rsid w:val="00753AC2"/>
    <w:rsid w:val="00753CAB"/>
    <w:rsid w:val="00753FAA"/>
    <w:rsid w:val="00754161"/>
    <w:rsid w:val="007547B9"/>
    <w:rsid w:val="00754F2E"/>
    <w:rsid w:val="00755BF3"/>
    <w:rsid w:val="00755D43"/>
    <w:rsid w:val="00756976"/>
    <w:rsid w:val="0075729A"/>
    <w:rsid w:val="007574F0"/>
    <w:rsid w:val="00757D09"/>
    <w:rsid w:val="00760266"/>
    <w:rsid w:val="00760364"/>
    <w:rsid w:val="00761A41"/>
    <w:rsid w:val="00761E68"/>
    <w:rsid w:val="007624BA"/>
    <w:rsid w:val="007624E0"/>
    <w:rsid w:val="00762E74"/>
    <w:rsid w:val="00764057"/>
    <w:rsid w:val="007641D1"/>
    <w:rsid w:val="00764264"/>
    <w:rsid w:val="00764B0D"/>
    <w:rsid w:val="007669FC"/>
    <w:rsid w:val="00766C5E"/>
    <w:rsid w:val="0076749A"/>
    <w:rsid w:val="007675A5"/>
    <w:rsid w:val="00770485"/>
    <w:rsid w:val="00770C0B"/>
    <w:rsid w:val="00770D5B"/>
    <w:rsid w:val="00770EB5"/>
    <w:rsid w:val="00771465"/>
    <w:rsid w:val="007723F3"/>
    <w:rsid w:val="00772AE8"/>
    <w:rsid w:val="00772F61"/>
    <w:rsid w:val="0077325B"/>
    <w:rsid w:val="00773327"/>
    <w:rsid w:val="007737C1"/>
    <w:rsid w:val="00773A05"/>
    <w:rsid w:val="00776BB1"/>
    <w:rsid w:val="007778F8"/>
    <w:rsid w:val="00777FC7"/>
    <w:rsid w:val="00780463"/>
    <w:rsid w:val="0078050C"/>
    <w:rsid w:val="00780819"/>
    <w:rsid w:val="00780E3B"/>
    <w:rsid w:val="00781B81"/>
    <w:rsid w:val="00782046"/>
    <w:rsid w:val="00782CC3"/>
    <w:rsid w:val="00782CE2"/>
    <w:rsid w:val="00784104"/>
    <w:rsid w:val="00784744"/>
    <w:rsid w:val="00784755"/>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0A70"/>
    <w:rsid w:val="007A3974"/>
    <w:rsid w:val="007A424A"/>
    <w:rsid w:val="007A431C"/>
    <w:rsid w:val="007A452D"/>
    <w:rsid w:val="007A4C7E"/>
    <w:rsid w:val="007A55F1"/>
    <w:rsid w:val="007A634D"/>
    <w:rsid w:val="007A63C6"/>
    <w:rsid w:val="007A6723"/>
    <w:rsid w:val="007B07EE"/>
    <w:rsid w:val="007B0C7D"/>
    <w:rsid w:val="007B160E"/>
    <w:rsid w:val="007B211D"/>
    <w:rsid w:val="007B2AD2"/>
    <w:rsid w:val="007B3348"/>
    <w:rsid w:val="007B4602"/>
    <w:rsid w:val="007B5406"/>
    <w:rsid w:val="007B5D53"/>
    <w:rsid w:val="007B5E2F"/>
    <w:rsid w:val="007B6340"/>
    <w:rsid w:val="007B6896"/>
    <w:rsid w:val="007B6F51"/>
    <w:rsid w:val="007B7877"/>
    <w:rsid w:val="007C0AAC"/>
    <w:rsid w:val="007C0F80"/>
    <w:rsid w:val="007C220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5CF"/>
    <w:rsid w:val="007D5C1A"/>
    <w:rsid w:val="007D5D0A"/>
    <w:rsid w:val="007D640A"/>
    <w:rsid w:val="007D6446"/>
    <w:rsid w:val="007D6474"/>
    <w:rsid w:val="007D6B17"/>
    <w:rsid w:val="007D7443"/>
    <w:rsid w:val="007D7606"/>
    <w:rsid w:val="007E0704"/>
    <w:rsid w:val="007E0C3C"/>
    <w:rsid w:val="007E13D5"/>
    <w:rsid w:val="007E17FE"/>
    <w:rsid w:val="007E19D0"/>
    <w:rsid w:val="007E379E"/>
    <w:rsid w:val="007E484F"/>
    <w:rsid w:val="007E5BCD"/>
    <w:rsid w:val="007E6169"/>
    <w:rsid w:val="007E619A"/>
    <w:rsid w:val="007E65BE"/>
    <w:rsid w:val="007E7602"/>
    <w:rsid w:val="007F0B1C"/>
    <w:rsid w:val="007F18EF"/>
    <w:rsid w:val="007F2BAB"/>
    <w:rsid w:val="007F2C9F"/>
    <w:rsid w:val="007F2E89"/>
    <w:rsid w:val="007F2ED3"/>
    <w:rsid w:val="007F4681"/>
    <w:rsid w:val="007F5EE4"/>
    <w:rsid w:val="007F64C4"/>
    <w:rsid w:val="007F65F1"/>
    <w:rsid w:val="007F6F33"/>
    <w:rsid w:val="007F6FD8"/>
    <w:rsid w:val="007F7484"/>
    <w:rsid w:val="007F77A0"/>
    <w:rsid w:val="007F77C4"/>
    <w:rsid w:val="007F7EBD"/>
    <w:rsid w:val="00800C49"/>
    <w:rsid w:val="0080195C"/>
    <w:rsid w:val="00801B49"/>
    <w:rsid w:val="00803744"/>
    <w:rsid w:val="00803901"/>
    <w:rsid w:val="00803EDA"/>
    <w:rsid w:val="008047D6"/>
    <w:rsid w:val="008048DC"/>
    <w:rsid w:val="00804B66"/>
    <w:rsid w:val="0080537A"/>
    <w:rsid w:val="0080560E"/>
    <w:rsid w:val="00805700"/>
    <w:rsid w:val="00807D21"/>
    <w:rsid w:val="00807DF2"/>
    <w:rsid w:val="00810D85"/>
    <w:rsid w:val="008116BA"/>
    <w:rsid w:val="008118B6"/>
    <w:rsid w:val="00812080"/>
    <w:rsid w:val="008120AB"/>
    <w:rsid w:val="0081266C"/>
    <w:rsid w:val="00812AD9"/>
    <w:rsid w:val="00813BF0"/>
    <w:rsid w:val="00813F2F"/>
    <w:rsid w:val="008145D6"/>
    <w:rsid w:val="008145F9"/>
    <w:rsid w:val="0081466C"/>
    <w:rsid w:val="00815E22"/>
    <w:rsid w:val="00815E45"/>
    <w:rsid w:val="00816148"/>
    <w:rsid w:val="00816305"/>
    <w:rsid w:val="008164C2"/>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98E"/>
    <w:rsid w:val="00824AD4"/>
    <w:rsid w:val="008253E3"/>
    <w:rsid w:val="008254DA"/>
    <w:rsid w:val="00825771"/>
    <w:rsid w:val="0082590A"/>
    <w:rsid w:val="008259B5"/>
    <w:rsid w:val="00825EF7"/>
    <w:rsid w:val="00826975"/>
    <w:rsid w:val="00826C7A"/>
    <w:rsid w:val="00827D9F"/>
    <w:rsid w:val="00827F39"/>
    <w:rsid w:val="008306C1"/>
    <w:rsid w:val="008307E6"/>
    <w:rsid w:val="00831591"/>
    <w:rsid w:val="00832467"/>
    <w:rsid w:val="00832BB9"/>
    <w:rsid w:val="00832C9C"/>
    <w:rsid w:val="00832CEC"/>
    <w:rsid w:val="00832FE7"/>
    <w:rsid w:val="008330A3"/>
    <w:rsid w:val="0083564E"/>
    <w:rsid w:val="008356E6"/>
    <w:rsid w:val="00835A9F"/>
    <w:rsid w:val="00835D93"/>
    <w:rsid w:val="008407C5"/>
    <w:rsid w:val="008408F1"/>
    <w:rsid w:val="008419E1"/>
    <w:rsid w:val="00841B10"/>
    <w:rsid w:val="00841C87"/>
    <w:rsid w:val="008423F6"/>
    <w:rsid w:val="00842AC4"/>
    <w:rsid w:val="00842E11"/>
    <w:rsid w:val="00842E9E"/>
    <w:rsid w:val="00843D66"/>
    <w:rsid w:val="00844186"/>
    <w:rsid w:val="00844782"/>
    <w:rsid w:val="00844C17"/>
    <w:rsid w:val="008502AB"/>
    <w:rsid w:val="0085041D"/>
    <w:rsid w:val="008504C2"/>
    <w:rsid w:val="00850664"/>
    <w:rsid w:val="00850FE9"/>
    <w:rsid w:val="00851C46"/>
    <w:rsid w:val="00851FAC"/>
    <w:rsid w:val="00852BB4"/>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451B"/>
    <w:rsid w:val="00897825"/>
    <w:rsid w:val="008A0982"/>
    <w:rsid w:val="008A0E66"/>
    <w:rsid w:val="008A1166"/>
    <w:rsid w:val="008A12BF"/>
    <w:rsid w:val="008A18E9"/>
    <w:rsid w:val="008A3301"/>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91F"/>
    <w:rsid w:val="008B6AB5"/>
    <w:rsid w:val="008B7950"/>
    <w:rsid w:val="008C03D3"/>
    <w:rsid w:val="008C07F0"/>
    <w:rsid w:val="008C0930"/>
    <w:rsid w:val="008C13C5"/>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521"/>
    <w:rsid w:val="008D6CA2"/>
    <w:rsid w:val="008D6E21"/>
    <w:rsid w:val="008D75C6"/>
    <w:rsid w:val="008D782A"/>
    <w:rsid w:val="008D78DA"/>
    <w:rsid w:val="008E0093"/>
    <w:rsid w:val="008E1645"/>
    <w:rsid w:val="008E17F9"/>
    <w:rsid w:val="008E36BD"/>
    <w:rsid w:val="008E42AE"/>
    <w:rsid w:val="008E5F19"/>
    <w:rsid w:val="008F00EF"/>
    <w:rsid w:val="008F0DCF"/>
    <w:rsid w:val="008F1087"/>
    <w:rsid w:val="008F19DB"/>
    <w:rsid w:val="008F2B7A"/>
    <w:rsid w:val="008F3EE5"/>
    <w:rsid w:val="008F400E"/>
    <w:rsid w:val="008F4B65"/>
    <w:rsid w:val="008F5F5D"/>
    <w:rsid w:val="008F6D5F"/>
    <w:rsid w:val="008F6FA5"/>
    <w:rsid w:val="008F7097"/>
    <w:rsid w:val="00900037"/>
    <w:rsid w:val="00900381"/>
    <w:rsid w:val="009017BE"/>
    <w:rsid w:val="00901E57"/>
    <w:rsid w:val="0090391A"/>
    <w:rsid w:val="00903BA4"/>
    <w:rsid w:val="00905BF4"/>
    <w:rsid w:val="00906433"/>
    <w:rsid w:val="00906901"/>
    <w:rsid w:val="00906E0D"/>
    <w:rsid w:val="0090717C"/>
    <w:rsid w:val="00907C1C"/>
    <w:rsid w:val="00910371"/>
    <w:rsid w:val="00912107"/>
    <w:rsid w:val="00912289"/>
    <w:rsid w:val="00912A7F"/>
    <w:rsid w:val="00912ACC"/>
    <w:rsid w:val="00913C94"/>
    <w:rsid w:val="009141EF"/>
    <w:rsid w:val="00914674"/>
    <w:rsid w:val="00915695"/>
    <w:rsid w:val="00915991"/>
    <w:rsid w:val="00915A00"/>
    <w:rsid w:val="00916187"/>
    <w:rsid w:val="009200CC"/>
    <w:rsid w:val="00920141"/>
    <w:rsid w:val="00920507"/>
    <w:rsid w:val="009208B0"/>
    <w:rsid w:val="00920C44"/>
    <w:rsid w:val="00920D0B"/>
    <w:rsid w:val="00920D3F"/>
    <w:rsid w:val="0092245A"/>
    <w:rsid w:val="00922863"/>
    <w:rsid w:val="009230C6"/>
    <w:rsid w:val="00923F0C"/>
    <w:rsid w:val="00924CCA"/>
    <w:rsid w:val="009255EE"/>
    <w:rsid w:val="00925763"/>
    <w:rsid w:val="009258F1"/>
    <w:rsid w:val="00925DAB"/>
    <w:rsid w:val="00925FA1"/>
    <w:rsid w:val="00926590"/>
    <w:rsid w:val="00926FC2"/>
    <w:rsid w:val="0092717A"/>
    <w:rsid w:val="009277E3"/>
    <w:rsid w:val="00931522"/>
    <w:rsid w:val="0093289F"/>
    <w:rsid w:val="00932B62"/>
    <w:rsid w:val="00933451"/>
    <w:rsid w:val="00933812"/>
    <w:rsid w:val="00933AFC"/>
    <w:rsid w:val="00933CAF"/>
    <w:rsid w:val="009345B6"/>
    <w:rsid w:val="00934906"/>
    <w:rsid w:val="0093560E"/>
    <w:rsid w:val="009357EB"/>
    <w:rsid w:val="00935B07"/>
    <w:rsid w:val="00935DC0"/>
    <w:rsid w:val="009369F8"/>
    <w:rsid w:val="00936FB6"/>
    <w:rsid w:val="0093747A"/>
    <w:rsid w:val="009374B3"/>
    <w:rsid w:val="00937A39"/>
    <w:rsid w:val="00937AE9"/>
    <w:rsid w:val="009402F5"/>
    <w:rsid w:val="0094314E"/>
    <w:rsid w:val="00943D7C"/>
    <w:rsid w:val="0094419E"/>
    <w:rsid w:val="00944457"/>
    <w:rsid w:val="009444D7"/>
    <w:rsid w:val="009455A9"/>
    <w:rsid w:val="0094566F"/>
    <w:rsid w:val="00945EAA"/>
    <w:rsid w:val="009468B3"/>
    <w:rsid w:val="00946AEC"/>
    <w:rsid w:val="009472B6"/>
    <w:rsid w:val="00947383"/>
    <w:rsid w:val="00947FC9"/>
    <w:rsid w:val="00950050"/>
    <w:rsid w:val="00950641"/>
    <w:rsid w:val="00950806"/>
    <w:rsid w:val="00950832"/>
    <w:rsid w:val="009509A5"/>
    <w:rsid w:val="00950AA7"/>
    <w:rsid w:val="00951C8F"/>
    <w:rsid w:val="00951DF1"/>
    <w:rsid w:val="0095225E"/>
    <w:rsid w:val="00952318"/>
    <w:rsid w:val="009523A7"/>
    <w:rsid w:val="009527C0"/>
    <w:rsid w:val="0095332D"/>
    <w:rsid w:val="00954641"/>
    <w:rsid w:val="009547FF"/>
    <w:rsid w:val="00955109"/>
    <w:rsid w:val="009561D3"/>
    <w:rsid w:val="009564DD"/>
    <w:rsid w:val="00956B8E"/>
    <w:rsid w:val="009573A5"/>
    <w:rsid w:val="0095744A"/>
    <w:rsid w:val="00957548"/>
    <w:rsid w:val="009576AD"/>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029"/>
    <w:rsid w:val="009653DA"/>
    <w:rsid w:val="00965D9F"/>
    <w:rsid w:val="0096610C"/>
    <w:rsid w:val="00966848"/>
    <w:rsid w:val="00966B9E"/>
    <w:rsid w:val="0096704E"/>
    <w:rsid w:val="00967AD1"/>
    <w:rsid w:val="00967B6C"/>
    <w:rsid w:val="00970005"/>
    <w:rsid w:val="00971694"/>
    <w:rsid w:val="00971A9A"/>
    <w:rsid w:val="00971AF5"/>
    <w:rsid w:val="0097244A"/>
    <w:rsid w:val="00972C97"/>
    <w:rsid w:val="00972E8D"/>
    <w:rsid w:val="0097378D"/>
    <w:rsid w:val="00973BAC"/>
    <w:rsid w:val="00974218"/>
    <w:rsid w:val="009742DD"/>
    <w:rsid w:val="009760D1"/>
    <w:rsid w:val="00976F6F"/>
    <w:rsid w:val="009776D0"/>
    <w:rsid w:val="00980672"/>
    <w:rsid w:val="0098073C"/>
    <w:rsid w:val="009810EF"/>
    <w:rsid w:val="00981C0C"/>
    <w:rsid w:val="009833F0"/>
    <w:rsid w:val="009839E5"/>
    <w:rsid w:val="00983EFF"/>
    <w:rsid w:val="00984ABB"/>
    <w:rsid w:val="00984ADC"/>
    <w:rsid w:val="00984E0B"/>
    <w:rsid w:val="0098534A"/>
    <w:rsid w:val="0098590B"/>
    <w:rsid w:val="00985E10"/>
    <w:rsid w:val="00985EB0"/>
    <w:rsid w:val="009863A4"/>
    <w:rsid w:val="00986A66"/>
    <w:rsid w:val="00987024"/>
    <w:rsid w:val="009879AE"/>
    <w:rsid w:val="00987F7A"/>
    <w:rsid w:val="009900BA"/>
    <w:rsid w:val="00990670"/>
    <w:rsid w:val="00992B09"/>
    <w:rsid w:val="00993A4D"/>
    <w:rsid w:val="009948A3"/>
    <w:rsid w:val="00995424"/>
    <w:rsid w:val="00995DCD"/>
    <w:rsid w:val="009963D1"/>
    <w:rsid w:val="009A12AF"/>
    <w:rsid w:val="009A1550"/>
    <w:rsid w:val="009A1DB5"/>
    <w:rsid w:val="009A2B28"/>
    <w:rsid w:val="009A2EFA"/>
    <w:rsid w:val="009A5522"/>
    <w:rsid w:val="009A57DC"/>
    <w:rsid w:val="009A599F"/>
    <w:rsid w:val="009A62D5"/>
    <w:rsid w:val="009A6347"/>
    <w:rsid w:val="009A6602"/>
    <w:rsid w:val="009A6A9F"/>
    <w:rsid w:val="009A7D0B"/>
    <w:rsid w:val="009B0DCC"/>
    <w:rsid w:val="009B1ADD"/>
    <w:rsid w:val="009B20A9"/>
    <w:rsid w:val="009B20EB"/>
    <w:rsid w:val="009B2408"/>
    <w:rsid w:val="009B2FD9"/>
    <w:rsid w:val="009B3254"/>
    <w:rsid w:val="009B36A7"/>
    <w:rsid w:val="009B3C78"/>
    <w:rsid w:val="009B5205"/>
    <w:rsid w:val="009B56E7"/>
    <w:rsid w:val="009B6C7A"/>
    <w:rsid w:val="009B737A"/>
    <w:rsid w:val="009B7877"/>
    <w:rsid w:val="009B78FA"/>
    <w:rsid w:val="009B7D04"/>
    <w:rsid w:val="009C1089"/>
    <w:rsid w:val="009C10B4"/>
    <w:rsid w:val="009C3465"/>
    <w:rsid w:val="009C38CC"/>
    <w:rsid w:val="009C44AA"/>
    <w:rsid w:val="009C4ECD"/>
    <w:rsid w:val="009C5684"/>
    <w:rsid w:val="009C62B3"/>
    <w:rsid w:val="009C67FF"/>
    <w:rsid w:val="009C6E45"/>
    <w:rsid w:val="009C71DF"/>
    <w:rsid w:val="009C7765"/>
    <w:rsid w:val="009D06B2"/>
    <w:rsid w:val="009D0EB7"/>
    <w:rsid w:val="009D1BBB"/>
    <w:rsid w:val="009D1E1F"/>
    <w:rsid w:val="009D35C6"/>
    <w:rsid w:val="009D3CE5"/>
    <w:rsid w:val="009D40B4"/>
    <w:rsid w:val="009D5ACF"/>
    <w:rsid w:val="009D5B99"/>
    <w:rsid w:val="009D62D4"/>
    <w:rsid w:val="009D7AF8"/>
    <w:rsid w:val="009E1122"/>
    <w:rsid w:val="009E1227"/>
    <w:rsid w:val="009E1435"/>
    <w:rsid w:val="009E1D31"/>
    <w:rsid w:val="009E2A2C"/>
    <w:rsid w:val="009E2B7D"/>
    <w:rsid w:val="009E301F"/>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F4A"/>
    <w:rsid w:val="009F6024"/>
    <w:rsid w:val="009F6E68"/>
    <w:rsid w:val="009F7C6C"/>
    <w:rsid w:val="00A00919"/>
    <w:rsid w:val="00A00BB3"/>
    <w:rsid w:val="00A00C3A"/>
    <w:rsid w:val="00A010E2"/>
    <w:rsid w:val="00A01763"/>
    <w:rsid w:val="00A01D02"/>
    <w:rsid w:val="00A02251"/>
    <w:rsid w:val="00A02598"/>
    <w:rsid w:val="00A03B2B"/>
    <w:rsid w:val="00A03E5C"/>
    <w:rsid w:val="00A0417E"/>
    <w:rsid w:val="00A042E5"/>
    <w:rsid w:val="00A04650"/>
    <w:rsid w:val="00A04BB4"/>
    <w:rsid w:val="00A057C3"/>
    <w:rsid w:val="00A05A79"/>
    <w:rsid w:val="00A06906"/>
    <w:rsid w:val="00A078ED"/>
    <w:rsid w:val="00A079F5"/>
    <w:rsid w:val="00A11B01"/>
    <w:rsid w:val="00A12105"/>
    <w:rsid w:val="00A12797"/>
    <w:rsid w:val="00A13724"/>
    <w:rsid w:val="00A13BBD"/>
    <w:rsid w:val="00A13DE9"/>
    <w:rsid w:val="00A14455"/>
    <w:rsid w:val="00A14F1A"/>
    <w:rsid w:val="00A150E6"/>
    <w:rsid w:val="00A165C4"/>
    <w:rsid w:val="00A16766"/>
    <w:rsid w:val="00A173A5"/>
    <w:rsid w:val="00A1773E"/>
    <w:rsid w:val="00A177EC"/>
    <w:rsid w:val="00A179B2"/>
    <w:rsid w:val="00A20953"/>
    <w:rsid w:val="00A20D34"/>
    <w:rsid w:val="00A21184"/>
    <w:rsid w:val="00A212A9"/>
    <w:rsid w:val="00A213DA"/>
    <w:rsid w:val="00A21F35"/>
    <w:rsid w:val="00A2231B"/>
    <w:rsid w:val="00A2255B"/>
    <w:rsid w:val="00A22CF8"/>
    <w:rsid w:val="00A22EAE"/>
    <w:rsid w:val="00A23990"/>
    <w:rsid w:val="00A24D9C"/>
    <w:rsid w:val="00A25102"/>
    <w:rsid w:val="00A25708"/>
    <w:rsid w:val="00A25E45"/>
    <w:rsid w:val="00A25E60"/>
    <w:rsid w:val="00A25FDA"/>
    <w:rsid w:val="00A26254"/>
    <w:rsid w:val="00A262F3"/>
    <w:rsid w:val="00A30741"/>
    <w:rsid w:val="00A31ED2"/>
    <w:rsid w:val="00A322A9"/>
    <w:rsid w:val="00A32BBE"/>
    <w:rsid w:val="00A32BBF"/>
    <w:rsid w:val="00A32E08"/>
    <w:rsid w:val="00A33639"/>
    <w:rsid w:val="00A33B9F"/>
    <w:rsid w:val="00A33FD9"/>
    <w:rsid w:val="00A34729"/>
    <w:rsid w:val="00A34F9A"/>
    <w:rsid w:val="00A35FAB"/>
    <w:rsid w:val="00A36330"/>
    <w:rsid w:val="00A364F9"/>
    <w:rsid w:val="00A36703"/>
    <w:rsid w:val="00A373FD"/>
    <w:rsid w:val="00A40C43"/>
    <w:rsid w:val="00A42232"/>
    <w:rsid w:val="00A42B10"/>
    <w:rsid w:val="00A43CFC"/>
    <w:rsid w:val="00A444EA"/>
    <w:rsid w:val="00A44EF0"/>
    <w:rsid w:val="00A45B03"/>
    <w:rsid w:val="00A47547"/>
    <w:rsid w:val="00A4754D"/>
    <w:rsid w:val="00A51010"/>
    <w:rsid w:val="00A5282D"/>
    <w:rsid w:val="00A52929"/>
    <w:rsid w:val="00A52B56"/>
    <w:rsid w:val="00A52B8F"/>
    <w:rsid w:val="00A533C0"/>
    <w:rsid w:val="00A54011"/>
    <w:rsid w:val="00A55426"/>
    <w:rsid w:val="00A556EF"/>
    <w:rsid w:val="00A56857"/>
    <w:rsid w:val="00A574A6"/>
    <w:rsid w:val="00A57F0B"/>
    <w:rsid w:val="00A6086C"/>
    <w:rsid w:val="00A608AB"/>
    <w:rsid w:val="00A63978"/>
    <w:rsid w:val="00A63A45"/>
    <w:rsid w:val="00A64917"/>
    <w:rsid w:val="00A65731"/>
    <w:rsid w:val="00A66506"/>
    <w:rsid w:val="00A66E8E"/>
    <w:rsid w:val="00A67961"/>
    <w:rsid w:val="00A7123A"/>
    <w:rsid w:val="00A73187"/>
    <w:rsid w:val="00A73F66"/>
    <w:rsid w:val="00A75071"/>
    <w:rsid w:val="00A756D1"/>
    <w:rsid w:val="00A75A8D"/>
    <w:rsid w:val="00A76CC2"/>
    <w:rsid w:val="00A775E2"/>
    <w:rsid w:val="00A779D6"/>
    <w:rsid w:val="00A80056"/>
    <w:rsid w:val="00A8086B"/>
    <w:rsid w:val="00A81C7F"/>
    <w:rsid w:val="00A821C0"/>
    <w:rsid w:val="00A8233F"/>
    <w:rsid w:val="00A82B7C"/>
    <w:rsid w:val="00A82B89"/>
    <w:rsid w:val="00A82CBA"/>
    <w:rsid w:val="00A82E80"/>
    <w:rsid w:val="00A8313D"/>
    <w:rsid w:val="00A83984"/>
    <w:rsid w:val="00A84CEE"/>
    <w:rsid w:val="00A86093"/>
    <w:rsid w:val="00A87167"/>
    <w:rsid w:val="00A903F7"/>
    <w:rsid w:val="00A9070F"/>
    <w:rsid w:val="00A91590"/>
    <w:rsid w:val="00A92059"/>
    <w:rsid w:val="00A922B5"/>
    <w:rsid w:val="00A92DA8"/>
    <w:rsid w:val="00A94383"/>
    <w:rsid w:val="00A9467E"/>
    <w:rsid w:val="00A94A17"/>
    <w:rsid w:val="00A9502B"/>
    <w:rsid w:val="00A952FC"/>
    <w:rsid w:val="00A953B8"/>
    <w:rsid w:val="00A9566D"/>
    <w:rsid w:val="00A95FBD"/>
    <w:rsid w:val="00A96AE7"/>
    <w:rsid w:val="00A97436"/>
    <w:rsid w:val="00A978A9"/>
    <w:rsid w:val="00A97BFA"/>
    <w:rsid w:val="00A97E0C"/>
    <w:rsid w:val="00A97F57"/>
    <w:rsid w:val="00AA04F7"/>
    <w:rsid w:val="00AA27FA"/>
    <w:rsid w:val="00AA298B"/>
    <w:rsid w:val="00AA2F94"/>
    <w:rsid w:val="00AA3175"/>
    <w:rsid w:val="00AA4085"/>
    <w:rsid w:val="00AA485C"/>
    <w:rsid w:val="00AA64BE"/>
    <w:rsid w:val="00AA74CF"/>
    <w:rsid w:val="00AA7CA7"/>
    <w:rsid w:val="00AA7ECC"/>
    <w:rsid w:val="00AB1066"/>
    <w:rsid w:val="00AB14CA"/>
    <w:rsid w:val="00AB17EC"/>
    <w:rsid w:val="00AB523E"/>
    <w:rsid w:val="00AB54D3"/>
    <w:rsid w:val="00AB7622"/>
    <w:rsid w:val="00AB7C9C"/>
    <w:rsid w:val="00AC195F"/>
    <w:rsid w:val="00AC1F2C"/>
    <w:rsid w:val="00AC2267"/>
    <w:rsid w:val="00AC30E9"/>
    <w:rsid w:val="00AC3AC6"/>
    <w:rsid w:val="00AC3D62"/>
    <w:rsid w:val="00AC4D9F"/>
    <w:rsid w:val="00AC51E5"/>
    <w:rsid w:val="00AC53A7"/>
    <w:rsid w:val="00AC570A"/>
    <w:rsid w:val="00AC5EC7"/>
    <w:rsid w:val="00AC663D"/>
    <w:rsid w:val="00AC75B5"/>
    <w:rsid w:val="00AC7D48"/>
    <w:rsid w:val="00AD04A0"/>
    <w:rsid w:val="00AD068A"/>
    <w:rsid w:val="00AD2DF9"/>
    <w:rsid w:val="00AD32C5"/>
    <w:rsid w:val="00AD374E"/>
    <w:rsid w:val="00AD3BF6"/>
    <w:rsid w:val="00AD3CF8"/>
    <w:rsid w:val="00AD417A"/>
    <w:rsid w:val="00AD4586"/>
    <w:rsid w:val="00AD516A"/>
    <w:rsid w:val="00AD563F"/>
    <w:rsid w:val="00AD56A9"/>
    <w:rsid w:val="00AD5CED"/>
    <w:rsid w:val="00AD62FE"/>
    <w:rsid w:val="00AD72A1"/>
    <w:rsid w:val="00AD7912"/>
    <w:rsid w:val="00AD7B05"/>
    <w:rsid w:val="00AD7FDC"/>
    <w:rsid w:val="00AE04AF"/>
    <w:rsid w:val="00AE0923"/>
    <w:rsid w:val="00AE0EA5"/>
    <w:rsid w:val="00AE19A4"/>
    <w:rsid w:val="00AE1C63"/>
    <w:rsid w:val="00AE23E5"/>
    <w:rsid w:val="00AE242D"/>
    <w:rsid w:val="00AE3296"/>
    <w:rsid w:val="00AE330B"/>
    <w:rsid w:val="00AE35A0"/>
    <w:rsid w:val="00AE3692"/>
    <w:rsid w:val="00AE3B4E"/>
    <w:rsid w:val="00AE3D0F"/>
    <w:rsid w:val="00AE4D50"/>
    <w:rsid w:val="00AE5570"/>
    <w:rsid w:val="00AE578C"/>
    <w:rsid w:val="00AE7BBC"/>
    <w:rsid w:val="00AF081F"/>
    <w:rsid w:val="00AF0AF0"/>
    <w:rsid w:val="00AF2157"/>
    <w:rsid w:val="00AF2D57"/>
    <w:rsid w:val="00AF47FE"/>
    <w:rsid w:val="00AF4814"/>
    <w:rsid w:val="00AF54DD"/>
    <w:rsid w:val="00AF5513"/>
    <w:rsid w:val="00AF6BCB"/>
    <w:rsid w:val="00AF6CCF"/>
    <w:rsid w:val="00AF7C6D"/>
    <w:rsid w:val="00AF7DA5"/>
    <w:rsid w:val="00B007DA"/>
    <w:rsid w:val="00B01907"/>
    <w:rsid w:val="00B01B84"/>
    <w:rsid w:val="00B02C3D"/>
    <w:rsid w:val="00B0376E"/>
    <w:rsid w:val="00B03F61"/>
    <w:rsid w:val="00B0608F"/>
    <w:rsid w:val="00B0783B"/>
    <w:rsid w:val="00B10809"/>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2EA"/>
    <w:rsid w:val="00B16514"/>
    <w:rsid w:val="00B166E2"/>
    <w:rsid w:val="00B17253"/>
    <w:rsid w:val="00B178B1"/>
    <w:rsid w:val="00B20293"/>
    <w:rsid w:val="00B210AC"/>
    <w:rsid w:val="00B21174"/>
    <w:rsid w:val="00B21462"/>
    <w:rsid w:val="00B2156D"/>
    <w:rsid w:val="00B22356"/>
    <w:rsid w:val="00B2239F"/>
    <w:rsid w:val="00B2242D"/>
    <w:rsid w:val="00B2347B"/>
    <w:rsid w:val="00B24294"/>
    <w:rsid w:val="00B2454C"/>
    <w:rsid w:val="00B2464C"/>
    <w:rsid w:val="00B2471A"/>
    <w:rsid w:val="00B24914"/>
    <w:rsid w:val="00B24982"/>
    <w:rsid w:val="00B258A4"/>
    <w:rsid w:val="00B25B47"/>
    <w:rsid w:val="00B27C5A"/>
    <w:rsid w:val="00B27D07"/>
    <w:rsid w:val="00B27DDD"/>
    <w:rsid w:val="00B300E6"/>
    <w:rsid w:val="00B31508"/>
    <w:rsid w:val="00B31736"/>
    <w:rsid w:val="00B32082"/>
    <w:rsid w:val="00B320FC"/>
    <w:rsid w:val="00B3357B"/>
    <w:rsid w:val="00B3378F"/>
    <w:rsid w:val="00B33AE2"/>
    <w:rsid w:val="00B35841"/>
    <w:rsid w:val="00B369F1"/>
    <w:rsid w:val="00B36C2C"/>
    <w:rsid w:val="00B36FBE"/>
    <w:rsid w:val="00B36FD2"/>
    <w:rsid w:val="00B379DB"/>
    <w:rsid w:val="00B37AFB"/>
    <w:rsid w:val="00B37CD8"/>
    <w:rsid w:val="00B40885"/>
    <w:rsid w:val="00B410A8"/>
    <w:rsid w:val="00B4299C"/>
    <w:rsid w:val="00B446D0"/>
    <w:rsid w:val="00B4499D"/>
    <w:rsid w:val="00B4536A"/>
    <w:rsid w:val="00B455D6"/>
    <w:rsid w:val="00B4614E"/>
    <w:rsid w:val="00B467DB"/>
    <w:rsid w:val="00B477D1"/>
    <w:rsid w:val="00B47918"/>
    <w:rsid w:val="00B512F7"/>
    <w:rsid w:val="00B51F46"/>
    <w:rsid w:val="00B53426"/>
    <w:rsid w:val="00B548CD"/>
    <w:rsid w:val="00B5550C"/>
    <w:rsid w:val="00B55B45"/>
    <w:rsid w:val="00B55DF5"/>
    <w:rsid w:val="00B56232"/>
    <w:rsid w:val="00B566AC"/>
    <w:rsid w:val="00B56816"/>
    <w:rsid w:val="00B60C11"/>
    <w:rsid w:val="00B62A59"/>
    <w:rsid w:val="00B631B2"/>
    <w:rsid w:val="00B654C1"/>
    <w:rsid w:val="00B65C1F"/>
    <w:rsid w:val="00B65D9A"/>
    <w:rsid w:val="00B66249"/>
    <w:rsid w:val="00B6730F"/>
    <w:rsid w:val="00B67BB8"/>
    <w:rsid w:val="00B67F03"/>
    <w:rsid w:val="00B70E0A"/>
    <w:rsid w:val="00B7163D"/>
    <w:rsid w:val="00B71AC1"/>
    <w:rsid w:val="00B724F0"/>
    <w:rsid w:val="00B72BF5"/>
    <w:rsid w:val="00B73015"/>
    <w:rsid w:val="00B73A2A"/>
    <w:rsid w:val="00B73C23"/>
    <w:rsid w:val="00B75A26"/>
    <w:rsid w:val="00B75EE2"/>
    <w:rsid w:val="00B75F2A"/>
    <w:rsid w:val="00B7722F"/>
    <w:rsid w:val="00B7724D"/>
    <w:rsid w:val="00B776F2"/>
    <w:rsid w:val="00B77A40"/>
    <w:rsid w:val="00B77D76"/>
    <w:rsid w:val="00B805D0"/>
    <w:rsid w:val="00B815AA"/>
    <w:rsid w:val="00B81CAA"/>
    <w:rsid w:val="00B820FD"/>
    <w:rsid w:val="00B83047"/>
    <w:rsid w:val="00B832DB"/>
    <w:rsid w:val="00B83484"/>
    <w:rsid w:val="00B83EA5"/>
    <w:rsid w:val="00B84742"/>
    <w:rsid w:val="00B84E9E"/>
    <w:rsid w:val="00B854B2"/>
    <w:rsid w:val="00B85521"/>
    <w:rsid w:val="00B85BC4"/>
    <w:rsid w:val="00B867A7"/>
    <w:rsid w:val="00B8755B"/>
    <w:rsid w:val="00B87972"/>
    <w:rsid w:val="00B90A13"/>
    <w:rsid w:val="00B91664"/>
    <w:rsid w:val="00B9327E"/>
    <w:rsid w:val="00B93425"/>
    <w:rsid w:val="00B9342F"/>
    <w:rsid w:val="00B93A7D"/>
    <w:rsid w:val="00B9544F"/>
    <w:rsid w:val="00B954A2"/>
    <w:rsid w:val="00B95F1E"/>
    <w:rsid w:val="00B96657"/>
    <w:rsid w:val="00B96AEF"/>
    <w:rsid w:val="00B97A63"/>
    <w:rsid w:val="00BA00C4"/>
    <w:rsid w:val="00BA01B3"/>
    <w:rsid w:val="00BA01BB"/>
    <w:rsid w:val="00BA0C7B"/>
    <w:rsid w:val="00BA1456"/>
    <w:rsid w:val="00BA2984"/>
    <w:rsid w:val="00BA30DD"/>
    <w:rsid w:val="00BA3185"/>
    <w:rsid w:val="00BA39F8"/>
    <w:rsid w:val="00BA4171"/>
    <w:rsid w:val="00BA4254"/>
    <w:rsid w:val="00BA4963"/>
    <w:rsid w:val="00BA4E90"/>
    <w:rsid w:val="00BA57F5"/>
    <w:rsid w:val="00BA5E18"/>
    <w:rsid w:val="00BA763C"/>
    <w:rsid w:val="00BA7D27"/>
    <w:rsid w:val="00BB17E3"/>
    <w:rsid w:val="00BB1DCC"/>
    <w:rsid w:val="00BB28AE"/>
    <w:rsid w:val="00BB4C26"/>
    <w:rsid w:val="00BB4DD6"/>
    <w:rsid w:val="00BB70FE"/>
    <w:rsid w:val="00BB7447"/>
    <w:rsid w:val="00BB7820"/>
    <w:rsid w:val="00BB79D2"/>
    <w:rsid w:val="00BC0679"/>
    <w:rsid w:val="00BC21D1"/>
    <w:rsid w:val="00BC24FA"/>
    <w:rsid w:val="00BC2DED"/>
    <w:rsid w:val="00BC2E0A"/>
    <w:rsid w:val="00BC4CF9"/>
    <w:rsid w:val="00BC5D69"/>
    <w:rsid w:val="00BC622D"/>
    <w:rsid w:val="00BC6763"/>
    <w:rsid w:val="00BC7446"/>
    <w:rsid w:val="00BC752B"/>
    <w:rsid w:val="00BC7887"/>
    <w:rsid w:val="00BC7C94"/>
    <w:rsid w:val="00BD007C"/>
    <w:rsid w:val="00BD03D0"/>
    <w:rsid w:val="00BD0D85"/>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766"/>
    <w:rsid w:val="00BE2AB3"/>
    <w:rsid w:val="00BE2F6E"/>
    <w:rsid w:val="00BE30A8"/>
    <w:rsid w:val="00BE3253"/>
    <w:rsid w:val="00BE32FD"/>
    <w:rsid w:val="00BE3484"/>
    <w:rsid w:val="00BE364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E82"/>
    <w:rsid w:val="00C00FB0"/>
    <w:rsid w:val="00C01326"/>
    <w:rsid w:val="00C01FCD"/>
    <w:rsid w:val="00C02523"/>
    <w:rsid w:val="00C02B0E"/>
    <w:rsid w:val="00C02EBA"/>
    <w:rsid w:val="00C03F0F"/>
    <w:rsid w:val="00C0410D"/>
    <w:rsid w:val="00C04A7D"/>
    <w:rsid w:val="00C04EFD"/>
    <w:rsid w:val="00C056FA"/>
    <w:rsid w:val="00C05DAC"/>
    <w:rsid w:val="00C06268"/>
    <w:rsid w:val="00C06993"/>
    <w:rsid w:val="00C071F0"/>
    <w:rsid w:val="00C10124"/>
    <w:rsid w:val="00C11554"/>
    <w:rsid w:val="00C11CF7"/>
    <w:rsid w:val="00C12AF3"/>
    <w:rsid w:val="00C135A3"/>
    <w:rsid w:val="00C13B58"/>
    <w:rsid w:val="00C14061"/>
    <w:rsid w:val="00C14E00"/>
    <w:rsid w:val="00C15410"/>
    <w:rsid w:val="00C15531"/>
    <w:rsid w:val="00C158A1"/>
    <w:rsid w:val="00C15914"/>
    <w:rsid w:val="00C15B39"/>
    <w:rsid w:val="00C16FC4"/>
    <w:rsid w:val="00C1727B"/>
    <w:rsid w:val="00C202BD"/>
    <w:rsid w:val="00C20FBA"/>
    <w:rsid w:val="00C21A81"/>
    <w:rsid w:val="00C2234F"/>
    <w:rsid w:val="00C226B0"/>
    <w:rsid w:val="00C22EDB"/>
    <w:rsid w:val="00C23762"/>
    <w:rsid w:val="00C23AF7"/>
    <w:rsid w:val="00C23B4B"/>
    <w:rsid w:val="00C23E50"/>
    <w:rsid w:val="00C24D7F"/>
    <w:rsid w:val="00C24F72"/>
    <w:rsid w:val="00C25E5A"/>
    <w:rsid w:val="00C26664"/>
    <w:rsid w:val="00C26A78"/>
    <w:rsid w:val="00C27069"/>
    <w:rsid w:val="00C309A1"/>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4070E"/>
    <w:rsid w:val="00C40ABD"/>
    <w:rsid w:val="00C42601"/>
    <w:rsid w:val="00C43779"/>
    <w:rsid w:val="00C43EBC"/>
    <w:rsid w:val="00C45603"/>
    <w:rsid w:val="00C45BA4"/>
    <w:rsid w:val="00C45C23"/>
    <w:rsid w:val="00C45F76"/>
    <w:rsid w:val="00C46E75"/>
    <w:rsid w:val="00C478E1"/>
    <w:rsid w:val="00C47A73"/>
    <w:rsid w:val="00C47B25"/>
    <w:rsid w:val="00C47E1F"/>
    <w:rsid w:val="00C51838"/>
    <w:rsid w:val="00C51858"/>
    <w:rsid w:val="00C51CF9"/>
    <w:rsid w:val="00C5212B"/>
    <w:rsid w:val="00C52565"/>
    <w:rsid w:val="00C52994"/>
    <w:rsid w:val="00C52A72"/>
    <w:rsid w:val="00C52FA6"/>
    <w:rsid w:val="00C54B2C"/>
    <w:rsid w:val="00C54C2F"/>
    <w:rsid w:val="00C54C8F"/>
    <w:rsid w:val="00C550BC"/>
    <w:rsid w:val="00C55202"/>
    <w:rsid w:val="00C55D72"/>
    <w:rsid w:val="00C57CAC"/>
    <w:rsid w:val="00C57CCD"/>
    <w:rsid w:val="00C57F35"/>
    <w:rsid w:val="00C60C85"/>
    <w:rsid w:val="00C60DD3"/>
    <w:rsid w:val="00C60E00"/>
    <w:rsid w:val="00C610DD"/>
    <w:rsid w:val="00C611AF"/>
    <w:rsid w:val="00C615C8"/>
    <w:rsid w:val="00C61EFD"/>
    <w:rsid w:val="00C62B41"/>
    <w:rsid w:val="00C632F9"/>
    <w:rsid w:val="00C6575B"/>
    <w:rsid w:val="00C6604C"/>
    <w:rsid w:val="00C703A2"/>
    <w:rsid w:val="00C708BB"/>
    <w:rsid w:val="00C708FD"/>
    <w:rsid w:val="00C7285C"/>
    <w:rsid w:val="00C73419"/>
    <w:rsid w:val="00C73E52"/>
    <w:rsid w:val="00C7414B"/>
    <w:rsid w:val="00C7416F"/>
    <w:rsid w:val="00C74220"/>
    <w:rsid w:val="00C743EF"/>
    <w:rsid w:val="00C75E69"/>
    <w:rsid w:val="00C7619F"/>
    <w:rsid w:val="00C762B2"/>
    <w:rsid w:val="00C76725"/>
    <w:rsid w:val="00C76988"/>
    <w:rsid w:val="00C77E6E"/>
    <w:rsid w:val="00C801E2"/>
    <w:rsid w:val="00C80857"/>
    <w:rsid w:val="00C808FD"/>
    <w:rsid w:val="00C83D63"/>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4B55"/>
    <w:rsid w:val="00C95418"/>
    <w:rsid w:val="00C95DDD"/>
    <w:rsid w:val="00CA18CC"/>
    <w:rsid w:val="00CA1D3E"/>
    <w:rsid w:val="00CA2711"/>
    <w:rsid w:val="00CA27AA"/>
    <w:rsid w:val="00CA3FC4"/>
    <w:rsid w:val="00CA515A"/>
    <w:rsid w:val="00CA61F3"/>
    <w:rsid w:val="00CA68AF"/>
    <w:rsid w:val="00CA6DE5"/>
    <w:rsid w:val="00CA720B"/>
    <w:rsid w:val="00CA78D0"/>
    <w:rsid w:val="00CB00EE"/>
    <w:rsid w:val="00CB1ED7"/>
    <w:rsid w:val="00CB2A2D"/>
    <w:rsid w:val="00CB2CA4"/>
    <w:rsid w:val="00CB3DC2"/>
    <w:rsid w:val="00CB3FB2"/>
    <w:rsid w:val="00CB43CD"/>
    <w:rsid w:val="00CB5E4B"/>
    <w:rsid w:val="00CB62A4"/>
    <w:rsid w:val="00CB7147"/>
    <w:rsid w:val="00CB7650"/>
    <w:rsid w:val="00CC0184"/>
    <w:rsid w:val="00CC058A"/>
    <w:rsid w:val="00CC2713"/>
    <w:rsid w:val="00CC2DA6"/>
    <w:rsid w:val="00CC3601"/>
    <w:rsid w:val="00CC4D16"/>
    <w:rsid w:val="00CC4F16"/>
    <w:rsid w:val="00CC57DF"/>
    <w:rsid w:val="00CC6318"/>
    <w:rsid w:val="00CC6325"/>
    <w:rsid w:val="00CC637E"/>
    <w:rsid w:val="00CC6E1A"/>
    <w:rsid w:val="00CD004F"/>
    <w:rsid w:val="00CD05F2"/>
    <w:rsid w:val="00CD0745"/>
    <w:rsid w:val="00CD1116"/>
    <w:rsid w:val="00CD1212"/>
    <w:rsid w:val="00CD1E41"/>
    <w:rsid w:val="00CD31A4"/>
    <w:rsid w:val="00CD3459"/>
    <w:rsid w:val="00CD4C7A"/>
    <w:rsid w:val="00CD5318"/>
    <w:rsid w:val="00CD53D0"/>
    <w:rsid w:val="00CD5916"/>
    <w:rsid w:val="00CD59BA"/>
    <w:rsid w:val="00CD608F"/>
    <w:rsid w:val="00CD6402"/>
    <w:rsid w:val="00CD662E"/>
    <w:rsid w:val="00CD72CD"/>
    <w:rsid w:val="00CD7948"/>
    <w:rsid w:val="00CD7E0C"/>
    <w:rsid w:val="00CE0CC5"/>
    <w:rsid w:val="00CE19F7"/>
    <w:rsid w:val="00CE1C03"/>
    <w:rsid w:val="00CE254E"/>
    <w:rsid w:val="00CE3138"/>
    <w:rsid w:val="00CE36A6"/>
    <w:rsid w:val="00CE372E"/>
    <w:rsid w:val="00CE38FA"/>
    <w:rsid w:val="00CE38FF"/>
    <w:rsid w:val="00CE4F67"/>
    <w:rsid w:val="00CE52F1"/>
    <w:rsid w:val="00CE611D"/>
    <w:rsid w:val="00CE638C"/>
    <w:rsid w:val="00CE67D8"/>
    <w:rsid w:val="00CE71C6"/>
    <w:rsid w:val="00CE7D15"/>
    <w:rsid w:val="00CE7DB3"/>
    <w:rsid w:val="00CF000C"/>
    <w:rsid w:val="00CF0980"/>
    <w:rsid w:val="00CF36A9"/>
    <w:rsid w:val="00CF3C71"/>
    <w:rsid w:val="00CF43C2"/>
    <w:rsid w:val="00CF48E4"/>
    <w:rsid w:val="00CF4973"/>
    <w:rsid w:val="00CF552B"/>
    <w:rsid w:val="00CF6C52"/>
    <w:rsid w:val="00CF73DB"/>
    <w:rsid w:val="00CF742D"/>
    <w:rsid w:val="00D00C1C"/>
    <w:rsid w:val="00D0112B"/>
    <w:rsid w:val="00D01E44"/>
    <w:rsid w:val="00D02377"/>
    <w:rsid w:val="00D02666"/>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237C"/>
    <w:rsid w:val="00D133A3"/>
    <w:rsid w:val="00D135F5"/>
    <w:rsid w:val="00D137AC"/>
    <w:rsid w:val="00D13C99"/>
    <w:rsid w:val="00D1452E"/>
    <w:rsid w:val="00D152D4"/>
    <w:rsid w:val="00D15306"/>
    <w:rsid w:val="00D155AD"/>
    <w:rsid w:val="00D15ABB"/>
    <w:rsid w:val="00D1780C"/>
    <w:rsid w:val="00D17B1E"/>
    <w:rsid w:val="00D205AC"/>
    <w:rsid w:val="00D2080D"/>
    <w:rsid w:val="00D20A05"/>
    <w:rsid w:val="00D211E0"/>
    <w:rsid w:val="00D21608"/>
    <w:rsid w:val="00D22005"/>
    <w:rsid w:val="00D23258"/>
    <w:rsid w:val="00D241A8"/>
    <w:rsid w:val="00D24CAD"/>
    <w:rsid w:val="00D2528C"/>
    <w:rsid w:val="00D254C0"/>
    <w:rsid w:val="00D25B1C"/>
    <w:rsid w:val="00D26832"/>
    <w:rsid w:val="00D272B1"/>
    <w:rsid w:val="00D2774B"/>
    <w:rsid w:val="00D30556"/>
    <w:rsid w:val="00D30D8B"/>
    <w:rsid w:val="00D32434"/>
    <w:rsid w:val="00D33390"/>
    <w:rsid w:val="00D33537"/>
    <w:rsid w:val="00D335F6"/>
    <w:rsid w:val="00D34F34"/>
    <w:rsid w:val="00D3538A"/>
    <w:rsid w:val="00D35778"/>
    <w:rsid w:val="00D36B48"/>
    <w:rsid w:val="00D36F3C"/>
    <w:rsid w:val="00D37829"/>
    <w:rsid w:val="00D37C48"/>
    <w:rsid w:val="00D402C1"/>
    <w:rsid w:val="00D40A76"/>
    <w:rsid w:val="00D40BA5"/>
    <w:rsid w:val="00D40BCF"/>
    <w:rsid w:val="00D41B54"/>
    <w:rsid w:val="00D425DE"/>
    <w:rsid w:val="00D43E18"/>
    <w:rsid w:val="00D441E1"/>
    <w:rsid w:val="00D44B45"/>
    <w:rsid w:val="00D45543"/>
    <w:rsid w:val="00D4611F"/>
    <w:rsid w:val="00D47AB7"/>
    <w:rsid w:val="00D47EE5"/>
    <w:rsid w:val="00D50B99"/>
    <w:rsid w:val="00D50FAD"/>
    <w:rsid w:val="00D511F9"/>
    <w:rsid w:val="00D51D62"/>
    <w:rsid w:val="00D52D0D"/>
    <w:rsid w:val="00D54A0F"/>
    <w:rsid w:val="00D54DBA"/>
    <w:rsid w:val="00D554D6"/>
    <w:rsid w:val="00D558EA"/>
    <w:rsid w:val="00D55C97"/>
    <w:rsid w:val="00D5678F"/>
    <w:rsid w:val="00D60A57"/>
    <w:rsid w:val="00D650D6"/>
    <w:rsid w:val="00D70631"/>
    <w:rsid w:val="00D70C93"/>
    <w:rsid w:val="00D712B5"/>
    <w:rsid w:val="00D71A17"/>
    <w:rsid w:val="00D728E8"/>
    <w:rsid w:val="00D733F0"/>
    <w:rsid w:val="00D74C51"/>
    <w:rsid w:val="00D75210"/>
    <w:rsid w:val="00D755C5"/>
    <w:rsid w:val="00D75840"/>
    <w:rsid w:val="00D75C7D"/>
    <w:rsid w:val="00D77035"/>
    <w:rsid w:val="00D77460"/>
    <w:rsid w:val="00D7746D"/>
    <w:rsid w:val="00D7793D"/>
    <w:rsid w:val="00D8014A"/>
    <w:rsid w:val="00D80834"/>
    <w:rsid w:val="00D80CC3"/>
    <w:rsid w:val="00D81452"/>
    <w:rsid w:val="00D81515"/>
    <w:rsid w:val="00D81F5F"/>
    <w:rsid w:val="00D82024"/>
    <w:rsid w:val="00D820BD"/>
    <w:rsid w:val="00D835B5"/>
    <w:rsid w:val="00D83938"/>
    <w:rsid w:val="00D8399A"/>
    <w:rsid w:val="00D8413C"/>
    <w:rsid w:val="00D849D3"/>
    <w:rsid w:val="00D8618C"/>
    <w:rsid w:val="00D86747"/>
    <w:rsid w:val="00D87422"/>
    <w:rsid w:val="00D87DD9"/>
    <w:rsid w:val="00D90149"/>
    <w:rsid w:val="00D908DE"/>
    <w:rsid w:val="00D90B9E"/>
    <w:rsid w:val="00D91015"/>
    <w:rsid w:val="00D941DF"/>
    <w:rsid w:val="00D9565D"/>
    <w:rsid w:val="00D95C8F"/>
    <w:rsid w:val="00D9619E"/>
    <w:rsid w:val="00D96E10"/>
    <w:rsid w:val="00D978A9"/>
    <w:rsid w:val="00D97EA3"/>
    <w:rsid w:val="00DA0174"/>
    <w:rsid w:val="00DA01C2"/>
    <w:rsid w:val="00DA054A"/>
    <w:rsid w:val="00DA09E7"/>
    <w:rsid w:val="00DA114C"/>
    <w:rsid w:val="00DA18E4"/>
    <w:rsid w:val="00DA2009"/>
    <w:rsid w:val="00DA3315"/>
    <w:rsid w:val="00DA4C96"/>
    <w:rsid w:val="00DA5427"/>
    <w:rsid w:val="00DA62AA"/>
    <w:rsid w:val="00DA7B1A"/>
    <w:rsid w:val="00DA7C4F"/>
    <w:rsid w:val="00DA7CAE"/>
    <w:rsid w:val="00DB0244"/>
    <w:rsid w:val="00DB158F"/>
    <w:rsid w:val="00DB16B2"/>
    <w:rsid w:val="00DB4535"/>
    <w:rsid w:val="00DB4FA4"/>
    <w:rsid w:val="00DB525A"/>
    <w:rsid w:val="00DB698F"/>
    <w:rsid w:val="00DC0034"/>
    <w:rsid w:val="00DC0487"/>
    <w:rsid w:val="00DC0621"/>
    <w:rsid w:val="00DC0A6C"/>
    <w:rsid w:val="00DC0DD2"/>
    <w:rsid w:val="00DC191F"/>
    <w:rsid w:val="00DC19C8"/>
    <w:rsid w:val="00DC3030"/>
    <w:rsid w:val="00DC35C9"/>
    <w:rsid w:val="00DC36FE"/>
    <w:rsid w:val="00DC422A"/>
    <w:rsid w:val="00DC462A"/>
    <w:rsid w:val="00DC5C81"/>
    <w:rsid w:val="00DC5F59"/>
    <w:rsid w:val="00DC66C0"/>
    <w:rsid w:val="00DC7C33"/>
    <w:rsid w:val="00DD077B"/>
    <w:rsid w:val="00DD1185"/>
    <w:rsid w:val="00DD11AD"/>
    <w:rsid w:val="00DD11CB"/>
    <w:rsid w:val="00DD1261"/>
    <w:rsid w:val="00DD1A68"/>
    <w:rsid w:val="00DD35EF"/>
    <w:rsid w:val="00DD4A22"/>
    <w:rsid w:val="00DD5409"/>
    <w:rsid w:val="00DD6810"/>
    <w:rsid w:val="00DD6A95"/>
    <w:rsid w:val="00DD6EF6"/>
    <w:rsid w:val="00DD7148"/>
    <w:rsid w:val="00DD7D43"/>
    <w:rsid w:val="00DE07A2"/>
    <w:rsid w:val="00DE27EB"/>
    <w:rsid w:val="00DE3855"/>
    <w:rsid w:val="00DE387E"/>
    <w:rsid w:val="00DE43C0"/>
    <w:rsid w:val="00DE46E8"/>
    <w:rsid w:val="00DE4C24"/>
    <w:rsid w:val="00DE5820"/>
    <w:rsid w:val="00DE75B2"/>
    <w:rsid w:val="00DF0C6C"/>
    <w:rsid w:val="00DF16C9"/>
    <w:rsid w:val="00DF1B46"/>
    <w:rsid w:val="00DF28AC"/>
    <w:rsid w:val="00DF3B1E"/>
    <w:rsid w:val="00DF4172"/>
    <w:rsid w:val="00DF45FD"/>
    <w:rsid w:val="00DF4B8B"/>
    <w:rsid w:val="00DF633B"/>
    <w:rsid w:val="00DF6DD4"/>
    <w:rsid w:val="00DF76C2"/>
    <w:rsid w:val="00DF76DA"/>
    <w:rsid w:val="00DF7831"/>
    <w:rsid w:val="00E00958"/>
    <w:rsid w:val="00E012C3"/>
    <w:rsid w:val="00E01887"/>
    <w:rsid w:val="00E01A10"/>
    <w:rsid w:val="00E01A2D"/>
    <w:rsid w:val="00E03400"/>
    <w:rsid w:val="00E041DB"/>
    <w:rsid w:val="00E0423D"/>
    <w:rsid w:val="00E043C9"/>
    <w:rsid w:val="00E0450A"/>
    <w:rsid w:val="00E06221"/>
    <w:rsid w:val="00E06330"/>
    <w:rsid w:val="00E0681E"/>
    <w:rsid w:val="00E07721"/>
    <w:rsid w:val="00E07728"/>
    <w:rsid w:val="00E078CC"/>
    <w:rsid w:val="00E07F58"/>
    <w:rsid w:val="00E10E21"/>
    <w:rsid w:val="00E112DD"/>
    <w:rsid w:val="00E12BE0"/>
    <w:rsid w:val="00E1312B"/>
    <w:rsid w:val="00E1388A"/>
    <w:rsid w:val="00E13F24"/>
    <w:rsid w:val="00E144D4"/>
    <w:rsid w:val="00E14AC2"/>
    <w:rsid w:val="00E15480"/>
    <w:rsid w:val="00E156CC"/>
    <w:rsid w:val="00E16EB0"/>
    <w:rsid w:val="00E17571"/>
    <w:rsid w:val="00E176BC"/>
    <w:rsid w:val="00E207FB"/>
    <w:rsid w:val="00E20D63"/>
    <w:rsid w:val="00E20DBB"/>
    <w:rsid w:val="00E20E0C"/>
    <w:rsid w:val="00E21ABF"/>
    <w:rsid w:val="00E22A13"/>
    <w:rsid w:val="00E22DF2"/>
    <w:rsid w:val="00E23AA8"/>
    <w:rsid w:val="00E2444C"/>
    <w:rsid w:val="00E24706"/>
    <w:rsid w:val="00E258DE"/>
    <w:rsid w:val="00E25ED9"/>
    <w:rsid w:val="00E26B74"/>
    <w:rsid w:val="00E27DAD"/>
    <w:rsid w:val="00E30B21"/>
    <w:rsid w:val="00E30B2C"/>
    <w:rsid w:val="00E319FE"/>
    <w:rsid w:val="00E31D91"/>
    <w:rsid w:val="00E339DC"/>
    <w:rsid w:val="00E33DE7"/>
    <w:rsid w:val="00E33F6D"/>
    <w:rsid w:val="00E341E1"/>
    <w:rsid w:val="00E3466B"/>
    <w:rsid w:val="00E3643B"/>
    <w:rsid w:val="00E3693C"/>
    <w:rsid w:val="00E36C67"/>
    <w:rsid w:val="00E37690"/>
    <w:rsid w:val="00E37F4E"/>
    <w:rsid w:val="00E400BD"/>
    <w:rsid w:val="00E404C8"/>
    <w:rsid w:val="00E41012"/>
    <w:rsid w:val="00E41394"/>
    <w:rsid w:val="00E415B1"/>
    <w:rsid w:val="00E41893"/>
    <w:rsid w:val="00E42101"/>
    <w:rsid w:val="00E42262"/>
    <w:rsid w:val="00E426C3"/>
    <w:rsid w:val="00E4549D"/>
    <w:rsid w:val="00E46BD6"/>
    <w:rsid w:val="00E50159"/>
    <w:rsid w:val="00E501D6"/>
    <w:rsid w:val="00E503A8"/>
    <w:rsid w:val="00E504C8"/>
    <w:rsid w:val="00E505F7"/>
    <w:rsid w:val="00E506BD"/>
    <w:rsid w:val="00E50CB5"/>
    <w:rsid w:val="00E50D5B"/>
    <w:rsid w:val="00E50F1E"/>
    <w:rsid w:val="00E51601"/>
    <w:rsid w:val="00E52CCA"/>
    <w:rsid w:val="00E539EE"/>
    <w:rsid w:val="00E54B22"/>
    <w:rsid w:val="00E54CEA"/>
    <w:rsid w:val="00E54D4E"/>
    <w:rsid w:val="00E55CC5"/>
    <w:rsid w:val="00E5795A"/>
    <w:rsid w:val="00E6023E"/>
    <w:rsid w:val="00E60246"/>
    <w:rsid w:val="00E607ED"/>
    <w:rsid w:val="00E61C85"/>
    <w:rsid w:val="00E6310E"/>
    <w:rsid w:val="00E6364B"/>
    <w:rsid w:val="00E64852"/>
    <w:rsid w:val="00E64CA9"/>
    <w:rsid w:val="00E65228"/>
    <w:rsid w:val="00E659D9"/>
    <w:rsid w:val="00E66D5F"/>
    <w:rsid w:val="00E6762C"/>
    <w:rsid w:val="00E67CEC"/>
    <w:rsid w:val="00E7188D"/>
    <w:rsid w:val="00E71DFE"/>
    <w:rsid w:val="00E7337D"/>
    <w:rsid w:val="00E7352C"/>
    <w:rsid w:val="00E73B1C"/>
    <w:rsid w:val="00E7407D"/>
    <w:rsid w:val="00E74A2A"/>
    <w:rsid w:val="00E74DFE"/>
    <w:rsid w:val="00E75321"/>
    <w:rsid w:val="00E766AD"/>
    <w:rsid w:val="00E76852"/>
    <w:rsid w:val="00E76B7B"/>
    <w:rsid w:val="00E76DF0"/>
    <w:rsid w:val="00E778CC"/>
    <w:rsid w:val="00E80916"/>
    <w:rsid w:val="00E81421"/>
    <w:rsid w:val="00E8268C"/>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568F"/>
    <w:rsid w:val="00E969E5"/>
    <w:rsid w:val="00E96EE5"/>
    <w:rsid w:val="00EA04F3"/>
    <w:rsid w:val="00EA18C8"/>
    <w:rsid w:val="00EA2814"/>
    <w:rsid w:val="00EA2831"/>
    <w:rsid w:val="00EA35EB"/>
    <w:rsid w:val="00EA3E11"/>
    <w:rsid w:val="00EA4366"/>
    <w:rsid w:val="00EA4D02"/>
    <w:rsid w:val="00EA5003"/>
    <w:rsid w:val="00EA61F7"/>
    <w:rsid w:val="00EA74DC"/>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B7BED"/>
    <w:rsid w:val="00EC03E5"/>
    <w:rsid w:val="00EC12B4"/>
    <w:rsid w:val="00EC27AC"/>
    <w:rsid w:val="00EC40FC"/>
    <w:rsid w:val="00EC468C"/>
    <w:rsid w:val="00EC4F4D"/>
    <w:rsid w:val="00EC66E0"/>
    <w:rsid w:val="00EC6C88"/>
    <w:rsid w:val="00ED02A7"/>
    <w:rsid w:val="00ED0412"/>
    <w:rsid w:val="00ED14FA"/>
    <w:rsid w:val="00ED1896"/>
    <w:rsid w:val="00ED1B1D"/>
    <w:rsid w:val="00ED1C3D"/>
    <w:rsid w:val="00ED26D3"/>
    <w:rsid w:val="00ED4173"/>
    <w:rsid w:val="00ED5DE1"/>
    <w:rsid w:val="00ED6916"/>
    <w:rsid w:val="00ED6FD0"/>
    <w:rsid w:val="00ED737F"/>
    <w:rsid w:val="00EE0413"/>
    <w:rsid w:val="00EE0CB0"/>
    <w:rsid w:val="00EE2310"/>
    <w:rsid w:val="00EE35E9"/>
    <w:rsid w:val="00EE3E6F"/>
    <w:rsid w:val="00EE40B9"/>
    <w:rsid w:val="00EE40FA"/>
    <w:rsid w:val="00EE4940"/>
    <w:rsid w:val="00EE7C56"/>
    <w:rsid w:val="00EE7CF2"/>
    <w:rsid w:val="00EF03FE"/>
    <w:rsid w:val="00EF196A"/>
    <w:rsid w:val="00EF1E68"/>
    <w:rsid w:val="00EF20D2"/>
    <w:rsid w:val="00EF35E0"/>
    <w:rsid w:val="00EF375D"/>
    <w:rsid w:val="00EF4CAE"/>
    <w:rsid w:val="00EF6C19"/>
    <w:rsid w:val="00EF6F24"/>
    <w:rsid w:val="00EF70AD"/>
    <w:rsid w:val="00F00CF7"/>
    <w:rsid w:val="00F02109"/>
    <w:rsid w:val="00F022BB"/>
    <w:rsid w:val="00F022D0"/>
    <w:rsid w:val="00F026CC"/>
    <w:rsid w:val="00F02970"/>
    <w:rsid w:val="00F053C8"/>
    <w:rsid w:val="00F05EFB"/>
    <w:rsid w:val="00F06865"/>
    <w:rsid w:val="00F1051A"/>
    <w:rsid w:val="00F10B6B"/>
    <w:rsid w:val="00F11CBC"/>
    <w:rsid w:val="00F11D46"/>
    <w:rsid w:val="00F126C4"/>
    <w:rsid w:val="00F12C41"/>
    <w:rsid w:val="00F12FAF"/>
    <w:rsid w:val="00F133D6"/>
    <w:rsid w:val="00F13EB3"/>
    <w:rsid w:val="00F141A8"/>
    <w:rsid w:val="00F14C57"/>
    <w:rsid w:val="00F17C7D"/>
    <w:rsid w:val="00F17E47"/>
    <w:rsid w:val="00F22EC4"/>
    <w:rsid w:val="00F23914"/>
    <w:rsid w:val="00F24517"/>
    <w:rsid w:val="00F24B27"/>
    <w:rsid w:val="00F25291"/>
    <w:rsid w:val="00F26383"/>
    <w:rsid w:val="00F26C19"/>
    <w:rsid w:val="00F27132"/>
    <w:rsid w:val="00F27247"/>
    <w:rsid w:val="00F27598"/>
    <w:rsid w:val="00F27F8E"/>
    <w:rsid w:val="00F30015"/>
    <w:rsid w:val="00F307DB"/>
    <w:rsid w:val="00F30C91"/>
    <w:rsid w:val="00F31DBA"/>
    <w:rsid w:val="00F31E35"/>
    <w:rsid w:val="00F32501"/>
    <w:rsid w:val="00F32DF1"/>
    <w:rsid w:val="00F35C81"/>
    <w:rsid w:val="00F3650B"/>
    <w:rsid w:val="00F37EB1"/>
    <w:rsid w:val="00F40306"/>
    <w:rsid w:val="00F40AE8"/>
    <w:rsid w:val="00F41BCA"/>
    <w:rsid w:val="00F420A6"/>
    <w:rsid w:val="00F42917"/>
    <w:rsid w:val="00F42F46"/>
    <w:rsid w:val="00F430E5"/>
    <w:rsid w:val="00F43356"/>
    <w:rsid w:val="00F4408F"/>
    <w:rsid w:val="00F44642"/>
    <w:rsid w:val="00F44D33"/>
    <w:rsid w:val="00F46E09"/>
    <w:rsid w:val="00F5092F"/>
    <w:rsid w:val="00F510FA"/>
    <w:rsid w:val="00F52AF4"/>
    <w:rsid w:val="00F53197"/>
    <w:rsid w:val="00F53406"/>
    <w:rsid w:val="00F548BA"/>
    <w:rsid w:val="00F55BDB"/>
    <w:rsid w:val="00F56103"/>
    <w:rsid w:val="00F56746"/>
    <w:rsid w:val="00F604F0"/>
    <w:rsid w:val="00F60AF6"/>
    <w:rsid w:val="00F61A75"/>
    <w:rsid w:val="00F62D5A"/>
    <w:rsid w:val="00F632AE"/>
    <w:rsid w:val="00F63601"/>
    <w:rsid w:val="00F63BE6"/>
    <w:rsid w:val="00F65BAE"/>
    <w:rsid w:val="00F65C42"/>
    <w:rsid w:val="00F65E58"/>
    <w:rsid w:val="00F65E65"/>
    <w:rsid w:val="00F65F0C"/>
    <w:rsid w:val="00F66D09"/>
    <w:rsid w:val="00F675EF"/>
    <w:rsid w:val="00F67870"/>
    <w:rsid w:val="00F67F3A"/>
    <w:rsid w:val="00F7006E"/>
    <w:rsid w:val="00F7025A"/>
    <w:rsid w:val="00F70A0D"/>
    <w:rsid w:val="00F70BA5"/>
    <w:rsid w:val="00F71962"/>
    <w:rsid w:val="00F723BA"/>
    <w:rsid w:val="00F72739"/>
    <w:rsid w:val="00F7288C"/>
    <w:rsid w:val="00F7304C"/>
    <w:rsid w:val="00F7377E"/>
    <w:rsid w:val="00F73F44"/>
    <w:rsid w:val="00F748DF"/>
    <w:rsid w:val="00F74A14"/>
    <w:rsid w:val="00F750B4"/>
    <w:rsid w:val="00F751D8"/>
    <w:rsid w:val="00F757C2"/>
    <w:rsid w:val="00F766F5"/>
    <w:rsid w:val="00F76871"/>
    <w:rsid w:val="00F777D7"/>
    <w:rsid w:val="00F8014F"/>
    <w:rsid w:val="00F80F6D"/>
    <w:rsid w:val="00F81DC4"/>
    <w:rsid w:val="00F81DDE"/>
    <w:rsid w:val="00F82556"/>
    <w:rsid w:val="00F82736"/>
    <w:rsid w:val="00F833D3"/>
    <w:rsid w:val="00F83935"/>
    <w:rsid w:val="00F83A72"/>
    <w:rsid w:val="00F8402D"/>
    <w:rsid w:val="00F84506"/>
    <w:rsid w:val="00F848BC"/>
    <w:rsid w:val="00F849A6"/>
    <w:rsid w:val="00F84A3E"/>
    <w:rsid w:val="00F850C1"/>
    <w:rsid w:val="00F85690"/>
    <w:rsid w:val="00F8657D"/>
    <w:rsid w:val="00F86BCA"/>
    <w:rsid w:val="00F9064E"/>
    <w:rsid w:val="00F908B1"/>
    <w:rsid w:val="00F9124A"/>
    <w:rsid w:val="00F920A9"/>
    <w:rsid w:val="00F92348"/>
    <w:rsid w:val="00F92559"/>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7E8"/>
    <w:rsid w:val="00FA4650"/>
    <w:rsid w:val="00FA5637"/>
    <w:rsid w:val="00FA5B48"/>
    <w:rsid w:val="00FA6316"/>
    <w:rsid w:val="00FA75EF"/>
    <w:rsid w:val="00FB00EA"/>
    <w:rsid w:val="00FB07D8"/>
    <w:rsid w:val="00FB0D61"/>
    <w:rsid w:val="00FB1006"/>
    <w:rsid w:val="00FB18EB"/>
    <w:rsid w:val="00FB2C4B"/>
    <w:rsid w:val="00FB3A31"/>
    <w:rsid w:val="00FB3BC4"/>
    <w:rsid w:val="00FB41D0"/>
    <w:rsid w:val="00FB5F84"/>
    <w:rsid w:val="00FB6E52"/>
    <w:rsid w:val="00FB7573"/>
    <w:rsid w:val="00FB7EF5"/>
    <w:rsid w:val="00FC03CC"/>
    <w:rsid w:val="00FC1466"/>
    <w:rsid w:val="00FC1980"/>
    <w:rsid w:val="00FC245A"/>
    <w:rsid w:val="00FC2EC6"/>
    <w:rsid w:val="00FC2F5A"/>
    <w:rsid w:val="00FC377B"/>
    <w:rsid w:val="00FC3CD4"/>
    <w:rsid w:val="00FC4BFC"/>
    <w:rsid w:val="00FC5054"/>
    <w:rsid w:val="00FC6918"/>
    <w:rsid w:val="00FD058B"/>
    <w:rsid w:val="00FD0955"/>
    <w:rsid w:val="00FD0C0A"/>
    <w:rsid w:val="00FD1420"/>
    <w:rsid w:val="00FD14A3"/>
    <w:rsid w:val="00FD1D5F"/>
    <w:rsid w:val="00FD2124"/>
    <w:rsid w:val="00FD2274"/>
    <w:rsid w:val="00FD2DF3"/>
    <w:rsid w:val="00FD3510"/>
    <w:rsid w:val="00FD35D0"/>
    <w:rsid w:val="00FD4D99"/>
    <w:rsid w:val="00FD6E7C"/>
    <w:rsid w:val="00FD700F"/>
    <w:rsid w:val="00FD7837"/>
    <w:rsid w:val="00FE0575"/>
    <w:rsid w:val="00FE1907"/>
    <w:rsid w:val="00FE1E9E"/>
    <w:rsid w:val="00FE20ED"/>
    <w:rsid w:val="00FE22E6"/>
    <w:rsid w:val="00FE4104"/>
    <w:rsid w:val="00FE45A3"/>
    <w:rsid w:val="00FE469F"/>
    <w:rsid w:val="00FE49B4"/>
    <w:rsid w:val="00FE5903"/>
    <w:rsid w:val="00FE5AF1"/>
    <w:rsid w:val="00FE60DA"/>
    <w:rsid w:val="00FE6DCF"/>
    <w:rsid w:val="00FE78CC"/>
    <w:rsid w:val="00FE7B52"/>
    <w:rsid w:val="00FF0150"/>
    <w:rsid w:val="00FF0822"/>
    <w:rsid w:val="00FF153F"/>
    <w:rsid w:val="00FF1E54"/>
    <w:rsid w:val="00FF3569"/>
    <w:rsid w:val="00FF57CE"/>
    <w:rsid w:val="00FF5E52"/>
    <w:rsid w:val="00FF5F2F"/>
    <w:rsid w:val="00FF64B9"/>
    <w:rsid w:val="00FF7097"/>
    <w:rsid w:val="00FF788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316287E"/>
  <w15:docId w15:val="{83D36939-E26F-4D30-8C29-7E5CE655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E0"/>
    <w:pPr>
      <w:spacing w:after="120"/>
    </w:pPr>
    <w:rPr>
      <w:rFonts w:eastAsiaTheme="minorHAnsi" w:cstheme="minorBidi"/>
      <w:sz w:val="22"/>
      <w:szCs w:val="22"/>
      <w:lang w:eastAsia="en-US"/>
    </w:rPr>
  </w:style>
  <w:style w:type="paragraph" w:styleId="Heading1">
    <w:name w:val="heading 1"/>
    <w:basedOn w:val="Title"/>
    <w:next w:val="Normal"/>
    <w:link w:val="Heading1Char"/>
    <w:uiPriority w:val="1"/>
    <w:qFormat/>
    <w:rsid w:val="00B566AC"/>
    <w:pPr>
      <w:ind w:left="1276"/>
      <w:outlineLvl w:val="0"/>
    </w:pPr>
    <w:rPr>
      <w:sz w:val="56"/>
      <w:szCs w:val="56"/>
    </w:rPr>
  </w:style>
  <w:style w:type="paragraph" w:styleId="Heading2">
    <w:name w:val="heading 2"/>
    <w:basedOn w:val="Normal"/>
    <w:next w:val="Normal"/>
    <w:link w:val="Heading2Char"/>
    <w:uiPriority w:val="3"/>
    <w:qFormat/>
    <w:rsid w:val="00211A48"/>
    <w:pPr>
      <w:pageBreakBefore/>
      <w:numPr>
        <w:numId w:val="65"/>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7F7484"/>
    <w:pPr>
      <w:keepNext/>
      <w:keepLines/>
      <w:spacing w:before="360"/>
      <w:outlineLvl w:val="2"/>
    </w:pPr>
    <w:rPr>
      <w:rFonts w:asciiTheme="minorHAnsi" w:eastAsia="Times New Roman" w:hAnsiTheme="minorHAnsi"/>
      <w:b/>
      <w:bCs/>
      <w:sz w:val="36"/>
      <w:szCs w:val="24"/>
      <w:lang w:eastAsia="en-US"/>
    </w:rPr>
  </w:style>
  <w:style w:type="paragraph" w:styleId="Heading4">
    <w:name w:val="heading 4"/>
    <w:next w:val="Normal"/>
    <w:link w:val="Heading4Char"/>
    <w:uiPriority w:val="5"/>
    <w:qFormat/>
    <w:rsid w:val="007F7484"/>
    <w:pPr>
      <w:spacing w:before="120"/>
      <w:outlineLvl w:val="3"/>
    </w:pPr>
    <w:rPr>
      <w:rFonts w:asciiTheme="minorHAnsi" w:eastAsiaTheme="minorEastAsia" w:hAnsiTheme="minorHAnsi" w:cstheme="minorBidi"/>
      <w:b/>
      <w:sz w:val="26"/>
      <w:szCs w:val="22"/>
      <w:lang w:eastAsia="ja-JP"/>
    </w:rPr>
  </w:style>
  <w:style w:type="paragraph" w:styleId="Heading5">
    <w:name w:val="heading 5"/>
    <w:basedOn w:val="Normal"/>
    <w:next w:val="Normal"/>
    <w:link w:val="Heading5Char"/>
    <w:uiPriority w:val="9"/>
    <w:unhideWhenUsed/>
    <w:rsid w:val="0070101B"/>
    <w:pPr>
      <w:keepNext/>
      <w:keepLines/>
      <w:spacing w:before="200"/>
      <w:outlineLvl w:val="4"/>
    </w:pPr>
    <w:rPr>
      <w:rFonts w:eastAsiaTheme="majorEastAsia" w:cstheme="majorBidi"/>
      <w:b/>
      <w:i/>
      <w:sz w:val="24"/>
    </w:rPr>
  </w:style>
  <w:style w:type="paragraph" w:styleId="Heading6">
    <w:name w:val="heading 6"/>
    <w:basedOn w:val="Normal"/>
    <w:next w:val="Normal"/>
    <w:link w:val="Heading6Char"/>
    <w:uiPriority w:val="9"/>
    <w:semiHidden/>
    <w:qFormat/>
    <w:rsid w:val="00947FC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70101B"/>
    <w:pPr>
      <w:tabs>
        <w:tab w:val="right" w:pos="9026"/>
      </w:tabs>
    </w:pPr>
    <w:rPr>
      <w:rFonts w:ascii="Calibri" w:eastAsiaTheme="minorHAnsi" w:hAnsi="Calibri"/>
    </w:rPr>
  </w:style>
  <w:style w:type="character" w:customStyle="1" w:styleId="HeaderChar">
    <w:name w:val="Header Char"/>
    <w:basedOn w:val="DefaultParagraphFont"/>
    <w:link w:val="Header"/>
    <w:rsid w:val="0070101B"/>
    <w:rPr>
      <w:rFonts w:ascii="Calibri" w:eastAsiaTheme="minorHAnsi" w:hAnsi="Calibri"/>
    </w:rPr>
  </w:style>
  <w:style w:type="paragraph" w:styleId="Footer">
    <w:name w:val="footer"/>
    <w:next w:val="Footeraddress"/>
    <w:link w:val="FooterChar"/>
    <w:uiPriority w:val="99"/>
    <w:unhideWhenUsed/>
    <w:rsid w:val="0070101B"/>
    <w:pPr>
      <w:tabs>
        <w:tab w:val="right" w:pos="9026"/>
      </w:tabs>
    </w:pPr>
    <w:rPr>
      <w:rFonts w:ascii="Calibri" w:eastAsiaTheme="minorHAnsi" w:hAnsi="Calibri"/>
    </w:rPr>
  </w:style>
  <w:style w:type="character" w:customStyle="1" w:styleId="FooterChar">
    <w:name w:val="Footer Char"/>
    <w:basedOn w:val="DefaultParagraphFont"/>
    <w:link w:val="Footer"/>
    <w:uiPriority w:val="99"/>
    <w:rsid w:val="0070101B"/>
    <w:rPr>
      <w:rFonts w:ascii="Calibri" w:eastAsiaTheme="minorHAnsi" w:hAnsi="Calibri"/>
    </w:rPr>
  </w:style>
  <w:style w:type="character" w:styleId="CommentReference">
    <w:name w:val="annotation reference"/>
    <w:basedOn w:val="DefaultParagraphFont"/>
    <w:uiPriority w:val="99"/>
    <w:semiHidden/>
    <w:unhideWhenUsed/>
    <w:rsid w:val="0070101B"/>
    <w:rPr>
      <w:sz w:val="16"/>
      <w:szCs w:val="16"/>
    </w:rPr>
  </w:style>
  <w:style w:type="paragraph" w:styleId="CommentSubject">
    <w:name w:val="annotation subject"/>
    <w:basedOn w:val="Normal"/>
    <w:next w:val="Normal"/>
    <w:link w:val="CommentSubjectChar"/>
    <w:uiPriority w:val="99"/>
    <w:semiHidden/>
    <w:unhideWhenUsed/>
    <w:rsid w:val="0019672B"/>
    <w:rPr>
      <w:b/>
      <w:bCs/>
      <w:szCs w:val="20"/>
    </w:rPr>
  </w:style>
  <w:style w:type="character" w:customStyle="1" w:styleId="CommentSubjectChar">
    <w:name w:val="Comment Subject Char"/>
    <w:basedOn w:val="DefaultParagraphFont"/>
    <w:link w:val="CommentSubject"/>
    <w:uiPriority w:val="99"/>
    <w:semiHidden/>
    <w:rsid w:val="0019672B"/>
    <w:rPr>
      <w:rFonts w:eastAsia="Calibri"/>
      <w:b/>
      <w:bCs/>
      <w:lang w:eastAsia="en-US"/>
    </w:rPr>
  </w:style>
  <w:style w:type="paragraph" w:styleId="BalloonText">
    <w:name w:val="Balloon Text"/>
    <w:basedOn w:val="Normal"/>
    <w:link w:val="BalloonTextChar"/>
    <w:uiPriority w:val="99"/>
    <w:semiHidden/>
    <w:unhideWhenUsed/>
    <w:rsid w:val="0070101B"/>
    <w:rPr>
      <w:rFonts w:ascii="Tahoma" w:hAnsi="Tahoma" w:cs="Tahoma"/>
      <w:sz w:val="16"/>
      <w:szCs w:val="16"/>
    </w:rPr>
  </w:style>
  <w:style w:type="character" w:customStyle="1" w:styleId="BalloonTextChar">
    <w:name w:val="Balloon Text Char"/>
    <w:basedOn w:val="DefaultParagraphFont"/>
    <w:link w:val="BalloonText"/>
    <w:uiPriority w:val="99"/>
    <w:semiHidden/>
    <w:rsid w:val="0070101B"/>
    <w:rPr>
      <w:rFonts w:ascii="Tahoma" w:eastAsia="Calibri" w:hAnsi="Tahoma" w:cs="Tahoma"/>
      <w:sz w:val="16"/>
      <w:szCs w:val="16"/>
      <w:lang w:eastAsia="en-US"/>
    </w:rPr>
  </w:style>
  <w:style w:type="table" w:styleId="TableGrid">
    <w:name w:val="Table Grid"/>
    <w:basedOn w:val="TableNormal"/>
    <w:uiPriority w:val="59"/>
    <w:rsid w:val="007010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next w:val="ListBullet2"/>
    <w:semiHidden/>
    <w:qFormat/>
    <w:rsid w:val="0070101B"/>
    <w:pPr>
      <w:tabs>
        <w:tab w:val="center" w:pos="4536"/>
      </w:tabs>
      <w:jc w:val="center"/>
    </w:pPr>
    <w:rPr>
      <w:sz w:val="16"/>
    </w:rPr>
  </w:style>
  <w:style w:type="character" w:customStyle="1" w:styleId="Heading1Char">
    <w:name w:val="Heading 1 Char"/>
    <w:basedOn w:val="DefaultParagraphFont"/>
    <w:link w:val="Heading1"/>
    <w:uiPriority w:val="1"/>
    <w:rsid w:val="00B566AC"/>
    <w:rPr>
      <w:rFonts w:eastAsiaTheme="majorEastAsia" w:cstheme="majorBidi"/>
      <w:b/>
      <w:spacing w:val="5"/>
      <w:kern w:val="28"/>
      <w:sz w:val="56"/>
      <w:szCs w:val="56"/>
      <w:lang w:eastAsia="en-US"/>
    </w:rPr>
  </w:style>
  <w:style w:type="character" w:customStyle="1" w:styleId="Heading2Char">
    <w:name w:val="Heading 2 Char"/>
    <w:basedOn w:val="DefaultParagraphFont"/>
    <w:link w:val="Heading2"/>
    <w:uiPriority w:val="3"/>
    <w:rsid w:val="0070101B"/>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7F7484"/>
    <w:rPr>
      <w:rFonts w:asciiTheme="minorHAnsi" w:eastAsia="Times New Roman" w:hAnsiTheme="minorHAnsi"/>
      <w:b/>
      <w:bCs/>
      <w:sz w:val="36"/>
      <w:szCs w:val="24"/>
      <w:lang w:eastAsia="en-US"/>
    </w:rPr>
  </w:style>
  <w:style w:type="character" w:customStyle="1" w:styleId="Heading4Char">
    <w:name w:val="Heading 4 Char"/>
    <w:basedOn w:val="DefaultParagraphFont"/>
    <w:link w:val="Heading4"/>
    <w:uiPriority w:val="5"/>
    <w:rsid w:val="007F7484"/>
    <w:rPr>
      <w:rFonts w:asciiTheme="minorHAnsi" w:eastAsiaTheme="minorEastAsia" w:hAnsiTheme="minorHAnsi" w:cstheme="minorBidi"/>
      <w:b/>
      <w:sz w:val="26"/>
      <w:szCs w:val="22"/>
      <w:lang w:eastAsia="ja-JP"/>
    </w:rPr>
  </w:style>
  <w:style w:type="character" w:customStyle="1" w:styleId="Heading5Char">
    <w:name w:val="Heading 5 Char"/>
    <w:basedOn w:val="DefaultParagraphFont"/>
    <w:link w:val="Heading5"/>
    <w:uiPriority w:val="9"/>
    <w:rsid w:val="0070101B"/>
    <w:rPr>
      <w:rFonts w:eastAsiaTheme="majorEastAsia" w:cstheme="majorBidi"/>
      <w:b/>
      <w:i/>
      <w:sz w:val="24"/>
      <w:szCs w:val="22"/>
      <w:lang w:eastAsia="en-US"/>
    </w:rPr>
  </w:style>
  <w:style w:type="paragraph" w:styleId="Quote">
    <w:name w:val="Quote"/>
    <w:basedOn w:val="Normal"/>
    <w:next w:val="Normal"/>
    <w:link w:val="QuoteChar"/>
    <w:uiPriority w:val="18"/>
    <w:qFormat/>
    <w:rsid w:val="0070101B"/>
    <w:pPr>
      <w:ind w:left="709" w:right="567"/>
    </w:pPr>
    <w:rPr>
      <w:rFonts w:eastAsia="Times New Roman"/>
      <w:iCs/>
      <w:color w:val="000000"/>
      <w:szCs w:val="24"/>
    </w:rPr>
  </w:style>
  <w:style w:type="character" w:customStyle="1" w:styleId="QuoteChar">
    <w:name w:val="Quote Char"/>
    <w:basedOn w:val="DefaultParagraphFont"/>
    <w:link w:val="Quote"/>
    <w:uiPriority w:val="18"/>
    <w:rsid w:val="0070101B"/>
    <w:rPr>
      <w:rFonts w:eastAsia="Times New Roman"/>
      <w:iCs/>
      <w:color w:val="000000"/>
      <w:szCs w:val="24"/>
      <w:lang w:eastAsia="en-US"/>
    </w:rPr>
  </w:style>
  <w:style w:type="paragraph" w:customStyle="1" w:styleId="BoxText">
    <w:name w:val="Box Text"/>
    <w:basedOn w:val="Normal"/>
    <w:uiPriority w:val="19"/>
    <w:qFormat/>
    <w:rsid w:val="0070101B"/>
    <w:pPr>
      <w:pBdr>
        <w:top w:val="single" w:sz="4" w:space="10" w:color="auto"/>
        <w:left w:val="single" w:sz="4" w:space="10" w:color="auto"/>
        <w:bottom w:val="single" w:sz="4" w:space="10" w:color="auto"/>
        <w:right w:val="single" w:sz="4" w:space="10" w:color="auto"/>
      </w:pBdr>
    </w:pPr>
  </w:style>
  <w:style w:type="paragraph" w:styleId="Caption">
    <w:name w:val="caption"/>
    <w:basedOn w:val="Normal"/>
    <w:next w:val="Normal"/>
    <w:uiPriority w:val="12"/>
    <w:qFormat/>
    <w:rsid w:val="0070101B"/>
    <w:pPr>
      <w:keepNext/>
      <w:spacing w:before="360"/>
    </w:pPr>
    <w:rPr>
      <w:b/>
      <w:bCs/>
      <w:sz w:val="24"/>
      <w:szCs w:val="18"/>
    </w:rPr>
  </w:style>
  <w:style w:type="paragraph" w:customStyle="1" w:styleId="FigureTableNoteSource">
    <w:name w:val="Figure/Table Note/Source"/>
    <w:basedOn w:val="Normal"/>
    <w:next w:val="Normal"/>
    <w:uiPriority w:val="16"/>
    <w:qFormat/>
    <w:rsid w:val="0070101B"/>
    <w:pPr>
      <w:spacing w:line="264" w:lineRule="auto"/>
      <w:contextualSpacing/>
    </w:pPr>
    <w:rPr>
      <w:sz w:val="18"/>
    </w:rPr>
  </w:style>
  <w:style w:type="paragraph" w:styleId="Subtitle">
    <w:name w:val="Subtitle"/>
    <w:basedOn w:val="Normal"/>
    <w:next w:val="Normal"/>
    <w:link w:val="SubtitleChar"/>
    <w:uiPriority w:val="23"/>
    <w:qFormat/>
    <w:rsid w:val="00B566AC"/>
    <w:pPr>
      <w:ind w:left="1276"/>
    </w:pPr>
    <w:rPr>
      <w:sz w:val="48"/>
      <w:szCs w:val="56"/>
    </w:rPr>
  </w:style>
  <w:style w:type="character" w:customStyle="1" w:styleId="SubtitleChar">
    <w:name w:val="Subtitle Char"/>
    <w:basedOn w:val="DefaultParagraphFont"/>
    <w:link w:val="Subtitle"/>
    <w:uiPriority w:val="23"/>
    <w:rsid w:val="00B566AC"/>
    <w:rPr>
      <w:rFonts w:eastAsiaTheme="minorHAnsi" w:cstheme="minorBidi"/>
      <w:sz w:val="48"/>
      <w:szCs w:val="56"/>
      <w:lang w:eastAsia="en-US"/>
    </w:rPr>
  </w:style>
  <w:style w:type="paragraph" w:styleId="TOCHeading">
    <w:name w:val="TOC Heading"/>
    <w:next w:val="Normal"/>
    <w:uiPriority w:val="39"/>
    <w:qFormat/>
    <w:rsid w:val="00D36B48"/>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D36B48"/>
    <w:pPr>
      <w:keepNext/>
      <w:tabs>
        <w:tab w:val="left" w:pos="426"/>
        <w:tab w:val="right" w:leader="dot" w:pos="9072"/>
      </w:tabs>
    </w:pPr>
    <w:rPr>
      <w:b/>
      <w:noProof/>
    </w:rPr>
  </w:style>
  <w:style w:type="paragraph" w:styleId="TOC2">
    <w:name w:val="toc 2"/>
    <w:basedOn w:val="Normal"/>
    <w:next w:val="Normal"/>
    <w:uiPriority w:val="39"/>
    <w:unhideWhenUsed/>
    <w:qFormat/>
    <w:rsid w:val="0070101B"/>
    <w:pPr>
      <w:tabs>
        <w:tab w:val="right" w:leader="dot" w:pos="9060"/>
      </w:tabs>
      <w:ind w:firstLine="425"/>
    </w:pPr>
    <w:rPr>
      <w:noProof/>
    </w:rPr>
  </w:style>
  <w:style w:type="paragraph" w:styleId="TOC3">
    <w:name w:val="toc 3"/>
    <w:basedOn w:val="Normal"/>
    <w:next w:val="Normal"/>
    <w:uiPriority w:val="39"/>
    <w:unhideWhenUsed/>
    <w:qFormat/>
    <w:rsid w:val="0070101B"/>
    <w:pPr>
      <w:tabs>
        <w:tab w:val="right" w:leader="dot" w:pos="9072"/>
      </w:tabs>
      <w:ind w:firstLine="851"/>
    </w:pPr>
    <w:rPr>
      <w:noProof/>
    </w:rPr>
  </w:style>
  <w:style w:type="character" w:styleId="Hyperlink">
    <w:name w:val="Hyperlink"/>
    <w:basedOn w:val="DefaultParagraphFont"/>
    <w:uiPriority w:val="99"/>
    <w:qFormat/>
    <w:rsid w:val="0070101B"/>
    <w:rPr>
      <w:color w:val="165788"/>
      <w:u w:val="single"/>
    </w:rPr>
  </w:style>
  <w:style w:type="paragraph" w:styleId="ListBullet">
    <w:name w:val="List Bullet"/>
    <w:uiPriority w:val="7"/>
    <w:qFormat/>
    <w:rsid w:val="002436E0"/>
    <w:pPr>
      <w:numPr>
        <w:numId w:val="43"/>
      </w:numPr>
      <w:spacing w:after="120"/>
      <w:ind w:left="714" w:hanging="357"/>
      <w:contextualSpacing/>
    </w:pPr>
    <w:rPr>
      <w:rFonts w:asciiTheme="majorHAnsi" w:eastAsiaTheme="minorHAnsi" w:hAnsiTheme="majorHAnsi" w:cstheme="minorBidi"/>
      <w:sz w:val="22"/>
      <w:szCs w:val="22"/>
      <w:lang w:eastAsia="en-US"/>
    </w:rPr>
  </w:style>
  <w:style w:type="paragraph" w:styleId="TableofFigures">
    <w:name w:val="table of figures"/>
    <w:basedOn w:val="Normal"/>
    <w:next w:val="Normal"/>
    <w:uiPriority w:val="99"/>
    <w:unhideWhenUsed/>
    <w:rsid w:val="0070101B"/>
  </w:style>
  <w:style w:type="paragraph" w:styleId="ListBullet2">
    <w:name w:val="List Bullet 2"/>
    <w:basedOn w:val="Normal"/>
    <w:uiPriority w:val="8"/>
    <w:qFormat/>
    <w:rsid w:val="00211A48"/>
    <w:pPr>
      <w:numPr>
        <w:ilvl w:val="1"/>
        <w:numId w:val="62"/>
      </w:numPr>
      <w:ind w:left="1134"/>
      <w:contextualSpacing/>
    </w:pPr>
  </w:style>
  <w:style w:type="paragraph" w:styleId="ListNumber">
    <w:name w:val="List Number"/>
    <w:basedOn w:val="Normal"/>
    <w:uiPriority w:val="9"/>
    <w:qFormat/>
    <w:rsid w:val="0070101B"/>
    <w:pPr>
      <w:numPr>
        <w:numId w:val="64"/>
      </w:numPr>
    </w:pPr>
  </w:style>
  <w:style w:type="paragraph" w:styleId="ListNumber2">
    <w:name w:val="List Number 2"/>
    <w:uiPriority w:val="10"/>
    <w:qFormat/>
    <w:rsid w:val="0070101B"/>
    <w:pPr>
      <w:numPr>
        <w:ilvl w:val="1"/>
        <w:numId w:val="64"/>
      </w:numPr>
      <w:spacing w:before="120" w:after="120" w:line="264" w:lineRule="auto"/>
    </w:pPr>
    <w:rPr>
      <w:rFonts w:eastAsia="Times New Roman"/>
      <w:sz w:val="22"/>
      <w:szCs w:val="24"/>
      <w:lang w:eastAsia="en-US"/>
    </w:rPr>
  </w:style>
  <w:style w:type="paragraph" w:styleId="ListNumber3">
    <w:name w:val="List Number 3"/>
    <w:uiPriority w:val="11"/>
    <w:qFormat/>
    <w:rsid w:val="0070101B"/>
    <w:pPr>
      <w:numPr>
        <w:ilvl w:val="2"/>
        <w:numId w:val="6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947F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947FC9"/>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70101B"/>
    <w:pPr>
      <w:spacing w:before="60" w:after="60"/>
    </w:pPr>
    <w:rPr>
      <w:sz w:val="18"/>
    </w:rPr>
  </w:style>
  <w:style w:type="table" w:styleId="TableGrid1">
    <w:name w:val="Table Grid 1"/>
    <w:basedOn w:val="TableNormal"/>
    <w:uiPriority w:val="99"/>
    <w:semiHidden/>
    <w:unhideWhenUsed/>
    <w:rsid w:val="00947FC9"/>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70101B"/>
    <w:pPr>
      <w:keepNext/>
    </w:pPr>
    <w:rPr>
      <w:b/>
    </w:rPr>
  </w:style>
  <w:style w:type="character" w:styleId="PlaceholderText">
    <w:name w:val="Placeholder Text"/>
    <w:basedOn w:val="DefaultParagraphFont"/>
    <w:uiPriority w:val="99"/>
    <w:semiHidden/>
    <w:rsid w:val="00947FC9"/>
    <w:rPr>
      <w:color w:val="808080"/>
    </w:rPr>
  </w:style>
  <w:style w:type="paragraph" w:customStyle="1" w:styleId="Author">
    <w:name w:val="Author"/>
    <w:basedOn w:val="Normal"/>
    <w:next w:val="Normal"/>
    <w:uiPriority w:val="24"/>
    <w:qFormat/>
    <w:rsid w:val="00947FC9"/>
    <w:pPr>
      <w:spacing w:after="60"/>
    </w:pPr>
    <w:rPr>
      <w:b/>
      <w:sz w:val="28"/>
      <w:szCs w:val="28"/>
    </w:rPr>
  </w:style>
  <w:style w:type="paragraph" w:customStyle="1" w:styleId="AuthorOrganisationAffiliation">
    <w:name w:val="Author Organisation/Affiliation"/>
    <w:basedOn w:val="Normal"/>
    <w:next w:val="Normal"/>
    <w:uiPriority w:val="25"/>
    <w:qFormat/>
    <w:rsid w:val="00947FC9"/>
    <w:pPr>
      <w:spacing w:after="720"/>
    </w:pPr>
  </w:style>
  <w:style w:type="character" w:styleId="Strong">
    <w:name w:val="Strong"/>
    <w:basedOn w:val="DefaultParagraphFont"/>
    <w:uiPriority w:val="99"/>
    <w:qFormat/>
    <w:rsid w:val="0070101B"/>
    <w:rPr>
      <w:b/>
      <w:bCs/>
    </w:rPr>
  </w:style>
  <w:style w:type="paragraph" w:customStyle="1" w:styleId="Glossary">
    <w:name w:val="Glossary"/>
    <w:basedOn w:val="Normal"/>
    <w:link w:val="GlossaryChar"/>
    <w:uiPriority w:val="28"/>
    <w:qFormat/>
    <w:rsid w:val="00947FC9"/>
    <w:pPr>
      <w:ind w:left="2126" w:hanging="2126"/>
    </w:pPr>
    <w:rPr>
      <w:color w:val="000000"/>
    </w:rPr>
  </w:style>
  <w:style w:type="character" w:customStyle="1" w:styleId="GlossaryChar">
    <w:name w:val="Glossary Char"/>
    <w:basedOn w:val="DefaultParagraphFont"/>
    <w:link w:val="Glossary"/>
    <w:uiPriority w:val="28"/>
    <w:rsid w:val="00947FC9"/>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70101B"/>
    <w:rPr>
      <w:i/>
      <w:iCs/>
    </w:rPr>
  </w:style>
  <w:style w:type="paragraph" w:styleId="TOAHeading">
    <w:name w:val="toa heading"/>
    <w:basedOn w:val="Heading1"/>
    <w:next w:val="Normal"/>
    <w:uiPriority w:val="99"/>
    <w:semiHidden/>
    <w:unhideWhenUsed/>
    <w:rsid w:val="00947FC9"/>
    <w:pPr>
      <w:spacing w:before="120"/>
    </w:pPr>
    <w:rPr>
      <w:bCs/>
      <w:sz w:val="24"/>
    </w:rPr>
  </w:style>
  <w:style w:type="paragraph" w:styleId="NormalWeb">
    <w:name w:val="Normal (Web)"/>
    <w:basedOn w:val="Normal"/>
    <w:uiPriority w:val="99"/>
    <w:semiHidden/>
    <w:unhideWhenUsed/>
    <w:rsid w:val="00947FC9"/>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101B"/>
    <w:pPr>
      <w:numPr>
        <w:numId w:val="5"/>
      </w:numPr>
      <w:tabs>
        <w:tab w:val="left" w:pos="227"/>
      </w:tabs>
      <w:ind w:left="0" w:firstLine="0"/>
    </w:pPr>
  </w:style>
  <w:style w:type="paragraph" w:customStyle="1" w:styleId="TableBullet">
    <w:name w:val="Table Bullet"/>
    <w:basedOn w:val="TableText"/>
    <w:uiPriority w:val="15"/>
    <w:qFormat/>
    <w:rsid w:val="0070101B"/>
    <w:pPr>
      <w:numPr>
        <w:numId w:val="6"/>
      </w:numPr>
    </w:pPr>
  </w:style>
  <w:style w:type="paragraph" w:styleId="DocumentMap">
    <w:name w:val="Document Map"/>
    <w:basedOn w:val="Normal"/>
    <w:link w:val="DocumentMapChar"/>
    <w:uiPriority w:val="99"/>
    <w:semiHidden/>
    <w:unhideWhenUsed/>
    <w:rsid w:val="00947FC9"/>
    <w:rPr>
      <w:rFonts w:ascii="Tahoma" w:hAnsi="Tahoma" w:cs="Tahoma"/>
      <w:sz w:val="16"/>
      <w:szCs w:val="16"/>
    </w:rPr>
  </w:style>
  <w:style w:type="character" w:customStyle="1" w:styleId="DocumentMapChar">
    <w:name w:val="Document Map Char"/>
    <w:basedOn w:val="DefaultParagraphFont"/>
    <w:link w:val="DocumentMap"/>
    <w:uiPriority w:val="99"/>
    <w:semiHidden/>
    <w:rsid w:val="00947FC9"/>
    <w:rPr>
      <w:rFonts w:ascii="Tahoma" w:eastAsiaTheme="minorHAnsi" w:hAnsi="Tahoma" w:cs="Tahoma"/>
      <w:sz w:val="16"/>
      <w:szCs w:val="16"/>
      <w:lang w:eastAsia="en-US"/>
    </w:rPr>
  </w:style>
  <w:style w:type="paragraph" w:customStyle="1" w:styleId="TOCHeadingsamepage">
    <w:name w:val="TOC Heading (same page)"/>
    <w:next w:val="Normal"/>
    <w:uiPriority w:val="39"/>
    <w:rsid w:val="00D36B48"/>
    <w:pPr>
      <w:keepNext/>
      <w:keepLines/>
    </w:pPr>
    <w:rPr>
      <w:rFonts w:ascii="Calibri" w:eastAsiaTheme="minorEastAsia" w:hAnsi="Calibri" w:cstheme="minorBidi"/>
      <w:bCs/>
      <w:color w:val="000000"/>
      <w:sz w:val="56"/>
      <w:szCs w:val="28"/>
      <w:lang w:eastAsia="ja-JP"/>
    </w:rPr>
  </w:style>
  <w:style w:type="paragraph" w:customStyle="1" w:styleId="BoxHeading">
    <w:name w:val="Box Heading"/>
    <w:basedOn w:val="BoxText"/>
    <w:uiPriority w:val="20"/>
    <w:qFormat/>
    <w:rsid w:val="0070101B"/>
    <w:rPr>
      <w:b/>
    </w:rPr>
  </w:style>
  <w:style w:type="paragraph" w:customStyle="1" w:styleId="Picture">
    <w:name w:val="Picture"/>
    <w:qFormat/>
    <w:rsid w:val="0070101B"/>
    <w:rPr>
      <w:rFonts w:ascii="Calibri" w:eastAsiaTheme="minorEastAsia" w:hAnsi="Calibri" w:cstheme="minorBidi"/>
      <w:bCs/>
      <w:color w:val="000000"/>
      <w:sz w:val="22"/>
      <w:szCs w:val="28"/>
      <w:lang w:eastAsia="ja-JP"/>
    </w:rPr>
  </w:style>
  <w:style w:type="paragraph" w:customStyle="1" w:styleId="DisseminationLimitingMarker">
    <w:name w:val="Dissemination Limiting Marker"/>
    <w:next w:val="Normal"/>
    <w:uiPriority w:val="27"/>
    <w:rsid w:val="0070101B"/>
    <w:pPr>
      <w:tabs>
        <w:tab w:val="center" w:pos="4820"/>
      </w:tabs>
      <w:jc w:val="center"/>
    </w:pPr>
    <w:rPr>
      <w:rFonts w:ascii="Calibri" w:eastAsia="Calibri" w:hAnsi="Calibri"/>
      <w:b/>
      <w:color w:val="FF0000"/>
      <w:sz w:val="36"/>
      <w:szCs w:val="36"/>
      <w:lang w:eastAsia="en-US"/>
    </w:rPr>
  </w:style>
  <w:style w:type="paragraph" w:styleId="FootnoteText">
    <w:name w:val="footnote text"/>
    <w:basedOn w:val="Normal"/>
    <w:link w:val="FootnoteTextChar"/>
    <w:uiPriority w:val="99"/>
    <w:unhideWhenUsed/>
    <w:rsid w:val="00947FC9"/>
    <w:pPr>
      <w:spacing w:after="60" w:line="264" w:lineRule="auto"/>
    </w:pPr>
    <w:rPr>
      <w:szCs w:val="20"/>
    </w:rPr>
  </w:style>
  <w:style w:type="character" w:customStyle="1" w:styleId="FootnoteTextChar">
    <w:name w:val="Footnote Text Char"/>
    <w:basedOn w:val="DefaultParagraphFont"/>
    <w:link w:val="FootnoteText"/>
    <w:uiPriority w:val="99"/>
    <w:rsid w:val="00947FC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47FC9"/>
    <w:rPr>
      <w:vertAlign w:val="superscript"/>
    </w:rPr>
  </w:style>
  <w:style w:type="paragraph" w:styleId="EndnoteText">
    <w:name w:val="endnote text"/>
    <w:basedOn w:val="Normal"/>
    <w:link w:val="EndnoteTextChar"/>
    <w:uiPriority w:val="99"/>
    <w:unhideWhenUsed/>
    <w:rsid w:val="00947FC9"/>
    <w:pPr>
      <w:spacing w:after="60" w:line="264" w:lineRule="auto"/>
    </w:pPr>
    <w:rPr>
      <w:szCs w:val="20"/>
    </w:rPr>
  </w:style>
  <w:style w:type="character" w:customStyle="1" w:styleId="EndnoteTextChar">
    <w:name w:val="Endnote Text Char"/>
    <w:basedOn w:val="DefaultParagraphFont"/>
    <w:link w:val="EndnoteText"/>
    <w:uiPriority w:val="99"/>
    <w:rsid w:val="00947FC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947FC9"/>
    <w:rPr>
      <w:vertAlign w:val="superscript"/>
    </w:rPr>
  </w:style>
  <w:style w:type="character" w:styleId="FollowedHyperlink">
    <w:name w:val="FollowedHyperlink"/>
    <w:basedOn w:val="DefaultParagraphFont"/>
    <w:uiPriority w:val="99"/>
    <w:semiHidden/>
    <w:unhideWhenUsed/>
    <w:rsid w:val="0070101B"/>
    <w:rPr>
      <w:color w:val="800080" w:themeColor="followedHyperlink"/>
      <w:u w:val="single"/>
    </w:rPr>
  </w:style>
  <w:style w:type="paragraph" w:customStyle="1" w:styleId="BoxSource">
    <w:name w:val="Box Source"/>
    <w:basedOn w:val="FigureTableNoteSource"/>
    <w:uiPriority w:val="22"/>
    <w:qFormat/>
    <w:rsid w:val="0070101B"/>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101B"/>
    <w:pPr>
      <w:numPr>
        <w:numId w:val="8"/>
      </w:numPr>
    </w:pPr>
  </w:style>
  <w:style w:type="paragraph" w:styleId="Title">
    <w:name w:val="Title"/>
    <w:basedOn w:val="Normal"/>
    <w:next w:val="Normal"/>
    <w:link w:val="TitleChar"/>
    <w:uiPriority w:val="10"/>
    <w:semiHidden/>
    <w:qFormat/>
    <w:rsid w:val="00947FC9"/>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947FC9"/>
    <w:rPr>
      <w:rFonts w:asciiTheme="minorHAnsi" w:eastAsiaTheme="majorEastAsia" w:hAnsiTheme="minorHAnsi" w:cstheme="majorBidi"/>
      <w:b/>
      <w:spacing w:val="5"/>
      <w:kern w:val="28"/>
      <w:sz w:val="72"/>
      <w:szCs w:val="52"/>
      <w:lang w:eastAsia="en-US"/>
    </w:rPr>
  </w:style>
  <w:style w:type="paragraph" w:customStyle="1" w:styleId="Heading">
    <w:name w:val="Heading"/>
    <w:basedOn w:val="Subtitle"/>
    <w:qFormat/>
    <w:rsid w:val="00947FC9"/>
  </w:style>
  <w:style w:type="character" w:customStyle="1" w:styleId="Heading6Char">
    <w:name w:val="Heading 6 Char"/>
    <w:basedOn w:val="DefaultParagraphFont"/>
    <w:link w:val="Heading6"/>
    <w:uiPriority w:val="9"/>
    <w:semiHidden/>
    <w:rsid w:val="00947FC9"/>
    <w:rPr>
      <w:rFonts w:asciiTheme="majorHAnsi" w:eastAsiaTheme="majorEastAsia" w:hAnsiTheme="majorHAnsi" w:cstheme="majorBidi"/>
      <w:color w:val="243F60" w:themeColor="accent1" w:themeShade="7F"/>
      <w:sz w:val="22"/>
      <w:szCs w:val="22"/>
      <w:lang w:eastAsia="en-US"/>
    </w:rPr>
  </w:style>
  <w:style w:type="character" w:styleId="IntenseEmphasis">
    <w:name w:val="Intense Emphasis"/>
    <w:uiPriority w:val="21"/>
    <w:qFormat/>
    <w:rsid w:val="00947FC9"/>
    <w:rPr>
      <w:b/>
      <w:bCs/>
    </w:rPr>
  </w:style>
  <w:style w:type="paragraph" w:customStyle="1" w:styleId="Body">
    <w:name w:val="Body"/>
    <w:basedOn w:val="Normal"/>
    <w:link w:val="BodyChar"/>
    <w:qFormat/>
    <w:rsid w:val="00947FC9"/>
    <w:pPr>
      <w:jc w:val="both"/>
    </w:pPr>
    <w:rPr>
      <w:rFonts w:ascii="Times" w:eastAsia="Times New Roman" w:hAnsi="Times"/>
      <w:szCs w:val="24"/>
      <w:lang w:val="en-US" w:bidi="en-US"/>
    </w:rPr>
  </w:style>
  <w:style w:type="character" w:customStyle="1" w:styleId="BodyChar">
    <w:name w:val="Body Char"/>
    <w:basedOn w:val="DefaultParagraphFont"/>
    <w:link w:val="Body"/>
    <w:rsid w:val="00947FC9"/>
    <w:rPr>
      <w:rFonts w:ascii="Times" w:eastAsia="Times New Roman" w:hAnsi="Times" w:cstheme="minorBidi"/>
      <w:sz w:val="22"/>
      <w:szCs w:val="24"/>
      <w:lang w:val="en-US" w:eastAsia="en-US" w:bidi="en-US"/>
    </w:rPr>
  </w:style>
  <w:style w:type="paragraph" w:customStyle="1" w:styleId="glossarytext">
    <w:name w:val="glossary text"/>
    <w:basedOn w:val="Normal"/>
    <w:rsid w:val="00947FC9"/>
    <w:pPr>
      <w:tabs>
        <w:tab w:val="left" w:pos="1560"/>
      </w:tabs>
    </w:pPr>
    <w:rPr>
      <w:rFonts w:eastAsiaTheme="minorEastAsia"/>
      <w:lang w:val="en-US" w:bidi="en-US"/>
    </w:rPr>
  </w:style>
  <w:style w:type="paragraph" w:styleId="TOC4">
    <w:name w:val="toc 4"/>
    <w:basedOn w:val="Normal"/>
    <w:next w:val="Normal"/>
    <w:autoRedefine/>
    <w:uiPriority w:val="39"/>
    <w:semiHidden/>
    <w:unhideWhenUsed/>
    <w:rsid w:val="005A4D48"/>
    <w:pPr>
      <w:spacing w:after="100"/>
      <w:ind w:left="720"/>
    </w:pPr>
    <w:rPr>
      <w:rFonts w:eastAsiaTheme="minorEastAsia"/>
      <w:szCs w:val="24"/>
      <w:lang w:val="en-US"/>
    </w:rPr>
  </w:style>
  <w:style w:type="paragraph" w:styleId="TOC5">
    <w:name w:val="toc 5"/>
    <w:basedOn w:val="Normal"/>
    <w:next w:val="Normal"/>
    <w:autoRedefine/>
    <w:uiPriority w:val="39"/>
    <w:semiHidden/>
    <w:unhideWhenUsed/>
    <w:rsid w:val="005A4D48"/>
    <w:pPr>
      <w:spacing w:after="100"/>
      <w:ind w:left="960"/>
    </w:pPr>
    <w:rPr>
      <w:rFonts w:eastAsiaTheme="minorEastAsia"/>
      <w:szCs w:val="24"/>
      <w:lang w:val="en-US"/>
    </w:rPr>
  </w:style>
  <w:style w:type="paragraph" w:styleId="TOC6">
    <w:name w:val="toc 6"/>
    <w:basedOn w:val="Normal"/>
    <w:next w:val="Normal"/>
    <w:autoRedefine/>
    <w:uiPriority w:val="39"/>
    <w:semiHidden/>
    <w:unhideWhenUsed/>
    <w:rsid w:val="005A4D48"/>
    <w:pPr>
      <w:spacing w:after="100"/>
      <w:ind w:left="1200"/>
    </w:pPr>
    <w:rPr>
      <w:rFonts w:eastAsiaTheme="minorEastAsia"/>
      <w:szCs w:val="24"/>
      <w:lang w:val="en-US"/>
    </w:rPr>
  </w:style>
  <w:style w:type="paragraph" w:styleId="TOC7">
    <w:name w:val="toc 7"/>
    <w:basedOn w:val="Normal"/>
    <w:next w:val="Normal"/>
    <w:autoRedefine/>
    <w:uiPriority w:val="39"/>
    <w:semiHidden/>
    <w:unhideWhenUsed/>
    <w:rsid w:val="005A4D48"/>
    <w:pPr>
      <w:spacing w:after="100"/>
      <w:ind w:left="1440"/>
    </w:pPr>
    <w:rPr>
      <w:rFonts w:eastAsiaTheme="minorEastAsia"/>
      <w:szCs w:val="24"/>
      <w:lang w:val="en-US"/>
    </w:rPr>
  </w:style>
  <w:style w:type="paragraph" w:styleId="TOC8">
    <w:name w:val="toc 8"/>
    <w:basedOn w:val="Normal"/>
    <w:next w:val="Normal"/>
    <w:autoRedefine/>
    <w:uiPriority w:val="39"/>
    <w:semiHidden/>
    <w:unhideWhenUsed/>
    <w:rsid w:val="005A4D48"/>
    <w:pPr>
      <w:spacing w:after="100"/>
      <w:ind w:left="1680"/>
    </w:pPr>
    <w:rPr>
      <w:rFonts w:eastAsiaTheme="minorEastAsia"/>
      <w:szCs w:val="24"/>
      <w:lang w:val="en-US"/>
    </w:rPr>
  </w:style>
  <w:style w:type="paragraph" w:styleId="TOC9">
    <w:name w:val="toc 9"/>
    <w:basedOn w:val="Normal"/>
    <w:next w:val="Normal"/>
    <w:autoRedefine/>
    <w:uiPriority w:val="39"/>
    <w:semiHidden/>
    <w:unhideWhenUsed/>
    <w:rsid w:val="005A4D48"/>
    <w:pPr>
      <w:spacing w:after="100"/>
      <w:ind w:left="1920"/>
    </w:pPr>
    <w:rPr>
      <w:rFonts w:eastAsiaTheme="minorEastAsia"/>
      <w:szCs w:val="24"/>
      <w:lang w:val="en-US"/>
    </w:rPr>
  </w:style>
  <w:style w:type="paragraph" w:styleId="Revision">
    <w:name w:val="Revision"/>
    <w:hidden/>
    <w:uiPriority w:val="99"/>
    <w:semiHidden/>
    <w:rsid w:val="0070101B"/>
    <w:rPr>
      <w:rFonts w:eastAsia="Calibri"/>
      <w:sz w:val="22"/>
      <w:szCs w:val="22"/>
      <w:lang w:eastAsia="en-US"/>
    </w:rPr>
  </w:style>
  <w:style w:type="paragraph" w:styleId="BodyText">
    <w:name w:val="Body Text"/>
    <w:basedOn w:val="Normal"/>
    <w:link w:val="BodyTextChar"/>
    <w:uiPriority w:val="99"/>
    <w:semiHidden/>
    <w:unhideWhenUsed/>
    <w:rsid w:val="003601ED"/>
  </w:style>
  <w:style w:type="character" w:customStyle="1" w:styleId="BodyTextChar">
    <w:name w:val="Body Text Char"/>
    <w:basedOn w:val="DefaultParagraphFont"/>
    <w:link w:val="BodyText"/>
    <w:uiPriority w:val="99"/>
    <w:semiHidden/>
    <w:rsid w:val="003601ED"/>
    <w:rPr>
      <w:rFonts w:asciiTheme="minorHAnsi" w:eastAsiaTheme="minorHAnsi" w:hAnsiTheme="minorHAnsi" w:cstheme="minorBidi"/>
      <w:sz w:val="22"/>
      <w:szCs w:val="22"/>
      <w:lang w:eastAsia="en-US"/>
    </w:rPr>
  </w:style>
  <w:style w:type="paragraph" w:customStyle="1" w:styleId="BasicParagraph">
    <w:name w:val="[Basic Paragraph]"/>
    <w:basedOn w:val="Normal"/>
    <w:uiPriority w:val="99"/>
    <w:rsid w:val="0070101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211A48"/>
    <w:pPr>
      <w:numPr>
        <w:numId w:val="65"/>
      </w:numPr>
    </w:pPr>
  </w:style>
  <w:style w:type="numbering" w:customStyle="1" w:styleId="Appendix">
    <w:name w:val="Appendix"/>
    <w:uiPriority w:val="99"/>
    <w:rsid w:val="0070101B"/>
    <w:pPr>
      <w:numPr>
        <w:numId w:val="66"/>
      </w:numPr>
    </w:pPr>
  </w:style>
  <w:style w:type="numbering" w:customStyle="1" w:styleId="ListBullets">
    <w:name w:val="ListBullets"/>
    <w:uiPriority w:val="99"/>
    <w:rsid w:val="0070101B"/>
    <w:pPr>
      <w:numPr>
        <w:numId w:val="61"/>
      </w:numPr>
    </w:pPr>
  </w:style>
  <w:style w:type="paragraph" w:styleId="ListBullet4">
    <w:name w:val="List Bullet 4"/>
    <w:basedOn w:val="Normal"/>
    <w:uiPriority w:val="99"/>
    <w:unhideWhenUsed/>
    <w:rsid w:val="0070101B"/>
    <w:pPr>
      <w:numPr>
        <w:numId w:val="56"/>
      </w:numPr>
      <w:contextualSpacing/>
    </w:pPr>
  </w:style>
  <w:style w:type="paragraph" w:styleId="ListBullet3">
    <w:name w:val="List Bullet 3"/>
    <w:basedOn w:val="Normal"/>
    <w:uiPriority w:val="99"/>
    <w:unhideWhenUsed/>
    <w:rsid w:val="0070101B"/>
    <w:pPr>
      <w:numPr>
        <w:ilvl w:val="2"/>
        <w:numId w:val="62"/>
      </w:numPr>
      <w:contextualSpacing/>
    </w:pPr>
  </w:style>
  <w:style w:type="numbering" w:customStyle="1" w:styleId="ListNumbers">
    <w:name w:val="ListNumbers"/>
    <w:uiPriority w:val="99"/>
    <w:rsid w:val="0070101B"/>
    <w:pPr>
      <w:numPr>
        <w:numId w:val="63"/>
      </w:numPr>
    </w:pPr>
  </w:style>
  <w:style w:type="paragraph" w:styleId="Date">
    <w:name w:val="Date"/>
    <w:basedOn w:val="Normal"/>
    <w:next w:val="Normal"/>
    <w:link w:val="DateChar"/>
    <w:uiPriority w:val="99"/>
    <w:unhideWhenUsed/>
    <w:rsid w:val="0070101B"/>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70101B"/>
    <w:rPr>
      <w:rFonts w:eastAsia="Calibri"/>
      <w:sz w:val="28"/>
      <w:szCs w:val="28"/>
      <w:lang w:eastAsia="en-US"/>
    </w:rPr>
  </w:style>
  <w:style w:type="paragraph" w:customStyle="1" w:styleId="Endmattercontentheading">
    <w:name w:val="Endmatter content heading"/>
    <w:basedOn w:val="Normal"/>
    <w:qFormat/>
    <w:rsid w:val="0019672B"/>
    <w:pPr>
      <w:pageBreakBefore/>
      <w:spacing w:after="0"/>
    </w:pPr>
    <w:rPr>
      <w:rFonts w:ascii="Calibri" w:eastAsia="Times New Roman" w:hAnsi="Calibri" w:cs="Times New Roman"/>
      <w:bCs/>
      <w:color w:val="000000"/>
      <w:sz w:val="56"/>
      <w:szCs w:val="28"/>
      <w:lang w:eastAsia="ja-JP"/>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5277168">
      <w:bodyDiv w:val="1"/>
      <w:marLeft w:val="0"/>
      <w:marRight w:val="0"/>
      <w:marTop w:val="0"/>
      <w:marBottom w:val="0"/>
      <w:divBdr>
        <w:top w:val="none" w:sz="0" w:space="0" w:color="auto"/>
        <w:left w:val="none" w:sz="0" w:space="0" w:color="auto"/>
        <w:bottom w:val="none" w:sz="0" w:space="0" w:color="auto"/>
        <w:right w:val="none" w:sz="0" w:space="0" w:color="auto"/>
      </w:divBdr>
      <w:divsChild>
        <w:div w:id="1240138902">
          <w:marLeft w:val="0"/>
          <w:marRight w:val="0"/>
          <w:marTop w:val="0"/>
          <w:marBottom w:val="0"/>
          <w:divBdr>
            <w:top w:val="none" w:sz="0" w:space="0" w:color="auto"/>
            <w:left w:val="none" w:sz="0" w:space="0" w:color="auto"/>
            <w:bottom w:val="none" w:sz="0" w:space="0" w:color="auto"/>
            <w:right w:val="none" w:sz="0" w:space="0" w:color="auto"/>
          </w:divBdr>
          <w:divsChild>
            <w:div w:id="1469930838">
              <w:marLeft w:val="0"/>
              <w:marRight w:val="0"/>
              <w:marTop w:val="0"/>
              <w:marBottom w:val="0"/>
              <w:divBdr>
                <w:top w:val="none" w:sz="0" w:space="0" w:color="auto"/>
                <w:left w:val="none" w:sz="0" w:space="0" w:color="auto"/>
                <w:bottom w:val="none" w:sz="0" w:space="0" w:color="auto"/>
                <w:right w:val="none" w:sz="0" w:space="0" w:color="auto"/>
              </w:divBdr>
              <w:divsChild>
                <w:div w:id="236941052">
                  <w:marLeft w:val="0"/>
                  <w:marRight w:val="0"/>
                  <w:marTop w:val="0"/>
                  <w:marBottom w:val="0"/>
                  <w:divBdr>
                    <w:top w:val="none" w:sz="0" w:space="0" w:color="auto"/>
                    <w:left w:val="none" w:sz="0" w:space="0" w:color="auto"/>
                    <w:bottom w:val="none" w:sz="0" w:space="0" w:color="auto"/>
                    <w:right w:val="none" w:sz="0" w:space="0" w:color="auto"/>
                  </w:divBdr>
                  <w:divsChild>
                    <w:div w:id="818765581">
                      <w:marLeft w:val="0"/>
                      <w:marRight w:val="0"/>
                      <w:marTop w:val="0"/>
                      <w:marBottom w:val="0"/>
                      <w:divBdr>
                        <w:top w:val="none" w:sz="0" w:space="0" w:color="auto"/>
                        <w:left w:val="none" w:sz="0" w:space="0" w:color="auto"/>
                        <w:bottom w:val="none" w:sz="0" w:space="0" w:color="auto"/>
                        <w:right w:val="none" w:sz="0" w:space="0" w:color="auto"/>
                      </w:divBdr>
                      <w:divsChild>
                        <w:div w:id="726343296">
                          <w:marLeft w:val="0"/>
                          <w:marRight w:val="0"/>
                          <w:marTop w:val="0"/>
                          <w:marBottom w:val="0"/>
                          <w:divBdr>
                            <w:top w:val="none" w:sz="0" w:space="0" w:color="auto"/>
                            <w:left w:val="none" w:sz="0" w:space="0" w:color="auto"/>
                            <w:bottom w:val="none" w:sz="0" w:space="0" w:color="auto"/>
                            <w:right w:val="none" w:sz="0" w:space="0" w:color="auto"/>
                          </w:divBdr>
                          <w:divsChild>
                            <w:div w:id="8691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8570150">
      <w:bodyDiv w:val="1"/>
      <w:marLeft w:val="0"/>
      <w:marRight w:val="0"/>
      <w:marTop w:val="0"/>
      <w:marBottom w:val="0"/>
      <w:divBdr>
        <w:top w:val="none" w:sz="0" w:space="0" w:color="auto"/>
        <w:left w:val="none" w:sz="0" w:space="0" w:color="auto"/>
        <w:bottom w:val="none" w:sz="0" w:space="0" w:color="auto"/>
        <w:right w:val="none" w:sz="0" w:space="0" w:color="auto"/>
      </w:divBdr>
      <w:divsChild>
        <w:div w:id="256521061">
          <w:marLeft w:val="0"/>
          <w:marRight w:val="0"/>
          <w:marTop w:val="0"/>
          <w:marBottom w:val="0"/>
          <w:divBdr>
            <w:top w:val="none" w:sz="0" w:space="0" w:color="auto"/>
            <w:left w:val="none" w:sz="0" w:space="0" w:color="auto"/>
            <w:bottom w:val="none" w:sz="0" w:space="0" w:color="auto"/>
            <w:right w:val="none" w:sz="0" w:space="0" w:color="auto"/>
          </w:divBdr>
          <w:divsChild>
            <w:div w:id="1943292970">
              <w:marLeft w:val="0"/>
              <w:marRight w:val="0"/>
              <w:marTop w:val="0"/>
              <w:marBottom w:val="0"/>
              <w:divBdr>
                <w:top w:val="none" w:sz="0" w:space="0" w:color="auto"/>
                <w:left w:val="none" w:sz="0" w:space="0" w:color="auto"/>
                <w:bottom w:val="none" w:sz="0" w:space="0" w:color="auto"/>
                <w:right w:val="none" w:sz="0" w:space="0" w:color="auto"/>
              </w:divBdr>
              <w:divsChild>
                <w:div w:id="1321151764">
                  <w:marLeft w:val="0"/>
                  <w:marRight w:val="0"/>
                  <w:marTop w:val="0"/>
                  <w:marBottom w:val="0"/>
                  <w:divBdr>
                    <w:top w:val="none" w:sz="0" w:space="0" w:color="auto"/>
                    <w:left w:val="none" w:sz="0" w:space="0" w:color="auto"/>
                    <w:bottom w:val="none" w:sz="0" w:space="0" w:color="auto"/>
                    <w:right w:val="none" w:sz="0" w:space="0" w:color="auto"/>
                  </w:divBdr>
                  <w:divsChild>
                    <w:div w:id="909467440">
                      <w:marLeft w:val="0"/>
                      <w:marRight w:val="0"/>
                      <w:marTop w:val="0"/>
                      <w:marBottom w:val="0"/>
                      <w:divBdr>
                        <w:top w:val="none" w:sz="0" w:space="0" w:color="auto"/>
                        <w:left w:val="none" w:sz="0" w:space="0" w:color="auto"/>
                        <w:bottom w:val="none" w:sz="0" w:space="0" w:color="auto"/>
                        <w:right w:val="none" w:sz="0" w:space="0" w:color="auto"/>
                      </w:divBdr>
                      <w:divsChild>
                        <w:div w:id="581258393">
                          <w:marLeft w:val="0"/>
                          <w:marRight w:val="0"/>
                          <w:marTop w:val="0"/>
                          <w:marBottom w:val="0"/>
                          <w:divBdr>
                            <w:top w:val="none" w:sz="0" w:space="0" w:color="auto"/>
                            <w:left w:val="none" w:sz="0" w:space="0" w:color="auto"/>
                            <w:bottom w:val="none" w:sz="0" w:space="0" w:color="auto"/>
                            <w:right w:val="none" w:sz="0" w:space="0" w:color="auto"/>
                          </w:divBdr>
                          <w:divsChild>
                            <w:div w:id="53238878">
                              <w:marLeft w:val="0"/>
                              <w:marRight w:val="0"/>
                              <w:marTop w:val="0"/>
                              <w:marBottom w:val="0"/>
                              <w:divBdr>
                                <w:top w:val="none" w:sz="0" w:space="0" w:color="auto"/>
                                <w:left w:val="none" w:sz="0" w:space="0" w:color="auto"/>
                                <w:bottom w:val="none" w:sz="0" w:space="0" w:color="auto"/>
                                <w:right w:val="none" w:sz="0" w:space="0" w:color="auto"/>
                              </w:divBdr>
                              <w:divsChild>
                                <w:div w:id="6739179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8455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505997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70601719">
      <w:bodyDiv w:val="1"/>
      <w:marLeft w:val="0"/>
      <w:marRight w:val="0"/>
      <w:marTop w:val="0"/>
      <w:marBottom w:val="0"/>
      <w:divBdr>
        <w:top w:val="none" w:sz="0" w:space="0" w:color="auto"/>
        <w:left w:val="none" w:sz="0" w:space="0" w:color="auto"/>
        <w:bottom w:val="none" w:sz="0" w:space="0" w:color="auto"/>
        <w:right w:val="none" w:sz="0" w:space="0" w:color="auto"/>
      </w:divBdr>
      <w:divsChild>
        <w:div w:id="667439759">
          <w:marLeft w:val="0"/>
          <w:marRight w:val="0"/>
          <w:marTop w:val="0"/>
          <w:marBottom w:val="0"/>
          <w:divBdr>
            <w:top w:val="none" w:sz="0" w:space="0" w:color="auto"/>
            <w:left w:val="none" w:sz="0" w:space="0" w:color="auto"/>
            <w:bottom w:val="none" w:sz="0" w:space="0" w:color="auto"/>
            <w:right w:val="none" w:sz="0" w:space="0" w:color="auto"/>
          </w:divBdr>
          <w:divsChild>
            <w:div w:id="1203713412">
              <w:marLeft w:val="0"/>
              <w:marRight w:val="0"/>
              <w:marTop w:val="0"/>
              <w:marBottom w:val="0"/>
              <w:divBdr>
                <w:top w:val="none" w:sz="0" w:space="0" w:color="auto"/>
                <w:left w:val="none" w:sz="0" w:space="0" w:color="auto"/>
                <w:bottom w:val="none" w:sz="0" w:space="0" w:color="auto"/>
                <w:right w:val="none" w:sz="0" w:space="0" w:color="auto"/>
              </w:divBdr>
              <w:divsChild>
                <w:div w:id="1830825075">
                  <w:marLeft w:val="0"/>
                  <w:marRight w:val="0"/>
                  <w:marTop w:val="0"/>
                  <w:marBottom w:val="0"/>
                  <w:divBdr>
                    <w:top w:val="none" w:sz="0" w:space="0" w:color="auto"/>
                    <w:left w:val="none" w:sz="0" w:space="0" w:color="auto"/>
                    <w:bottom w:val="none" w:sz="0" w:space="0" w:color="auto"/>
                    <w:right w:val="none" w:sz="0" w:space="0" w:color="auto"/>
                  </w:divBdr>
                  <w:divsChild>
                    <w:div w:id="1084376208">
                      <w:marLeft w:val="0"/>
                      <w:marRight w:val="0"/>
                      <w:marTop w:val="0"/>
                      <w:marBottom w:val="0"/>
                      <w:divBdr>
                        <w:top w:val="none" w:sz="0" w:space="0" w:color="auto"/>
                        <w:left w:val="none" w:sz="0" w:space="0" w:color="auto"/>
                        <w:bottom w:val="none" w:sz="0" w:space="0" w:color="auto"/>
                        <w:right w:val="none" w:sz="0" w:space="0" w:color="auto"/>
                      </w:divBdr>
                      <w:divsChild>
                        <w:div w:id="242684410">
                          <w:marLeft w:val="0"/>
                          <w:marRight w:val="0"/>
                          <w:marTop w:val="0"/>
                          <w:marBottom w:val="0"/>
                          <w:divBdr>
                            <w:top w:val="none" w:sz="0" w:space="0" w:color="auto"/>
                            <w:left w:val="none" w:sz="0" w:space="0" w:color="auto"/>
                            <w:bottom w:val="none" w:sz="0" w:space="0" w:color="auto"/>
                            <w:right w:val="none" w:sz="0" w:space="0" w:color="auto"/>
                          </w:divBdr>
                          <w:divsChild>
                            <w:div w:id="98333027">
                              <w:marLeft w:val="0"/>
                              <w:marRight w:val="0"/>
                              <w:marTop w:val="0"/>
                              <w:marBottom w:val="0"/>
                              <w:divBdr>
                                <w:top w:val="none" w:sz="0" w:space="0" w:color="auto"/>
                                <w:left w:val="none" w:sz="0" w:space="0" w:color="auto"/>
                                <w:bottom w:val="none" w:sz="0" w:space="0" w:color="auto"/>
                                <w:right w:val="none" w:sz="0" w:space="0" w:color="auto"/>
                              </w:divBdr>
                              <w:divsChild>
                                <w:div w:id="9194866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pyright@agriculture.gov.au" TargetMode="External"/><Relationship Id="rId26" Type="http://schemas.openxmlformats.org/officeDocument/2006/relationships/hyperlink" Target="http://www.agriculture.gov.au/international-trade-obligations" TargetMode="External"/><Relationship Id="rId39" Type="http://schemas.openxmlformats.org/officeDocument/2006/relationships/hyperlink" Target="mailto:ippc.contactpoint@agriculture.gov.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package" Target="embeddings/Microsoft_Visio_Drawing1.vsdx"/><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reativecommons.org/licenses/by/3.0/au/legalcode" TargetMode="External"/><Relationship Id="rId25" Type="http://schemas.openxmlformats.org/officeDocument/2006/relationships/hyperlink" Target="https://www.legislation.gov.au" TargetMode="External"/><Relationship Id="rId33" Type="http://schemas.openxmlformats.org/officeDocument/2006/relationships/image" Target="media/image5.emf"/><Relationship Id="rId38" Type="http://schemas.openxmlformats.org/officeDocument/2006/relationships/hyperlink" Target="mailto:OCVO@agriculture.gov.au" TargetMode="Externa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3.xml"/><Relationship Id="rId29" Type="http://schemas.openxmlformats.org/officeDocument/2006/relationships/hyperlink" Target="http://www.agriculture.gov.au/risk-analysis-rol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griculture.gov.au/appropriate-level-of-protection" TargetMode="External"/><Relationship Id="rId32" Type="http://schemas.openxmlformats.org/officeDocument/2006/relationships/hyperlink" Target="http://www.agriculture.gov.au/conducting-risk-analysis" TargetMode="External"/><Relationship Id="rId37" Type="http://schemas.openxmlformats.org/officeDocument/2006/relationships/hyperlink" Target="mailto:liaisonofficer@agriculture.gov.au"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http://www.agriculture.gov.au/conducting-risk-analysis" TargetMode="External"/><Relationship Id="rId36" Type="http://schemas.openxmlformats.org/officeDocument/2006/relationships/hyperlink" Target="mailto:plant@agriculture.gov.au" TargetMode="External"/><Relationship Id="rId10" Type="http://schemas.openxmlformats.org/officeDocument/2006/relationships/endnotes" Target="endnotes.xml"/><Relationship Id="rId19" Type="http://schemas.openxmlformats.org/officeDocument/2006/relationships/hyperlink" Target="http://agriculture.gov.au/"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www.agriculture.gov.au/import-proposals" TargetMode="External"/><Relationship Id="rId30" Type="http://schemas.openxmlformats.org/officeDocument/2006/relationships/hyperlink" Target="http://www.agriculture.gov.au/conducting-risk-analysis" TargetMode="External"/><Relationship Id="rId35" Type="http://schemas.openxmlformats.org/officeDocument/2006/relationships/hyperlink" Target="mailto:animal@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DAE9-9EBF-410F-A43A-B24949749CB1}"/>
</file>

<file path=customXml/itemProps2.xml><?xml version="1.0" encoding="utf-8"?>
<ds:datastoreItem xmlns:ds="http://schemas.openxmlformats.org/officeDocument/2006/customXml" ds:itemID="{0CA2300D-EE46-42A1-96C4-56A38208C23E}"/>
</file>

<file path=customXml/itemProps3.xml><?xml version="1.0" encoding="utf-8"?>
<ds:datastoreItem xmlns:ds="http://schemas.openxmlformats.org/officeDocument/2006/customXml" ds:itemID="{399D858F-C90B-47C1-9C8B-44353AFC90AB}"/>
</file>

<file path=customXml/itemProps4.xml><?xml version="1.0" encoding="utf-8"?>
<ds:datastoreItem xmlns:ds="http://schemas.openxmlformats.org/officeDocument/2006/customXml" ds:itemID="{72C25704-1CE3-4D37-8597-0858A7E93FEB}"/>
</file>

<file path=docProps/app.xml><?xml version="1.0" encoding="utf-8"?>
<Properties xmlns="http://schemas.openxmlformats.org/officeDocument/2006/extended-properties" xmlns:vt="http://schemas.openxmlformats.org/officeDocument/2006/docPropsVTypes">
  <Template>Normal</Template>
  <TotalTime>38</TotalTime>
  <Pages>24</Pages>
  <Words>7226</Words>
  <Characters>41191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Draft Biosecurity import risk analysis guidelines</vt:lpstr>
    </vt:vector>
  </TitlesOfParts>
  <Company>Department of Agriculture Fisheries &amp; Forestry</Company>
  <LinksUpToDate>false</LinksUpToDate>
  <CharactersWithSpaces>48321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Biosecurity import risk analysis guidelines</dc:title>
  <dc:creator>Department of Agriculture and Water Resources</dc:creator>
  <cp:keywords>BIRA</cp:keywords>
  <cp:lastModifiedBy>Zur, Blake</cp:lastModifiedBy>
  <cp:revision>8</cp:revision>
  <cp:lastPrinted>2016-06-15T23:40:00Z</cp:lastPrinted>
  <dcterms:created xsi:type="dcterms:W3CDTF">2016-06-09T23:10:00Z</dcterms:created>
  <dcterms:modified xsi:type="dcterms:W3CDTF">2016-06-15T23:40:00Z</dcterms:modified>
  <cp:contentStatus>Example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