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1E82B" w14:textId="77777777" w:rsidR="00B34554" w:rsidRDefault="00B34554" w:rsidP="002106F9">
      <w:pPr>
        <w:pStyle w:val="Title"/>
        <w:jc w:val="left"/>
      </w:pPr>
    </w:p>
    <w:p w14:paraId="69E4ABA9" w14:textId="77777777" w:rsidR="00B34554" w:rsidRDefault="00B34554" w:rsidP="002106F9">
      <w:pPr>
        <w:pStyle w:val="Title"/>
        <w:jc w:val="left"/>
      </w:pPr>
    </w:p>
    <w:p w14:paraId="049A5DC5" w14:textId="77777777" w:rsidR="00B34554" w:rsidRDefault="00070AF7" w:rsidP="002106F9">
      <w:pPr>
        <w:pStyle w:val="Title"/>
        <w:tabs>
          <w:tab w:val="left" w:pos="6224"/>
        </w:tabs>
        <w:jc w:val="left"/>
      </w:pPr>
      <w:r>
        <w:tab/>
      </w:r>
    </w:p>
    <w:p w14:paraId="310C0D35" w14:textId="77777777" w:rsidR="00B34554" w:rsidRDefault="00B34554" w:rsidP="002106F9">
      <w:pPr>
        <w:pStyle w:val="Title"/>
        <w:jc w:val="left"/>
      </w:pPr>
    </w:p>
    <w:p w14:paraId="36637E66" w14:textId="77777777" w:rsidR="00B34554" w:rsidRDefault="00B34554" w:rsidP="002106F9">
      <w:pPr>
        <w:pStyle w:val="Title"/>
        <w:jc w:val="left"/>
      </w:pPr>
    </w:p>
    <w:p w14:paraId="21F4E839" w14:textId="77777777" w:rsidR="00B34554" w:rsidRDefault="00B34554" w:rsidP="002106F9">
      <w:pPr>
        <w:pStyle w:val="Title"/>
        <w:jc w:val="left"/>
      </w:pPr>
    </w:p>
    <w:p w14:paraId="4B7D8C07" w14:textId="77777777" w:rsidR="00B34554" w:rsidRDefault="00B34554" w:rsidP="002106F9">
      <w:pPr>
        <w:pStyle w:val="Title"/>
        <w:jc w:val="left"/>
      </w:pPr>
    </w:p>
    <w:p w14:paraId="2A71C0A9" w14:textId="77777777" w:rsidR="00B34554" w:rsidRDefault="00B34554" w:rsidP="002106F9">
      <w:pPr>
        <w:pStyle w:val="Title"/>
        <w:jc w:val="left"/>
      </w:pPr>
    </w:p>
    <w:p w14:paraId="68F8DE3F" w14:textId="77777777" w:rsidR="00B34554" w:rsidRDefault="00B34554" w:rsidP="002106F9">
      <w:pPr>
        <w:pStyle w:val="Title"/>
        <w:jc w:val="left"/>
      </w:pPr>
    </w:p>
    <w:p w14:paraId="2E730256" w14:textId="77777777" w:rsidR="00B34554" w:rsidRDefault="00B34554" w:rsidP="002106F9">
      <w:pPr>
        <w:pStyle w:val="Title"/>
        <w:jc w:val="left"/>
      </w:pPr>
    </w:p>
    <w:p w14:paraId="0D2D62DB" w14:textId="77777777" w:rsidR="00B34554" w:rsidRDefault="00B34554" w:rsidP="002106F9">
      <w:pPr>
        <w:pStyle w:val="Title"/>
        <w:jc w:val="left"/>
      </w:pPr>
    </w:p>
    <w:p w14:paraId="21361539" w14:textId="77777777" w:rsidR="00F54C08" w:rsidRPr="00A729D8" w:rsidRDefault="00B34554" w:rsidP="002106F9">
      <w:pPr>
        <w:pStyle w:val="Title"/>
        <w:jc w:val="left"/>
      </w:pPr>
      <w:r w:rsidRPr="00A729D8">
        <w:t xml:space="preserve">National Environmental Biosecurity </w:t>
      </w:r>
    </w:p>
    <w:p w14:paraId="32D8DEE2" w14:textId="77777777" w:rsidR="00B34554" w:rsidRPr="00A729D8" w:rsidRDefault="00B34554" w:rsidP="002106F9">
      <w:pPr>
        <w:pStyle w:val="Title"/>
        <w:jc w:val="left"/>
      </w:pPr>
      <w:r w:rsidRPr="00A729D8">
        <w:t>Response Agreement</w:t>
      </w:r>
    </w:p>
    <w:p w14:paraId="44EB6043" w14:textId="77777777" w:rsidR="005C5F1F" w:rsidRPr="00A729D8" w:rsidRDefault="005C5F1F" w:rsidP="002106F9"/>
    <w:p w14:paraId="14D8D437" w14:textId="73764F2A" w:rsidR="005C5F1F" w:rsidRPr="007647FF" w:rsidRDefault="007647FF" w:rsidP="002106F9">
      <w:pPr>
        <w:rPr>
          <w:b/>
          <w:color w:val="C00000"/>
          <w:sz w:val="28"/>
          <w:szCs w:val="28"/>
        </w:rPr>
      </w:pPr>
      <w:r w:rsidRPr="007647FF">
        <w:rPr>
          <w:b/>
          <w:color w:val="C00000"/>
          <w:sz w:val="28"/>
          <w:szCs w:val="28"/>
        </w:rPr>
        <w:t xml:space="preserve">2019 Consultation </w:t>
      </w:r>
      <w:r w:rsidR="005C5F1F" w:rsidRPr="007647FF">
        <w:rPr>
          <w:b/>
          <w:color w:val="C00000"/>
          <w:sz w:val="28"/>
          <w:szCs w:val="28"/>
        </w:rPr>
        <w:t xml:space="preserve">Draft </w:t>
      </w:r>
    </w:p>
    <w:p w14:paraId="5D520EB5" w14:textId="77777777" w:rsidR="00B34554" w:rsidRPr="00A729D8" w:rsidRDefault="00B34554" w:rsidP="002106F9">
      <w:pPr>
        <w:spacing w:before="0" w:after="160" w:line="252" w:lineRule="auto"/>
      </w:pPr>
      <w:r w:rsidRPr="00A729D8">
        <w:br w:type="page"/>
      </w:r>
    </w:p>
    <w:p w14:paraId="300B0F98" w14:textId="77777777" w:rsidR="00B34554" w:rsidRPr="00A729D8" w:rsidRDefault="00B34554" w:rsidP="002106F9">
      <w:pPr>
        <w:pStyle w:val="Heading1"/>
        <w:keepNext w:val="0"/>
        <w:keepLines w:val="0"/>
        <w:numPr>
          <w:ilvl w:val="0"/>
          <w:numId w:val="0"/>
        </w:numPr>
      </w:pPr>
      <w:bookmarkStart w:id="0" w:name="_Toc7528082"/>
      <w:r w:rsidRPr="00A729D8">
        <w:lastRenderedPageBreak/>
        <w:t>National Environmental Biosecurity Response Agreement</w:t>
      </w:r>
      <w:bookmarkEnd w:id="0"/>
      <w:r w:rsidRPr="00A729D8">
        <w:t xml:space="preserve"> </w:t>
      </w:r>
    </w:p>
    <w:p w14:paraId="33620BE4" w14:textId="77777777" w:rsidR="00095BEE" w:rsidRPr="00A729D8" w:rsidRDefault="00B34554" w:rsidP="002106F9">
      <w:pPr>
        <w:pStyle w:val="Heading2"/>
        <w:keepNext w:val="0"/>
        <w:keepLines w:val="0"/>
        <w:numPr>
          <w:ilvl w:val="0"/>
          <w:numId w:val="0"/>
        </w:numPr>
      </w:pPr>
      <w:bookmarkStart w:id="1" w:name="_Toc7528083"/>
      <w:r w:rsidRPr="00A729D8">
        <w:t>Date</w:t>
      </w:r>
      <w:bookmarkEnd w:id="1"/>
      <w:r w:rsidRPr="00A729D8">
        <w:tab/>
      </w:r>
    </w:p>
    <w:p w14:paraId="536F0337" w14:textId="77777777" w:rsidR="00B34554" w:rsidRPr="00A729D8" w:rsidRDefault="00B34554" w:rsidP="002106F9">
      <w:r w:rsidRPr="00A729D8">
        <w:t>This agreement is dated</w:t>
      </w:r>
    </w:p>
    <w:p w14:paraId="64DB4991" w14:textId="77777777" w:rsidR="00B34554" w:rsidRPr="00A729D8" w:rsidRDefault="00B34554" w:rsidP="002106F9"/>
    <w:p w14:paraId="4BA231CB" w14:textId="77777777" w:rsidR="000F193E" w:rsidRPr="00A729D8" w:rsidRDefault="000F193E" w:rsidP="002106F9"/>
    <w:p w14:paraId="285D04BA" w14:textId="77777777" w:rsidR="00B34554" w:rsidRPr="00A729D8" w:rsidRDefault="00B34554" w:rsidP="002106F9">
      <w:pPr>
        <w:pStyle w:val="Heading2"/>
        <w:keepNext w:val="0"/>
        <w:keepLines w:val="0"/>
        <w:numPr>
          <w:ilvl w:val="0"/>
          <w:numId w:val="0"/>
        </w:numPr>
      </w:pPr>
      <w:bookmarkStart w:id="2" w:name="_Toc7528084"/>
      <w:r w:rsidRPr="00A729D8">
        <w:t>Parties</w:t>
      </w:r>
      <w:bookmarkEnd w:id="2"/>
    </w:p>
    <w:p w14:paraId="138B0E18" w14:textId="77777777" w:rsidR="00B34554" w:rsidRPr="00A729D8" w:rsidRDefault="00B34554" w:rsidP="002106F9">
      <w:r w:rsidRPr="00A729D8">
        <w:t>This agreement is made between the following parties (collectively referred to as ‘the parties’):</w:t>
      </w:r>
    </w:p>
    <w:p w14:paraId="58A85CE0" w14:textId="77777777" w:rsidR="00B34554" w:rsidRPr="00A729D8" w:rsidRDefault="00B34554" w:rsidP="002106F9">
      <w:r w:rsidRPr="00A729D8">
        <w:t>Commonwealth of Australia</w:t>
      </w:r>
    </w:p>
    <w:p w14:paraId="4DFFD304" w14:textId="77777777" w:rsidR="00B34554" w:rsidRPr="00A729D8" w:rsidRDefault="00B34554" w:rsidP="002106F9">
      <w:r w:rsidRPr="00A729D8">
        <w:t>The State of New South Wales</w:t>
      </w:r>
    </w:p>
    <w:p w14:paraId="6A4F31E4" w14:textId="77777777" w:rsidR="00B34554" w:rsidRPr="00A729D8" w:rsidRDefault="00B34554" w:rsidP="002106F9">
      <w:r w:rsidRPr="00A729D8">
        <w:t>The State of Victoria</w:t>
      </w:r>
    </w:p>
    <w:p w14:paraId="7B39F82D" w14:textId="77777777" w:rsidR="00B34554" w:rsidRPr="00A729D8" w:rsidRDefault="00B34554" w:rsidP="002106F9">
      <w:r w:rsidRPr="00A729D8">
        <w:t>The State of Queensland</w:t>
      </w:r>
    </w:p>
    <w:p w14:paraId="79F2DC51" w14:textId="77777777" w:rsidR="00B34554" w:rsidRPr="00A729D8" w:rsidRDefault="00B34554" w:rsidP="002106F9">
      <w:pPr>
        <w:tabs>
          <w:tab w:val="center" w:pos="4513"/>
        </w:tabs>
      </w:pPr>
      <w:r w:rsidRPr="00A729D8">
        <w:t>The State of Western Australia</w:t>
      </w:r>
      <w:r w:rsidR="005C5F1F" w:rsidRPr="00A729D8">
        <w:tab/>
      </w:r>
    </w:p>
    <w:p w14:paraId="74FB06EF" w14:textId="77777777" w:rsidR="00B34554" w:rsidRPr="00A729D8" w:rsidRDefault="00B34554" w:rsidP="002106F9">
      <w:r w:rsidRPr="00A729D8">
        <w:t>The State of South Australia</w:t>
      </w:r>
    </w:p>
    <w:p w14:paraId="5D45F43C" w14:textId="77777777" w:rsidR="00B34554" w:rsidRPr="00A729D8" w:rsidRDefault="00B34554" w:rsidP="002106F9">
      <w:r w:rsidRPr="00A729D8">
        <w:t>The State of Tasmania</w:t>
      </w:r>
    </w:p>
    <w:p w14:paraId="5FB793E9" w14:textId="77777777" w:rsidR="00B34554" w:rsidRPr="00A729D8" w:rsidRDefault="00B34554" w:rsidP="002106F9">
      <w:r w:rsidRPr="00A729D8">
        <w:t>The Australian Capital Territory</w:t>
      </w:r>
    </w:p>
    <w:p w14:paraId="20B243FD" w14:textId="77777777" w:rsidR="00B34554" w:rsidRPr="00A729D8" w:rsidRDefault="00B34554" w:rsidP="002106F9">
      <w:r w:rsidRPr="00A729D8">
        <w:t>The Northern Territory of Australia</w:t>
      </w:r>
    </w:p>
    <w:p w14:paraId="71E6FB6D" w14:textId="77777777" w:rsidR="00F54C08" w:rsidRPr="00A729D8" w:rsidRDefault="00F54C08" w:rsidP="002106F9">
      <w:pPr>
        <w:spacing w:before="0" w:after="160" w:line="252" w:lineRule="auto"/>
        <w:rPr>
          <w:rFonts w:eastAsiaTheme="majorEastAsia" w:cstheme="majorBidi"/>
          <w:b/>
          <w:bCs/>
          <w:caps/>
          <w:spacing w:val="4"/>
          <w:szCs w:val="28"/>
        </w:rPr>
      </w:pPr>
      <w:r w:rsidRPr="00A729D8">
        <w:br w:type="page"/>
      </w:r>
      <w:bookmarkStart w:id="3" w:name="_GoBack"/>
      <w:bookmarkEnd w:id="3"/>
    </w:p>
    <w:sdt>
      <w:sdtPr>
        <w:rPr>
          <w:rFonts w:eastAsiaTheme="minorEastAsia" w:cstheme="minorBidi"/>
          <w:b w:val="0"/>
          <w:bCs w:val="0"/>
          <w:caps w:val="0"/>
          <w:spacing w:val="0"/>
          <w:szCs w:val="22"/>
        </w:rPr>
        <w:id w:val="1816603411"/>
        <w:docPartObj>
          <w:docPartGallery w:val="Table of Contents"/>
          <w:docPartUnique/>
        </w:docPartObj>
      </w:sdtPr>
      <w:sdtEndPr>
        <w:rPr>
          <w:noProof/>
        </w:rPr>
      </w:sdtEndPr>
      <w:sdtContent>
        <w:p w14:paraId="45487F7B" w14:textId="77777777" w:rsidR="0082071C" w:rsidRPr="00A729D8" w:rsidRDefault="0082071C" w:rsidP="002106F9">
          <w:pPr>
            <w:pStyle w:val="TOCHeading"/>
            <w:keepNext w:val="0"/>
            <w:keepLines w:val="0"/>
            <w:numPr>
              <w:ilvl w:val="0"/>
              <w:numId w:val="0"/>
            </w:numPr>
          </w:pPr>
          <w:r w:rsidRPr="00A729D8">
            <w:t>Contents</w:t>
          </w:r>
        </w:p>
        <w:p w14:paraId="03C950A8" w14:textId="77777777" w:rsidR="00543738" w:rsidRDefault="0082071C">
          <w:pPr>
            <w:pStyle w:val="TOC1"/>
            <w:tabs>
              <w:tab w:val="right" w:leader="dot" w:pos="9016"/>
            </w:tabs>
            <w:rPr>
              <w:rFonts w:asciiTheme="minorHAnsi" w:hAnsiTheme="minorHAnsi"/>
              <w:noProof/>
              <w:lang w:eastAsia="en-AU"/>
            </w:rPr>
          </w:pPr>
          <w:r w:rsidRPr="00A729D8">
            <w:fldChar w:fldCharType="begin"/>
          </w:r>
          <w:r w:rsidRPr="00A729D8">
            <w:instrText xml:space="preserve"> TOC \o "1-2" \h \z \u </w:instrText>
          </w:r>
          <w:r w:rsidRPr="00A729D8">
            <w:fldChar w:fldCharType="separate"/>
          </w:r>
          <w:hyperlink w:anchor="_Toc7528082" w:history="1">
            <w:r w:rsidR="00543738" w:rsidRPr="0024562C">
              <w:rPr>
                <w:rStyle w:val="Hyperlink"/>
                <w:noProof/>
              </w:rPr>
              <w:t>National Environmental Biosecurity Response Agreement</w:t>
            </w:r>
            <w:r w:rsidR="00543738">
              <w:rPr>
                <w:noProof/>
                <w:webHidden/>
              </w:rPr>
              <w:tab/>
            </w:r>
            <w:r w:rsidR="00543738">
              <w:rPr>
                <w:noProof/>
                <w:webHidden/>
              </w:rPr>
              <w:fldChar w:fldCharType="begin"/>
            </w:r>
            <w:r w:rsidR="00543738">
              <w:rPr>
                <w:noProof/>
                <w:webHidden/>
              </w:rPr>
              <w:instrText xml:space="preserve"> PAGEREF _Toc7528082 \h </w:instrText>
            </w:r>
            <w:r w:rsidR="00543738">
              <w:rPr>
                <w:noProof/>
                <w:webHidden/>
              </w:rPr>
            </w:r>
            <w:r w:rsidR="00543738">
              <w:rPr>
                <w:noProof/>
                <w:webHidden/>
              </w:rPr>
              <w:fldChar w:fldCharType="separate"/>
            </w:r>
            <w:r w:rsidR="00543738">
              <w:rPr>
                <w:noProof/>
                <w:webHidden/>
              </w:rPr>
              <w:t>2</w:t>
            </w:r>
            <w:r w:rsidR="00543738">
              <w:rPr>
                <w:noProof/>
                <w:webHidden/>
              </w:rPr>
              <w:fldChar w:fldCharType="end"/>
            </w:r>
          </w:hyperlink>
        </w:p>
        <w:p w14:paraId="5D27F035" w14:textId="77777777" w:rsidR="00543738" w:rsidRDefault="007647FF">
          <w:pPr>
            <w:pStyle w:val="TOC2"/>
            <w:tabs>
              <w:tab w:val="right" w:leader="dot" w:pos="9016"/>
            </w:tabs>
            <w:rPr>
              <w:rFonts w:asciiTheme="minorHAnsi" w:hAnsiTheme="minorHAnsi"/>
              <w:noProof/>
              <w:lang w:eastAsia="en-AU"/>
            </w:rPr>
          </w:pPr>
          <w:hyperlink w:anchor="_Toc7528083" w:history="1">
            <w:r w:rsidR="00543738" w:rsidRPr="0024562C">
              <w:rPr>
                <w:rStyle w:val="Hyperlink"/>
                <w:noProof/>
              </w:rPr>
              <w:t>Date</w:t>
            </w:r>
            <w:r w:rsidR="00543738">
              <w:rPr>
                <w:noProof/>
                <w:webHidden/>
              </w:rPr>
              <w:tab/>
            </w:r>
            <w:r w:rsidR="00543738">
              <w:rPr>
                <w:noProof/>
                <w:webHidden/>
              </w:rPr>
              <w:fldChar w:fldCharType="begin"/>
            </w:r>
            <w:r w:rsidR="00543738">
              <w:rPr>
                <w:noProof/>
                <w:webHidden/>
              </w:rPr>
              <w:instrText xml:space="preserve"> PAGEREF _Toc7528083 \h </w:instrText>
            </w:r>
            <w:r w:rsidR="00543738">
              <w:rPr>
                <w:noProof/>
                <w:webHidden/>
              </w:rPr>
            </w:r>
            <w:r w:rsidR="00543738">
              <w:rPr>
                <w:noProof/>
                <w:webHidden/>
              </w:rPr>
              <w:fldChar w:fldCharType="separate"/>
            </w:r>
            <w:r w:rsidR="00543738">
              <w:rPr>
                <w:noProof/>
                <w:webHidden/>
              </w:rPr>
              <w:t>2</w:t>
            </w:r>
            <w:r w:rsidR="00543738">
              <w:rPr>
                <w:noProof/>
                <w:webHidden/>
              </w:rPr>
              <w:fldChar w:fldCharType="end"/>
            </w:r>
          </w:hyperlink>
        </w:p>
        <w:p w14:paraId="6036FD6A" w14:textId="77777777" w:rsidR="00543738" w:rsidRDefault="007647FF">
          <w:pPr>
            <w:pStyle w:val="TOC2"/>
            <w:tabs>
              <w:tab w:val="right" w:leader="dot" w:pos="9016"/>
            </w:tabs>
            <w:rPr>
              <w:rFonts w:asciiTheme="minorHAnsi" w:hAnsiTheme="minorHAnsi"/>
              <w:noProof/>
              <w:lang w:eastAsia="en-AU"/>
            </w:rPr>
          </w:pPr>
          <w:hyperlink w:anchor="_Toc7528084" w:history="1">
            <w:r w:rsidR="00543738" w:rsidRPr="0024562C">
              <w:rPr>
                <w:rStyle w:val="Hyperlink"/>
                <w:noProof/>
              </w:rPr>
              <w:t>Parties</w:t>
            </w:r>
            <w:r w:rsidR="00543738">
              <w:rPr>
                <w:noProof/>
                <w:webHidden/>
              </w:rPr>
              <w:tab/>
            </w:r>
            <w:r w:rsidR="00543738">
              <w:rPr>
                <w:noProof/>
                <w:webHidden/>
              </w:rPr>
              <w:fldChar w:fldCharType="begin"/>
            </w:r>
            <w:r w:rsidR="00543738">
              <w:rPr>
                <w:noProof/>
                <w:webHidden/>
              </w:rPr>
              <w:instrText xml:space="preserve"> PAGEREF _Toc7528084 \h </w:instrText>
            </w:r>
            <w:r w:rsidR="00543738">
              <w:rPr>
                <w:noProof/>
                <w:webHidden/>
              </w:rPr>
            </w:r>
            <w:r w:rsidR="00543738">
              <w:rPr>
                <w:noProof/>
                <w:webHidden/>
              </w:rPr>
              <w:fldChar w:fldCharType="separate"/>
            </w:r>
            <w:r w:rsidR="00543738">
              <w:rPr>
                <w:noProof/>
                <w:webHidden/>
              </w:rPr>
              <w:t>2</w:t>
            </w:r>
            <w:r w:rsidR="00543738">
              <w:rPr>
                <w:noProof/>
                <w:webHidden/>
              </w:rPr>
              <w:fldChar w:fldCharType="end"/>
            </w:r>
          </w:hyperlink>
        </w:p>
        <w:p w14:paraId="38A4B562" w14:textId="77777777" w:rsidR="00543738" w:rsidRDefault="007647FF">
          <w:pPr>
            <w:pStyle w:val="TOC1"/>
            <w:tabs>
              <w:tab w:val="left" w:pos="440"/>
              <w:tab w:val="right" w:leader="dot" w:pos="9016"/>
            </w:tabs>
            <w:rPr>
              <w:rFonts w:asciiTheme="minorHAnsi" w:hAnsiTheme="minorHAnsi"/>
              <w:noProof/>
              <w:lang w:eastAsia="en-AU"/>
            </w:rPr>
          </w:pPr>
          <w:hyperlink w:anchor="_Toc7528085" w:history="1">
            <w:r w:rsidR="00543738" w:rsidRPr="0024562C">
              <w:rPr>
                <w:rStyle w:val="Hyperlink"/>
                <w:noProof/>
              </w:rPr>
              <w:t>1</w:t>
            </w:r>
            <w:r w:rsidR="00543738">
              <w:rPr>
                <w:rFonts w:asciiTheme="minorHAnsi" w:hAnsiTheme="minorHAnsi"/>
                <w:noProof/>
                <w:lang w:eastAsia="en-AU"/>
              </w:rPr>
              <w:tab/>
            </w:r>
            <w:r w:rsidR="00543738" w:rsidRPr="0024562C">
              <w:rPr>
                <w:rStyle w:val="Hyperlink"/>
                <w:noProof/>
              </w:rPr>
              <w:t>Background</w:t>
            </w:r>
            <w:r w:rsidR="00543738">
              <w:rPr>
                <w:noProof/>
                <w:webHidden/>
              </w:rPr>
              <w:tab/>
            </w:r>
            <w:r w:rsidR="00543738">
              <w:rPr>
                <w:noProof/>
                <w:webHidden/>
              </w:rPr>
              <w:fldChar w:fldCharType="begin"/>
            </w:r>
            <w:r w:rsidR="00543738">
              <w:rPr>
                <w:noProof/>
                <w:webHidden/>
              </w:rPr>
              <w:instrText xml:space="preserve"> PAGEREF _Toc7528085 \h </w:instrText>
            </w:r>
            <w:r w:rsidR="00543738">
              <w:rPr>
                <w:noProof/>
                <w:webHidden/>
              </w:rPr>
            </w:r>
            <w:r w:rsidR="00543738">
              <w:rPr>
                <w:noProof/>
                <w:webHidden/>
              </w:rPr>
              <w:fldChar w:fldCharType="separate"/>
            </w:r>
            <w:r w:rsidR="00543738">
              <w:rPr>
                <w:noProof/>
                <w:webHidden/>
              </w:rPr>
              <w:t>6</w:t>
            </w:r>
            <w:r w:rsidR="00543738">
              <w:rPr>
                <w:noProof/>
                <w:webHidden/>
              </w:rPr>
              <w:fldChar w:fldCharType="end"/>
            </w:r>
          </w:hyperlink>
        </w:p>
        <w:p w14:paraId="21CF3D55" w14:textId="77777777" w:rsidR="00543738" w:rsidRDefault="007647FF">
          <w:pPr>
            <w:pStyle w:val="TOC2"/>
            <w:tabs>
              <w:tab w:val="left" w:pos="880"/>
              <w:tab w:val="right" w:leader="dot" w:pos="9016"/>
            </w:tabs>
            <w:rPr>
              <w:rFonts w:asciiTheme="minorHAnsi" w:hAnsiTheme="minorHAnsi"/>
              <w:noProof/>
              <w:lang w:eastAsia="en-AU"/>
            </w:rPr>
          </w:pPr>
          <w:hyperlink w:anchor="_Toc7528086" w:history="1">
            <w:r w:rsidR="00543738" w:rsidRPr="0024562C">
              <w:rPr>
                <w:rStyle w:val="Hyperlink"/>
                <w:noProof/>
                <w14:scene3d>
                  <w14:camera w14:prst="orthographicFront"/>
                  <w14:lightRig w14:rig="threePt" w14:dir="t">
                    <w14:rot w14:lat="0" w14:lon="0" w14:rev="0"/>
                  </w14:lightRig>
                </w14:scene3d>
              </w:rPr>
              <w:t>1.1</w:t>
            </w:r>
            <w:r w:rsidR="00543738">
              <w:rPr>
                <w:rFonts w:asciiTheme="minorHAnsi" w:hAnsiTheme="minorHAnsi"/>
                <w:noProof/>
                <w:lang w:eastAsia="en-AU"/>
              </w:rPr>
              <w:tab/>
            </w:r>
            <w:r w:rsidR="00543738" w:rsidRPr="0024562C">
              <w:rPr>
                <w:rStyle w:val="Hyperlink"/>
                <w:noProof/>
              </w:rPr>
              <w:t>Purpose of agreement</w:t>
            </w:r>
            <w:r w:rsidR="00543738">
              <w:rPr>
                <w:noProof/>
                <w:webHidden/>
              </w:rPr>
              <w:tab/>
            </w:r>
            <w:r w:rsidR="00543738">
              <w:rPr>
                <w:noProof/>
                <w:webHidden/>
              </w:rPr>
              <w:fldChar w:fldCharType="begin"/>
            </w:r>
            <w:r w:rsidR="00543738">
              <w:rPr>
                <w:noProof/>
                <w:webHidden/>
              </w:rPr>
              <w:instrText xml:space="preserve"> PAGEREF _Toc7528086 \h </w:instrText>
            </w:r>
            <w:r w:rsidR="00543738">
              <w:rPr>
                <w:noProof/>
                <w:webHidden/>
              </w:rPr>
            </w:r>
            <w:r w:rsidR="00543738">
              <w:rPr>
                <w:noProof/>
                <w:webHidden/>
              </w:rPr>
              <w:fldChar w:fldCharType="separate"/>
            </w:r>
            <w:r w:rsidR="00543738">
              <w:rPr>
                <w:noProof/>
                <w:webHidden/>
              </w:rPr>
              <w:t>6</w:t>
            </w:r>
            <w:r w:rsidR="00543738">
              <w:rPr>
                <w:noProof/>
                <w:webHidden/>
              </w:rPr>
              <w:fldChar w:fldCharType="end"/>
            </w:r>
          </w:hyperlink>
        </w:p>
        <w:p w14:paraId="2670995B" w14:textId="77777777" w:rsidR="00543738" w:rsidRDefault="007647FF">
          <w:pPr>
            <w:pStyle w:val="TOC2"/>
            <w:tabs>
              <w:tab w:val="left" w:pos="880"/>
              <w:tab w:val="right" w:leader="dot" w:pos="9016"/>
            </w:tabs>
            <w:rPr>
              <w:rFonts w:asciiTheme="minorHAnsi" w:hAnsiTheme="minorHAnsi"/>
              <w:noProof/>
              <w:lang w:eastAsia="en-AU"/>
            </w:rPr>
          </w:pPr>
          <w:hyperlink w:anchor="_Toc7528087" w:history="1">
            <w:r w:rsidR="00543738" w:rsidRPr="0024562C">
              <w:rPr>
                <w:rStyle w:val="Hyperlink"/>
                <w:noProof/>
                <w14:scene3d>
                  <w14:camera w14:prst="orthographicFront"/>
                  <w14:lightRig w14:rig="threePt" w14:dir="t">
                    <w14:rot w14:lat="0" w14:lon="0" w14:rev="0"/>
                  </w14:lightRig>
                </w14:scene3d>
              </w:rPr>
              <w:t>1.2</w:t>
            </w:r>
            <w:r w:rsidR="00543738">
              <w:rPr>
                <w:rFonts w:asciiTheme="minorHAnsi" w:hAnsiTheme="minorHAnsi"/>
                <w:noProof/>
                <w:lang w:eastAsia="en-AU"/>
              </w:rPr>
              <w:tab/>
            </w:r>
            <w:r w:rsidR="00543738" w:rsidRPr="0024562C">
              <w:rPr>
                <w:rStyle w:val="Hyperlink"/>
                <w:noProof/>
              </w:rPr>
              <w:t>Interaction with related biosecurity arrangements</w:t>
            </w:r>
            <w:r w:rsidR="00543738">
              <w:rPr>
                <w:noProof/>
                <w:webHidden/>
              </w:rPr>
              <w:tab/>
            </w:r>
            <w:r w:rsidR="00543738">
              <w:rPr>
                <w:noProof/>
                <w:webHidden/>
              </w:rPr>
              <w:fldChar w:fldCharType="begin"/>
            </w:r>
            <w:r w:rsidR="00543738">
              <w:rPr>
                <w:noProof/>
                <w:webHidden/>
              </w:rPr>
              <w:instrText xml:space="preserve"> PAGEREF _Toc7528087 \h </w:instrText>
            </w:r>
            <w:r w:rsidR="00543738">
              <w:rPr>
                <w:noProof/>
                <w:webHidden/>
              </w:rPr>
            </w:r>
            <w:r w:rsidR="00543738">
              <w:rPr>
                <w:noProof/>
                <w:webHidden/>
              </w:rPr>
              <w:fldChar w:fldCharType="separate"/>
            </w:r>
            <w:r w:rsidR="00543738">
              <w:rPr>
                <w:noProof/>
                <w:webHidden/>
              </w:rPr>
              <w:t>6</w:t>
            </w:r>
            <w:r w:rsidR="00543738">
              <w:rPr>
                <w:noProof/>
                <w:webHidden/>
              </w:rPr>
              <w:fldChar w:fldCharType="end"/>
            </w:r>
          </w:hyperlink>
        </w:p>
        <w:p w14:paraId="48B809BB" w14:textId="77777777" w:rsidR="00543738" w:rsidRDefault="007647FF">
          <w:pPr>
            <w:pStyle w:val="TOC2"/>
            <w:tabs>
              <w:tab w:val="left" w:pos="880"/>
              <w:tab w:val="right" w:leader="dot" w:pos="9016"/>
            </w:tabs>
            <w:rPr>
              <w:rFonts w:asciiTheme="minorHAnsi" w:hAnsiTheme="minorHAnsi"/>
              <w:noProof/>
              <w:lang w:eastAsia="en-AU"/>
            </w:rPr>
          </w:pPr>
          <w:hyperlink w:anchor="_Toc7528088" w:history="1">
            <w:r w:rsidR="00543738" w:rsidRPr="0024562C">
              <w:rPr>
                <w:rStyle w:val="Hyperlink"/>
                <w:noProof/>
                <w14:scene3d>
                  <w14:camera w14:prst="orthographicFront"/>
                  <w14:lightRig w14:rig="threePt" w14:dir="t">
                    <w14:rot w14:lat="0" w14:lon="0" w14:rev="0"/>
                  </w14:lightRig>
                </w14:scene3d>
              </w:rPr>
              <w:t>1.3</w:t>
            </w:r>
            <w:r w:rsidR="00543738">
              <w:rPr>
                <w:rFonts w:asciiTheme="minorHAnsi" w:hAnsiTheme="minorHAnsi"/>
                <w:noProof/>
                <w:lang w:eastAsia="en-AU"/>
              </w:rPr>
              <w:tab/>
            </w:r>
            <w:r w:rsidR="00543738" w:rsidRPr="0024562C">
              <w:rPr>
                <w:rStyle w:val="Hyperlink"/>
                <w:noProof/>
              </w:rPr>
              <w:t>Scope</w:t>
            </w:r>
            <w:r w:rsidR="00543738">
              <w:rPr>
                <w:noProof/>
                <w:webHidden/>
              </w:rPr>
              <w:tab/>
            </w:r>
            <w:r w:rsidR="00543738">
              <w:rPr>
                <w:noProof/>
                <w:webHidden/>
              </w:rPr>
              <w:fldChar w:fldCharType="begin"/>
            </w:r>
            <w:r w:rsidR="00543738">
              <w:rPr>
                <w:noProof/>
                <w:webHidden/>
              </w:rPr>
              <w:instrText xml:space="preserve"> PAGEREF _Toc7528088 \h </w:instrText>
            </w:r>
            <w:r w:rsidR="00543738">
              <w:rPr>
                <w:noProof/>
                <w:webHidden/>
              </w:rPr>
            </w:r>
            <w:r w:rsidR="00543738">
              <w:rPr>
                <w:noProof/>
                <w:webHidden/>
              </w:rPr>
              <w:fldChar w:fldCharType="separate"/>
            </w:r>
            <w:r w:rsidR="00543738">
              <w:rPr>
                <w:noProof/>
                <w:webHidden/>
              </w:rPr>
              <w:t>6</w:t>
            </w:r>
            <w:r w:rsidR="00543738">
              <w:rPr>
                <w:noProof/>
                <w:webHidden/>
              </w:rPr>
              <w:fldChar w:fldCharType="end"/>
            </w:r>
          </w:hyperlink>
        </w:p>
        <w:p w14:paraId="575A2452" w14:textId="77777777" w:rsidR="00543738" w:rsidRDefault="007647FF">
          <w:pPr>
            <w:pStyle w:val="TOC2"/>
            <w:tabs>
              <w:tab w:val="left" w:pos="880"/>
              <w:tab w:val="right" w:leader="dot" w:pos="9016"/>
            </w:tabs>
            <w:rPr>
              <w:rFonts w:asciiTheme="minorHAnsi" w:hAnsiTheme="minorHAnsi"/>
              <w:noProof/>
              <w:lang w:eastAsia="en-AU"/>
            </w:rPr>
          </w:pPr>
          <w:hyperlink w:anchor="_Toc7528089" w:history="1">
            <w:r w:rsidR="00543738" w:rsidRPr="0024562C">
              <w:rPr>
                <w:rStyle w:val="Hyperlink"/>
                <w:noProof/>
                <w14:scene3d>
                  <w14:camera w14:prst="orthographicFront"/>
                  <w14:lightRig w14:rig="threePt" w14:dir="t">
                    <w14:rot w14:lat="0" w14:lon="0" w14:rev="0"/>
                  </w14:lightRig>
                </w14:scene3d>
              </w:rPr>
              <w:t>1.4</w:t>
            </w:r>
            <w:r w:rsidR="00543738">
              <w:rPr>
                <w:rFonts w:asciiTheme="minorHAnsi" w:hAnsiTheme="minorHAnsi"/>
                <w:noProof/>
                <w:lang w:eastAsia="en-AU"/>
              </w:rPr>
              <w:tab/>
            </w:r>
            <w:r w:rsidR="00543738" w:rsidRPr="0024562C">
              <w:rPr>
                <w:rStyle w:val="Hyperlink"/>
                <w:noProof/>
              </w:rPr>
              <w:t>Outcomes</w:t>
            </w:r>
            <w:r w:rsidR="00543738">
              <w:rPr>
                <w:noProof/>
                <w:webHidden/>
              </w:rPr>
              <w:tab/>
            </w:r>
            <w:r w:rsidR="00543738">
              <w:rPr>
                <w:noProof/>
                <w:webHidden/>
              </w:rPr>
              <w:fldChar w:fldCharType="begin"/>
            </w:r>
            <w:r w:rsidR="00543738">
              <w:rPr>
                <w:noProof/>
                <w:webHidden/>
              </w:rPr>
              <w:instrText xml:space="preserve"> PAGEREF _Toc7528089 \h </w:instrText>
            </w:r>
            <w:r w:rsidR="00543738">
              <w:rPr>
                <w:noProof/>
                <w:webHidden/>
              </w:rPr>
            </w:r>
            <w:r w:rsidR="00543738">
              <w:rPr>
                <w:noProof/>
                <w:webHidden/>
              </w:rPr>
              <w:fldChar w:fldCharType="separate"/>
            </w:r>
            <w:r w:rsidR="00543738">
              <w:rPr>
                <w:noProof/>
                <w:webHidden/>
              </w:rPr>
              <w:t>6</w:t>
            </w:r>
            <w:r w:rsidR="00543738">
              <w:rPr>
                <w:noProof/>
                <w:webHidden/>
              </w:rPr>
              <w:fldChar w:fldCharType="end"/>
            </w:r>
          </w:hyperlink>
        </w:p>
        <w:p w14:paraId="38305261" w14:textId="77777777" w:rsidR="00543738" w:rsidRDefault="007647FF">
          <w:pPr>
            <w:pStyle w:val="TOC2"/>
            <w:tabs>
              <w:tab w:val="left" w:pos="880"/>
              <w:tab w:val="right" w:leader="dot" w:pos="9016"/>
            </w:tabs>
            <w:rPr>
              <w:rFonts w:asciiTheme="minorHAnsi" w:hAnsiTheme="minorHAnsi"/>
              <w:noProof/>
              <w:lang w:eastAsia="en-AU"/>
            </w:rPr>
          </w:pPr>
          <w:hyperlink w:anchor="_Toc7528090" w:history="1">
            <w:r w:rsidR="00543738" w:rsidRPr="0024562C">
              <w:rPr>
                <w:rStyle w:val="Hyperlink"/>
                <w:noProof/>
                <w14:scene3d>
                  <w14:camera w14:prst="orthographicFront"/>
                  <w14:lightRig w14:rig="threePt" w14:dir="t">
                    <w14:rot w14:lat="0" w14:lon="0" w14:rev="0"/>
                  </w14:lightRig>
                </w14:scene3d>
              </w:rPr>
              <w:t>1.5</w:t>
            </w:r>
            <w:r w:rsidR="00543738">
              <w:rPr>
                <w:rFonts w:asciiTheme="minorHAnsi" w:hAnsiTheme="minorHAnsi"/>
                <w:noProof/>
                <w:lang w:eastAsia="en-AU"/>
              </w:rPr>
              <w:tab/>
            </w:r>
            <w:r w:rsidR="00543738" w:rsidRPr="0024562C">
              <w:rPr>
                <w:rStyle w:val="Hyperlink"/>
                <w:noProof/>
              </w:rPr>
              <w:t>Intention of the parties not to contract</w:t>
            </w:r>
            <w:r w:rsidR="00543738">
              <w:rPr>
                <w:noProof/>
                <w:webHidden/>
              </w:rPr>
              <w:tab/>
            </w:r>
            <w:r w:rsidR="00543738">
              <w:rPr>
                <w:noProof/>
                <w:webHidden/>
              </w:rPr>
              <w:fldChar w:fldCharType="begin"/>
            </w:r>
            <w:r w:rsidR="00543738">
              <w:rPr>
                <w:noProof/>
                <w:webHidden/>
              </w:rPr>
              <w:instrText xml:space="preserve"> PAGEREF _Toc7528090 \h </w:instrText>
            </w:r>
            <w:r w:rsidR="00543738">
              <w:rPr>
                <w:noProof/>
                <w:webHidden/>
              </w:rPr>
            </w:r>
            <w:r w:rsidR="00543738">
              <w:rPr>
                <w:noProof/>
                <w:webHidden/>
              </w:rPr>
              <w:fldChar w:fldCharType="separate"/>
            </w:r>
            <w:r w:rsidR="00543738">
              <w:rPr>
                <w:noProof/>
                <w:webHidden/>
              </w:rPr>
              <w:t>6</w:t>
            </w:r>
            <w:r w:rsidR="00543738">
              <w:rPr>
                <w:noProof/>
                <w:webHidden/>
              </w:rPr>
              <w:fldChar w:fldCharType="end"/>
            </w:r>
          </w:hyperlink>
        </w:p>
        <w:p w14:paraId="30D51EFE" w14:textId="77777777" w:rsidR="00543738" w:rsidRDefault="007647FF">
          <w:pPr>
            <w:pStyle w:val="TOC1"/>
            <w:tabs>
              <w:tab w:val="left" w:pos="440"/>
              <w:tab w:val="right" w:leader="dot" w:pos="9016"/>
            </w:tabs>
            <w:rPr>
              <w:rFonts w:asciiTheme="minorHAnsi" w:hAnsiTheme="minorHAnsi"/>
              <w:noProof/>
              <w:lang w:eastAsia="en-AU"/>
            </w:rPr>
          </w:pPr>
          <w:hyperlink w:anchor="_Toc7528091" w:history="1">
            <w:r w:rsidR="00543738" w:rsidRPr="0024562C">
              <w:rPr>
                <w:rStyle w:val="Hyperlink"/>
                <w:noProof/>
              </w:rPr>
              <w:t>2</w:t>
            </w:r>
            <w:r w:rsidR="00543738">
              <w:rPr>
                <w:rFonts w:asciiTheme="minorHAnsi" w:hAnsiTheme="minorHAnsi"/>
                <w:noProof/>
                <w:lang w:eastAsia="en-AU"/>
              </w:rPr>
              <w:tab/>
            </w:r>
            <w:r w:rsidR="00543738" w:rsidRPr="0024562C">
              <w:rPr>
                <w:rStyle w:val="Hyperlink"/>
                <w:noProof/>
              </w:rPr>
              <w:t>Glossary and interpretation</w:t>
            </w:r>
            <w:r w:rsidR="00543738">
              <w:rPr>
                <w:noProof/>
                <w:webHidden/>
              </w:rPr>
              <w:tab/>
            </w:r>
            <w:r w:rsidR="00543738">
              <w:rPr>
                <w:noProof/>
                <w:webHidden/>
              </w:rPr>
              <w:fldChar w:fldCharType="begin"/>
            </w:r>
            <w:r w:rsidR="00543738">
              <w:rPr>
                <w:noProof/>
                <w:webHidden/>
              </w:rPr>
              <w:instrText xml:space="preserve"> PAGEREF _Toc7528091 \h </w:instrText>
            </w:r>
            <w:r w:rsidR="00543738">
              <w:rPr>
                <w:noProof/>
                <w:webHidden/>
              </w:rPr>
            </w:r>
            <w:r w:rsidR="00543738">
              <w:rPr>
                <w:noProof/>
                <w:webHidden/>
              </w:rPr>
              <w:fldChar w:fldCharType="separate"/>
            </w:r>
            <w:r w:rsidR="00543738">
              <w:rPr>
                <w:noProof/>
                <w:webHidden/>
              </w:rPr>
              <w:t>7</w:t>
            </w:r>
            <w:r w:rsidR="00543738">
              <w:rPr>
                <w:noProof/>
                <w:webHidden/>
              </w:rPr>
              <w:fldChar w:fldCharType="end"/>
            </w:r>
          </w:hyperlink>
        </w:p>
        <w:p w14:paraId="7B12C23F" w14:textId="77777777" w:rsidR="00543738" w:rsidRDefault="007647FF">
          <w:pPr>
            <w:pStyle w:val="TOC2"/>
            <w:tabs>
              <w:tab w:val="left" w:pos="880"/>
              <w:tab w:val="right" w:leader="dot" w:pos="9016"/>
            </w:tabs>
            <w:rPr>
              <w:rFonts w:asciiTheme="minorHAnsi" w:hAnsiTheme="minorHAnsi"/>
              <w:noProof/>
              <w:lang w:eastAsia="en-AU"/>
            </w:rPr>
          </w:pPr>
          <w:hyperlink w:anchor="_Toc7528092" w:history="1">
            <w:r w:rsidR="00543738" w:rsidRPr="0024562C">
              <w:rPr>
                <w:rStyle w:val="Hyperlink"/>
                <w:noProof/>
                <w14:scene3d>
                  <w14:camera w14:prst="orthographicFront"/>
                  <w14:lightRig w14:rig="threePt" w14:dir="t">
                    <w14:rot w14:lat="0" w14:lon="0" w14:rev="0"/>
                  </w14:lightRig>
                </w14:scene3d>
              </w:rPr>
              <w:t>2.1</w:t>
            </w:r>
            <w:r w:rsidR="00543738">
              <w:rPr>
                <w:rFonts w:asciiTheme="minorHAnsi" w:hAnsiTheme="minorHAnsi"/>
                <w:noProof/>
                <w:lang w:eastAsia="en-AU"/>
              </w:rPr>
              <w:tab/>
            </w:r>
            <w:r w:rsidR="00543738" w:rsidRPr="0024562C">
              <w:rPr>
                <w:rStyle w:val="Hyperlink"/>
                <w:noProof/>
              </w:rPr>
              <w:t>Existing definitions</w:t>
            </w:r>
            <w:r w:rsidR="00543738">
              <w:rPr>
                <w:noProof/>
                <w:webHidden/>
              </w:rPr>
              <w:tab/>
            </w:r>
            <w:r w:rsidR="00543738">
              <w:rPr>
                <w:noProof/>
                <w:webHidden/>
              </w:rPr>
              <w:fldChar w:fldCharType="begin"/>
            </w:r>
            <w:r w:rsidR="00543738">
              <w:rPr>
                <w:noProof/>
                <w:webHidden/>
              </w:rPr>
              <w:instrText xml:space="preserve"> PAGEREF _Toc7528092 \h </w:instrText>
            </w:r>
            <w:r w:rsidR="00543738">
              <w:rPr>
                <w:noProof/>
                <w:webHidden/>
              </w:rPr>
            </w:r>
            <w:r w:rsidR="00543738">
              <w:rPr>
                <w:noProof/>
                <w:webHidden/>
              </w:rPr>
              <w:fldChar w:fldCharType="separate"/>
            </w:r>
            <w:r w:rsidR="00543738">
              <w:rPr>
                <w:noProof/>
                <w:webHidden/>
              </w:rPr>
              <w:t>7</w:t>
            </w:r>
            <w:r w:rsidR="00543738">
              <w:rPr>
                <w:noProof/>
                <w:webHidden/>
              </w:rPr>
              <w:fldChar w:fldCharType="end"/>
            </w:r>
          </w:hyperlink>
        </w:p>
        <w:p w14:paraId="19B2F223" w14:textId="77777777" w:rsidR="00543738" w:rsidRDefault="007647FF">
          <w:pPr>
            <w:pStyle w:val="TOC2"/>
            <w:tabs>
              <w:tab w:val="left" w:pos="880"/>
              <w:tab w:val="right" w:leader="dot" w:pos="9016"/>
            </w:tabs>
            <w:rPr>
              <w:rFonts w:asciiTheme="minorHAnsi" w:hAnsiTheme="minorHAnsi"/>
              <w:noProof/>
              <w:lang w:eastAsia="en-AU"/>
            </w:rPr>
          </w:pPr>
          <w:hyperlink w:anchor="_Toc7528093" w:history="1">
            <w:r w:rsidR="00543738" w:rsidRPr="0024562C">
              <w:rPr>
                <w:rStyle w:val="Hyperlink"/>
                <w:noProof/>
                <w14:scene3d>
                  <w14:camera w14:prst="orthographicFront"/>
                  <w14:lightRig w14:rig="threePt" w14:dir="t">
                    <w14:rot w14:lat="0" w14:lon="0" w14:rev="0"/>
                  </w14:lightRig>
                </w14:scene3d>
              </w:rPr>
              <w:t>2.2</w:t>
            </w:r>
            <w:r w:rsidR="00543738">
              <w:rPr>
                <w:rFonts w:asciiTheme="minorHAnsi" w:hAnsiTheme="minorHAnsi"/>
                <w:noProof/>
                <w:lang w:eastAsia="en-AU"/>
              </w:rPr>
              <w:tab/>
            </w:r>
            <w:r w:rsidR="00543738" w:rsidRPr="0024562C">
              <w:rPr>
                <w:rStyle w:val="Hyperlink"/>
                <w:noProof/>
              </w:rPr>
              <w:t>Glossary</w:t>
            </w:r>
            <w:r w:rsidR="00543738">
              <w:rPr>
                <w:noProof/>
                <w:webHidden/>
              </w:rPr>
              <w:tab/>
            </w:r>
            <w:r w:rsidR="00543738">
              <w:rPr>
                <w:noProof/>
                <w:webHidden/>
              </w:rPr>
              <w:fldChar w:fldCharType="begin"/>
            </w:r>
            <w:r w:rsidR="00543738">
              <w:rPr>
                <w:noProof/>
                <w:webHidden/>
              </w:rPr>
              <w:instrText xml:space="preserve"> PAGEREF _Toc7528093 \h </w:instrText>
            </w:r>
            <w:r w:rsidR="00543738">
              <w:rPr>
                <w:noProof/>
                <w:webHidden/>
              </w:rPr>
            </w:r>
            <w:r w:rsidR="00543738">
              <w:rPr>
                <w:noProof/>
                <w:webHidden/>
              </w:rPr>
              <w:fldChar w:fldCharType="separate"/>
            </w:r>
            <w:r w:rsidR="00543738">
              <w:rPr>
                <w:noProof/>
                <w:webHidden/>
              </w:rPr>
              <w:t>7</w:t>
            </w:r>
            <w:r w:rsidR="00543738">
              <w:rPr>
                <w:noProof/>
                <w:webHidden/>
              </w:rPr>
              <w:fldChar w:fldCharType="end"/>
            </w:r>
          </w:hyperlink>
        </w:p>
        <w:p w14:paraId="00FFD6F3" w14:textId="77777777" w:rsidR="00543738" w:rsidRDefault="007647FF">
          <w:pPr>
            <w:pStyle w:val="TOC2"/>
            <w:tabs>
              <w:tab w:val="left" w:pos="880"/>
              <w:tab w:val="right" w:leader="dot" w:pos="9016"/>
            </w:tabs>
            <w:rPr>
              <w:rFonts w:asciiTheme="minorHAnsi" w:hAnsiTheme="minorHAnsi"/>
              <w:noProof/>
              <w:lang w:eastAsia="en-AU"/>
            </w:rPr>
          </w:pPr>
          <w:hyperlink w:anchor="_Toc7528094" w:history="1">
            <w:r w:rsidR="00543738" w:rsidRPr="0024562C">
              <w:rPr>
                <w:rStyle w:val="Hyperlink"/>
                <w:noProof/>
                <w14:scene3d>
                  <w14:camera w14:prst="orthographicFront"/>
                  <w14:lightRig w14:rig="threePt" w14:dir="t">
                    <w14:rot w14:lat="0" w14:lon="0" w14:rev="0"/>
                  </w14:lightRig>
                </w14:scene3d>
              </w:rPr>
              <w:t>2.3</w:t>
            </w:r>
            <w:r w:rsidR="00543738">
              <w:rPr>
                <w:rFonts w:asciiTheme="minorHAnsi" w:hAnsiTheme="minorHAnsi"/>
                <w:noProof/>
                <w:lang w:eastAsia="en-AU"/>
              </w:rPr>
              <w:tab/>
            </w:r>
            <w:r w:rsidR="00543738" w:rsidRPr="0024562C">
              <w:rPr>
                <w:rStyle w:val="Hyperlink"/>
                <w:noProof/>
              </w:rPr>
              <w:t>Interpretation</w:t>
            </w:r>
            <w:r w:rsidR="00543738">
              <w:rPr>
                <w:noProof/>
                <w:webHidden/>
              </w:rPr>
              <w:tab/>
            </w:r>
            <w:r w:rsidR="00543738">
              <w:rPr>
                <w:noProof/>
                <w:webHidden/>
              </w:rPr>
              <w:fldChar w:fldCharType="begin"/>
            </w:r>
            <w:r w:rsidR="00543738">
              <w:rPr>
                <w:noProof/>
                <w:webHidden/>
              </w:rPr>
              <w:instrText xml:space="preserve"> PAGEREF _Toc7528094 \h </w:instrText>
            </w:r>
            <w:r w:rsidR="00543738">
              <w:rPr>
                <w:noProof/>
                <w:webHidden/>
              </w:rPr>
            </w:r>
            <w:r w:rsidR="00543738">
              <w:rPr>
                <w:noProof/>
                <w:webHidden/>
              </w:rPr>
              <w:fldChar w:fldCharType="separate"/>
            </w:r>
            <w:r w:rsidR="00543738">
              <w:rPr>
                <w:noProof/>
                <w:webHidden/>
              </w:rPr>
              <w:t>12</w:t>
            </w:r>
            <w:r w:rsidR="00543738">
              <w:rPr>
                <w:noProof/>
                <w:webHidden/>
              </w:rPr>
              <w:fldChar w:fldCharType="end"/>
            </w:r>
          </w:hyperlink>
        </w:p>
        <w:p w14:paraId="71E5DE86" w14:textId="77777777" w:rsidR="00543738" w:rsidRDefault="007647FF">
          <w:pPr>
            <w:pStyle w:val="TOC1"/>
            <w:tabs>
              <w:tab w:val="left" w:pos="440"/>
              <w:tab w:val="right" w:leader="dot" w:pos="9016"/>
            </w:tabs>
            <w:rPr>
              <w:rFonts w:asciiTheme="minorHAnsi" w:hAnsiTheme="minorHAnsi"/>
              <w:noProof/>
              <w:lang w:eastAsia="en-AU"/>
            </w:rPr>
          </w:pPr>
          <w:hyperlink w:anchor="_Toc7528095" w:history="1">
            <w:r w:rsidR="00543738" w:rsidRPr="0024562C">
              <w:rPr>
                <w:rStyle w:val="Hyperlink"/>
                <w:noProof/>
              </w:rPr>
              <w:t>3</w:t>
            </w:r>
            <w:r w:rsidR="00543738">
              <w:rPr>
                <w:rFonts w:asciiTheme="minorHAnsi" w:hAnsiTheme="minorHAnsi"/>
                <w:noProof/>
                <w:lang w:eastAsia="en-AU"/>
              </w:rPr>
              <w:tab/>
            </w:r>
            <w:r w:rsidR="00543738" w:rsidRPr="0024562C">
              <w:rPr>
                <w:rStyle w:val="Hyperlink"/>
                <w:noProof/>
              </w:rPr>
              <w:t>Legislative framework</w:t>
            </w:r>
            <w:r w:rsidR="00543738">
              <w:rPr>
                <w:noProof/>
                <w:webHidden/>
              </w:rPr>
              <w:tab/>
            </w:r>
            <w:r w:rsidR="00543738">
              <w:rPr>
                <w:noProof/>
                <w:webHidden/>
              </w:rPr>
              <w:fldChar w:fldCharType="begin"/>
            </w:r>
            <w:r w:rsidR="00543738">
              <w:rPr>
                <w:noProof/>
                <w:webHidden/>
              </w:rPr>
              <w:instrText xml:space="preserve"> PAGEREF _Toc7528095 \h </w:instrText>
            </w:r>
            <w:r w:rsidR="00543738">
              <w:rPr>
                <w:noProof/>
                <w:webHidden/>
              </w:rPr>
            </w:r>
            <w:r w:rsidR="00543738">
              <w:rPr>
                <w:noProof/>
                <w:webHidden/>
              </w:rPr>
              <w:fldChar w:fldCharType="separate"/>
            </w:r>
            <w:r w:rsidR="00543738">
              <w:rPr>
                <w:noProof/>
                <w:webHidden/>
              </w:rPr>
              <w:t>13</w:t>
            </w:r>
            <w:r w:rsidR="00543738">
              <w:rPr>
                <w:noProof/>
                <w:webHidden/>
              </w:rPr>
              <w:fldChar w:fldCharType="end"/>
            </w:r>
          </w:hyperlink>
        </w:p>
        <w:p w14:paraId="1A96A801" w14:textId="77777777" w:rsidR="00543738" w:rsidRDefault="007647FF">
          <w:pPr>
            <w:pStyle w:val="TOC2"/>
            <w:tabs>
              <w:tab w:val="left" w:pos="880"/>
              <w:tab w:val="right" w:leader="dot" w:pos="9016"/>
            </w:tabs>
            <w:rPr>
              <w:rFonts w:asciiTheme="minorHAnsi" w:hAnsiTheme="minorHAnsi"/>
              <w:noProof/>
              <w:lang w:eastAsia="en-AU"/>
            </w:rPr>
          </w:pPr>
          <w:hyperlink w:anchor="_Toc7528096" w:history="1">
            <w:r w:rsidR="00543738" w:rsidRPr="0024562C">
              <w:rPr>
                <w:rStyle w:val="Hyperlink"/>
                <w:noProof/>
                <w14:scene3d>
                  <w14:camera w14:prst="orthographicFront"/>
                  <w14:lightRig w14:rig="threePt" w14:dir="t">
                    <w14:rot w14:lat="0" w14:lon="0" w14:rev="0"/>
                  </w14:lightRig>
                </w14:scene3d>
              </w:rPr>
              <w:t>3.1</w:t>
            </w:r>
            <w:r w:rsidR="00543738">
              <w:rPr>
                <w:rFonts w:asciiTheme="minorHAnsi" w:hAnsiTheme="minorHAnsi"/>
                <w:noProof/>
                <w:lang w:eastAsia="en-AU"/>
              </w:rPr>
              <w:tab/>
            </w:r>
            <w:r w:rsidR="00543738" w:rsidRPr="0024562C">
              <w:rPr>
                <w:rStyle w:val="Hyperlink"/>
                <w:noProof/>
              </w:rPr>
              <w:t>General acknowledgments regarding legislative framework</w:t>
            </w:r>
            <w:r w:rsidR="00543738">
              <w:rPr>
                <w:noProof/>
                <w:webHidden/>
              </w:rPr>
              <w:tab/>
            </w:r>
            <w:r w:rsidR="00543738">
              <w:rPr>
                <w:noProof/>
                <w:webHidden/>
              </w:rPr>
              <w:fldChar w:fldCharType="begin"/>
            </w:r>
            <w:r w:rsidR="00543738">
              <w:rPr>
                <w:noProof/>
                <w:webHidden/>
              </w:rPr>
              <w:instrText xml:space="preserve"> PAGEREF _Toc7528096 \h </w:instrText>
            </w:r>
            <w:r w:rsidR="00543738">
              <w:rPr>
                <w:noProof/>
                <w:webHidden/>
              </w:rPr>
            </w:r>
            <w:r w:rsidR="00543738">
              <w:rPr>
                <w:noProof/>
                <w:webHidden/>
              </w:rPr>
              <w:fldChar w:fldCharType="separate"/>
            </w:r>
            <w:r w:rsidR="00543738">
              <w:rPr>
                <w:noProof/>
                <w:webHidden/>
              </w:rPr>
              <w:t>13</w:t>
            </w:r>
            <w:r w:rsidR="00543738">
              <w:rPr>
                <w:noProof/>
                <w:webHidden/>
              </w:rPr>
              <w:fldChar w:fldCharType="end"/>
            </w:r>
          </w:hyperlink>
        </w:p>
        <w:p w14:paraId="20B7EDFB" w14:textId="77777777" w:rsidR="00543738" w:rsidRDefault="007647FF">
          <w:pPr>
            <w:pStyle w:val="TOC2"/>
            <w:tabs>
              <w:tab w:val="left" w:pos="880"/>
              <w:tab w:val="right" w:leader="dot" w:pos="9016"/>
            </w:tabs>
            <w:rPr>
              <w:rFonts w:asciiTheme="minorHAnsi" w:hAnsiTheme="minorHAnsi"/>
              <w:noProof/>
              <w:lang w:eastAsia="en-AU"/>
            </w:rPr>
          </w:pPr>
          <w:hyperlink w:anchor="_Toc7528097" w:history="1">
            <w:r w:rsidR="00543738" w:rsidRPr="0024562C">
              <w:rPr>
                <w:rStyle w:val="Hyperlink"/>
                <w:noProof/>
                <w14:scene3d>
                  <w14:camera w14:prst="orthographicFront"/>
                  <w14:lightRig w14:rig="threePt" w14:dir="t">
                    <w14:rot w14:lat="0" w14:lon="0" w14:rev="0"/>
                  </w14:lightRig>
                </w14:scene3d>
              </w:rPr>
              <w:t>3.2</w:t>
            </w:r>
            <w:r w:rsidR="00543738">
              <w:rPr>
                <w:rFonts w:asciiTheme="minorHAnsi" w:hAnsiTheme="minorHAnsi"/>
                <w:noProof/>
                <w:lang w:eastAsia="en-AU"/>
              </w:rPr>
              <w:tab/>
            </w:r>
            <w:r w:rsidR="00543738" w:rsidRPr="0024562C">
              <w:rPr>
                <w:rStyle w:val="Hyperlink"/>
                <w:noProof/>
              </w:rPr>
              <w:t>Acknowledgements regarding international rights and obligations</w:t>
            </w:r>
            <w:r w:rsidR="00543738">
              <w:rPr>
                <w:noProof/>
                <w:webHidden/>
              </w:rPr>
              <w:tab/>
            </w:r>
            <w:r w:rsidR="00543738">
              <w:rPr>
                <w:noProof/>
                <w:webHidden/>
              </w:rPr>
              <w:fldChar w:fldCharType="begin"/>
            </w:r>
            <w:r w:rsidR="00543738">
              <w:rPr>
                <w:noProof/>
                <w:webHidden/>
              </w:rPr>
              <w:instrText xml:space="preserve"> PAGEREF _Toc7528097 \h </w:instrText>
            </w:r>
            <w:r w:rsidR="00543738">
              <w:rPr>
                <w:noProof/>
                <w:webHidden/>
              </w:rPr>
            </w:r>
            <w:r w:rsidR="00543738">
              <w:rPr>
                <w:noProof/>
                <w:webHidden/>
              </w:rPr>
              <w:fldChar w:fldCharType="separate"/>
            </w:r>
            <w:r w:rsidR="00543738">
              <w:rPr>
                <w:noProof/>
                <w:webHidden/>
              </w:rPr>
              <w:t>13</w:t>
            </w:r>
            <w:r w:rsidR="00543738">
              <w:rPr>
                <w:noProof/>
                <w:webHidden/>
              </w:rPr>
              <w:fldChar w:fldCharType="end"/>
            </w:r>
          </w:hyperlink>
        </w:p>
        <w:p w14:paraId="4B3171D3" w14:textId="77777777" w:rsidR="00543738" w:rsidRDefault="007647FF">
          <w:pPr>
            <w:pStyle w:val="TOC1"/>
            <w:tabs>
              <w:tab w:val="left" w:pos="440"/>
              <w:tab w:val="right" w:leader="dot" w:pos="9016"/>
            </w:tabs>
            <w:rPr>
              <w:rFonts w:asciiTheme="minorHAnsi" w:hAnsiTheme="minorHAnsi"/>
              <w:noProof/>
              <w:lang w:eastAsia="en-AU"/>
            </w:rPr>
          </w:pPr>
          <w:hyperlink w:anchor="_Toc7528098" w:history="1">
            <w:r w:rsidR="00543738" w:rsidRPr="0024562C">
              <w:rPr>
                <w:rStyle w:val="Hyperlink"/>
                <w:noProof/>
              </w:rPr>
              <w:t>4</w:t>
            </w:r>
            <w:r w:rsidR="00543738">
              <w:rPr>
                <w:rFonts w:asciiTheme="minorHAnsi" w:hAnsiTheme="minorHAnsi"/>
                <w:noProof/>
                <w:lang w:eastAsia="en-AU"/>
              </w:rPr>
              <w:tab/>
            </w:r>
            <w:r w:rsidR="00543738" w:rsidRPr="0024562C">
              <w:rPr>
                <w:rStyle w:val="Hyperlink"/>
                <w:noProof/>
              </w:rPr>
              <w:t>Roles and responsibilities</w:t>
            </w:r>
            <w:r w:rsidR="00543738">
              <w:rPr>
                <w:noProof/>
                <w:webHidden/>
              </w:rPr>
              <w:tab/>
            </w:r>
            <w:r w:rsidR="00543738">
              <w:rPr>
                <w:noProof/>
                <w:webHidden/>
              </w:rPr>
              <w:fldChar w:fldCharType="begin"/>
            </w:r>
            <w:r w:rsidR="00543738">
              <w:rPr>
                <w:noProof/>
                <w:webHidden/>
              </w:rPr>
              <w:instrText xml:space="preserve"> PAGEREF _Toc7528098 \h </w:instrText>
            </w:r>
            <w:r w:rsidR="00543738">
              <w:rPr>
                <w:noProof/>
                <w:webHidden/>
              </w:rPr>
            </w:r>
            <w:r w:rsidR="00543738">
              <w:rPr>
                <w:noProof/>
                <w:webHidden/>
              </w:rPr>
              <w:fldChar w:fldCharType="separate"/>
            </w:r>
            <w:r w:rsidR="00543738">
              <w:rPr>
                <w:noProof/>
                <w:webHidden/>
              </w:rPr>
              <w:t>13</w:t>
            </w:r>
            <w:r w:rsidR="00543738">
              <w:rPr>
                <w:noProof/>
                <w:webHidden/>
              </w:rPr>
              <w:fldChar w:fldCharType="end"/>
            </w:r>
          </w:hyperlink>
        </w:p>
        <w:p w14:paraId="42E89BF8" w14:textId="77777777" w:rsidR="00543738" w:rsidRDefault="007647FF">
          <w:pPr>
            <w:pStyle w:val="TOC2"/>
            <w:tabs>
              <w:tab w:val="left" w:pos="880"/>
              <w:tab w:val="right" w:leader="dot" w:pos="9016"/>
            </w:tabs>
            <w:rPr>
              <w:rFonts w:asciiTheme="minorHAnsi" w:hAnsiTheme="minorHAnsi"/>
              <w:noProof/>
              <w:lang w:eastAsia="en-AU"/>
            </w:rPr>
          </w:pPr>
          <w:hyperlink w:anchor="_Toc7528099" w:history="1">
            <w:r w:rsidR="00543738" w:rsidRPr="0024562C">
              <w:rPr>
                <w:rStyle w:val="Hyperlink"/>
                <w:noProof/>
                <w14:scene3d>
                  <w14:camera w14:prst="orthographicFront"/>
                  <w14:lightRig w14:rig="threePt" w14:dir="t">
                    <w14:rot w14:lat="0" w14:lon="0" w14:rev="0"/>
                  </w14:lightRig>
                </w14:scene3d>
              </w:rPr>
              <w:t>4.1</w:t>
            </w:r>
            <w:r w:rsidR="00543738">
              <w:rPr>
                <w:rFonts w:asciiTheme="minorHAnsi" w:hAnsiTheme="minorHAnsi"/>
                <w:noProof/>
                <w:lang w:eastAsia="en-AU"/>
              </w:rPr>
              <w:tab/>
            </w:r>
            <w:r w:rsidR="00543738" w:rsidRPr="0024562C">
              <w:rPr>
                <w:rStyle w:val="Hyperlink"/>
                <w:noProof/>
              </w:rPr>
              <w:t>Acknowledgements regarding party roles and responsibilities</w:t>
            </w:r>
            <w:r w:rsidR="00543738">
              <w:rPr>
                <w:noProof/>
                <w:webHidden/>
              </w:rPr>
              <w:tab/>
            </w:r>
            <w:r w:rsidR="00543738">
              <w:rPr>
                <w:noProof/>
                <w:webHidden/>
              </w:rPr>
              <w:fldChar w:fldCharType="begin"/>
            </w:r>
            <w:r w:rsidR="00543738">
              <w:rPr>
                <w:noProof/>
                <w:webHidden/>
              </w:rPr>
              <w:instrText xml:space="preserve"> PAGEREF _Toc7528099 \h </w:instrText>
            </w:r>
            <w:r w:rsidR="00543738">
              <w:rPr>
                <w:noProof/>
                <w:webHidden/>
              </w:rPr>
            </w:r>
            <w:r w:rsidR="00543738">
              <w:rPr>
                <w:noProof/>
                <w:webHidden/>
              </w:rPr>
              <w:fldChar w:fldCharType="separate"/>
            </w:r>
            <w:r w:rsidR="00543738">
              <w:rPr>
                <w:noProof/>
                <w:webHidden/>
              </w:rPr>
              <w:t>13</w:t>
            </w:r>
            <w:r w:rsidR="00543738">
              <w:rPr>
                <w:noProof/>
                <w:webHidden/>
              </w:rPr>
              <w:fldChar w:fldCharType="end"/>
            </w:r>
          </w:hyperlink>
        </w:p>
        <w:p w14:paraId="70B45DA5" w14:textId="77777777" w:rsidR="00543738" w:rsidRDefault="007647FF">
          <w:pPr>
            <w:pStyle w:val="TOC2"/>
            <w:tabs>
              <w:tab w:val="left" w:pos="880"/>
              <w:tab w:val="right" w:leader="dot" w:pos="9016"/>
            </w:tabs>
            <w:rPr>
              <w:rFonts w:asciiTheme="minorHAnsi" w:hAnsiTheme="minorHAnsi"/>
              <w:noProof/>
              <w:lang w:eastAsia="en-AU"/>
            </w:rPr>
          </w:pPr>
          <w:hyperlink w:anchor="_Toc7528100" w:history="1">
            <w:r w:rsidR="00543738" w:rsidRPr="0024562C">
              <w:rPr>
                <w:rStyle w:val="Hyperlink"/>
                <w:noProof/>
                <w14:scene3d>
                  <w14:camera w14:prst="orthographicFront"/>
                  <w14:lightRig w14:rig="threePt" w14:dir="t">
                    <w14:rot w14:lat="0" w14:lon="0" w14:rev="0"/>
                  </w14:lightRig>
                </w14:scene3d>
              </w:rPr>
              <w:t>4.2</w:t>
            </w:r>
            <w:r w:rsidR="00543738">
              <w:rPr>
                <w:rFonts w:asciiTheme="minorHAnsi" w:hAnsiTheme="minorHAnsi"/>
                <w:noProof/>
                <w:lang w:eastAsia="en-AU"/>
              </w:rPr>
              <w:tab/>
            </w:r>
            <w:r w:rsidR="00543738" w:rsidRPr="0024562C">
              <w:rPr>
                <w:rStyle w:val="Hyperlink"/>
                <w:noProof/>
              </w:rPr>
              <w:t>Acknowledgements regarding roles and responsibilities in preparing for and responding to environmental biosecurity incidents</w:t>
            </w:r>
            <w:r w:rsidR="00543738">
              <w:rPr>
                <w:noProof/>
                <w:webHidden/>
              </w:rPr>
              <w:tab/>
            </w:r>
            <w:r w:rsidR="00543738">
              <w:rPr>
                <w:noProof/>
                <w:webHidden/>
              </w:rPr>
              <w:fldChar w:fldCharType="begin"/>
            </w:r>
            <w:r w:rsidR="00543738">
              <w:rPr>
                <w:noProof/>
                <w:webHidden/>
              </w:rPr>
              <w:instrText xml:space="preserve"> PAGEREF _Toc7528100 \h </w:instrText>
            </w:r>
            <w:r w:rsidR="00543738">
              <w:rPr>
                <w:noProof/>
                <w:webHidden/>
              </w:rPr>
            </w:r>
            <w:r w:rsidR="00543738">
              <w:rPr>
                <w:noProof/>
                <w:webHidden/>
              </w:rPr>
              <w:fldChar w:fldCharType="separate"/>
            </w:r>
            <w:r w:rsidR="00543738">
              <w:rPr>
                <w:noProof/>
                <w:webHidden/>
              </w:rPr>
              <w:t>14</w:t>
            </w:r>
            <w:r w:rsidR="00543738">
              <w:rPr>
                <w:noProof/>
                <w:webHidden/>
              </w:rPr>
              <w:fldChar w:fldCharType="end"/>
            </w:r>
          </w:hyperlink>
        </w:p>
        <w:p w14:paraId="52797A00" w14:textId="77777777" w:rsidR="00543738" w:rsidRDefault="007647FF">
          <w:pPr>
            <w:pStyle w:val="TOC2"/>
            <w:tabs>
              <w:tab w:val="left" w:pos="880"/>
              <w:tab w:val="right" w:leader="dot" w:pos="9016"/>
            </w:tabs>
            <w:rPr>
              <w:rFonts w:asciiTheme="minorHAnsi" w:hAnsiTheme="minorHAnsi"/>
              <w:noProof/>
              <w:lang w:eastAsia="en-AU"/>
            </w:rPr>
          </w:pPr>
          <w:hyperlink w:anchor="_Toc7528101" w:history="1">
            <w:r w:rsidR="00543738" w:rsidRPr="0024562C">
              <w:rPr>
                <w:rStyle w:val="Hyperlink"/>
                <w:noProof/>
                <w14:scene3d>
                  <w14:camera w14:prst="orthographicFront"/>
                  <w14:lightRig w14:rig="threePt" w14:dir="t">
                    <w14:rot w14:lat="0" w14:lon="0" w14:rev="0"/>
                  </w14:lightRig>
                </w14:scene3d>
              </w:rPr>
              <w:t>4.3</w:t>
            </w:r>
            <w:r w:rsidR="00543738">
              <w:rPr>
                <w:rFonts w:asciiTheme="minorHAnsi" w:hAnsiTheme="minorHAnsi"/>
                <w:noProof/>
                <w:lang w:eastAsia="en-AU"/>
              </w:rPr>
              <w:tab/>
            </w:r>
            <w:r w:rsidR="00543738" w:rsidRPr="0024562C">
              <w:rPr>
                <w:rStyle w:val="Hyperlink"/>
                <w:noProof/>
              </w:rPr>
              <w:t>Commonwealth role in preparing for and responding to environmental biosecurity incidents</w:t>
            </w:r>
            <w:r w:rsidR="00543738">
              <w:rPr>
                <w:noProof/>
                <w:webHidden/>
              </w:rPr>
              <w:tab/>
            </w:r>
            <w:r w:rsidR="00543738">
              <w:rPr>
                <w:noProof/>
                <w:webHidden/>
              </w:rPr>
              <w:fldChar w:fldCharType="begin"/>
            </w:r>
            <w:r w:rsidR="00543738">
              <w:rPr>
                <w:noProof/>
                <w:webHidden/>
              </w:rPr>
              <w:instrText xml:space="preserve"> PAGEREF _Toc7528101 \h </w:instrText>
            </w:r>
            <w:r w:rsidR="00543738">
              <w:rPr>
                <w:noProof/>
                <w:webHidden/>
              </w:rPr>
            </w:r>
            <w:r w:rsidR="00543738">
              <w:rPr>
                <w:noProof/>
                <w:webHidden/>
              </w:rPr>
              <w:fldChar w:fldCharType="separate"/>
            </w:r>
            <w:r w:rsidR="00543738">
              <w:rPr>
                <w:noProof/>
                <w:webHidden/>
              </w:rPr>
              <w:t>14</w:t>
            </w:r>
            <w:r w:rsidR="00543738">
              <w:rPr>
                <w:noProof/>
                <w:webHidden/>
              </w:rPr>
              <w:fldChar w:fldCharType="end"/>
            </w:r>
          </w:hyperlink>
        </w:p>
        <w:p w14:paraId="194A43F8" w14:textId="77777777" w:rsidR="00543738" w:rsidRDefault="007647FF">
          <w:pPr>
            <w:pStyle w:val="TOC2"/>
            <w:tabs>
              <w:tab w:val="left" w:pos="880"/>
              <w:tab w:val="right" w:leader="dot" w:pos="9016"/>
            </w:tabs>
            <w:rPr>
              <w:rFonts w:asciiTheme="minorHAnsi" w:hAnsiTheme="minorHAnsi"/>
              <w:noProof/>
              <w:lang w:eastAsia="en-AU"/>
            </w:rPr>
          </w:pPr>
          <w:hyperlink w:anchor="_Toc7528102" w:history="1">
            <w:r w:rsidR="00543738" w:rsidRPr="0024562C">
              <w:rPr>
                <w:rStyle w:val="Hyperlink"/>
                <w:noProof/>
                <w14:scene3d>
                  <w14:camera w14:prst="orthographicFront"/>
                  <w14:lightRig w14:rig="threePt" w14:dir="t">
                    <w14:rot w14:lat="0" w14:lon="0" w14:rev="0"/>
                  </w14:lightRig>
                </w14:scene3d>
              </w:rPr>
              <w:t>4.4</w:t>
            </w:r>
            <w:r w:rsidR="00543738">
              <w:rPr>
                <w:rFonts w:asciiTheme="minorHAnsi" w:hAnsiTheme="minorHAnsi"/>
                <w:noProof/>
                <w:lang w:eastAsia="en-AU"/>
              </w:rPr>
              <w:tab/>
            </w:r>
            <w:r w:rsidR="00543738" w:rsidRPr="0024562C">
              <w:rPr>
                <w:rStyle w:val="Hyperlink"/>
                <w:noProof/>
              </w:rPr>
              <w:t>State and Territory Party role in preparing for and responding to environmental biosecurity incidents</w:t>
            </w:r>
            <w:r w:rsidR="00543738">
              <w:rPr>
                <w:noProof/>
                <w:webHidden/>
              </w:rPr>
              <w:tab/>
            </w:r>
            <w:r w:rsidR="00543738">
              <w:rPr>
                <w:noProof/>
                <w:webHidden/>
              </w:rPr>
              <w:fldChar w:fldCharType="begin"/>
            </w:r>
            <w:r w:rsidR="00543738">
              <w:rPr>
                <w:noProof/>
                <w:webHidden/>
              </w:rPr>
              <w:instrText xml:space="preserve"> PAGEREF _Toc7528102 \h </w:instrText>
            </w:r>
            <w:r w:rsidR="00543738">
              <w:rPr>
                <w:noProof/>
                <w:webHidden/>
              </w:rPr>
            </w:r>
            <w:r w:rsidR="00543738">
              <w:rPr>
                <w:noProof/>
                <w:webHidden/>
              </w:rPr>
              <w:fldChar w:fldCharType="separate"/>
            </w:r>
            <w:r w:rsidR="00543738">
              <w:rPr>
                <w:noProof/>
                <w:webHidden/>
              </w:rPr>
              <w:t>14</w:t>
            </w:r>
            <w:r w:rsidR="00543738">
              <w:rPr>
                <w:noProof/>
                <w:webHidden/>
              </w:rPr>
              <w:fldChar w:fldCharType="end"/>
            </w:r>
          </w:hyperlink>
        </w:p>
        <w:p w14:paraId="511E3F22" w14:textId="77777777" w:rsidR="00543738" w:rsidRDefault="007647FF">
          <w:pPr>
            <w:pStyle w:val="TOC2"/>
            <w:tabs>
              <w:tab w:val="left" w:pos="880"/>
              <w:tab w:val="right" w:leader="dot" w:pos="9016"/>
            </w:tabs>
            <w:rPr>
              <w:rFonts w:asciiTheme="minorHAnsi" w:hAnsiTheme="minorHAnsi"/>
              <w:noProof/>
              <w:lang w:eastAsia="en-AU"/>
            </w:rPr>
          </w:pPr>
          <w:hyperlink w:anchor="_Toc7528103" w:history="1">
            <w:r w:rsidR="00543738" w:rsidRPr="0024562C">
              <w:rPr>
                <w:rStyle w:val="Hyperlink"/>
                <w:noProof/>
                <w14:scene3d>
                  <w14:camera w14:prst="orthographicFront"/>
                  <w14:lightRig w14:rig="threePt" w14:dir="t">
                    <w14:rot w14:lat="0" w14:lon="0" w14:rev="0"/>
                  </w14:lightRig>
                </w14:scene3d>
              </w:rPr>
              <w:t>4.5</w:t>
            </w:r>
            <w:r w:rsidR="00543738">
              <w:rPr>
                <w:rFonts w:asciiTheme="minorHAnsi" w:hAnsiTheme="minorHAnsi"/>
                <w:noProof/>
                <w:lang w:eastAsia="en-AU"/>
              </w:rPr>
              <w:tab/>
            </w:r>
            <w:r w:rsidR="00543738" w:rsidRPr="0024562C">
              <w:rPr>
                <w:rStyle w:val="Hyperlink"/>
                <w:noProof/>
              </w:rPr>
              <w:t>Shared roles in preparing for and responding to environmental biosecurity incidents</w:t>
            </w:r>
            <w:r w:rsidR="00543738">
              <w:rPr>
                <w:noProof/>
                <w:webHidden/>
              </w:rPr>
              <w:tab/>
            </w:r>
            <w:r w:rsidR="00543738">
              <w:rPr>
                <w:noProof/>
                <w:webHidden/>
              </w:rPr>
              <w:fldChar w:fldCharType="begin"/>
            </w:r>
            <w:r w:rsidR="00543738">
              <w:rPr>
                <w:noProof/>
                <w:webHidden/>
              </w:rPr>
              <w:instrText xml:space="preserve"> PAGEREF _Toc7528103 \h </w:instrText>
            </w:r>
            <w:r w:rsidR="00543738">
              <w:rPr>
                <w:noProof/>
                <w:webHidden/>
              </w:rPr>
            </w:r>
            <w:r w:rsidR="00543738">
              <w:rPr>
                <w:noProof/>
                <w:webHidden/>
              </w:rPr>
              <w:fldChar w:fldCharType="separate"/>
            </w:r>
            <w:r w:rsidR="00543738">
              <w:rPr>
                <w:noProof/>
                <w:webHidden/>
              </w:rPr>
              <w:t>15</w:t>
            </w:r>
            <w:r w:rsidR="00543738">
              <w:rPr>
                <w:noProof/>
                <w:webHidden/>
              </w:rPr>
              <w:fldChar w:fldCharType="end"/>
            </w:r>
          </w:hyperlink>
        </w:p>
        <w:p w14:paraId="1068E47B" w14:textId="77777777" w:rsidR="00543738" w:rsidRDefault="007647FF">
          <w:pPr>
            <w:pStyle w:val="TOC1"/>
            <w:tabs>
              <w:tab w:val="left" w:pos="440"/>
              <w:tab w:val="right" w:leader="dot" w:pos="9016"/>
            </w:tabs>
            <w:rPr>
              <w:rFonts w:asciiTheme="minorHAnsi" w:hAnsiTheme="minorHAnsi"/>
              <w:noProof/>
              <w:lang w:eastAsia="en-AU"/>
            </w:rPr>
          </w:pPr>
          <w:hyperlink w:anchor="_Toc7528104" w:history="1">
            <w:r w:rsidR="00543738" w:rsidRPr="0024562C">
              <w:rPr>
                <w:rStyle w:val="Hyperlink"/>
                <w:noProof/>
              </w:rPr>
              <w:t>5</w:t>
            </w:r>
            <w:r w:rsidR="00543738">
              <w:rPr>
                <w:rFonts w:asciiTheme="minorHAnsi" w:hAnsiTheme="minorHAnsi"/>
                <w:noProof/>
                <w:lang w:eastAsia="en-AU"/>
              </w:rPr>
              <w:tab/>
            </w:r>
            <w:r w:rsidR="00543738" w:rsidRPr="0024562C">
              <w:rPr>
                <w:rStyle w:val="Hyperlink"/>
                <w:noProof/>
              </w:rPr>
              <w:t>Phases of an emergency Environmental pest or disease Response</w:t>
            </w:r>
            <w:r w:rsidR="00543738">
              <w:rPr>
                <w:noProof/>
                <w:webHidden/>
              </w:rPr>
              <w:tab/>
            </w:r>
            <w:r w:rsidR="00543738">
              <w:rPr>
                <w:noProof/>
                <w:webHidden/>
              </w:rPr>
              <w:fldChar w:fldCharType="begin"/>
            </w:r>
            <w:r w:rsidR="00543738">
              <w:rPr>
                <w:noProof/>
                <w:webHidden/>
              </w:rPr>
              <w:instrText xml:space="preserve"> PAGEREF _Toc7528104 \h </w:instrText>
            </w:r>
            <w:r w:rsidR="00543738">
              <w:rPr>
                <w:noProof/>
                <w:webHidden/>
              </w:rPr>
            </w:r>
            <w:r w:rsidR="00543738">
              <w:rPr>
                <w:noProof/>
                <w:webHidden/>
              </w:rPr>
              <w:fldChar w:fldCharType="separate"/>
            </w:r>
            <w:r w:rsidR="00543738">
              <w:rPr>
                <w:noProof/>
                <w:webHidden/>
              </w:rPr>
              <w:t>16</w:t>
            </w:r>
            <w:r w:rsidR="00543738">
              <w:rPr>
                <w:noProof/>
                <w:webHidden/>
              </w:rPr>
              <w:fldChar w:fldCharType="end"/>
            </w:r>
          </w:hyperlink>
        </w:p>
        <w:p w14:paraId="2311F018" w14:textId="77777777" w:rsidR="00543738" w:rsidRDefault="007647FF">
          <w:pPr>
            <w:pStyle w:val="TOC2"/>
            <w:tabs>
              <w:tab w:val="left" w:pos="880"/>
              <w:tab w:val="right" w:leader="dot" w:pos="9016"/>
            </w:tabs>
            <w:rPr>
              <w:rFonts w:asciiTheme="minorHAnsi" w:hAnsiTheme="minorHAnsi"/>
              <w:noProof/>
              <w:lang w:eastAsia="en-AU"/>
            </w:rPr>
          </w:pPr>
          <w:hyperlink w:anchor="_Toc7528105" w:history="1">
            <w:r w:rsidR="00543738" w:rsidRPr="0024562C">
              <w:rPr>
                <w:rStyle w:val="Hyperlink"/>
                <w:noProof/>
                <w14:scene3d>
                  <w14:camera w14:prst="orthographicFront"/>
                  <w14:lightRig w14:rig="threePt" w14:dir="t">
                    <w14:rot w14:lat="0" w14:lon="0" w14:rev="0"/>
                  </w14:lightRig>
                </w14:scene3d>
              </w:rPr>
              <w:t>5.1</w:t>
            </w:r>
            <w:r w:rsidR="00543738">
              <w:rPr>
                <w:rFonts w:asciiTheme="minorHAnsi" w:hAnsiTheme="minorHAnsi"/>
                <w:noProof/>
                <w:lang w:eastAsia="en-AU"/>
              </w:rPr>
              <w:tab/>
            </w:r>
            <w:r w:rsidR="00543738" w:rsidRPr="0024562C">
              <w:rPr>
                <w:rStyle w:val="Hyperlink"/>
                <w:noProof/>
              </w:rPr>
              <w:t>Incident Definition Phase</w:t>
            </w:r>
            <w:r w:rsidR="00543738">
              <w:rPr>
                <w:noProof/>
                <w:webHidden/>
              </w:rPr>
              <w:tab/>
            </w:r>
            <w:r w:rsidR="00543738">
              <w:rPr>
                <w:noProof/>
                <w:webHidden/>
              </w:rPr>
              <w:fldChar w:fldCharType="begin"/>
            </w:r>
            <w:r w:rsidR="00543738">
              <w:rPr>
                <w:noProof/>
                <w:webHidden/>
              </w:rPr>
              <w:instrText xml:space="preserve"> PAGEREF _Toc7528105 \h </w:instrText>
            </w:r>
            <w:r w:rsidR="00543738">
              <w:rPr>
                <w:noProof/>
                <w:webHidden/>
              </w:rPr>
            </w:r>
            <w:r w:rsidR="00543738">
              <w:rPr>
                <w:noProof/>
                <w:webHidden/>
              </w:rPr>
              <w:fldChar w:fldCharType="separate"/>
            </w:r>
            <w:r w:rsidR="00543738">
              <w:rPr>
                <w:noProof/>
                <w:webHidden/>
              </w:rPr>
              <w:t>16</w:t>
            </w:r>
            <w:r w:rsidR="00543738">
              <w:rPr>
                <w:noProof/>
                <w:webHidden/>
              </w:rPr>
              <w:fldChar w:fldCharType="end"/>
            </w:r>
          </w:hyperlink>
        </w:p>
        <w:p w14:paraId="02347F0C" w14:textId="77777777" w:rsidR="00543738" w:rsidRDefault="007647FF">
          <w:pPr>
            <w:pStyle w:val="TOC2"/>
            <w:tabs>
              <w:tab w:val="left" w:pos="880"/>
              <w:tab w:val="right" w:leader="dot" w:pos="9016"/>
            </w:tabs>
            <w:rPr>
              <w:rFonts w:asciiTheme="minorHAnsi" w:hAnsiTheme="minorHAnsi"/>
              <w:noProof/>
              <w:lang w:eastAsia="en-AU"/>
            </w:rPr>
          </w:pPr>
          <w:hyperlink w:anchor="_Toc7528106" w:history="1">
            <w:r w:rsidR="00543738" w:rsidRPr="0024562C">
              <w:rPr>
                <w:rStyle w:val="Hyperlink"/>
                <w:noProof/>
                <w14:scene3d>
                  <w14:camera w14:prst="orthographicFront"/>
                  <w14:lightRig w14:rig="threePt" w14:dir="t">
                    <w14:rot w14:lat="0" w14:lon="0" w14:rev="0"/>
                  </w14:lightRig>
                </w14:scene3d>
              </w:rPr>
              <w:t>5.2</w:t>
            </w:r>
            <w:r w:rsidR="00543738">
              <w:rPr>
                <w:rFonts w:asciiTheme="minorHAnsi" w:hAnsiTheme="minorHAnsi"/>
                <w:noProof/>
                <w:lang w:eastAsia="en-AU"/>
              </w:rPr>
              <w:tab/>
            </w:r>
            <w:r w:rsidR="00543738" w:rsidRPr="0024562C">
              <w:rPr>
                <w:rStyle w:val="Hyperlink"/>
                <w:noProof/>
              </w:rPr>
              <w:t>Emergency Eradication Response Phase</w:t>
            </w:r>
            <w:r w:rsidR="00543738">
              <w:rPr>
                <w:noProof/>
                <w:webHidden/>
              </w:rPr>
              <w:tab/>
            </w:r>
            <w:r w:rsidR="00543738">
              <w:rPr>
                <w:noProof/>
                <w:webHidden/>
              </w:rPr>
              <w:fldChar w:fldCharType="begin"/>
            </w:r>
            <w:r w:rsidR="00543738">
              <w:rPr>
                <w:noProof/>
                <w:webHidden/>
              </w:rPr>
              <w:instrText xml:space="preserve"> PAGEREF _Toc7528106 \h </w:instrText>
            </w:r>
            <w:r w:rsidR="00543738">
              <w:rPr>
                <w:noProof/>
                <w:webHidden/>
              </w:rPr>
            </w:r>
            <w:r w:rsidR="00543738">
              <w:rPr>
                <w:noProof/>
                <w:webHidden/>
              </w:rPr>
              <w:fldChar w:fldCharType="separate"/>
            </w:r>
            <w:r w:rsidR="00543738">
              <w:rPr>
                <w:noProof/>
                <w:webHidden/>
              </w:rPr>
              <w:t>16</w:t>
            </w:r>
            <w:r w:rsidR="00543738">
              <w:rPr>
                <w:noProof/>
                <w:webHidden/>
              </w:rPr>
              <w:fldChar w:fldCharType="end"/>
            </w:r>
          </w:hyperlink>
        </w:p>
        <w:p w14:paraId="32FA96EC" w14:textId="77777777" w:rsidR="00543738" w:rsidRDefault="007647FF">
          <w:pPr>
            <w:pStyle w:val="TOC2"/>
            <w:tabs>
              <w:tab w:val="left" w:pos="880"/>
              <w:tab w:val="right" w:leader="dot" w:pos="9016"/>
            </w:tabs>
            <w:rPr>
              <w:rFonts w:asciiTheme="minorHAnsi" w:hAnsiTheme="minorHAnsi"/>
              <w:noProof/>
              <w:lang w:eastAsia="en-AU"/>
            </w:rPr>
          </w:pPr>
          <w:hyperlink w:anchor="_Toc7528107" w:history="1">
            <w:r w:rsidR="00543738" w:rsidRPr="0024562C">
              <w:rPr>
                <w:rStyle w:val="Hyperlink"/>
                <w:noProof/>
                <w14:scene3d>
                  <w14:camera w14:prst="orthographicFront"/>
                  <w14:lightRig w14:rig="threePt" w14:dir="t">
                    <w14:rot w14:lat="0" w14:lon="0" w14:rev="0"/>
                  </w14:lightRig>
                </w14:scene3d>
              </w:rPr>
              <w:t>5.3</w:t>
            </w:r>
            <w:r w:rsidR="00543738">
              <w:rPr>
                <w:rFonts w:asciiTheme="minorHAnsi" w:hAnsiTheme="minorHAnsi"/>
                <w:noProof/>
                <w:lang w:eastAsia="en-AU"/>
              </w:rPr>
              <w:tab/>
            </w:r>
            <w:r w:rsidR="00543738" w:rsidRPr="0024562C">
              <w:rPr>
                <w:rStyle w:val="Hyperlink"/>
                <w:noProof/>
              </w:rPr>
              <w:t>Proof of Freedom Phase</w:t>
            </w:r>
            <w:r w:rsidR="00543738">
              <w:rPr>
                <w:noProof/>
                <w:webHidden/>
              </w:rPr>
              <w:tab/>
            </w:r>
            <w:r w:rsidR="00543738">
              <w:rPr>
                <w:noProof/>
                <w:webHidden/>
              </w:rPr>
              <w:fldChar w:fldCharType="begin"/>
            </w:r>
            <w:r w:rsidR="00543738">
              <w:rPr>
                <w:noProof/>
                <w:webHidden/>
              </w:rPr>
              <w:instrText xml:space="preserve"> PAGEREF _Toc7528107 \h </w:instrText>
            </w:r>
            <w:r w:rsidR="00543738">
              <w:rPr>
                <w:noProof/>
                <w:webHidden/>
              </w:rPr>
            </w:r>
            <w:r w:rsidR="00543738">
              <w:rPr>
                <w:noProof/>
                <w:webHidden/>
              </w:rPr>
              <w:fldChar w:fldCharType="separate"/>
            </w:r>
            <w:r w:rsidR="00543738">
              <w:rPr>
                <w:noProof/>
                <w:webHidden/>
              </w:rPr>
              <w:t>16</w:t>
            </w:r>
            <w:r w:rsidR="00543738">
              <w:rPr>
                <w:noProof/>
                <w:webHidden/>
              </w:rPr>
              <w:fldChar w:fldCharType="end"/>
            </w:r>
          </w:hyperlink>
        </w:p>
        <w:p w14:paraId="527CB1FA" w14:textId="77777777" w:rsidR="00543738" w:rsidRDefault="007647FF">
          <w:pPr>
            <w:pStyle w:val="TOC2"/>
            <w:tabs>
              <w:tab w:val="left" w:pos="880"/>
              <w:tab w:val="right" w:leader="dot" w:pos="9016"/>
            </w:tabs>
            <w:rPr>
              <w:rFonts w:asciiTheme="minorHAnsi" w:hAnsiTheme="minorHAnsi"/>
              <w:noProof/>
              <w:lang w:eastAsia="en-AU"/>
            </w:rPr>
          </w:pPr>
          <w:hyperlink w:anchor="_Toc7528108" w:history="1">
            <w:r w:rsidR="00543738" w:rsidRPr="0024562C">
              <w:rPr>
                <w:rStyle w:val="Hyperlink"/>
                <w:noProof/>
                <w14:scene3d>
                  <w14:camera w14:prst="orthographicFront"/>
                  <w14:lightRig w14:rig="threePt" w14:dir="t">
                    <w14:rot w14:lat="0" w14:lon="0" w14:rev="0"/>
                  </w14:lightRig>
                </w14:scene3d>
              </w:rPr>
              <w:t>5.4</w:t>
            </w:r>
            <w:r w:rsidR="00543738">
              <w:rPr>
                <w:rFonts w:asciiTheme="minorHAnsi" w:hAnsiTheme="minorHAnsi"/>
                <w:noProof/>
                <w:lang w:eastAsia="en-AU"/>
              </w:rPr>
              <w:tab/>
            </w:r>
            <w:r w:rsidR="00543738" w:rsidRPr="0024562C">
              <w:rPr>
                <w:rStyle w:val="Hyperlink"/>
                <w:noProof/>
              </w:rPr>
              <w:t>Transition to Management Phase</w:t>
            </w:r>
            <w:r w:rsidR="00543738">
              <w:rPr>
                <w:noProof/>
                <w:webHidden/>
              </w:rPr>
              <w:tab/>
            </w:r>
            <w:r w:rsidR="00543738">
              <w:rPr>
                <w:noProof/>
                <w:webHidden/>
              </w:rPr>
              <w:fldChar w:fldCharType="begin"/>
            </w:r>
            <w:r w:rsidR="00543738">
              <w:rPr>
                <w:noProof/>
                <w:webHidden/>
              </w:rPr>
              <w:instrText xml:space="preserve"> PAGEREF _Toc7528108 \h </w:instrText>
            </w:r>
            <w:r w:rsidR="00543738">
              <w:rPr>
                <w:noProof/>
                <w:webHidden/>
              </w:rPr>
            </w:r>
            <w:r w:rsidR="00543738">
              <w:rPr>
                <w:noProof/>
                <w:webHidden/>
              </w:rPr>
              <w:fldChar w:fldCharType="separate"/>
            </w:r>
            <w:r w:rsidR="00543738">
              <w:rPr>
                <w:noProof/>
                <w:webHidden/>
              </w:rPr>
              <w:t>17</w:t>
            </w:r>
            <w:r w:rsidR="00543738">
              <w:rPr>
                <w:noProof/>
                <w:webHidden/>
              </w:rPr>
              <w:fldChar w:fldCharType="end"/>
            </w:r>
          </w:hyperlink>
        </w:p>
        <w:p w14:paraId="14C4B74A" w14:textId="77777777" w:rsidR="00543738" w:rsidRDefault="007647FF">
          <w:pPr>
            <w:pStyle w:val="TOC2"/>
            <w:tabs>
              <w:tab w:val="left" w:pos="880"/>
              <w:tab w:val="right" w:leader="dot" w:pos="9016"/>
            </w:tabs>
            <w:rPr>
              <w:rFonts w:asciiTheme="minorHAnsi" w:hAnsiTheme="minorHAnsi"/>
              <w:noProof/>
              <w:lang w:eastAsia="en-AU"/>
            </w:rPr>
          </w:pPr>
          <w:hyperlink w:anchor="_Toc7528109" w:history="1">
            <w:r w:rsidR="00543738" w:rsidRPr="0024562C">
              <w:rPr>
                <w:rStyle w:val="Hyperlink"/>
                <w:noProof/>
                <w14:scene3d>
                  <w14:camera w14:prst="orthographicFront"/>
                  <w14:lightRig w14:rig="threePt" w14:dir="t">
                    <w14:rot w14:lat="0" w14:lon="0" w14:rev="0"/>
                  </w14:lightRig>
                </w14:scene3d>
              </w:rPr>
              <w:t>5.5</w:t>
            </w:r>
            <w:r w:rsidR="00543738">
              <w:rPr>
                <w:rFonts w:asciiTheme="minorHAnsi" w:hAnsiTheme="minorHAnsi"/>
                <w:noProof/>
                <w:lang w:eastAsia="en-AU"/>
              </w:rPr>
              <w:tab/>
            </w:r>
            <w:r w:rsidR="00543738" w:rsidRPr="0024562C">
              <w:rPr>
                <w:rStyle w:val="Hyperlink"/>
                <w:noProof/>
              </w:rPr>
              <w:t>New incidents</w:t>
            </w:r>
            <w:r w:rsidR="00543738">
              <w:rPr>
                <w:noProof/>
                <w:webHidden/>
              </w:rPr>
              <w:tab/>
            </w:r>
            <w:r w:rsidR="00543738">
              <w:rPr>
                <w:noProof/>
                <w:webHidden/>
              </w:rPr>
              <w:fldChar w:fldCharType="begin"/>
            </w:r>
            <w:r w:rsidR="00543738">
              <w:rPr>
                <w:noProof/>
                <w:webHidden/>
              </w:rPr>
              <w:instrText xml:space="preserve"> PAGEREF _Toc7528109 \h </w:instrText>
            </w:r>
            <w:r w:rsidR="00543738">
              <w:rPr>
                <w:noProof/>
                <w:webHidden/>
              </w:rPr>
            </w:r>
            <w:r w:rsidR="00543738">
              <w:rPr>
                <w:noProof/>
                <w:webHidden/>
              </w:rPr>
              <w:fldChar w:fldCharType="separate"/>
            </w:r>
            <w:r w:rsidR="00543738">
              <w:rPr>
                <w:noProof/>
                <w:webHidden/>
              </w:rPr>
              <w:t>17</w:t>
            </w:r>
            <w:r w:rsidR="00543738">
              <w:rPr>
                <w:noProof/>
                <w:webHidden/>
              </w:rPr>
              <w:fldChar w:fldCharType="end"/>
            </w:r>
          </w:hyperlink>
        </w:p>
        <w:p w14:paraId="59B841D6" w14:textId="77777777" w:rsidR="00543738" w:rsidRDefault="007647FF">
          <w:pPr>
            <w:pStyle w:val="TOC1"/>
            <w:tabs>
              <w:tab w:val="left" w:pos="440"/>
              <w:tab w:val="right" w:leader="dot" w:pos="9016"/>
            </w:tabs>
            <w:rPr>
              <w:rFonts w:asciiTheme="minorHAnsi" w:hAnsiTheme="minorHAnsi"/>
              <w:noProof/>
              <w:lang w:eastAsia="en-AU"/>
            </w:rPr>
          </w:pPr>
          <w:hyperlink w:anchor="_Toc7528110" w:history="1">
            <w:r w:rsidR="00543738" w:rsidRPr="0024562C">
              <w:rPr>
                <w:rStyle w:val="Hyperlink"/>
                <w:noProof/>
              </w:rPr>
              <w:t>6</w:t>
            </w:r>
            <w:r w:rsidR="00543738">
              <w:rPr>
                <w:rFonts w:asciiTheme="minorHAnsi" w:hAnsiTheme="minorHAnsi"/>
                <w:noProof/>
                <w:lang w:eastAsia="en-AU"/>
              </w:rPr>
              <w:tab/>
            </w:r>
            <w:r w:rsidR="00543738" w:rsidRPr="0024562C">
              <w:rPr>
                <w:rStyle w:val="Hyperlink"/>
                <w:noProof/>
              </w:rPr>
              <w:t>National approach to emergency environmental pest or diseases</w:t>
            </w:r>
            <w:r w:rsidR="00543738">
              <w:rPr>
                <w:noProof/>
                <w:webHidden/>
              </w:rPr>
              <w:tab/>
            </w:r>
            <w:r w:rsidR="00543738">
              <w:rPr>
                <w:noProof/>
                <w:webHidden/>
              </w:rPr>
              <w:fldChar w:fldCharType="begin"/>
            </w:r>
            <w:r w:rsidR="00543738">
              <w:rPr>
                <w:noProof/>
                <w:webHidden/>
              </w:rPr>
              <w:instrText xml:space="preserve"> PAGEREF _Toc7528110 \h </w:instrText>
            </w:r>
            <w:r w:rsidR="00543738">
              <w:rPr>
                <w:noProof/>
                <w:webHidden/>
              </w:rPr>
            </w:r>
            <w:r w:rsidR="00543738">
              <w:rPr>
                <w:noProof/>
                <w:webHidden/>
              </w:rPr>
              <w:fldChar w:fldCharType="separate"/>
            </w:r>
            <w:r w:rsidR="00543738">
              <w:rPr>
                <w:noProof/>
                <w:webHidden/>
              </w:rPr>
              <w:t>17</w:t>
            </w:r>
            <w:r w:rsidR="00543738">
              <w:rPr>
                <w:noProof/>
                <w:webHidden/>
              </w:rPr>
              <w:fldChar w:fldCharType="end"/>
            </w:r>
          </w:hyperlink>
        </w:p>
        <w:p w14:paraId="0CC2922D" w14:textId="77777777" w:rsidR="00543738" w:rsidRDefault="007647FF">
          <w:pPr>
            <w:pStyle w:val="TOC2"/>
            <w:tabs>
              <w:tab w:val="left" w:pos="880"/>
              <w:tab w:val="right" w:leader="dot" w:pos="9016"/>
            </w:tabs>
            <w:rPr>
              <w:rFonts w:asciiTheme="minorHAnsi" w:hAnsiTheme="minorHAnsi"/>
              <w:noProof/>
              <w:lang w:eastAsia="en-AU"/>
            </w:rPr>
          </w:pPr>
          <w:hyperlink w:anchor="_Toc7528111" w:history="1">
            <w:r w:rsidR="00543738" w:rsidRPr="0024562C">
              <w:rPr>
                <w:rStyle w:val="Hyperlink"/>
                <w:noProof/>
                <w14:scene3d>
                  <w14:camera w14:prst="orthographicFront"/>
                  <w14:lightRig w14:rig="threePt" w14:dir="t">
                    <w14:rot w14:lat="0" w14:lon="0" w14:rev="0"/>
                  </w14:lightRig>
                </w14:scene3d>
              </w:rPr>
              <w:t>6.1</w:t>
            </w:r>
            <w:r w:rsidR="00543738">
              <w:rPr>
                <w:rFonts w:asciiTheme="minorHAnsi" w:hAnsiTheme="minorHAnsi"/>
                <w:noProof/>
                <w:lang w:eastAsia="en-AU"/>
              </w:rPr>
              <w:tab/>
            </w:r>
            <w:r w:rsidR="00543738" w:rsidRPr="0024562C">
              <w:rPr>
                <w:rStyle w:val="Hyperlink"/>
                <w:noProof/>
              </w:rPr>
              <w:t>Emergency responses to be addressed under existing cost-sharing arrangements</w:t>
            </w:r>
            <w:r w:rsidR="00543738">
              <w:rPr>
                <w:noProof/>
                <w:webHidden/>
              </w:rPr>
              <w:tab/>
            </w:r>
            <w:r w:rsidR="00543738">
              <w:rPr>
                <w:noProof/>
                <w:webHidden/>
              </w:rPr>
              <w:fldChar w:fldCharType="begin"/>
            </w:r>
            <w:r w:rsidR="00543738">
              <w:rPr>
                <w:noProof/>
                <w:webHidden/>
              </w:rPr>
              <w:instrText xml:space="preserve"> PAGEREF _Toc7528111 \h </w:instrText>
            </w:r>
            <w:r w:rsidR="00543738">
              <w:rPr>
                <w:noProof/>
                <w:webHidden/>
              </w:rPr>
            </w:r>
            <w:r w:rsidR="00543738">
              <w:rPr>
                <w:noProof/>
                <w:webHidden/>
              </w:rPr>
              <w:fldChar w:fldCharType="separate"/>
            </w:r>
            <w:r w:rsidR="00543738">
              <w:rPr>
                <w:noProof/>
                <w:webHidden/>
              </w:rPr>
              <w:t>17</w:t>
            </w:r>
            <w:r w:rsidR="00543738">
              <w:rPr>
                <w:noProof/>
                <w:webHidden/>
              </w:rPr>
              <w:fldChar w:fldCharType="end"/>
            </w:r>
          </w:hyperlink>
        </w:p>
        <w:p w14:paraId="1F6E7D40" w14:textId="77777777" w:rsidR="00543738" w:rsidRDefault="007647FF">
          <w:pPr>
            <w:pStyle w:val="TOC2"/>
            <w:tabs>
              <w:tab w:val="left" w:pos="880"/>
              <w:tab w:val="right" w:leader="dot" w:pos="9016"/>
            </w:tabs>
            <w:rPr>
              <w:rFonts w:asciiTheme="minorHAnsi" w:hAnsiTheme="minorHAnsi"/>
              <w:noProof/>
              <w:lang w:eastAsia="en-AU"/>
            </w:rPr>
          </w:pPr>
          <w:hyperlink w:anchor="_Toc7528112" w:history="1">
            <w:r w:rsidR="00543738" w:rsidRPr="0024562C">
              <w:rPr>
                <w:rStyle w:val="Hyperlink"/>
                <w:noProof/>
                <w14:scene3d>
                  <w14:camera w14:prst="orthographicFront"/>
                  <w14:lightRig w14:rig="threePt" w14:dir="t">
                    <w14:rot w14:lat="0" w14:lon="0" w14:rev="0"/>
                  </w14:lightRig>
                </w14:scene3d>
              </w:rPr>
              <w:t>6.2</w:t>
            </w:r>
            <w:r w:rsidR="00543738">
              <w:rPr>
                <w:rFonts w:asciiTheme="minorHAnsi" w:hAnsiTheme="minorHAnsi"/>
                <w:noProof/>
                <w:lang w:eastAsia="en-AU"/>
              </w:rPr>
              <w:tab/>
            </w:r>
            <w:r w:rsidR="00543738" w:rsidRPr="0024562C">
              <w:rPr>
                <w:rStyle w:val="Hyperlink"/>
                <w:noProof/>
              </w:rPr>
              <w:t>Notification of an incident of a suspected emergency environmental pest or disease</w:t>
            </w:r>
            <w:r w:rsidR="00543738">
              <w:rPr>
                <w:noProof/>
                <w:webHidden/>
              </w:rPr>
              <w:tab/>
            </w:r>
            <w:r w:rsidR="00543738">
              <w:rPr>
                <w:noProof/>
                <w:webHidden/>
              </w:rPr>
              <w:fldChar w:fldCharType="begin"/>
            </w:r>
            <w:r w:rsidR="00543738">
              <w:rPr>
                <w:noProof/>
                <w:webHidden/>
              </w:rPr>
              <w:instrText xml:space="preserve"> PAGEREF _Toc7528112 \h </w:instrText>
            </w:r>
            <w:r w:rsidR="00543738">
              <w:rPr>
                <w:noProof/>
                <w:webHidden/>
              </w:rPr>
            </w:r>
            <w:r w:rsidR="00543738">
              <w:rPr>
                <w:noProof/>
                <w:webHidden/>
              </w:rPr>
              <w:fldChar w:fldCharType="separate"/>
            </w:r>
            <w:r w:rsidR="00543738">
              <w:rPr>
                <w:noProof/>
                <w:webHidden/>
              </w:rPr>
              <w:t>17</w:t>
            </w:r>
            <w:r w:rsidR="00543738">
              <w:rPr>
                <w:noProof/>
                <w:webHidden/>
              </w:rPr>
              <w:fldChar w:fldCharType="end"/>
            </w:r>
          </w:hyperlink>
        </w:p>
        <w:p w14:paraId="6CC7BCDD" w14:textId="77777777" w:rsidR="00543738" w:rsidRDefault="007647FF">
          <w:pPr>
            <w:pStyle w:val="TOC2"/>
            <w:tabs>
              <w:tab w:val="left" w:pos="880"/>
              <w:tab w:val="right" w:leader="dot" w:pos="9016"/>
            </w:tabs>
            <w:rPr>
              <w:rFonts w:asciiTheme="minorHAnsi" w:hAnsiTheme="minorHAnsi"/>
              <w:noProof/>
              <w:lang w:eastAsia="en-AU"/>
            </w:rPr>
          </w:pPr>
          <w:hyperlink w:anchor="_Toc7528113" w:history="1">
            <w:r w:rsidR="00543738" w:rsidRPr="0024562C">
              <w:rPr>
                <w:rStyle w:val="Hyperlink"/>
                <w:noProof/>
                <w14:scene3d>
                  <w14:camera w14:prst="orthographicFront"/>
                  <w14:lightRig w14:rig="threePt" w14:dir="t">
                    <w14:rot w14:lat="0" w14:lon="0" w14:rev="0"/>
                  </w14:lightRig>
                </w14:scene3d>
              </w:rPr>
              <w:t>6.3</w:t>
            </w:r>
            <w:r w:rsidR="00543738">
              <w:rPr>
                <w:rFonts w:asciiTheme="minorHAnsi" w:hAnsiTheme="minorHAnsi"/>
                <w:noProof/>
                <w:lang w:eastAsia="en-AU"/>
              </w:rPr>
              <w:tab/>
            </w:r>
            <w:r w:rsidR="00543738" w:rsidRPr="0024562C">
              <w:rPr>
                <w:rStyle w:val="Hyperlink"/>
                <w:noProof/>
              </w:rPr>
              <w:t>NBMCC to prepare advice to NMG</w:t>
            </w:r>
            <w:r w:rsidR="00543738">
              <w:rPr>
                <w:noProof/>
                <w:webHidden/>
              </w:rPr>
              <w:tab/>
            </w:r>
            <w:r w:rsidR="00543738">
              <w:rPr>
                <w:noProof/>
                <w:webHidden/>
              </w:rPr>
              <w:fldChar w:fldCharType="begin"/>
            </w:r>
            <w:r w:rsidR="00543738">
              <w:rPr>
                <w:noProof/>
                <w:webHidden/>
              </w:rPr>
              <w:instrText xml:space="preserve"> PAGEREF _Toc7528113 \h </w:instrText>
            </w:r>
            <w:r w:rsidR="00543738">
              <w:rPr>
                <w:noProof/>
                <w:webHidden/>
              </w:rPr>
            </w:r>
            <w:r w:rsidR="00543738">
              <w:rPr>
                <w:noProof/>
                <w:webHidden/>
              </w:rPr>
              <w:fldChar w:fldCharType="separate"/>
            </w:r>
            <w:r w:rsidR="00543738">
              <w:rPr>
                <w:noProof/>
                <w:webHidden/>
              </w:rPr>
              <w:t>18</w:t>
            </w:r>
            <w:r w:rsidR="00543738">
              <w:rPr>
                <w:noProof/>
                <w:webHidden/>
              </w:rPr>
              <w:fldChar w:fldCharType="end"/>
            </w:r>
          </w:hyperlink>
        </w:p>
        <w:p w14:paraId="45A56877" w14:textId="77777777" w:rsidR="00543738" w:rsidRDefault="007647FF">
          <w:pPr>
            <w:pStyle w:val="TOC2"/>
            <w:tabs>
              <w:tab w:val="left" w:pos="880"/>
              <w:tab w:val="right" w:leader="dot" w:pos="9016"/>
            </w:tabs>
            <w:rPr>
              <w:rFonts w:asciiTheme="minorHAnsi" w:hAnsiTheme="minorHAnsi"/>
              <w:noProof/>
              <w:lang w:eastAsia="en-AU"/>
            </w:rPr>
          </w:pPr>
          <w:hyperlink w:anchor="_Toc7528114" w:history="1">
            <w:r w:rsidR="00543738" w:rsidRPr="0024562C">
              <w:rPr>
                <w:rStyle w:val="Hyperlink"/>
                <w:noProof/>
                <w14:scene3d>
                  <w14:camera w14:prst="orthographicFront"/>
                  <w14:lightRig w14:rig="threePt" w14:dir="t">
                    <w14:rot w14:lat="0" w14:lon="0" w14:rev="0"/>
                  </w14:lightRig>
                </w14:scene3d>
              </w:rPr>
              <w:t>6.4</w:t>
            </w:r>
            <w:r w:rsidR="00543738">
              <w:rPr>
                <w:rFonts w:asciiTheme="minorHAnsi" w:hAnsiTheme="minorHAnsi"/>
                <w:noProof/>
                <w:lang w:eastAsia="en-AU"/>
              </w:rPr>
              <w:tab/>
            </w:r>
            <w:r w:rsidR="00543738" w:rsidRPr="0024562C">
              <w:rPr>
                <w:rStyle w:val="Hyperlink"/>
                <w:noProof/>
              </w:rPr>
              <w:t>NMG to decide whether a national response is required</w:t>
            </w:r>
            <w:r w:rsidR="00543738">
              <w:rPr>
                <w:noProof/>
                <w:webHidden/>
              </w:rPr>
              <w:tab/>
            </w:r>
            <w:r w:rsidR="00543738">
              <w:rPr>
                <w:noProof/>
                <w:webHidden/>
              </w:rPr>
              <w:fldChar w:fldCharType="begin"/>
            </w:r>
            <w:r w:rsidR="00543738">
              <w:rPr>
                <w:noProof/>
                <w:webHidden/>
              </w:rPr>
              <w:instrText xml:space="preserve"> PAGEREF _Toc7528114 \h </w:instrText>
            </w:r>
            <w:r w:rsidR="00543738">
              <w:rPr>
                <w:noProof/>
                <w:webHidden/>
              </w:rPr>
            </w:r>
            <w:r w:rsidR="00543738">
              <w:rPr>
                <w:noProof/>
                <w:webHidden/>
              </w:rPr>
              <w:fldChar w:fldCharType="separate"/>
            </w:r>
            <w:r w:rsidR="00543738">
              <w:rPr>
                <w:noProof/>
                <w:webHidden/>
              </w:rPr>
              <w:t>18</w:t>
            </w:r>
            <w:r w:rsidR="00543738">
              <w:rPr>
                <w:noProof/>
                <w:webHidden/>
              </w:rPr>
              <w:fldChar w:fldCharType="end"/>
            </w:r>
          </w:hyperlink>
        </w:p>
        <w:p w14:paraId="75A57292" w14:textId="77777777" w:rsidR="00543738" w:rsidRDefault="007647FF">
          <w:pPr>
            <w:pStyle w:val="TOC2"/>
            <w:tabs>
              <w:tab w:val="left" w:pos="880"/>
              <w:tab w:val="right" w:leader="dot" w:pos="9016"/>
            </w:tabs>
            <w:rPr>
              <w:rFonts w:asciiTheme="minorHAnsi" w:hAnsiTheme="minorHAnsi"/>
              <w:noProof/>
              <w:lang w:eastAsia="en-AU"/>
            </w:rPr>
          </w:pPr>
          <w:hyperlink w:anchor="_Toc7528115" w:history="1">
            <w:r w:rsidR="00543738" w:rsidRPr="0024562C">
              <w:rPr>
                <w:rStyle w:val="Hyperlink"/>
                <w:noProof/>
                <w14:scene3d>
                  <w14:camera w14:prst="orthographicFront"/>
                  <w14:lightRig w14:rig="threePt" w14:dir="t">
                    <w14:rot w14:lat="0" w14:lon="0" w14:rev="0"/>
                  </w14:lightRig>
                </w14:scene3d>
              </w:rPr>
              <w:t>6.5</w:t>
            </w:r>
            <w:r w:rsidR="00543738">
              <w:rPr>
                <w:rFonts w:asciiTheme="minorHAnsi" w:hAnsiTheme="minorHAnsi"/>
                <w:noProof/>
                <w:lang w:eastAsia="en-AU"/>
              </w:rPr>
              <w:tab/>
            </w:r>
            <w:r w:rsidR="00543738" w:rsidRPr="0024562C">
              <w:rPr>
                <w:rStyle w:val="Hyperlink"/>
                <w:noProof/>
              </w:rPr>
              <w:t>Involvement in NMG decisions</w:t>
            </w:r>
            <w:r w:rsidR="00543738">
              <w:rPr>
                <w:noProof/>
                <w:webHidden/>
              </w:rPr>
              <w:tab/>
            </w:r>
            <w:r w:rsidR="00543738">
              <w:rPr>
                <w:noProof/>
                <w:webHidden/>
              </w:rPr>
              <w:fldChar w:fldCharType="begin"/>
            </w:r>
            <w:r w:rsidR="00543738">
              <w:rPr>
                <w:noProof/>
                <w:webHidden/>
              </w:rPr>
              <w:instrText xml:space="preserve"> PAGEREF _Toc7528115 \h </w:instrText>
            </w:r>
            <w:r w:rsidR="00543738">
              <w:rPr>
                <w:noProof/>
                <w:webHidden/>
              </w:rPr>
            </w:r>
            <w:r w:rsidR="00543738">
              <w:rPr>
                <w:noProof/>
                <w:webHidden/>
              </w:rPr>
              <w:fldChar w:fldCharType="separate"/>
            </w:r>
            <w:r w:rsidR="00543738">
              <w:rPr>
                <w:noProof/>
                <w:webHidden/>
              </w:rPr>
              <w:t>20</w:t>
            </w:r>
            <w:r w:rsidR="00543738">
              <w:rPr>
                <w:noProof/>
                <w:webHidden/>
              </w:rPr>
              <w:fldChar w:fldCharType="end"/>
            </w:r>
          </w:hyperlink>
        </w:p>
        <w:p w14:paraId="672946F8" w14:textId="77777777" w:rsidR="00543738" w:rsidRDefault="007647FF">
          <w:pPr>
            <w:pStyle w:val="TOC1"/>
            <w:tabs>
              <w:tab w:val="left" w:pos="440"/>
              <w:tab w:val="right" w:leader="dot" w:pos="9016"/>
            </w:tabs>
            <w:rPr>
              <w:rFonts w:asciiTheme="minorHAnsi" w:hAnsiTheme="minorHAnsi"/>
              <w:noProof/>
              <w:lang w:eastAsia="en-AU"/>
            </w:rPr>
          </w:pPr>
          <w:hyperlink w:anchor="_Toc7528116" w:history="1">
            <w:r w:rsidR="00543738" w:rsidRPr="0024562C">
              <w:rPr>
                <w:rStyle w:val="Hyperlink"/>
                <w:noProof/>
              </w:rPr>
              <w:t>7</w:t>
            </w:r>
            <w:r w:rsidR="00543738">
              <w:rPr>
                <w:rFonts w:asciiTheme="minorHAnsi" w:hAnsiTheme="minorHAnsi"/>
                <w:noProof/>
                <w:lang w:eastAsia="en-AU"/>
              </w:rPr>
              <w:tab/>
            </w:r>
            <w:r w:rsidR="00543738" w:rsidRPr="0024562C">
              <w:rPr>
                <w:rStyle w:val="Hyperlink"/>
                <w:noProof/>
              </w:rPr>
              <w:t>Cost-sharing</w:t>
            </w:r>
            <w:r w:rsidR="00543738">
              <w:rPr>
                <w:noProof/>
                <w:webHidden/>
              </w:rPr>
              <w:tab/>
            </w:r>
            <w:r w:rsidR="00543738">
              <w:rPr>
                <w:noProof/>
                <w:webHidden/>
              </w:rPr>
              <w:fldChar w:fldCharType="begin"/>
            </w:r>
            <w:r w:rsidR="00543738">
              <w:rPr>
                <w:noProof/>
                <w:webHidden/>
              </w:rPr>
              <w:instrText xml:space="preserve"> PAGEREF _Toc7528116 \h </w:instrText>
            </w:r>
            <w:r w:rsidR="00543738">
              <w:rPr>
                <w:noProof/>
                <w:webHidden/>
              </w:rPr>
            </w:r>
            <w:r w:rsidR="00543738">
              <w:rPr>
                <w:noProof/>
                <w:webHidden/>
              </w:rPr>
              <w:fldChar w:fldCharType="separate"/>
            </w:r>
            <w:r w:rsidR="00543738">
              <w:rPr>
                <w:noProof/>
                <w:webHidden/>
              </w:rPr>
              <w:t>21</w:t>
            </w:r>
            <w:r w:rsidR="00543738">
              <w:rPr>
                <w:noProof/>
                <w:webHidden/>
              </w:rPr>
              <w:fldChar w:fldCharType="end"/>
            </w:r>
          </w:hyperlink>
        </w:p>
        <w:p w14:paraId="359482B8" w14:textId="77777777" w:rsidR="00543738" w:rsidRDefault="007647FF">
          <w:pPr>
            <w:pStyle w:val="TOC2"/>
            <w:tabs>
              <w:tab w:val="left" w:pos="880"/>
              <w:tab w:val="right" w:leader="dot" w:pos="9016"/>
            </w:tabs>
            <w:rPr>
              <w:rFonts w:asciiTheme="minorHAnsi" w:hAnsiTheme="minorHAnsi"/>
              <w:noProof/>
              <w:lang w:eastAsia="en-AU"/>
            </w:rPr>
          </w:pPr>
          <w:hyperlink w:anchor="_Toc7528117" w:history="1">
            <w:r w:rsidR="00543738" w:rsidRPr="0024562C">
              <w:rPr>
                <w:rStyle w:val="Hyperlink"/>
                <w:noProof/>
                <w14:scene3d>
                  <w14:camera w14:prst="orthographicFront"/>
                  <w14:lightRig w14:rig="threePt" w14:dir="t">
                    <w14:rot w14:lat="0" w14:lon="0" w14:rev="0"/>
                  </w14:lightRig>
                </w14:scene3d>
              </w:rPr>
              <w:t>7.1</w:t>
            </w:r>
            <w:r w:rsidR="00543738">
              <w:rPr>
                <w:rFonts w:asciiTheme="minorHAnsi" w:hAnsiTheme="minorHAnsi"/>
                <w:noProof/>
                <w:lang w:eastAsia="en-AU"/>
              </w:rPr>
              <w:tab/>
            </w:r>
            <w:r w:rsidR="00543738" w:rsidRPr="0024562C">
              <w:rPr>
                <w:rStyle w:val="Hyperlink"/>
                <w:noProof/>
              </w:rPr>
              <w:t>Cost-sharing in accordance with this agreement</w:t>
            </w:r>
            <w:r w:rsidR="00543738">
              <w:rPr>
                <w:noProof/>
                <w:webHidden/>
              </w:rPr>
              <w:tab/>
            </w:r>
            <w:r w:rsidR="00543738">
              <w:rPr>
                <w:noProof/>
                <w:webHidden/>
              </w:rPr>
              <w:fldChar w:fldCharType="begin"/>
            </w:r>
            <w:r w:rsidR="00543738">
              <w:rPr>
                <w:noProof/>
                <w:webHidden/>
              </w:rPr>
              <w:instrText xml:space="preserve"> PAGEREF _Toc7528117 \h </w:instrText>
            </w:r>
            <w:r w:rsidR="00543738">
              <w:rPr>
                <w:noProof/>
                <w:webHidden/>
              </w:rPr>
            </w:r>
            <w:r w:rsidR="00543738">
              <w:rPr>
                <w:noProof/>
                <w:webHidden/>
              </w:rPr>
              <w:fldChar w:fldCharType="separate"/>
            </w:r>
            <w:r w:rsidR="00543738">
              <w:rPr>
                <w:noProof/>
                <w:webHidden/>
              </w:rPr>
              <w:t>21</w:t>
            </w:r>
            <w:r w:rsidR="00543738">
              <w:rPr>
                <w:noProof/>
                <w:webHidden/>
              </w:rPr>
              <w:fldChar w:fldCharType="end"/>
            </w:r>
          </w:hyperlink>
        </w:p>
        <w:p w14:paraId="1D679288" w14:textId="77777777" w:rsidR="00543738" w:rsidRDefault="007647FF">
          <w:pPr>
            <w:pStyle w:val="TOC2"/>
            <w:tabs>
              <w:tab w:val="left" w:pos="880"/>
              <w:tab w:val="right" w:leader="dot" w:pos="9016"/>
            </w:tabs>
            <w:rPr>
              <w:rFonts w:asciiTheme="minorHAnsi" w:hAnsiTheme="minorHAnsi"/>
              <w:noProof/>
              <w:lang w:eastAsia="en-AU"/>
            </w:rPr>
          </w:pPr>
          <w:hyperlink w:anchor="_Toc7528118" w:history="1">
            <w:r w:rsidR="00543738" w:rsidRPr="0024562C">
              <w:rPr>
                <w:rStyle w:val="Hyperlink"/>
                <w:noProof/>
                <w14:scene3d>
                  <w14:camera w14:prst="orthographicFront"/>
                  <w14:lightRig w14:rig="threePt" w14:dir="t">
                    <w14:rot w14:lat="0" w14:lon="0" w14:rev="0"/>
                  </w14:lightRig>
                </w14:scene3d>
              </w:rPr>
              <w:t>7.2</w:t>
            </w:r>
            <w:r w:rsidR="00543738">
              <w:rPr>
                <w:rFonts w:asciiTheme="minorHAnsi" w:hAnsiTheme="minorHAnsi"/>
                <w:noProof/>
                <w:lang w:eastAsia="en-AU"/>
              </w:rPr>
              <w:tab/>
            </w:r>
            <w:r w:rsidR="00543738" w:rsidRPr="0024562C">
              <w:rPr>
                <w:rStyle w:val="Hyperlink"/>
                <w:noProof/>
              </w:rPr>
              <w:t>Cost-sharing formula</w:t>
            </w:r>
            <w:r w:rsidR="00543738">
              <w:rPr>
                <w:noProof/>
                <w:webHidden/>
              </w:rPr>
              <w:tab/>
            </w:r>
            <w:r w:rsidR="00543738">
              <w:rPr>
                <w:noProof/>
                <w:webHidden/>
              </w:rPr>
              <w:fldChar w:fldCharType="begin"/>
            </w:r>
            <w:r w:rsidR="00543738">
              <w:rPr>
                <w:noProof/>
                <w:webHidden/>
              </w:rPr>
              <w:instrText xml:space="preserve"> PAGEREF _Toc7528118 \h </w:instrText>
            </w:r>
            <w:r w:rsidR="00543738">
              <w:rPr>
                <w:noProof/>
                <w:webHidden/>
              </w:rPr>
            </w:r>
            <w:r w:rsidR="00543738">
              <w:rPr>
                <w:noProof/>
                <w:webHidden/>
              </w:rPr>
              <w:fldChar w:fldCharType="separate"/>
            </w:r>
            <w:r w:rsidR="00543738">
              <w:rPr>
                <w:noProof/>
                <w:webHidden/>
              </w:rPr>
              <w:t>21</w:t>
            </w:r>
            <w:r w:rsidR="00543738">
              <w:rPr>
                <w:noProof/>
                <w:webHidden/>
              </w:rPr>
              <w:fldChar w:fldCharType="end"/>
            </w:r>
          </w:hyperlink>
        </w:p>
        <w:p w14:paraId="296D1C09" w14:textId="77777777" w:rsidR="00543738" w:rsidRDefault="007647FF">
          <w:pPr>
            <w:pStyle w:val="TOC2"/>
            <w:tabs>
              <w:tab w:val="left" w:pos="880"/>
              <w:tab w:val="right" w:leader="dot" w:pos="9016"/>
            </w:tabs>
            <w:rPr>
              <w:rFonts w:asciiTheme="minorHAnsi" w:hAnsiTheme="minorHAnsi"/>
              <w:noProof/>
              <w:lang w:eastAsia="en-AU"/>
            </w:rPr>
          </w:pPr>
          <w:hyperlink w:anchor="_Toc7528119" w:history="1">
            <w:r w:rsidR="00543738" w:rsidRPr="0024562C">
              <w:rPr>
                <w:rStyle w:val="Hyperlink"/>
                <w:noProof/>
                <w14:scene3d>
                  <w14:camera w14:prst="orthographicFront"/>
                  <w14:lightRig w14:rig="threePt" w14:dir="t">
                    <w14:rot w14:lat="0" w14:lon="0" w14:rev="0"/>
                  </w14:lightRig>
                </w14:scene3d>
              </w:rPr>
              <w:t>7.3</w:t>
            </w:r>
            <w:r w:rsidR="00543738">
              <w:rPr>
                <w:rFonts w:asciiTheme="minorHAnsi" w:hAnsiTheme="minorHAnsi"/>
                <w:noProof/>
                <w:lang w:eastAsia="en-AU"/>
              </w:rPr>
              <w:tab/>
            </w:r>
            <w:r w:rsidR="00543738" w:rsidRPr="0024562C">
              <w:rPr>
                <w:rStyle w:val="Hyperlink"/>
                <w:noProof/>
              </w:rPr>
              <w:t>Eligible costs</w:t>
            </w:r>
            <w:r w:rsidR="00543738">
              <w:rPr>
                <w:noProof/>
                <w:webHidden/>
              </w:rPr>
              <w:tab/>
            </w:r>
            <w:r w:rsidR="00543738">
              <w:rPr>
                <w:noProof/>
                <w:webHidden/>
              </w:rPr>
              <w:fldChar w:fldCharType="begin"/>
            </w:r>
            <w:r w:rsidR="00543738">
              <w:rPr>
                <w:noProof/>
                <w:webHidden/>
              </w:rPr>
              <w:instrText xml:space="preserve"> PAGEREF _Toc7528119 \h </w:instrText>
            </w:r>
            <w:r w:rsidR="00543738">
              <w:rPr>
                <w:noProof/>
                <w:webHidden/>
              </w:rPr>
            </w:r>
            <w:r w:rsidR="00543738">
              <w:rPr>
                <w:noProof/>
                <w:webHidden/>
              </w:rPr>
              <w:fldChar w:fldCharType="separate"/>
            </w:r>
            <w:r w:rsidR="00543738">
              <w:rPr>
                <w:noProof/>
                <w:webHidden/>
              </w:rPr>
              <w:t>22</w:t>
            </w:r>
            <w:r w:rsidR="00543738">
              <w:rPr>
                <w:noProof/>
                <w:webHidden/>
              </w:rPr>
              <w:fldChar w:fldCharType="end"/>
            </w:r>
          </w:hyperlink>
        </w:p>
        <w:p w14:paraId="59D95AB0" w14:textId="77777777" w:rsidR="00543738" w:rsidRDefault="007647FF">
          <w:pPr>
            <w:pStyle w:val="TOC2"/>
            <w:tabs>
              <w:tab w:val="left" w:pos="880"/>
              <w:tab w:val="right" w:leader="dot" w:pos="9016"/>
            </w:tabs>
            <w:rPr>
              <w:rFonts w:asciiTheme="minorHAnsi" w:hAnsiTheme="minorHAnsi"/>
              <w:noProof/>
              <w:lang w:eastAsia="en-AU"/>
            </w:rPr>
          </w:pPr>
          <w:hyperlink w:anchor="_Toc7528120" w:history="1">
            <w:r w:rsidR="00543738" w:rsidRPr="0024562C">
              <w:rPr>
                <w:rStyle w:val="Hyperlink"/>
                <w:noProof/>
                <w14:scene3d>
                  <w14:camera w14:prst="orthographicFront"/>
                  <w14:lightRig w14:rig="threePt" w14:dir="t">
                    <w14:rot w14:lat="0" w14:lon="0" w14:rev="0"/>
                  </w14:lightRig>
                </w14:scene3d>
              </w:rPr>
              <w:t>7.4</w:t>
            </w:r>
            <w:r w:rsidR="00543738">
              <w:rPr>
                <w:rFonts w:asciiTheme="minorHAnsi" w:hAnsiTheme="minorHAnsi"/>
                <w:noProof/>
                <w:lang w:eastAsia="en-AU"/>
              </w:rPr>
              <w:tab/>
            </w:r>
            <w:r w:rsidR="00543738" w:rsidRPr="0024562C">
              <w:rPr>
                <w:rStyle w:val="Hyperlink"/>
                <w:noProof/>
              </w:rPr>
              <w:t>Funding a Response Plan</w:t>
            </w:r>
            <w:r w:rsidR="00543738">
              <w:rPr>
                <w:noProof/>
                <w:webHidden/>
              </w:rPr>
              <w:tab/>
            </w:r>
            <w:r w:rsidR="00543738">
              <w:rPr>
                <w:noProof/>
                <w:webHidden/>
              </w:rPr>
              <w:fldChar w:fldCharType="begin"/>
            </w:r>
            <w:r w:rsidR="00543738">
              <w:rPr>
                <w:noProof/>
                <w:webHidden/>
              </w:rPr>
              <w:instrText xml:space="preserve"> PAGEREF _Toc7528120 \h </w:instrText>
            </w:r>
            <w:r w:rsidR="00543738">
              <w:rPr>
                <w:noProof/>
                <w:webHidden/>
              </w:rPr>
            </w:r>
            <w:r w:rsidR="00543738">
              <w:rPr>
                <w:noProof/>
                <w:webHidden/>
              </w:rPr>
              <w:fldChar w:fldCharType="separate"/>
            </w:r>
            <w:r w:rsidR="00543738">
              <w:rPr>
                <w:noProof/>
                <w:webHidden/>
              </w:rPr>
              <w:t>22</w:t>
            </w:r>
            <w:r w:rsidR="00543738">
              <w:rPr>
                <w:noProof/>
                <w:webHidden/>
              </w:rPr>
              <w:fldChar w:fldCharType="end"/>
            </w:r>
          </w:hyperlink>
        </w:p>
        <w:p w14:paraId="0278EE7A" w14:textId="77777777" w:rsidR="00543738" w:rsidRDefault="007647FF">
          <w:pPr>
            <w:pStyle w:val="TOC2"/>
            <w:tabs>
              <w:tab w:val="left" w:pos="880"/>
              <w:tab w:val="right" w:leader="dot" w:pos="9016"/>
            </w:tabs>
            <w:rPr>
              <w:rFonts w:asciiTheme="minorHAnsi" w:hAnsiTheme="minorHAnsi"/>
              <w:noProof/>
              <w:lang w:eastAsia="en-AU"/>
            </w:rPr>
          </w:pPr>
          <w:hyperlink w:anchor="_Toc7528121" w:history="1">
            <w:r w:rsidR="00543738" w:rsidRPr="0024562C">
              <w:rPr>
                <w:rStyle w:val="Hyperlink"/>
                <w:noProof/>
                <w14:scene3d>
                  <w14:camera w14:prst="orthographicFront"/>
                  <w14:lightRig w14:rig="threePt" w14:dir="t">
                    <w14:rot w14:lat="0" w14:lon="0" w14:rev="0"/>
                  </w14:lightRig>
                </w14:scene3d>
              </w:rPr>
              <w:t>7.5</w:t>
            </w:r>
            <w:r w:rsidR="00543738">
              <w:rPr>
                <w:rFonts w:asciiTheme="minorHAnsi" w:hAnsiTheme="minorHAnsi"/>
                <w:noProof/>
                <w:lang w:eastAsia="en-AU"/>
              </w:rPr>
              <w:tab/>
            </w:r>
            <w:r w:rsidR="00543738" w:rsidRPr="0024562C">
              <w:rPr>
                <w:rStyle w:val="Hyperlink"/>
                <w:noProof/>
              </w:rPr>
              <w:t>Reimbursement of a party</w:t>
            </w:r>
            <w:r w:rsidR="00543738">
              <w:rPr>
                <w:noProof/>
                <w:webHidden/>
              </w:rPr>
              <w:tab/>
            </w:r>
            <w:r w:rsidR="00543738">
              <w:rPr>
                <w:noProof/>
                <w:webHidden/>
              </w:rPr>
              <w:fldChar w:fldCharType="begin"/>
            </w:r>
            <w:r w:rsidR="00543738">
              <w:rPr>
                <w:noProof/>
                <w:webHidden/>
              </w:rPr>
              <w:instrText xml:space="preserve"> PAGEREF _Toc7528121 \h </w:instrText>
            </w:r>
            <w:r w:rsidR="00543738">
              <w:rPr>
                <w:noProof/>
                <w:webHidden/>
              </w:rPr>
            </w:r>
            <w:r w:rsidR="00543738">
              <w:rPr>
                <w:noProof/>
                <w:webHidden/>
              </w:rPr>
              <w:fldChar w:fldCharType="separate"/>
            </w:r>
            <w:r w:rsidR="00543738">
              <w:rPr>
                <w:noProof/>
                <w:webHidden/>
              </w:rPr>
              <w:t>23</w:t>
            </w:r>
            <w:r w:rsidR="00543738">
              <w:rPr>
                <w:noProof/>
                <w:webHidden/>
              </w:rPr>
              <w:fldChar w:fldCharType="end"/>
            </w:r>
          </w:hyperlink>
        </w:p>
        <w:p w14:paraId="74617E4E" w14:textId="77777777" w:rsidR="00543738" w:rsidRDefault="007647FF">
          <w:pPr>
            <w:pStyle w:val="TOC2"/>
            <w:tabs>
              <w:tab w:val="left" w:pos="880"/>
              <w:tab w:val="right" w:leader="dot" w:pos="9016"/>
            </w:tabs>
            <w:rPr>
              <w:rFonts w:asciiTheme="minorHAnsi" w:hAnsiTheme="minorHAnsi"/>
              <w:noProof/>
              <w:lang w:eastAsia="en-AU"/>
            </w:rPr>
          </w:pPr>
          <w:hyperlink w:anchor="_Toc7528122" w:history="1">
            <w:r w:rsidR="00543738" w:rsidRPr="0024562C">
              <w:rPr>
                <w:rStyle w:val="Hyperlink"/>
                <w:noProof/>
                <w14:scene3d>
                  <w14:camera w14:prst="orthographicFront"/>
                  <w14:lightRig w14:rig="threePt" w14:dir="t">
                    <w14:rot w14:lat="0" w14:lon="0" w14:rev="0"/>
                  </w14:lightRig>
                </w14:scene3d>
              </w:rPr>
              <w:t>7.6</w:t>
            </w:r>
            <w:r w:rsidR="00543738">
              <w:rPr>
                <w:rFonts w:asciiTheme="minorHAnsi" w:hAnsiTheme="minorHAnsi"/>
                <w:noProof/>
                <w:lang w:eastAsia="en-AU"/>
              </w:rPr>
              <w:tab/>
            </w:r>
            <w:r w:rsidR="00543738" w:rsidRPr="0024562C">
              <w:rPr>
                <w:rStyle w:val="Hyperlink"/>
                <w:noProof/>
              </w:rPr>
              <w:t>Limit on cost-sharing obligation</w:t>
            </w:r>
            <w:r w:rsidR="00543738">
              <w:rPr>
                <w:noProof/>
                <w:webHidden/>
              </w:rPr>
              <w:tab/>
            </w:r>
            <w:r w:rsidR="00543738">
              <w:rPr>
                <w:noProof/>
                <w:webHidden/>
              </w:rPr>
              <w:fldChar w:fldCharType="begin"/>
            </w:r>
            <w:r w:rsidR="00543738">
              <w:rPr>
                <w:noProof/>
                <w:webHidden/>
              </w:rPr>
              <w:instrText xml:space="preserve"> PAGEREF _Toc7528122 \h </w:instrText>
            </w:r>
            <w:r w:rsidR="00543738">
              <w:rPr>
                <w:noProof/>
                <w:webHidden/>
              </w:rPr>
            </w:r>
            <w:r w:rsidR="00543738">
              <w:rPr>
                <w:noProof/>
                <w:webHidden/>
              </w:rPr>
              <w:fldChar w:fldCharType="separate"/>
            </w:r>
            <w:r w:rsidR="00543738">
              <w:rPr>
                <w:noProof/>
                <w:webHidden/>
              </w:rPr>
              <w:t>23</w:t>
            </w:r>
            <w:r w:rsidR="00543738">
              <w:rPr>
                <w:noProof/>
                <w:webHidden/>
              </w:rPr>
              <w:fldChar w:fldCharType="end"/>
            </w:r>
          </w:hyperlink>
        </w:p>
        <w:p w14:paraId="5B377B2F" w14:textId="77777777" w:rsidR="00543738" w:rsidRDefault="007647FF">
          <w:pPr>
            <w:pStyle w:val="TOC2"/>
            <w:tabs>
              <w:tab w:val="left" w:pos="880"/>
              <w:tab w:val="right" w:leader="dot" w:pos="9016"/>
            </w:tabs>
            <w:rPr>
              <w:rFonts w:asciiTheme="minorHAnsi" w:hAnsiTheme="minorHAnsi"/>
              <w:noProof/>
              <w:lang w:eastAsia="en-AU"/>
            </w:rPr>
          </w:pPr>
          <w:hyperlink w:anchor="_Toc7528123" w:history="1">
            <w:r w:rsidR="00543738" w:rsidRPr="0024562C">
              <w:rPr>
                <w:rStyle w:val="Hyperlink"/>
                <w:noProof/>
                <w14:scene3d>
                  <w14:camera w14:prst="orthographicFront"/>
                  <w14:lightRig w14:rig="threePt" w14:dir="t">
                    <w14:rot w14:lat="0" w14:lon="0" w14:rev="0"/>
                  </w14:lightRig>
                </w14:scene3d>
              </w:rPr>
              <w:t>7.7</w:t>
            </w:r>
            <w:r w:rsidR="00543738">
              <w:rPr>
                <w:rFonts w:asciiTheme="minorHAnsi" w:hAnsiTheme="minorHAnsi"/>
                <w:noProof/>
                <w:lang w:eastAsia="en-AU"/>
              </w:rPr>
              <w:tab/>
            </w:r>
            <w:r w:rsidR="00543738" w:rsidRPr="0024562C">
              <w:rPr>
                <w:rStyle w:val="Hyperlink"/>
                <w:noProof/>
              </w:rPr>
              <w:t>Initial rapid national response cost-sharing obligations</w:t>
            </w:r>
            <w:r w:rsidR="00543738">
              <w:rPr>
                <w:noProof/>
                <w:webHidden/>
              </w:rPr>
              <w:tab/>
            </w:r>
            <w:r w:rsidR="00543738">
              <w:rPr>
                <w:noProof/>
                <w:webHidden/>
              </w:rPr>
              <w:fldChar w:fldCharType="begin"/>
            </w:r>
            <w:r w:rsidR="00543738">
              <w:rPr>
                <w:noProof/>
                <w:webHidden/>
              </w:rPr>
              <w:instrText xml:space="preserve"> PAGEREF _Toc7528123 \h </w:instrText>
            </w:r>
            <w:r w:rsidR="00543738">
              <w:rPr>
                <w:noProof/>
                <w:webHidden/>
              </w:rPr>
            </w:r>
            <w:r w:rsidR="00543738">
              <w:rPr>
                <w:noProof/>
                <w:webHidden/>
              </w:rPr>
              <w:fldChar w:fldCharType="separate"/>
            </w:r>
            <w:r w:rsidR="00543738">
              <w:rPr>
                <w:noProof/>
                <w:webHidden/>
              </w:rPr>
              <w:t>23</w:t>
            </w:r>
            <w:r w:rsidR="00543738">
              <w:rPr>
                <w:noProof/>
                <w:webHidden/>
              </w:rPr>
              <w:fldChar w:fldCharType="end"/>
            </w:r>
          </w:hyperlink>
        </w:p>
        <w:p w14:paraId="7A7DACC9" w14:textId="77777777" w:rsidR="00543738" w:rsidRDefault="007647FF">
          <w:pPr>
            <w:pStyle w:val="TOC2"/>
            <w:tabs>
              <w:tab w:val="left" w:pos="880"/>
              <w:tab w:val="right" w:leader="dot" w:pos="9016"/>
            </w:tabs>
            <w:rPr>
              <w:rFonts w:asciiTheme="minorHAnsi" w:hAnsiTheme="minorHAnsi"/>
              <w:noProof/>
              <w:lang w:eastAsia="en-AU"/>
            </w:rPr>
          </w:pPr>
          <w:hyperlink w:anchor="_Toc7528124" w:history="1">
            <w:r w:rsidR="00543738" w:rsidRPr="0024562C">
              <w:rPr>
                <w:rStyle w:val="Hyperlink"/>
                <w:noProof/>
                <w14:scene3d>
                  <w14:camera w14:prst="orthographicFront"/>
                  <w14:lightRig w14:rig="threePt" w14:dir="t">
                    <w14:rot w14:lat="0" w14:lon="0" w14:rev="0"/>
                  </w14:lightRig>
                </w14:scene3d>
              </w:rPr>
              <w:t>7.8</w:t>
            </w:r>
            <w:r w:rsidR="00543738">
              <w:rPr>
                <w:rFonts w:asciiTheme="minorHAnsi" w:hAnsiTheme="minorHAnsi"/>
                <w:noProof/>
                <w:lang w:eastAsia="en-AU"/>
              </w:rPr>
              <w:tab/>
            </w:r>
            <w:r w:rsidR="00543738" w:rsidRPr="0024562C">
              <w:rPr>
                <w:rStyle w:val="Hyperlink"/>
                <w:noProof/>
              </w:rPr>
              <w:t>Contributions by non-government entities</w:t>
            </w:r>
            <w:r w:rsidR="00543738">
              <w:rPr>
                <w:noProof/>
                <w:webHidden/>
              </w:rPr>
              <w:tab/>
            </w:r>
            <w:r w:rsidR="00543738">
              <w:rPr>
                <w:noProof/>
                <w:webHidden/>
              </w:rPr>
              <w:fldChar w:fldCharType="begin"/>
            </w:r>
            <w:r w:rsidR="00543738">
              <w:rPr>
                <w:noProof/>
                <w:webHidden/>
              </w:rPr>
              <w:instrText xml:space="preserve"> PAGEREF _Toc7528124 \h </w:instrText>
            </w:r>
            <w:r w:rsidR="00543738">
              <w:rPr>
                <w:noProof/>
                <w:webHidden/>
              </w:rPr>
            </w:r>
            <w:r w:rsidR="00543738">
              <w:rPr>
                <w:noProof/>
                <w:webHidden/>
              </w:rPr>
              <w:fldChar w:fldCharType="separate"/>
            </w:r>
            <w:r w:rsidR="00543738">
              <w:rPr>
                <w:noProof/>
                <w:webHidden/>
              </w:rPr>
              <w:t>24</w:t>
            </w:r>
            <w:r w:rsidR="00543738">
              <w:rPr>
                <w:noProof/>
                <w:webHidden/>
              </w:rPr>
              <w:fldChar w:fldCharType="end"/>
            </w:r>
          </w:hyperlink>
        </w:p>
        <w:p w14:paraId="425A9EBE" w14:textId="77777777" w:rsidR="00543738" w:rsidRDefault="007647FF">
          <w:pPr>
            <w:pStyle w:val="TOC2"/>
            <w:tabs>
              <w:tab w:val="left" w:pos="880"/>
              <w:tab w:val="right" w:leader="dot" w:pos="9016"/>
            </w:tabs>
            <w:rPr>
              <w:rFonts w:asciiTheme="minorHAnsi" w:hAnsiTheme="minorHAnsi"/>
              <w:noProof/>
              <w:lang w:eastAsia="en-AU"/>
            </w:rPr>
          </w:pPr>
          <w:hyperlink w:anchor="_Toc7528125" w:history="1">
            <w:r w:rsidR="00543738" w:rsidRPr="0024562C">
              <w:rPr>
                <w:rStyle w:val="Hyperlink"/>
                <w:noProof/>
                <w14:scene3d>
                  <w14:camera w14:prst="orthographicFront"/>
                  <w14:lightRig w14:rig="threePt" w14:dir="t">
                    <w14:rot w14:lat="0" w14:lon="0" w14:rev="0"/>
                  </w14:lightRig>
                </w14:scene3d>
              </w:rPr>
              <w:t>7.9</w:t>
            </w:r>
            <w:r w:rsidR="00543738">
              <w:rPr>
                <w:rFonts w:asciiTheme="minorHAnsi" w:hAnsiTheme="minorHAnsi"/>
                <w:noProof/>
                <w:lang w:eastAsia="en-AU"/>
              </w:rPr>
              <w:tab/>
            </w:r>
            <w:r w:rsidR="00543738" w:rsidRPr="0024562C">
              <w:rPr>
                <w:rStyle w:val="Hyperlink"/>
                <w:noProof/>
              </w:rPr>
              <w:t>Accounting for a Response Plan</w:t>
            </w:r>
            <w:r w:rsidR="00543738">
              <w:rPr>
                <w:noProof/>
                <w:webHidden/>
              </w:rPr>
              <w:tab/>
            </w:r>
            <w:r w:rsidR="00543738">
              <w:rPr>
                <w:noProof/>
                <w:webHidden/>
              </w:rPr>
              <w:fldChar w:fldCharType="begin"/>
            </w:r>
            <w:r w:rsidR="00543738">
              <w:rPr>
                <w:noProof/>
                <w:webHidden/>
              </w:rPr>
              <w:instrText xml:space="preserve"> PAGEREF _Toc7528125 \h </w:instrText>
            </w:r>
            <w:r w:rsidR="00543738">
              <w:rPr>
                <w:noProof/>
                <w:webHidden/>
              </w:rPr>
            </w:r>
            <w:r w:rsidR="00543738">
              <w:rPr>
                <w:noProof/>
                <w:webHidden/>
              </w:rPr>
              <w:fldChar w:fldCharType="separate"/>
            </w:r>
            <w:r w:rsidR="00543738">
              <w:rPr>
                <w:noProof/>
                <w:webHidden/>
              </w:rPr>
              <w:t>24</w:t>
            </w:r>
            <w:r w:rsidR="00543738">
              <w:rPr>
                <w:noProof/>
                <w:webHidden/>
              </w:rPr>
              <w:fldChar w:fldCharType="end"/>
            </w:r>
          </w:hyperlink>
        </w:p>
        <w:p w14:paraId="2988C574" w14:textId="77777777" w:rsidR="00543738" w:rsidRDefault="007647FF">
          <w:pPr>
            <w:pStyle w:val="TOC2"/>
            <w:tabs>
              <w:tab w:val="left" w:pos="880"/>
              <w:tab w:val="right" w:leader="dot" w:pos="9016"/>
            </w:tabs>
            <w:rPr>
              <w:rFonts w:asciiTheme="minorHAnsi" w:hAnsiTheme="minorHAnsi"/>
              <w:noProof/>
              <w:lang w:eastAsia="en-AU"/>
            </w:rPr>
          </w:pPr>
          <w:hyperlink w:anchor="_Toc7528126" w:history="1">
            <w:r w:rsidR="00543738" w:rsidRPr="0024562C">
              <w:rPr>
                <w:rStyle w:val="Hyperlink"/>
                <w:noProof/>
                <w14:scene3d>
                  <w14:camera w14:prst="orthographicFront"/>
                  <w14:lightRig w14:rig="threePt" w14:dir="t">
                    <w14:rot w14:lat="0" w14:lon="0" w14:rev="0"/>
                  </w14:lightRig>
                </w14:scene3d>
              </w:rPr>
              <w:t>7.10</w:t>
            </w:r>
            <w:r w:rsidR="00543738">
              <w:rPr>
                <w:rFonts w:asciiTheme="minorHAnsi" w:hAnsiTheme="minorHAnsi"/>
                <w:noProof/>
                <w:lang w:eastAsia="en-AU"/>
              </w:rPr>
              <w:tab/>
            </w:r>
            <w:r w:rsidR="00543738" w:rsidRPr="0024562C">
              <w:rPr>
                <w:rStyle w:val="Hyperlink"/>
                <w:noProof/>
              </w:rPr>
              <w:t>Coordination of claims for reimbursement</w:t>
            </w:r>
            <w:r w:rsidR="00543738">
              <w:rPr>
                <w:noProof/>
                <w:webHidden/>
              </w:rPr>
              <w:tab/>
            </w:r>
            <w:r w:rsidR="00543738">
              <w:rPr>
                <w:noProof/>
                <w:webHidden/>
              </w:rPr>
              <w:fldChar w:fldCharType="begin"/>
            </w:r>
            <w:r w:rsidR="00543738">
              <w:rPr>
                <w:noProof/>
                <w:webHidden/>
              </w:rPr>
              <w:instrText xml:space="preserve"> PAGEREF _Toc7528126 \h </w:instrText>
            </w:r>
            <w:r w:rsidR="00543738">
              <w:rPr>
                <w:noProof/>
                <w:webHidden/>
              </w:rPr>
            </w:r>
            <w:r w:rsidR="00543738">
              <w:rPr>
                <w:noProof/>
                <w:webHidden/>
              </w:rPr>
              <w:fldChar w:fldCharType="separate"/>
            </w:r>
            <w:r w:rsidR="00543738">
              <w:rPr>
                <w:noProof/>
                <w:webHidden/>
              </w:rPr>
              <w:t>24</w:t>
            </w:r>
            <w:r w:rsidR="00543738">
              <w:rPr>
                <w:noProof/>
                <w:webHidden/>
              </w:rPr>
              <w:fldChar w:fldCharType="end"/>
            </w:r>
          </w:hyperlink>
        </w:p>
        <w:p w14:paraId="7F0BB23A" w14:textId="77777777" w:rsidR="00543738" w:rsidRDefault="007647FF">
          <w:pPr>
            <w:pStyle w:val="TOC2"/>
            <w:tabs>
              <w:tab w:val="left" w:pos="880"/>
              <w:tab w:val="right" w:leader="dot" w:pos="9016"/>
            </w:tabs>
            <w:rPr>
              <w:rFonts w:asciiTheme="minorHAnsi" w:hAnsiTheme="minorHAnsi"/>
              <w:noProof/>
              <w:lang w:eastAsia="en-AU"/>
            </w:rPr>
          </w:pPr>
          <w:hyperlink w:anchor="_Toc7528127" w:history="1">
            <w:r w:rsidR="00543738" w:rsidRPr="0024562C">
              <w:rPr>
                <w:rStyle w:val="Hyperlink"/>
                <w:noProof/>
                <w14:scene3d>
                  <w14:camera w14:prst="orthographicFront"/>
                  <w14:lightRig w14:rig="threePt" w14:dir="t">
                    <w14:rot w14:lat="0" w14:lon="0" w14:rev="0"/>
                  </w14:lightRig>
                </w14:scene3d>
              </w:rPr>
              <w:t>7.11</w:t>
            </w:r>
            <w:r w:rsidR="00543738">
              <w:rPr>
                <w:rFonts w:asciiTheme="minorHAnsi" w:hAnsiTheme="minorHAnsi"/>
                <w:noProof/>
                <w:lang w:eastAsia="en-AU"/>
              </w:rPr>
              <w:tab/>
            </w:r>
            <w:r w:rsidR="00543738" w:rsidRPr="0024562C">
              <w:rPr>
                <w:rStyle w:val="Hyperlink"/>
                <w:noProof/>
              </w:rPr>
              <w:t>Reporting</w:t>
            </w:r>
            <w:r w:rsidR="00543738">
              <w:rPr>
                <w:noProof/>
                <w:webHidden/>
              </w:rPr>
              <w:tab/>
            </w:r>
            <w:r w:rsidR="00543738">
              <w:rPr>
                <w:noProof/>
                <w:webHidden/>
              </w:rPr>
              <w:fldChar w:fldCharType="begin"/>
            </w:r>
            <w:r w:rsidR="00543738">
              <w:rPr>
                <w:noProof/>
                <w:webHidden/>
              </w:rPr>
              <w:instrText xml:space="preserve"> PAGEREF _Toc7528127 \h </w:instrText>
            </w:r>
            <w:r w:rsidR="00543738">
              <w:rPr>
                <w:noProof/>
                <w:webHidden/>
              </w:rPr>
            </w:r>
            <w:r w:rsidR="00543738">
              <w:rPr>
                <w:noProof/>
                <w:webHidden/>
              </w:rPr>
              <w:fldChar w:fldCharType="separate"/>
            </w:r>
            <w:r w:rsidR="00543738">
              <w:rPr>
                <w:noProof/>
                <w:webHidden/>
              </w:rPr>
              <w:t>25</w:t>
            </w:r>
            <w:r w:rsidR="00543738">
              <w:rPr>
                <w:noProof/>
                <w:webHidden/>
              </w:rPr>
              <w:fldChar w:fldCharType="end"/>
            </w:r>
          </w:hyperlink>
        </w:p>
        <w:p w14:paraId="7EC15905" w14:textId="77777777" w:rsidR="00543738" w:rsidRDefault="007647FF">
          <w:pPr>
            <w:pStyle w:val="TOC2"/>
            <w:tabs>
              <w:tab w:val="left" w:pos="880"/>
              <w:tab w:val="right" w:leader="dot" w:pos="9016"/>
            </w:tabs>
            <w:rPr>
              <w:rFonts w:asciiTheme="minorHAnsi" w:hAnsiTheme="minorHAnsi"/>
              <w:noProof/>
              <w:lang w:eastAsia="en-AU"/>
            </w:rPr>
          </w:pPr>
          <w:hyperlink w:anchor="_Toc7528128" w:history="1">
            <w:r w:rsidR="00543738" w:rsidRPr="0024562C">
              <w:rPr>
                <w:rStyle w:val="Hyperlink"/>
                <w:noProof/>
                <w14:scene3d>
                  <w14:camera w14:prst="orthographicFront"/>
                  <w14:lightRig w14:rig="threePt" w14:dir="t">
                    <w14:rot w14:lat="0" w14:lon="0" w14:rev="0"/>
                  </w14:lightRig>
                </w14:scene3d>
              </w:rPr>
              <w:t>7.12</w:t>
            </w:r>
            <w:r w:rsidR="00543738">
              <w:rPr>
                <w:rFonts w:asciiTheme="minorHAnsi" w:hAnsiTheme="minorHAnsi"/>
                <w:noProof/>
                <w:lang w:eastAsia="en-AU"/>
              </w:rPr>
              <w:tab/>
            </w:r>
            <w:r w:rsidR="00543738" w:rsidRPr="0024562C">
              <w:rPr>
                <w:rStyle w:val="Hyperlink"/>
                <w:noProof/>
              </w:rPr>
              <w:t>Auditing</w:t>
            </w:r>
            <w:r w:rsidR="00543738">
              <w:rPr>
                <w:noProof/>
                <w:webHidden/>
              </w:rPr>
              <w:tab/>
            </w:r>
            <w:r w:rsidR="00543738">
              <w:rPr>
                <w:noProof/>
                <w:webHidden/>
              </w:rPr>
              <w:fldChar w:fldCharType="begin"/>
            </w:r>
            <w:r w:rsidR="00543738">
              <w:rPr>
                <w:noProof/>
                <w:webHidden/>
              </w:rPr>
              <w:instrText xml:space="preserve"> PAGEREF _Toc7528128 \h </w:instrText>
            </w:r>
            <w:r w:rsidR="00543738">
              <w:rPr>
                <w:noProof/>
                <w:webHidden/>
              </w:rPr>
            </w:r>
            <w:r w:rsidR="00543738">
              <w:rPr>
                <w:noProof/>
                <w:webHidden/>
              </w:rPr>
              <w:fldChar w:fldCharType="separate"/>
            </w:r>
            <w:r w:rsidR="00543738">
              <w:rPr>
                <w:noProof/>
                <w:webHidden/>
              </w:rPr>
              <w:t>25</w:t>
            </w:r>
            <w:r w:rsidR="00543738">
              <w:rPr>
                <w:noProof/>
                <w:webHidden/>
              </w:rPr>
              <w:fldChar w:fldCharType="end"/>
            </w:r>
          </w:hyperlink>
        </w:p>
        <w:p w14:paraId="5A81220E" w14:textId="77777777" w:rsidR="00543738" w:rsidRDefault="007647FF">
          <w:pPr>
            <w:pStyle w:val="TOC1"/>
            <w:tabs>
              <w:tab w:val="left" w:pos="440"/>
              <w:tab w:val="right" w:leader="dot" w:pos="9016"/>
            </w:tabs>
            <w:rPr>
              <w:rFonts w:asciiTheme="minorHAnsi" w:hAnsiTheme="minorHAnsi"/>
              <w:noProof/>
              <w:lang w:eastAsia="en-AU"/>
            </w:rPr>
          </w:pPr>
          <w:hyperlink w:anchor="_Toc7528129" w:history="1">
            <w:r w:rsidR="00543738" w:rsidRPr="0024562C">
              <w:rPr>
                <w:rStyle w:val="Hyperlink"/>
                <w:noProof/>
              </w:rPr>
              <w:t>8</w:t>
            </w:r>
            <w:r w:rsidR="00543738">
              <w:rPr>
                <w:rFonts w:asciiTheme="minorHAnsi" w:hAnsiTheme="minorHAnsi"/>
                <w:noProof/>
                <w:lang w:eastAsia="en-AU"/>
              </w:rPr>
              <w:tab/>
            </w:r>
            <w:r w:rsidR="00543738" w:rsidRPr="0024562C">
              <w:rPr>
                <w:rStyle w:val="Hyperlink"/>
                <w:noProof/>
              </w:rPr>
              <w:t>Committee arrangements</w:t>
            </w:r>
            <w:r w:rsidR="00543738">
              <w:rPr>
                <w:noProof/>
                <w:webHidden/>
              </w:rPr>
              <w:tab/>
            </w:r>
            <w:r w:rsidR="00543738">
              <w:rPr>
                <w:noProof/>
                <w:webHidden/>
              </w:rPr>
              <w:fldChar w:fldCharType="begin"/>
            </w:r>
            <w:r w:rsidR="00543738">
              <w:rPr>
                <w:noProof/>
                <w:webHidden/>
              </w:rPr>
              <w:instrText xml:space="preserve"> PAGEREF _Toc7528129 \h </w:instrText>
            </w:r>
            <w:r w:rsidR="00543738">
              <w:rPr>
                <w:noProof/>
                <w:webHidden/>
              </w:rPr>
            </w:r>
            <w:r w:rsidR="00543738">
              <w:rPr>
                <w:noProof/>
                <w:webHidden/>
              </w:rPr>
              <w:fldChar w:fldCharType="separate"/>
            </w:r>
            <w:r w:rsidR="00543738">
              <w:rPr>
                <w:noProof/>
                <w:webHidden/>
              </w:rPr>
              <w:t>26</w:t>
            </w:r>
            <w:r w:rsidR="00543738">
              <w:rPr>
                <w:noProof/>
                <w:webHidden/>
              </w:rPr>
              <w:fldChar w:fldCharType="end"/>
            </w:r>
          </w:hyperlink>
        </w:p>
        <w:p w14:paraId="27045C10" w14:textId="77777777" w:rsidR="00543738" w:rsidRDefault="007647FF">
          <w:pPr>
            <w:pStyle w:val="TOC2"/>
            <w:tabs>
              <w:tab w:val="left" w:pos="880"/>
              <w:tab w:val="right" w:leader="dot" w:pos="9016"/>
            </w:tabs>
            <w:rPr>
              <w:rFonts w:asciiTheme="minorHAnsi" w:hAnsiTheme="minorHAnsi"/>
              <w:noProof/>
              <w:lang w:eastAsia="en-AU"/>
            </w:rPr>
          </w:pPr>
          <w:hyperlink w:anchor="_Toc7528130" w:history="1">
            <w:r w:rsidR="00543738" w:rsidRPr="0024562C">
              <w:rPr>
                <w:rStyle w:val="Hyperlink"/>
                <w:noProof/>
                <w14:scene3d>
                  <w14:camera w14:prst="orthographicFront"/>
                  <w14:lightRig w14:rig="threePt" w14:dir="t">
                    <w14:rot w14:lat="0" w14:lon="0" w14:rev="0"/>
                  </w14:lightRig>
                </w14:scene3d>
              </w:rPr>
              <w:t>8.1</w:t>
            </w:r>
            <w:r w:rsidR="00543738">
              <w:rPr>
                <w:rFonts w:asciiTheme="minorHAnsi" w:hAnsiTheme="minorHAnsi"/>
                <w:noProof/>
                <w:lang w:eastAsia="en-AU"/>
              </w:rPr>
              <w:tab/>
            </w:r>
            <w:r w:rsidR="00543738" w:rsidRPr="0024562C">
              <w:rPr>
                <w:rStyle w:val="Hyperlink"/>
                <w:noProof/>
              </w:rPr>
              <w:t>Institutional structures to support this agreement</w:t>
            </w:r>
            <w:r w:rsidR="00543738">
              <w:rPr>
                <w:noProof/>
                <w:webHidden/>
              </w:rPr>
              <w:tab/>
            </w:r>
            <w:r w:rsidR="00543738">
              <w:rPr>
                <w:noProof/>
                <w:webHidden/>
              </w:rPr>
              <w:fldChar w:fldCharType="begin"/>
            </w:r>
            <w:r w:rsidR="00543738">
              <w:rPr>
                <w:noProof/>
                <w:webHidden/>
              </w:rPr>
              <w:instrText xml:space="preserve"> PAGEREF _Toc7528130 \h </w:instrText>
            </w:r>
            <w:r w:rsidR="00543738">
              <w:rPr>
                <w:noProof/>
                <w:webHidden/>
              </w:rPr>
            </w:r>
            <w:r w:rsidR="00543738">
              <w:rPr>
                <w:noProof/>
                <w:webHidden/>
              </w:rPr>
              <w:fldChar w:fldCharType="separate"/>
            </w:r>
            <w:r w:rsidR="00543738">
              <w:rPr>
                <w:noProof/>
                <w:webHidden/>
              </w:rPr>
              <w:t>26</w:t>
            </w:r>
            <w:r w:rsidR="00543738">
              <w:rPr>
                <w:noProof/>
                <w:webHidden/>
              </w:rPr>
              <w:fldChar w:fldCharType="end"/>
            </w:r>
          </w:hyperlink>
        </w:p>
        <w:p w14:paraId="6D4C97A5" w14:textId="77777777" w:rsidR="00543738" w:rsidRDefault="007647FF">
          <w:pPr>
            <w:pStyle w:val="TOC2"/>
            <w:tabs>
              <w:tab w:val="left" w:pos="880"/>
              <w:tab w:val="right" w:leader="dot" w:pos="9016"/>
            </w:tabs>
            <w:rPr>
              <w:rFonts w:asciiTheme="minorHAnsi" w:hAnsiTheme="minorHAnsi"/>
              <w:noProof/>
              <w:lang w:eastAsia="en-AU"/>
            </w:rPr>
          </w:pPr>
          <w:hyperlink w:anchor="_Toc7528131" w:history="1">
            <w:r w:rsidR="00543738" w:rsidRPr="0024562C">
              <w:rPr>
                <w:rStyle w:val="Hyperlink"/>
                <w:noProof/>
                <w14:scene3d>
                  <w14:camera w14:prst="orthographicFront"/>
                  <w14:lightRig w14:rig="threePt" w14:dir="t">
                    <w14:rot w14:lat="0" w14:lon="0" w14:rev="0"/>
                  </w14:lightRig>
                </w14:scene3d>
              </w:rPr>
              <w:t>8.2</w:t>
            </w:r>
            <w:r w:rsidR="00543738">
              <w:rPr>
                <w:rFonts w:asciiTheme="minorHAnsi" w:hAnsiTheme="minorHAnsi"/>
                <w:noProof/>
                <w:lang w:eastAsia="en-AU"/>
              </w:rPr>
              <w:tab/>
            </w:r>
            <w:r w:rsidR="00543738" w:rsidRPr="0024562C">
              <w:rPr>
                <w:rStyle w:val="Hyperlink"/>
                <w:noProof/>
              </w:rPr>
              <w:t>Establishing a National Biosecurity Management Consultative Committee</w:t>
            </w:r>
            <w:r w:rsidR="00543738">
              <w:rPr>
                <w:noProof/>
                <w:webHidden/>
              </w:rPr>
              <w:tab/>
            </w:r>
            <w:r w:rsidR="00543738">
              <w:rPr>
                <w:noProof/>
                <w:webHidden/>
              </w:rPr>
              <w:fldChar w:fldCharType="begin"/>
            </w:r>
            <w:r w:rsidR="00543738">
              <w:rPr>
                <w:noProof/>
                <w:webHidden/>
              </w:rPr>
              <w:instrText xml:space="preserve"> PAGEREF _Toc7528131 \h </w:instrText>
            </w:r>
            <w:r w:rsidR="00543738">
              <w:rPr>
                <w:noProof/>
                <w:webHidden/>
              </w:rPr>
            </w:r>
            <w:r w:rsidR="00543738">
              <w:rPr>
                <w:noProof/>
                <w:webHidden/>
              </w:rPr>
              <w:fldChar w:fldCharType="separate"/>
            </w:r>
            <w:r w:rsidR="00543738">
              <w:rPr>
                <w:noProof/>
                <w:webHidden/>
              </w:rPr>
              <w:t>26</w:t>
            </w:r>
            <w:r w:rsidR="00543738">
              <w:rPr>
                <w:noProof/>
                <w:webHidden/>
              </w:rPr>
              <w:fldChar w:fldCharType="end"/>
            </w:r>
          </w:hyperlink>
        </w:p>
        <w:p w14:paraId="2E6279DF" w14:textId="77777777" w:rsidR="00543738" w:rsidRDefault="007647FF">
          <w:pPr>
            <w:pStyle w:val="TOC2"/>
            <w:tabs>
              <w:tab w:val="left" w:pos="880"/>
              <w:tab w:val="right" w:leader="dot" w:pos="9016"/>
            </w:tabs>
            <w:rPr>
              <w:rFonts w:asciiTheme="minorHAnsi" w:hAnsiTheme="minorHAnsi"/>
              <w:noProof/>
              <w:lang w:eastAsia="en-AU"/>
            </w:rPr>
          </w:pPr>
          <w:hyperlink w:anchor="_Toc7528132" w:history="1">
            <w:r w:rsidR="00543738" w:rsidRPr="0024562C">
              <w:rPr>
                <w:rStyle w:val="Hyperlink"/>
                <w:noProof/>
                <w14:scene3d>
                  <w14:camera w14:prst="orthographicFront"/>
                  <w14:lightRig w14:rig="threePt" w14:dir="t">
                    <w14:rot w14:lat="0" w14:lon="0" w14:rev="0"/>
                  </w14:lightRig>
                </w14:scene3d>
              </w:rPr>
              <w:t>8.3</w:t>
            </w:r>
            <w:r w:rsidR="00543738">
              <w:rPr>
                <w:rFonts w:asciiTheme="minorHAnsi" w:hAnsiTheme="minorHAnsi"/>
                <w:noProof/>
                <w:lang w:eastAsia="en-AU"/>
              </w:rPr>
              <w:tab/>
            </w:r>
            <w:r w:rsidR="00543738" w:rsidRPr="0024562C">
              <w:rPr>
                <w:rStyle w:val="Hyperlink"/>
                <w:noProof/>
              </w:rPr>
              <w:t>Establishing a National Management Group</w:t>
            </w:r>
            <w:r w:rsidR="00543738">
              <w:rPr>
                <w:noProof/>
                <w:webHidden/>
              </w:rPr>
              <w:tab/>
            </w:r>
            <w:r w:rsidR="00543738">
              <w:rPr>
                <w:noProof/>
                <w:webHidden/>
              </w:rPr>
              <w:fldChar w:fldCharType="begin"/>
            </w:r>
            <w:r w:rsidR="00543738">
              <w:rPr>
                <w:noProof/>
                <w:webHidden/>
              </w:rPr>
              <w:instrText xml:space="preserve"> PAGEREF _Toc7528132 \h </w:instrText>
            </w:r>
            <w:r w:rsidR="00543738">
              <w:rPr>
                <w:noProof/>
                <w:webHidden/>
              </w:rPr>
            </w:r>
            <w:r w:rsidR="00543738">
              <w:rPr>
                <w:noProof/>
                <w:webHidden/>
              </w:rPr>
              <w:fldChar w:fldCharType="separate"/>
            </w:r>
            <w:r w:rsidR="00543738">
              <w:rPr>
                <w:noProof/>
                <w:webHidden/>
              </w:rPr>
              <w:t>26</w:t>
            </w:r>
            <w:r w:rsidR="00543738">
              <w:rPr>
                <w:noProof/>
                <w:webHidden/>
              </w:rPr>
              <w:fldChar w:fldCharType="end"/>
            </w:r>
          </w:hyperlink>
        </w:p>
        <w:p w14:paraId="12EA2D44" w14:textId="77777777" w:rsidR="00543738" w:rsidRDefault="007647FF">
          <w:pPr>
            <w:pStyle w:val="TOC1"/>
            <w:tabs>
              <w:tab w:val="left" w:pos="440"/>
              <w:tab w:val="right" w:leader="dot" w:pos="9016"/>
            </w:tabs>
            <w:rPr>
              <w:rFonts w:asciiTheme="minorHAnsi" w:hAnsiTheme="minorHAnsi"/>
              <w:noProof/>
              <w:lang w:eastAsia="en-AU"/>
            </w:rPr>
          </w:pPr>
          <w:hyperlink w:anchor="_Toc7528133" w:history="1">
            <w:r w:rsidR="00543738" w:rsidRPr="0024562C">
              <w:rPr>
                <w:rStyle w:val="Hyperlink"/>
                <w:noProof/>
              </w:rPr>
              <w:t>9</w:t>
            </w:r>
            <w:r w:rsidR="00543738">
              <w:rPr>
                <w:rFonts w:asciiTheme="minorHAnsi" w:hAnsiTheme="minorHAnsi"/>
                <w:noProof/>
                <w:lang w:eastAsia="en-AU"/>
              </w:rPr>
              <w:tab/>
            </w:r>
            <w:r w:rsidR="00543738" w:rsidRPr="0024562C">
              <w:rPr>
                <w:rStyle w:val="Hyperlink"/>
                <w:noProof/>
              </w:rPr>
              <w:t>Legislative and administrative arrangements</w:t>
            </w:r>
            <w:r w:rsidR="00543738">
              <w:rPr>
                <w:noProof/>
                <w:webHidden/>
              </w:rPr>
              <w:tab/>
            </w:r>
            <w:r w:rsidR="00543738">
              <w:rPr>
                <w:noProof/>
                <w:webHidden/>
              </w:rPr>
              <w:fldChar w:fldCharType="begin"/>
            </w:r>
            <w:r w:rsidR="00543738">
              <w:rPr>
                <w:noProof/>
                <w:webHidden/>
              </w:rPr>
              <w:instrText xml:space="preserve"> PAGEREF _Toc7528133 \h </w:instrText>
            </w:r>
            <w:r w:rsidR="00543738">
              <w:rPr>
                <w:noProof/>
                <w:webHidden/>
              </w:rPr>
            </w:r>
            <w:r w:rsidR="00543738">
              <w:rPr>
                <w:noProof/>
                <w:webHidden/>
              </w:rPr>
              <w:fldChar w:fldCharType="separate"/>
            </w:r>
            <w:r w:rsidR="00543738">
              <w:rPr>
                <w:noProof/>
                <w:webHidden/>
              </w:rPr>
              <w:t>27</w:t>
            </w:r>
            <w:r w:rsidR="00543738">
              <w:rPr>
                <w:noProof/>
                <w:webHidden/>
              </w:rPr>
              <w:fldChar w:fldCharType="end"/>
            </w:r>
          </w:hyperlink>
        </w:p>
        <w:p w14:paraId="3CD74798" w14:textId="77777777" w:rsidR="00543738" w:rsidRDefault="007647FF">
          <w:pPr>
            <w:pStyle w:val="TOC2"/>
            <w:tabs>
              <w:tab w:val="left" w:pos="880"/>
              <w:tab w:val="right" w:leader="dot" w:pos="9016"/>
            </w:tabs>
            <w:rPr>
              <w:rFonts w:asciiTheme="minorHAnsi" w:hAnsiTheme="minorHAnsi"/>
              <w:noProof/>
              <w:lang w:eastAsia="en-AU"/>
            </w:rPr>
          </w:pPr>
          <w:hyperlink w:anchor="_Toc7528134" w:history="1">
            <w:r w:rsidR="00543738" w:rsidRPr="0024562C">
              <w:rPr>
                <w:rStyle w:val="Hyperlink"/>
                <w:noProof/>
                <w14:scene3d>
                  <w14:camera w14:prst="orthographicFront"/>
                  <w14:lightRig w14:rig="threePt" w14:dir="t">
                    <w14:rot w14:lat="0" w14:lon="0" w14:rev="0"/>
                  </w14:lightRig>
                </w14:scene3d>
              </w:rPr>
              <w:t>9.1</w:t>
            </w:r>
            <w:r w:rsidR="00543738">
              <w:rPr>
                <w:rFonts w:asciiTheme="minorHAnsi" w:hAnsiTheme="minorHAnsi"/>
                <w:noProof/>
                <w:lang w:eastAsia="en-AU"/>
              </w:rPr>
              <w:tab/>
            </w:r>
            <w:r w:rsidR="00543738" w:rsidRPr="0024562C">
              <w:rPr>
                <w:rStyle w:val="Hyperlink"/>
                <w:noProof/>
              </w:rPr>
              <w:t>Review of existing legislative and administrative arrangements</w:t>
            </w:r>
            <w:r w:rsidR="00543738">
              <w:rPr>
                <w:noProof/>
                <w:webHidden/>
              </w:rPr>
              <w:tab/>
            </w:r>
            <w:r w:rsidR="00543738">
              <w:rPr>
                <w:noProof/>
                <w:webHidden/>
              </w:rPr>
              <w:fldChar w:fldCharType="begin"/>
            </w:r>
            <w:r w:rsidR="00543738">
              <w:rPr>
                <w:noProof/>
                <w:webHidden/>
              </w:rPr>
              <w:instrText xml:space="preserve"> PAGEREF _Toc7528134 \h </w:instrText>
            </w:r>
            <w:r w:rsidR="00543738">
              <w:rPr>
                <w:noProof/>
                <w:webHidden/>
              </w:rPr>
            </w:r>
            <w:r w:rsidR="00543738">
              <w:rPr>
                <w:noProof/>
                <w:webHidden/>
              </w:rPr>
              <w:fldChar w:fldCharType="separate"/>
            </w:r>
            <w:r w:rsidR="00543738">
              <w:rPr>
                <w:noProof/>
                <w:webHidden/>
              </w:rPr>
              <w:t>27</w:t>
            </w:r>
            <w:r w:rsidR="00543738">
              <w:rPr>
                <w:noProof/>
                <w:webHidden/>
              </w:rPr>
              <w:fldChar w:fldCharType="end"/>
            </w:r>
          </w:hyperlink>
        </w:p>
        <w:p w14:paraId="29E26D68" w14:textId="77777777" w:rsidR="00543738" w:rsidRDefault="007647FF">
          <w:pPr>
            <w:pStyle w:val="TOC1"/>
            <w:tabs>
              <w:tab w:val="left" w:pos="660"/>
              <w:tab w:val="right" w:leader="dot" w:pos="9016"/>
            </w:tabs>
            <w:rPr>
              <w:rFonts w:asciiTheme="minorHAnsi" w:hAnsiTheme="minorHAnsi"/>
              <w:noProof/>
              <w:lang w:eastAsia="en-AU"/>
            </w:rPr>
          </w:pPr>
          <w:hyperlink w:anchor="_Toc7528135" w:history="1">
            <w:r w:rsidR="00543738" w:rsidRPr="0024562C">
              <w:rPr>
                <w:rStyle w:val="Hyperlink"/>
                <w:noProof/>
              </w:rPr>
              <w:t>10</w:t>
            </w:r>
            <w:r w:rsidR="00543738">
              <w:rPr>
                <w:rFonts w:asciiTheme="minorHAnsi" w:hAnsiTheme="minorHAnsi"/>
                <w:noProof/>
                <w:lang w:eastAsia="en-AU"/>
              </w:rPr>
              <w:tab/>
            </w:r>
            <w:r w:rsidR="00543738" w:rsidRPr="0024562C">
              <w:rPr>
                <w:rStyle w:val="Hyperlink"/>
                <w:noProof/>
              </w:rPr>
              <w:t>Managing the agreement</w:t>
            </w:r>
            <w:r w:rsidR="00543738">
              <w:rPr>
                <w:noProof/>
                <w:webHidden/>
              </w:rPr>
              <w:tab/>
            </w:r>
            <w:r w:rsidR="00543738">
              <w:rPr>
                <w:noProof/>
                <w:webHidden/>
              </w:rPr>
              <w:fldChar w:fldCharType="begin"/>
            </w:r>
            <w:r w:rsidR="00543738">
              <w:rPr>
                <w:noProof/>
                <w:webHidden/>
              </w:rPr>
              <w:instrText xml:space="preserve"> PAGEREF _Toc7528135 \h </w:instrText>
            </w:r>
            <w:r w:rsidR="00543738">
              <w:rPr>
                <w:noProof/>
                <w:webHidden/>
              </w:rPr>
            </w:r>
            <w:r w:rsidR="00543738">
              <w:rPr>
                <w:noProof/>
                <w:webHidden/>
              </w:rPr>
              <w:fldChar w:fldCharType="separate"/>
            </w:r>
            <w:r w:rsidR="00543738">
              <w:rPr>
                <w:noProof/>
                <w:webHidden/>
              </w:rPr>
              <w:t>28</w:t>
            </w:r>
            <w:r w:rsidR="00543738">
              <w:rPr>
                <w:noProof/>
                <w:webHidden/>
              </w:rPr>
              <w:fldChar w:fldCharType="end"/>
            </w:r>
          </w:hyperlink>
        </w:p>
        <w:p w14:paraId="6E8C0ACA" w14:textId="77777777" w:rsidR="00543738" w:rsidRDefault="007647FF">
          <w:pPr>
            <w:pStyle w:val="TOC2"/>
            <w:tabs>
              <w:tab w:val="left" w:pos="880"/>
              <w:tab w:val="right" w:leader="dot" w:pos="9016"/>
            </w:tabs>
            <w:rPr>
              <w:rFonts w:asciiTheme="minorHAnsi" w:hAnsiTheme="minorHAnsi"/>
              <w:noProof/>
              <w:lang w:eastAsia="en-AU"/>
            </w:rPr>
          </w:pPr>
          <w:hyperlink w:anchor="_Toc7528136" w:history="1">
            <w:r w:rsidR="00543738" w:rsidRPr="0024562C">
              <w:rPr>
                <w:rStyle w:val="Hyperlink"/>
                <w:noProof/>
                <w14:scene3d>
                  <w14:camera w14:prst="orthographicFront"/>
                  <w14:lightRig w14:rig="threePt" w14:dir="t">
                    <w14:rot w14:lat="0" w14:lon="0" w14:rev="0"/>
                  </w14:lightRig>
                </w14:scene3d>
              </w:rPr>
              <w:t>10.1</w:t>
            </w:r>
            <w:r w:rsidR="00543738">
              <w:rPr>
                <w:rFonts w:asciiTheme="minorHAnsi" w:hAnsiTheme="minorHAnsi"/>
                <w:noProof/>
                <w:lang w:eastAsia="en-AU"/>
              </w:rPr>
              <w:tab/>
            </w:r>
            <w:r w:rsidR="00543738" w:rsidRPr="0024562C">
              <w:rPr>
                <w:rStyle w:val="Hyperlink"/>
                <w:noProof/>
              </w:rPr>
              <w:t>Representatives of the parties</w:t>
            </w:r>
            <w:r w:rsidR="00543738">
              <w:rPr>
                <w:noProof/>
                <w:webHidden/>
              </w:rPr>
              <w:tab/>
            </w:r>
            <w:r w:rsidR="00543738">
              <w:rPr>
                <w:noProof/>
                <w:webHidden/>
              </w:rPr>
              <w:fldChar w:fldCharType="begin"/>
            </w:r>
            <w:r w:rsidR="00543738">
              <w:rPr>
                <w:noProof/>
                <w:webHidden/>
              </w:rPr>
              <w:instrText xml:space="preserve"> PAGEREF _Toc7528136 \h </w:instrText>
            </w:r>
            <w:r w:rsidR="00543738">
              <w:rPr>
                <w:noProof/>
                <w:webHidden/>
              </w:rPr>
            </w:r>
            <w:r w:rsidR="00543738">
              <w:rPr>
                <w:noProof/>
                <w:webHidden/>
              </w:rPr>
              <w:fldChar w:fldCharType="separate"/>
            </w:r>
            <w:r w:rsidR="00543738">
              <w:rPr>
                <w:noProof/>
                <w:webHidden/>
              </w:rPr>
              <w:t>28</w:t>
            </w:r>
            <w:r w:rsidR="00543738">
              <w:rPr>
                <w:noProof/>
                <w:webHidden/>
              </w:rPr>
              <w:fldChar w:fldCharType="end"/>
            </w:r>
          </w:hyperlink>
        </w:p>
        <w:p w14:paraId="0D86E9B0" w14:textId="77777777" w:rsidR="00543738" w:rsidRDefault="007647FF">
          <w:pPr>
            <w:pStyle w:val="TOC2"/>
            <w:tabs>
              <w:tab w:val="left" w:pos="880"/>
              <w:tab w:val="right" w:leader="dot" w:pos="9016"/>
            </w:tabs>
            <w:rPr>
              <w:rFonts w:asciiTheme="minorHAnsi" w:hAnsiTheme="minorHAnsi"/>
              <w:noProof/>
              <w:lang w:eastAsia="en-AU"/>
            </w:rPr>
          </w:pPr>
          <w:hyperlink w:anchor="_Toc7528137" w:history="1">
            <w:r w:rsidR="00543738" w:rsidRPr="0024562C">
              <w:rPr>
                <w:rStyle w:val="Hyperlink"/>
                <w:noProof/>
                <w14:scene3d>
                  <w14:camera w14:prst="orthographicFront"/>
                  <w14:lightRig w14:rig="threePt" w14:dir="t">
                    <w14:rot w14:lat="0" w14:lon="0" w14:rev="0"/>
                  </w14:lightRig>
                </w14:scene3d>
              </w:rPr>
              <w:t>10.2</w:t>
            </w:r>
            <w:r w:rsidR="00543738">
              <w:rPr>
                <w:rFonts w:asciiTheme="minorHAnsi" w:hAnsiTheme="minorHAnsi"/>
                <w:noProof/>
                <w:lang w:eastAsia="en-AU"/>
              </w:rPr>
              <w:tab/>
            </w:r>
            <w:r w:rsidR="00543738" w:rsidRPr="0024562C">
              <w:rPr>
                <w:rStyle w:val="Hyperlink"/>
                <w:noProof/>
              </w:rPr>
              <w:t>Notifications</w:t>
            </w:r>
            <w:r w:rsidR="00543738">
              <w:rPr>
                <w:noProof/>
                <w:webHidden/>
              </w:rPr>
              <w:tab/>
            </w:r>
            <w:r w:rsidR="00543738">
              <w:rPr>
                <w:noProof/>
                <w:webHidden/>
              </w:rPr>
              <w:fldChar w:fldCharType="begin"/>
            </w:r>
            <w:r w:rsidR="00543738">
              <w:rPr>
                <w:noProof/>
                <w:webHidden/>
              </w:rPr>
              <w:instrText xml:space="preserve"> PAGEREF _Toc7528137 \h </w:instrText>
            </w:r>
            <w:r w:rsidR="00543738">
              <w:rPr>
                <w:noProof/>
                <w:webHidden/>
              </w:rPr>
            </w:r>
            <w:r w:rsidR="00543738">
              <w:rPr>
                <w:noProof/>
                <w:webHidden/>
              </w:rPr>
              <w:fldChar w:fldCharType="separate"/>
            </w:r>
            <w:r w:rsidR="00543738">
              <w:rPr>
                <w:noProof/>
                <w:webHidden/>
              </w:rPr>
              <w:t>28</w:t>
            </w:r>
            <w:r w:rsidR="00543738">
              <w:rPr>
                <w:noProof/>
                <w:webHidden/>
              </w:rPr>
              <w:fldChar w:fldCharType="end"/>
            </w:r>
          </w:hyperlink>
        </w:p>
        <w:p w14:paraId="0BBFB39F" w14:textId="77777777" w:rsidR="00543738" w:rsidRDefault="007647FF">
          <w:pPr>
            <w:pStyle w:val="TOC2"/>
            <w:tabs>
              <w:tab w:val="left" w:pos="880"/>
              <w:tab w:val="right" w:leader="dot" w:pos="9016"/>
            </w:tabs>
            <w:rPr>
              <w:rFonts w:asciiTheme="minorHAnsi" w:hAnsiTheme="minorHAnsi"/>
              <w:noProof/>
              <w:lang w:eastAsia="en-AU"/>
            </w:rPr>
          </w:pPr>
          <w:hyperlink w:anchor="_Toc7528138" w:history="1">
            <w:r w:rsidR="00543738" w:rsidRPr="0024562C">
              <w:rPr>
                <w:rStyle w:val="Hyperlink"/>
                <w:noProof/>
                <w14:scene3d>
                  <w14:camera w14:prst="orthographicFront"/>
                  <w14:lightRig w14:rig="threePt" w14:dir="t">
                    <w14:rot w14:lat="0" w14:lon="0" w14:rev="0"/>
                  </w14:lightRig>
                </w14:scene3d>
              </w:rPr>
              <w:t>10.3</w:t>
            </w:r>
            <w:r w:rsidR="00543738">
              <w:rPr>
                <w:rFonts w:asciiTheme="minorHAnsi" w:hAnsiTheme="minorHAnsi"/>
                <w:noProof/>
                <w:lang w:eastAsia="en-AU"/>
              </w:rPr>
              <w:tab/>
            </w:r>
            <w:r w:rsidR="00543738" w:rsidRPr="0024562C">
              <w:rPr>
                <w:rStyle w:val="Hyperlink"/>
                <w:noProof/>
              </w:rPr>
              <w:t>Custodian of the Agreement</w:t>
            </w:r>
            <w:r w:rsidR="00543738">
              <w:rPr>
                <w:noProof/>
                <w:webHidden/>
              </w:rPr>
              <w:tab/>
            </w:r>
            <w:r w:rsidR="00543738">
              <w:rPr>
                <w:noProof/>
                <w:webHidden/>
              </w:rPr>
              <w:fldChar w:fldCharType="begin"/>
            </w:r>
            <w:r w:rsidR="00543738">
              <w:rPr>
                <w:noProof/>
                <w:webHidden/>
              </w:rPr>
              <w:instrText xml:space="preserve"> PAGEREF _Toc7528138 \h </w:instrText>
            </w:r>
            <w:r w:rsidR="00543738">
              <w:rPr>
                <w:noProof/>
                <w:webHidden/>
              </w:rPr>
            </w:r>
            <w:r w:rsidR="00543738">
              <w:rPr>
                <w:noProof/>
                <w:webHidden/>
              </w:rPr>
              <w:fldChar w:fldCharType="separate"/>
            </w:r>
            <w:r w:rsidR="00543738">
              <w:rPr>
                <w:noProof/>
                <w:webHidden/>
              </w:rPr>
              <w:t>28</w:t>
            </w:r>
            <w:r w:rsidR="00543738">
              <w:rPr>
                <w:noProof/>
                <w:webHidden/>
              </w:rPr>
              <w:fldChar w:fldCharType="end"/>
            </w:r>
          </w:hyperlink>
        </w:p>
        <w:p w14:paraId="545A9475" w14:textId="77777777" w:rsidR="00543738" w:rsidRDefault="007647FF">
          <w:pPr>
            <w:pStyle w:val="TOC2"/>
            <w:tabs>
              <w:tab w:val="left" w:pos="880"/>
              <w:tab w:val="right" w:leader="dot" w:pos="9016"/>
            </w:tabs>
            <w:rPr>
              <w:rFonts w:asciiTheme="minorHAnsi" w:hAnsiTheme="minorHAnsi"/>
              <w:noProof/>
              <w:lang w:eastAsia="en-AU"/>
            </w:rPr>
          </w:pPr>
          <w:hyperlink w:anchor="_Toc7528139" w:history="1">
            <w:r w:rsidR="00543738" w:rsidRPr="0024562C">
              <w:rPr>
                <w:rStyle w:val="Hyperlink"/>
                <w:noProof/>
                <w14:scene3d>
                  <w14:camera w14:prst="orthographicFront"/>
                  <w14:lightRig w14:rig="threePt" w14:dir="t">
                    <w14:rot w14:lat="0" w14:lon="0" w14:rev="0"/>
                  </w14:lightRig>
                </w14:scene3d>
              </w:rPr>
              <w:t>10.4</w:t>
            </w:r>
            <w:r w:rsidR="00543738">
              <w:rPr>
                <w:rFonts w:asciiTheme="minorHAnsi" w:hAnsiTheme="minorHAnsi"/>
                <w:noProof/>
                <w:lang w:eastAsia="en-AU"/>
              </w:rPr>
              <w:tab/>
            </w:r>
            <w:r w:rsidR="00543738" w:rsidRPr="0024562C">
              <w:rPr>
                <w:rStyle w:val="Hyperlink"/>
                <w:noProof/>
              </w:rPr>
              <w:t>Schedules to agreement</w:t>
            </w:r>
            <w:r w:rsidR="00543738">
              <w:rPr>
                <w:noProof/>
                <w:webHidden/>
              </w:rPr>
              <w:tab/>
            </w:r>
            <w:r w:rsidR="00543738">
              <w:rPr>
                <w:noProof/>
                <w:webHidden/>
              </w:rPr>
              <w:fldChar w:fldCharType="begin"/>
            </w:r>
            <w:r w:rsidR="00543738">
              <w:rPr>
                <w:noProof/>
                <w:webHidden/>
              </w:rPr>
              <w:instrText xml:space="preserve"> PAGEREF _Toc7528139 \h </w:instrText>
            </w:r>
            <w:r w:rsidR="00543738">
              <w:rPr>
                <w:noProof/>
                <w:webHidden/>
              </w:rPr>
            </w:r>
            <w:r w:rsidR="00543738">
              <w:rPr>
                <w:noProof/>
                <w:webHidden/>
              </w:rPr>
              <w:fldChar w:fldCharType="separate"/>
            </w:r>
            <w:r w:rsidR="00543738">
              <w:rPr>
                <w:noProof/>
                <w:webHidden/>
              </w:rPr>
              <w:t>28</w:t>
            </w:r>
            <w:r w:rsidR="00543738">
              <w:rPr>
                <w:noProof/>
                <w:webHidden/>
              </w:rPr>
              <w:fldChar w:fldCharType="end"/>
            </w:r>
          </w:hyperlink>
        </w:p>
        <w:p w14:paraId="31FE2119" w14:textId="77777777" w:rsidR="00543738" w:rsidRDefault="007647FF">
          <w:pPr>
            <w:pStyle w:val="TOC1"/>
            <w:tabs>
              <w:tab w:val="left" w:pos="660"/>
              <w:tab w:val="right" w:leader="dot" w:pos="9016"/>
            </w:tabs>
            <w:rPr>
              <w:rFonts w:asciiTheme="minorHAnsi" w:hAnsiTheme="minorHAnsi"/>
              <w:noProof/>
              <w:lang w:eastAsia="en-AU"/>
            </w:rPr>
          </w:pPr>
          <w:hyperlink w:anchor="_Toc7528140" w:history="1">
            <w:r w:rsidR="00543738" w:rsidRPr="0024562C">
              <w:rPr>
                <w:rStyle w:val="Hyperlink"/>
                <w:noProof/>
              </w:rPr>
              <w:t>11</w:t>
            </w:r>
            <w:r w:rsidR="00543738">
              <w:rPr>
                <w:rFonts w:asciiTheme="minorHAnsi" w:hAnsiTheme="minorHAnsi"/>
                <w:noProof/>
                <w:lang w:eastAsia="en-AU"/>
              </w:rPr>
              <w:tab/>
            </w:r>
            <w:r w:rsidR="00543738" w:rsidRPr="0024562C">
              <w:rPr>
                <w:rStyle w:val="Hyperlink"/>
                <w:noProof/>
              </w:rPr>
              <w:t>Dispute resolution</w:t>
            </w:r>
            <w:r w:rsidR="00543738">
              <w:rPr>
                <w:noProof/>
                <w:webHidden/>
              </w:rPr>
              <w:tab/>
            </w:r>
            <w:r w:rsidR="00543738">
              <w:rPr>
                <w:noProof/>
                <w:webHidden/>
              </w:rPr>
              <w:fldChar w:fldCharType="begin"/>
            </w:r>
            <w:r w:rsidR="00543738">
              <w:rPr>
                <w:noProof/>
                <w:webHidden/>
              </w:rPr>
              <w:instrText xml:space="preserve"> PAGEREF _Toc7528140 \h </w:instrText>
            </w:r>
            <w:r w:rsidR="00543738">
              <w:rPr>
                <w:noProof/>
                <w:webHidden/>
              </w:rPr>
            </w:r>
            <w:r w:rsidR="00543738">
              <w:rPr>
                <w:noProof/>
                <w:webHidden/>
              </w:rPr>
              <w:fldChar w:fldCharType="separate"/>
            </w:r>
            <w:r w:rsidR="00543738">
              <w:rPr>
                <w:noProof/>
                <w:webHidden/>
              </w:rPr>
              <w:t>28</w:t>
            </w:r>
            <w:r w:rsidR="00543738">
              <w:rPr>
                <w:noProof/>
                <w:webHidden/>
              </w:rPr>
              <w:fldChar w:fldCharType="end"/>
            </w:r>
          </w:hyperlink>
        </w:p>
        <w:p w14:paraId="7D4898B1" w14:textId="77777777" w:rsidR="00543738" w:rsidRDefault="007647FF">
          <w:pPr>
            <w:pStyle w:val="TOC2"/>
            <w:tabs>
              <w:tab w:val="left" w:pos="880"/>
              <w:tab w:val="right" w:leader="dot" w:pos="9016"/>
            </w:tabs>
            <w:rPr>
              <w:rFonts w:asciiTheme="minorHAnsi" w:hAnsiTheme="minorHAnsi"/>
              <w:noProof/>
              <w:lang w:eastAsia="en-AU"/>
            </w:rPr>
          </w:pPr>
          <w:hyperlink w:anchor="_Toc7528141" w:history="1">
            <w:r w:rsidR="00543738" w:rsidRPr="0024562C">
              <w:rPr>
                <w:rStyle w:val="Hyperlink"/>
                <w:noProof/>
                <w14:scene3d>
                  <w14:camera w14:prst="orthographicFront"/>
                  <w14:lightRig w14:rig="threePt" w14:dir="t">
                    <w14:rot w14:lat="0" w14:lon="0" w14:rev="0"/>
                  </w14:lightRig>
                </w14:scene3d>
              </w:rPr>
              <w:t>11.1</w:t>
            </w:r>
            <w:r w:rsidR="00543738">
              <w:rPr>
                <w:rFonts w:asciiTheme="minorHAnsi" w:hAnsiTheme="minorHAnsi"/>
                <w:noProof/>
                <w:lang w:eastAsia="en-AU"/>
              </w:rPr>
              <w:tab/>
            </w:r>
            <w:r w:rsidR="00543738" w:rsidRPr="0024562C">
              <w:rPr>
                <w:rStyle w:val="Hyperlink"/>
                <w:noProof/>
              </w:rPr>
              <w:t>The Process for resolving disputes</w:t>
            </w:r>
            <w:r w:rsidR="00543738">
              <w:rPr>
                <w:noProof/>
                <w:webHidden/>
              </w:rPr>
              <w:tab/>
            </w:r>
            <w:r w:rsidR="00543738">
              <w:rPr>
                <w:noProof/>
                <w:webHidden/>
              </w:rPr>
              <w:fldChar w:fldCharType="begin"/>
            </w:r>
            <w:r w:rsidR="00543738">
              <w:rPr>
                <w:noProof/>
                <w:webHidden/>
              </w:rPr>
              <w:instrText xml:space="preserve"> PAGEREF _Toc7528141 \h </w:instrText>
            </w:r>
            <w:r w:rsidR="00543738">
              <w:rPr>
                <w:noProof/>
                <w:webHidden/>
              </w:rPr>
            </w:r>
            <w:r w:rsidR="00543738">
              <w:rPr>
                <w:noProof/>
                <w:webHidden/>
              </w:rPr>
              <w:fldChar w:fldCharType="separate"/>
            </w:r>
            <w:r w:rsidR="00543738">
              <w:rPr>
                <w:noProof/>
                <w:webHidden/>
              </w:rPr>
              <w:t>28</w:t>
            </w:r>
            <w:r w:rsidR="00543738">
              <w:rPr>
                <w:noProof/>
                <w:webHidden/>
              </w:rPr>
              <w:fldChar w:fldCharType="end"/>
            </w:r>
          </w:hyperlink>
        </w:p>
        <w:p w14:paraId="6516AB9F" w14:textId="77777777" w:rsidR="00543738" w:rsidRDefault="007647FF">
          <w:pPr>
            <w:pStyle w:val="TOC1"/>
            <w:tabs>
              <w:tab w:val="left" w:pos="660"/>
              <w:tab w:val="right" w:leader="dot" w:pos="9016"/>
            </w:tabs>
            <w:rPr>
              <w:rFonts w:asciiTheme="minorHAnsi" w:hAnsiTheme="minorHAnsi"/>
              <w:noProof/>
              <w:lang w:eastAsia="en-AU"/>
            </w:rPr>
          </w:pPr>
          <w:hyperlink w:anchor="_Toc7528142" w:history="1">
            <w:r w:rsidR="00543738" w:rsidRPr="0024562C">
              <w:rPr>
                <w:rStyle w:val="Hyperlink"/>
                <w:noProof/>
              </w:rPr>
              <w:t>12</w:t>
            </w:r>
            <w:r w:rsidR="00543738">
              <w:rPr>
                <w:rFonts w:asciiTheme="minorHAnsi" w:hAnsiTheme="minorHAnsi"/>
                <w:noProof/>
                <w:lang w:eastAsia="en-AU"/>
              </w:rPr>
              <w:tab/>
            </w:r>
            <w:r w:rsidR="00543738" w:rsidRPr="0024562C">
              <w:rPr>
                <w:rStyle w:val="Hyperlink"/>
                <w:noProof/>
              </w:rPr>
              <w:t>Commencement and termination</w:t>
            </w:r>
            <w:r w:rsidR="00543738">
              <w:rPr>
                <w:noProof/>
                <w:webHidden/>
              </w:rPr>
              <w:tab/>
            </w:r>
            <w:r w:rsidR="00543738">
              <w:rPr>
                <w:noProof/>
                <w:webHidden/>
              </w:rPr>
              <w:fldChar w:fldCharType="begin"/>
            </w:r>
            <w:r w:rsidR="00543738">
              <w:rPr>
                <w:noProof/>
                <w:webHidden/>
              </w:rPr>
              <w:instrText xml:space="preserve"> PAGEREF _Toc7528142 \h </w:instrText>
            </w:r>
            <w:r w:rsidR="00543738">
              <w:rPr>
                <w:noProof/>
                <w:webHidden/>
              </w:rPr>
            </w:r>
            <w:r w:rsidR="00543738">
              <w:rPr>
                <w:noProof/>
                <w:webHidden/>
              </w:rPr>
              <w:fldChar w:fldCharType="separate"/>
            </w:r>
            <w:r w:rsidR="00543738">
              <w:rPr>
                <w:noProof/>
                <w:webHidden/>
              </w:rPr>
              <w:t>29</w:t>
            </w:r>
            <w:r w:rsidR="00543738">
              <w:rPr>
                <w:noProof/>
                <w:webHidden/>
              </w:rPr>
              <w:fldChar w:fldCharType="end"/>
            </w:r>
          </w:hyperlink>
        </w:p>
        <w:p w14:paraId="31C2CD34" w14:textId="77777777" w:rsidR="00543738" w:rsidRDefault="007647FF">
          <w:pPr>
            <w:pStyle w:val="TOC2"/>
            <w:tabs>
              <w:tab w:val="left" w:pos="880"/>
              <w:tab w:val="right" w:leader="dot" w:pos="9016"/>
            </w:tabs>
            <w:rPr>
              <w:rFonts w:asciiTheme="minorHAnsi" w:hAnsiTheme="minorHAnsi"/>
              <w:noProof/>
              <w:lang w:eastAsia="en-AU"/>
            </w:rPr>
          </w:pPr>
          <w:hyperlink w:anchor="_Toc7528143" w:history="1">
            <w:r w:rsidR="00543738" w:rsidRPr="0024562C">
              <w:rPr>
                <w:rStyle w:val="Hyperlink"/>
                <w:noProof/>
                <w14:scene3d>
                  <w14:camera w14:prst="orthographicFront"/>
                  <w14:lightRig w14:rig="threePt" w14:dir="t">
                    <w14:rot w14:lat="0" w14:lon="0" w14:rev="0"/>
                  </w14:lightRig>
                </w14:scene3d>
              </w:rPr>
              <w:t>12.1</w:t>
            </w:r>
            <w:r w:rsidR="00543738">
              <w:rPr>
                <w:rFonts w:asciiTheme="minorHAnsi" w:hAnsiTheme="minorHAnsi"/>
                <w:noProof/>
                <w:lang w:eastAsia="en-AU"/>
              </w:rPr>
              <w:tab/>
            </w:r>
            <w:r w:rsidR="00543738" w:rsidRPr="0024562C">
              <w:rPr>
                <w:rStyle w:val="Hyperlink"/>
                <w:noProof/>
              </w:rPr>
              <w:t>Commencement</w:t>
            </w:r>
            <w:r w:rsidR="00543738">
              <w:rPr>
                <w:noProof/>
                <w:webHidden/>
              </w:rPr>
              <w:tab/>
            </w:r>
            <w:r w:rsidR="00543738">
              <w:rPr>
                <w:noProof/>
                <w:webHidden/>
              </w:rPr>
              <w:fldChar w:fldCharType="begin"/>
            </w:r>
            <w:r w:rsidR="00543738">
              <w:rPr>
                <w:noProof/>
                <w:webHidden/>
              </w:rPr>
              <w:instrText xml:space="preserve"> PAGEREF _Toc7528143 \h </w:instrText>
            </w:r>
            <w:r w:rsidR="00543738">
              <w:rPr>
                <w:noProof/>
                <w:webHidden/>
              </w:rPr>
            </w:r>
            <w:r w:rsidR="00543738">
              <w:rPr>
                <w:noProof/>
                <w:webHidden/>
              </w:rPr>
              <w:fldChar w:fldCharType="separate"/>
            </w:r>
            <w:r w:rsidR="00543738">
              <w:rPr>
                <w:noProof/>
                <w:webHidden/>
              </w:rPr>
              <w:t>29</w:t>
            </w:r>
            <w:r w:rsidR="00543738">
              <w:rPr>
                <w:noProof/>
                <w:webHidden/>
              </w:rPr>
              <w:fldChar w:fldCharType="end"/>
            </w:r>
          </w:hyperlink>
        </w:p>
        <w:p w14:paraId="19470096" w14:textId="77777777" w:rsidR="00543738" w:rsidRDefault="007647FF">
          <w:pPr>
            <w:pStyle w:val="TOC2"/>
            <w:tabs>
              <w:tab w:val="left" w:pos="880"/>
              <w:tab w:val="right" w:leader="dot" w:pos="9016"/>
            </w:tabs>
            <w:rPr>
              <w:rFonts w:asciiTheme="minorHAnsi" w:hAnsiTheme="minorHAnsi"/>
              <w:noProof/>
              <w:lang w:eastAsia="en-AU"/>
            </w:rPr>
          </w:pPr>
          <w:hyperlink w:anchor="_Toc7528144" w:history="1">
            <w:r w:rsidR="00543738" w:rsidRPr="0024562C">
              <w:rPr>
                <w:rStyle w:val="Hyperlink"/>
                <w:noProof/>
                <w14:scene3d>
                  <w14:camera w14:prst="orthographicFront"/>
                  <w14:lightRig w14:rig="threePt" w14:dir="t">
                    <w14:rot w14:lat="0" w14:lon="0" w14:rev="0"/>
                  </w14:lightRig>
                </w14:scene3d>
              </w:rPr>
              <w:t>12.2</w:t>
            </w:r>
            <w:r w:rsidR="00543738">
              <w:rPr>
                <w:rFonts w:asciiTheme="minorHAnsi" w:hAnsiTheme="minorHAnsi"/>
                <w:noProof/>
                <w:lang w:eastAsia="en-AU"/>
              </w:rPr>
              <w:tab/>
            </w:r>
            <w:r w:rsidR="00543738" w:rsidRPr="0024562C">
              <w:rPr>
                <w:rStyle w:val="Hyperlink"/>
                <w:noProof/>
              </w:rPr>
              <w:t>Term</w:t>
            </w:r>
            <w:r w:rsidR="00543738">
              <w:rPr>
                <w:noProof/>
                <w:webHidden/>
              </w:rPr>
              <w:tab/>
            </w:r>
            <w:r w:rsidR="00543738">
              <w:rPr>
                <w:noProof/>
                <w:webHidden/>
              </w:rPr>
              <w:fldChar w:fldCharType="begin"/>
            </w:r>
            <w:r w:rsidR="00543738">
              <w:rPr>
                <w:noProof/>
                <w:webHidden/>
              </w:rPr>
              <w:instrText xml:space="preserve"> PAGEREF _Toc7528144 \h </w:instrText>
            </w:r>
            <w:r w:rsidR="00543738">
              <w:rPr>
                <w:noProof/>
                <w:webHidden/>
              </w:rPr>
            </w:r>
            <w:r w:rsidR="00543738">
              <w:rPr>
                <w:noProof/>
                <w:webHidden/>
              </w:rPr>
              <w:fldChar w:fldCharType="separate"/>
            </w:r>
            <w:r w:rsidR="00543738">
              <w:rPr>
                <w:noProof/>
                <w:webHidden/>
              </w:rPr>
              <w:t>29</w:t>
            </w:r>
            <w:r w:rsidR="00543738">
              <w:rPr>
                <w:noProof/>
                <w:webHidden/>
              </w:rPr>
              <w:fldChar w:fldCharType="end"/>
            </w:r>
          </w:hyperlink>
        </w:p>
        <w:p w14:paraId="53EE32EA" w14:textId="77777777" w:rsidR="00543738" w:rsidRDefault="007647FF">
          <w:pPr>
            <w:pStyle w:val="TOC2"/>
            <w:tabs>
              <w:tab w:val="left" w:pos="880"/>
              <w:tab w:val="right" w:leader="dot" w:pos="9016"/>
            </w:tabs>
            <w:rPr>
              <w:rFonts w:asciiTheme="minorHAnsi" w:hAnsiTheme="minorHAnsi"/>
              <w:noProof/>
              <w:lang w:eastAsia="en-AU"/>
            </w:rPr>
          </w:pPr>
          <w:hyperlink w:anchor="_Toc7528145" w:history="1">
            <w:r w:rsidR="00543738" w:rsidRPr="0024562C">
              <w:rPr>
                <w:rStyle w:val="Hyperlink"/>
                <w:noProof/>
                <w14:scene3d>
                  <w14:camera w14:prst="orthographicFront"/>
                  <w14:lightRig w14:rig="threePt" w14:dir="t">
                    <w14:rot w14:lat="0" w14:lon="0" w14:rev="0"/>
                  </w14:lightRig>
                </w14:scene3d>
              </w:rPr>
              <w:t>12.3</w:t>
            </w:r>
            <w:r w:rsidR="00543738">
              <w:rPr>
                <w:rFonts w:asciiTheme="minorHAnsi" w:hAnsiTheme="minorHAnsi"/>
                <w:noProof/>
                <w:lang w:eastAsia="en-AU"/>
              </w:rPr>
              <w:tab/>
            </w:r>
            <w:r w:rsidR="00543738" w:rsidRPr="0024562C">
              <w:rPr>
                <w:rStyle w:val="Hyperlink"/>
                <w:noProof/>
              </w:rPr>
              <w:t>Termination</w:t>
            </w:r>
            <w:r w:rsidR="00543738">
              <w:rPr>
                <w:noProof/>
                <w:webHidden/>
              </w:rPr>
              <w:tab/>
            </w:r>
            <w:r w:rsidR="00543738">
              <w:rPr>
                <w:noProof/>
                <w:webHidden/>
              </w:rPr>
              <w:fldChar w:fldCharType="begin"/>
            </w:r>
            <w:r w:rsidR="00543738">
              <w:rPr>
                <w:noProof/>
                <w:webHidden/>
              </w:rPr>
              <w:instrText xml:space="preserve"> PAGEREF _Toc7528145 \h </w:instrText>
            </w:r>
            <w:r w:rsidR="00543738">
              <w:rPr>
                <w:noProof/>
                <w:webHidden/>
              </w:rPr>
            </w:r>
            <w:r w:rsidR="00543738">
              <w:rPr>
                <w:noProof/>
                <w:webHidden/>
              </w:rPr>
              <w:fldChar w:fldCharType="separate"/>
            </w:r>
            <w:r w:rsidR="00543738">
              <w:rPr>
                <w:noProof/>
                <w:webHidden/>
              </w:rPr>
              <w:t>29</w:t>
            </w:r>
            <w:r w:rsidR="00543738">
              <w:rPr>
                <w:noProof/>
                <w:webHidden/>
              </w:rPr>
              <w:fldChar w:fldCharType="end"/>
            </w:r>
          </w:hyperlink>
        </w:p>
        <w:p w14:paraId="74240C3A" w14:textId="77777777" w:rsidR="00543738" w:rsidRDefault="007647FF">
          <w:pPr>
            <w:pStyle w:val="TOC2"/>
            <w:tabs>
              <w:tab w:val="left" w:pos="880"/>
              <w:tab w:val="right" w:leader="dot" w:pos="9016"/>
            </w:tabs>
            <w:rPr>
              <w:rFonts w:asciiTheme="minorHAnsi" w:hAnsiTheme="minorHAnsi"/>
              <w:noProof/>
              <w:lang w:eastAsia="en-AU"/>
            </w:rPr>
          </w:pPr>
          <w:hyperlink w:anchor="_Toc7528146" w:history="1">
            <w:r w:rsidR="00543738" w:rsidRPr="0024562C">
              <w:rPr>
                <w:rStyle w:val="Hyperlink"/>
                <w:noProof/>
                <w14:scene3d>
                  <w14:camera w14:prst="orthographicFront"/>
                  <w14:lightRig w14:rig="threePt" w14:dir="t">
                    <w14:rot w14:lat="0" w14:lon="0" w14:rev="0"/>
                  </w14:lightRig>
                </w14:scene3d>
              </w:rPr>
              <w:t>12.4</w:t>
            </w:r>
            <w:r w:rsidR="00543738">
              <w:rPr>
                <w:rFonts w:asciiTheme="minorHAnsi" w:hAnsiTheme="minorHAnsi"/>
                <w:noProof/>
                <w:lang w:eastAsia="en-AU"/>
              </w:rPr>
              <w:tab/>
            </w:r>
            <w:r w:rsidR="00543738" w:rsidRPr="0024562C">
              <w:rPr>
                <w:rStyle w:val="Hyperlink"/>
                <w:noProof/>
              </w:rPr>
              <w:t>Withdrawal from this agreement</w:t>
            </w:r>
            <w:r w:rsidR="00543738">
              <w:rPr>
                <w:noProof/>
                <w:webHidden/>
              </w:rPr>
              <w:tab/>
            </w:r>
            <w:r w:rsidR="00543738">
              <w:rPr>
                <w:noProof/>
                <w:webHidden/>
              </w:rPr>
              <w:fldChar w:fldCharType="begin"/>
            </w:r>
            <w:r w:rsidR="00543738">
              <w:rPr>
                <w:noProof/>
                <w:webHidden/>
              </w:rPr>
              <w:instrText xml:space="preserve"> PAGEREF _Toc7528146 \h </w:instrText>
            </w:r>
            <w:r w:rsidR="00543738">
              <w:rPr>
                <w:noProof/>
                <w:webHidden/>
              </w:rPr>
            </w:r>
            <w:r w:rsidR="00543738">
              <w:rPr>
                <w:noProof/>
                <w:webHidden/>
              </w:rPr>
              <w:fldChar w:fldCharType="separate"/>
            </w:r>
            <w:r w:rsidR="00543738">
              <w:rPr>
                <w:noProof/>
                <w:webHidden/>
              </w:rPr>
              <w:t>29</w:t>
            </w:r>
            <w:r w:rsidR="00543738">
              <w:rPr>
                <w:noProof/>
                <w:webHidden/>
              </w:rPr>
              <w:fldChar w:fldCharType="end"/>
            </w:r>
          </w:hyperlink>
        </w:p>
        <w:p w14:paraId="25F60961" w14:textId="77777777" w:rsidR="00543738" w:rsidRDefault="007647FF">
          <w:pPr>
            <w:pStyle w:val="TOC1"/>
            <w:tabs>
              <w:tab w:val="left" w:pos="660"/>
              <w:tab w:val="right" w:leader="dot" w:pos="9016"/>
            </w:tabs>
            <w:rPr>
              <w:rFonts w:asciiTheme="minorHAnsi" w:hAnsiTheme="minorHAnsi"/>
              <w:noProof/>
              <w:lang w:eastAsia="en-AU"/>
            </w:rPr>
          </w:pPr>
          <w:hyperlink w:anchor="_Toc7528147" w:history="1">
            <w:r w:rsidR="00543738" w:rsidRPr="0024562C">
              <w:rPr>
                <w:rStyle w:val="Hyperlink"/>
                <w:noProof/>
              </w:rPr>
              <w:t>13</w:t>
            </w:r>
            <w:r w:rsidR="00543738">
              <w:rPr>
                <w:rFonts w:asciiTheme="minorHAnsi" w:hAnsiTheme="minorHAnsi"/>
                <w:noProof/>
                <w:lang w:eastAsia="en-AU"/>
              </w:rPr>
              <w:tab/>
            </w:r>
            <w:r w:rsidR="00543738" w:rsidRPr="0024562C">
              <w:rPr>
                <w:rStyle w:val="Hyperlink"/>
                <w:noProof/>
              </w:rPr>
              <w:t>Amendments to this agreement</w:t>
            </w:r>
            <w:r w:rsidR="00543738">
              <w:rPr>
                <w:noProof/>
                <w:webHidden/>
              </w:rPr>
              <w:tab/>
            </w:r>
            <w:r w:rsidR="00543738">
              <w:rPr>
                <w:noProof/>
                <w:webHidden/>
              </w:rPr>
              <w:fldChar w:fldCharType="begin"/>
            </w:r>
            <w:r w:rsidR="00543738">
              <w:rPr>
                <w:noProof/>
                <w:webHidden/>
              </w:rPr>
              <w:instrText xml:space="preserve"> PAGEREF _Toc7528147 \h </w:instrText>
            </w:r>
            <w:r w:rsidR="00543738">
              <w:rPr>
                <w:noProof/>
                <w:webHidden/>
              </w:rPr>
            </w:r>
            <w:r w:rsidR="00543738">
              <w:rPr>
                <w:noProof/>
                <w:webHidden/>
              </w:rPr>
              <w:fldChar w:fldCharType="separate"/>
            </w:r>
            <w:r w:rsidR="00543738">
              <w:rPr>
                <w:noProof/>
                <w:webHidden/>
              </w:rPr>
              <w:t>29</w:t>
            </w:r>
            <w:r w:rsidR="00543738">
              <w:rPr>
                <w:noProof/>
                <w:webHidden/>
              </w:rPr>
              <w:fldChar w:fldCharType="end"/>
            </w:r>
          </w:hyperlink>
        </w:p>
        <w:p w14:paraId="6AD28EE6" w14:textId="77777777" w:rsidR="00543738" w:rsidRDefault="007647FF">
          <w:pPr>
            <w:pStyle w:val="TOC2"/>
            <w:tabs>
              <w:tab w:val="left" w:pos="880"/>
              <w:tab w:val="right" w:leader="dot" w:pos="9016"/>
            </w:tabs>
            <w:rPr>
              <w:rFonts w:asciiTheme="minorHAnsi" w:hAnsiTheme="minorHAnsi"/>
              <w:noProof/>
              <w:lang w:eastAsia="en-AU"/>
            </w:rPr>
          </w:pPr>
          <w:hyperlink w:anchor="_Toc7528148" w:history="1">
            <w:r w:rsidR="00543738" w:rsidRPr="0024562C">
              <w:rPr>
                <w:rStyle w:val="Hyperlink"/>
                <w:noProof/>
                <w14:scene3d>
                  <w14:camera w14:prst="orthographicFront"/>
                  <w14:lightRig w14:rig="threePt" w14:dir="t">
                    <w14:rot w14:lat="0" w14:lon="0" w14:rev="0"/>
                  </w14:lightRig>
                </w14:scene3d>
              </w:rPr>
              <w:t>13.1</w:t>
            </w:r>
            <w:r w:rsidR="00543738">
              <w:rPr>
                <w:rFonts w:asciiTheme="minorHAnsi" w:hAnsiTheme="minorHAnsi"/>
                <w:noProof/>
                <w:lang w:eastAsia="en-AU"/>
              </w:rPr>
              <w:tab/>
            </w:r>
            <w:r w:rsidR="00543738" w:rsidRPr="0024562C">
              <w:rPr>
                <w:rStyle w:val="Hyperlink"/>
                <w:noProof/>
              </w:rPr>
              <w:t>Amendments to be in writing</w:t>
            </w:r>
            <w:r w:rsidR="00543738">
              <w:rPr>
                <w:noProof/>
                <w:webHidden/>
              </w:rPr>
              <w:tab/>
            </w:r>
            <w:r w:rsidR="00543738">
              <w:rPr>
                <w:noProof/>
                <w:webHidden/>
              </w:rPr>
              <w:fldChar w:fldCharType="begin"/>
            </w:r>
            <w:r w:rsidR="00543738">
              <w:rPr>
                <w:noProof/>
                <w:webHidden/>
              </w:rPr>
              <w:instrText xml:space="preserve"> PAGEREF _Toc7528148 \h </w:instrText>
            </w:r>
            <w:r w:rsidR="00543738">
              <w:rPr>
                <w:noProof/>
                <w:webHidden/>
              </w:rPr>
            </w:r>
            <w:r w:rsidR="00543738">
              <w:rPr>
                <w:noProof/>
                <w:webHidden/>
              </w:rPr>
              <w:fldChar w:fldCharType="separate"/>
            </w:r>
            <w:r w:rsidR="00543738">
              <w:rPr>
                <w:noProof/>
                <w:webHidden/>
              </w:rPr>
              <w:t>29</w:t>
            </w:r>
            <w:r w:rsidR="00543738">
              <w:rPr>
                <w:noProof/>
                <w:webHidden/>
              </w:rPr>
              <w:fldChar w:fldCharType="end"/>
            </w:r>
          </w:hyperlink>
        </w:p>
        <w:p w14:paraId="2AC10465" w14:textId="77777777" w:rsidR="00543738" w:rsidRDefault="007647FF">
          <w:pPr>
            <w:pStyle w:val="TOC2"/>
            <w:tabs>
              <w:tab w:val="left" w:pos="880"/>
              <w:tab w:val="right" w:leader="dot" w:pos="9016"/>
            </w:tabs>
            <w:rPr>
              <w:rFonts w:asciiTheme="minorHAnsi" w:hAnsiTheme="minorHAnsi"/>
              <w:noProof/>
              <w:lang w:eastAsia="en-AU"/>
            </w:rPr>
          </w:pPr>
          <w:hyperlink w:anchor="_Toc7528149" w:history="1">
            <w:r w:rsidR="00543738" w:rsidRPr="0024562C">
              <w:rPr>
                <w:rStyle w:val="Hyperlink"/>
                <w:noProof/>
                <w14:scene3d>
                  <w14:camera w14:prst="orthographicFront"/>
                  <w14:lightRig w14:rig="threePt" w14:dir="t">
                    <w14:rot w14:lat="0" w14:lon="0" w14:rev="0"/>
                  </w14:lightRig>
                </w14:scene3d>
              </w:rPr>
              <w:t>13.2</w:t>
            </w:r>
            <w:r w:rsidR="00543738">
              <w:rPr>
                <w:rFonts w:asciiTheme="minorHAnsi" w:hAnsiTheme="minorHAnsi"/>
                <w:noProof/>
                <w:lang w:eastAsia="en-AU"/>
              </w:rPr>
              <w:tab/>
            </w:r>
            <w:r w:rsidR="00543738" w:rsidRPr="0024562C">
              <w:rPr>
                <w:rStyle w:val="Hyperlink"/>
                <w:noProof/>
              </w:rPr>
              <w:t>Counterparts</w:t>
            </w:r>
            <w:r w:rsidR="00543738">
              <w:rPr>
                <w:noProof/>
                <w:webHidden/>
              </w:rPr>
              <w:tab/>
            </w:r>
            <w:r w:rsidR="00543738">
              <w:rPr>
                <w:noProof/>
                <w:webHidden/>
              </w:rPr>
              <w:fldChar w:fldCharType="begin"/>
            </w:r>
            <w:r w:rsidR="00543738">
              <w:rPr>
                <w:noProof/>
                <w:webHidden/>
              </w:rPr>
              <w:instrText xml:space="preserve"> PAGEREF _Toc7528149 \h </w:instrText>
            </w:r>
            <w:r w:rsidR="00543738">
              <w:rPr>
                <w:noProof/>
                <w:webHidden/>
              </w:rPr>
            </w:r>
            <w:r w:rsidR="00543738">
              <w:rPr>
                <w:noProof/>
                <w:webHidden/>
              </w:rPr>
              <w:fldChar w:fldCharType="separate"/>
            </w:r>
            <w:r w:rsidR="00543738">
              <w:rPr>
                <w:noProof/>
                <w:webHidden/>
              </w:rPr>
              <w:t>29</w:t>
            </w:r>
            <w:r w:rsidR="00543738">
              <w:rPr>
                <w:noProof/>
                <w:webHidden/>
              </w:rPr>
              <w:fldChar w:fldCharType="end"/>
            </w:r>
          </w:hyperlink>
        </w:p>
        <w:p w14:paraId="49D24D77" w14:textId="77777777" w:rsidR="00543738" w:rsidRDefault="007647FF">
          <w:pPr>
            <w:pStyle w:val="TOC2"/>
            <w:tabs>
              <w:tab w:val="left" w:pos="880"/>
              <w:tab w:val="right" w:leader="dot" w:pos="9016"/>
            </w:tabs>
            <w:rPr>
              <w:rFonts w:asciiTheme="minorHAnsi" w:hAnsiTheme="minorHAnsi"/>
              <w:noProof/>
              <w:lang w:eastAsia="en-AU"/>
            </w:rPr>
          </w:pPr>
          <w:hyperlink w:anchor="_Toc7528150" w:history="1">
            <w:r w:rsidR="00543738" w:rsidRPr="0024562C">
              <w:rPr>
                <w:rStyle w:val="Hyperlink"/>
                <w:noProof/>
                <w14:scene3d>
                  <w14:camera w14:prst="orthographicFront"/>
                  <w14:lightRig w14:rig="threePt" w14:dir="t">
                    <w14:rot w14:lat="0" w14:lon="0" w14:rev="0"/>
                  </w14:lightRig>
                </w14:scene3d>
              </w:rPr>
              <w:t>13.3</w:t>
            </w:r>
            <w:r w:rsidR="00543738">
              <w:rPr>
                <w:rFonts w:asciiTheme="minorHAnsi" w:hAnsiTheme="minorHAnsi"/>
                <w:noProof/>
                <w:lang w:eastAsia="en-AU"/>
              </w:rPr>
              <w:tab/>
            </w:r>
            <w:r w:rsidR="00543738" w:rsidRPr="0024562C">
              <w:rPr>
                <w:rStyle w:val="Hyperlink"/>
                <w:noProof/>
              </w:rPr>
              <w:t>Commencement of amendments</w:t>
            </w:r>
            <w:r w:rsidR="00543738">
              <w:rPr>
                <w:noProof/>
                <w:webHidden/>
              </w:rPr>
              <w:tab/>
            </w:r>
            <w:r w:rsidR="00543738">
              <w:rPr>
                <w:noProof/>
                <w:webHidden/>
              </w:rPr>
              <w:fldChar w:fldCharType="begin"/>
            </w:r>
            <w:r w:rsidR="00543738">
              <w:rPr>
                <w:noProof/>
                <w:webHidden/>
              </w:rPr>
              <w:instrText xml:space="preserve"> PAGEREF _Toc7528150 \h </w:instrText>
            </w:r>
            <w:r w:rsidR="00543738">
              <w:rPr>
                <w:noProof/>
                <w:webHidden/>
              </w:rPr>
            </w:r>
            <w:r w:rsidR="00543738">
              <w:rPr>
                <w:noProof/>
                <w:webHidden/>
              </w:rPr>
              <w:fldChar w:fldCharType="separate"/>
            </w:r>
            <w:r w:rsidR="00543738">
              <w:rPr>
                <w:noProof/>
                <w:webHidden/>
              </w:rPr>
              <w:t>30</w:t>
            </w:r>
            <w:r w:rsidR="00543738">
              <w:rPr>
                <w:noProof/>
                <w:webHidden/>
              </w:rPr>
              <w:fldChar w:fldCharType="end"/>
            </w:r>
          </w:hyperlink>
        </w:p>
        <w:p w14:paraId="23F29F9B" w14:textId="77777777" w:rsidR="00543738" w:rsidRDefault="007647FF">
          <w:pPr>
            <w:pStyle w:val="TOC2"/>
            <w:tabs>
              <w:tab w:val="left" w:pos="880"/>
              <w:tab w:val="right" w:leader="dot" w:pos="9016"/>
            </w:tabs>
            <w:rPr>
              <w:rFonts w:asciiTheme="minorHAnsi" w:hAnsiTheme="minorHAnsi"/>
              <w:noProof/>
              <w:lang w:eastAsia="en-AU"/>
            </w:rPr>
          </w:pPr>
          <w:hyperlink w:anchor="_Toc7528151" w:history="1">
            <w:r w:rsidR="00543738" w:rsidRPr="0024562C">
              <w:rPr>
                <w:rStyle w:val="Hyperlink"/>
                <w:noProof/>
                <w14:scene3d>
                  <w14:camera w14:prst="orthographicFront"/>
                  <w14:lightRig w14:rig="threePt" w14:dir="t">
                    <w14:rot w14:lat="0" w14:lon="0" w14:rev="0"/>
                  </w14:lightRig>
                </w14:scene3d>
              </w:rPr>
              <w:t>13.4</w:t>
            </w:r>
            <w:r w:rsidR="00543738">
              <w:rPr>
                <w:rFonts w:asciiTheme="minorHAnsi" w:hAnsiTheme="minorHAnsi"/>
                <w:noProof/>
                <w:lang w:eastAsia="en-AU"/>
              </w:rPr>
              <w:tab/>
            </w:r>
            <w:r w:rsidR="00543738" w:rsidRPr="0024562C">
              <w:rPr>
                <w:rStyle w:val="Hyperlink"/>
                <w:noProof/>
              </w:rPr>
              <w:t>Addition of other parties</w:t>
            </w:r>
            <w:r w:rsidR="00543738">
              <w:rPr>
                <w:noProof/>
                <w:webHidden/>
              </w:rPr>
              <w:tab/>
            </w:r>
            <w:r w:rsidR="00543738">
              <w:rPr>
                <w:noProof/>
                <w:webHidden/>
              </w:rPr>
              <w:fldChar w:fldCharType="begin"/>
            </w:r>
            <w:r w:rsidR="00543738">
              <w:rPr>
                <w:noProof/>
                <w:webHidden/>
              </w:rPr>
              <w:instrText xml:space="preserve"> PAGEREF _Toc7528151 \h </w:instrText>
            </w:r>
            <w:r w:rsidR="00543738">
              <w:rPr>
                <w:noProof/>
                <w:webHidden/>
              </w:rPr>
            </w:r>
            <w:r w:rsidR="00543738">
              <w:rPr>
                <w:noProof/>
                <w:webHidden/>
              </w:rPr>
              <w:fldChar w:fldCharType="separate"/>
            </w:r>
            <w:r w:rsidR="00543738">
              <w:rPr>
                <w:noProof/>
                <w:webHidden/>
              </w:rPr>
              <w:t>30</w:t>
            </w:r>
            <w:r w:rsidR="00543738">
              <w:rPr>
                <w:noProof/>
                <w:webHidden/>
              </w:rPr>
              <w:fldChar w:fldCharType="end"/>
            </w:r>
          </w:hyperlink>
        </w:p>
        <w:p w14:paraId="2DE1BAD3" w14:textId="77777777" w:rsidR="00543738" w:rsidRDefault="007647FF">
          <w:pPr>
            <w:pStyle w:val="TOC1"/>
            <w:tabs>
              <w:tab w:val="left" w:pos="660"/>
              <w:tab w:val="right" w:leader="dot" w:pos="9016"/>
            </w:tabs>
            <w:rPr>
              <w:rFonts w:asciiTheme="minorHAnsi" w:hAnsiTheme="minorHAnsi"/>
              <w:noProof/>
              <w:lang w:eastAsia="en-AU"/>
            </w:rPr>
          </w:pPr>
          <w:hyperlink w:anchor="_Toc7528152" w:history="1">
            <w:r w:rsidR="00543738" w:rsidRPr="0024562C">
              <w:rPr>
                <w:rStyle w:val="Hyperlink"/>
                <w:noProof/>
              </w:rPr>
              <w:t>14</w:t>
            </w:r>
            <w:r w:rsidR="00543738">
              <w:rPr>
                <w:rFonts w:asciiTheme="minorHAnsi" w:hAnsiTheme="minorHAnsi"/>
                <w:noProof/>
                <w:lang w:eastAsia="en-AU"/>
              </w:rPr>
              <w:tab/>
            </w:r>
            <w:r w:rsidR="00543738" w:rsidRPr="0024562C">
              <w:rPr>
                <w:rStyle w:val="Hyperlink"/>
                <w:noProof/>
              </w:rPr>
              <w:t>Review of this agreement</w:t>
            </w:r>
            <w:r w:rsidR="00543738">
              <w:rPr>
                <w:noProof/>
                <w:webHidden/>
              </w:rPr>
              <w:tab/>
            </w:r>
            <w:r w:rsidR="00543738">
              <w:rPr>
                <w:noProof/>
                <w:webHidden/>
              </w:rPr>
              <w:fldChar w:fldCharType="begin"/>
            </w:r>
            <w:r w:rsidR="00543738">
              <w:rPr>
                <w:noProof/>
                <w:webHidden/>
              </w:rPr>
              <w:instrText xml:space="preserve"> PAGEREF _Toc7528152 \h </w:instrText>
            </w:r>
            <w:r w:rsidR="00543738">
              <w:rPr>
                <w:noProof/>
                <w:webHidden/>
              </w:rPr>
            </w:r>
            <w:r w:rsidR="00543738">
              <w:rPr>
                <w:noProof/>
                <w:webHidden/>
              </w:rPr>
              <w:fldChar w:fldCharType="separate"/>
            </w:r>
            <w:r w:rsidR="00543738">
              <w:rPr>
                <w:noProof/>
                <w:webHidden/>
              </w:rPr>
              <w:t>30</w:t>
            </w:r>
            <w:r w:rsidR="00543738">
              <w:rPr>
                <w:noProof/>
                <w:webHidden/>
              </w:rPr>
              <w:fldChar w:fldCharType="end"/>
            </w:r>
          </w:hyperlink>
        </w:p>
        <w:p w14:paraId="47C90F5D" w14:textId="77777777" w:rsidR="00543738" w:rsidRDefault="007647FF">
          <w:pPr>
            <w:pStyle w:val="TOC2"/>
            <w:tabs>
              <w:tab w:val="left" w:pos="880"/>
              <w:tab w:val="right" w:leader="dot" w:pos="9016"/>
            </w:tabs>
            <w:rPr>
              <w:rFonts w:asciiTheme="minorHAnsi" w:hAnsiTheme="minorHAnsi"/>
              <w:noProof/>
              <w:lang w:eastAsia="en-AU"/>
            </w:rPr>
          </w:pPr>
          <w:hyperlink w:anchor="_Toc7528153" w:history="1">
            <w:r w:rsidR="00543738" w:rsidRPr="0024562C">
              <w:rPr>
                <w:rStyle w:val="Hyperlink"/>
                <w:noProof/>
                <w14:scene3d>
                  <w14:camera w14:prst="orthographicFront"/>
                  <w14:lightRig w14:rig="threePt" w14:dir="t">
                    <w14:rot w14:lat="0" w14:lon="0" w14:rev="0"/>
                  </w14:lightRig>
                </w14:scene3d>
              </w:rPr>
              <w:t>14.1</w:t>
            </w:r>
            <w:r w:rsidR="00543738">
              <w:rPr>
                <w:rFonts w:asciiTheme="minorHAnsi" w:hAnsiTheme="minorHAnsi"/>
                <w:noProof/>
                <w:lang w:eastAsia="en-AU"/>
              </w:rPr>
              <w:tab/>
            </w:r>
            <w:r w:rsidR="00543738" w:rsidRPr="0024562C">
              <w:rPr>
                <w:rStyle w:val="Hyperlink"/>
                <w:noProof/>
              </w:rPr>
              <w:t>Review by biosecurity agencies</w:t>
            </w:r>
            <w:r w:rsidR="00543738">
              <w:rPr>
                <w:noProof/>
                <w:webHidden/>
              </w:rPr>
              <w:tab/>
            </w:r>
            <w:r w:rsidR="00543738">
              <w:rPr>
                <w:noProof/>
                <w:webHidden/>
              </w:rPr>
              <w:fldChar w:fldCharType="begin"/>
            </w:r>
            <w:r w:rsidR="00543738">
              <w:rPr>
                <w:noProof/>
                <w:webHidden/>
              </w:rPr>
              <w:instrText xml:space="preserve"> PAGEREF _Toc7528153 \h </w:instrText>
            </w:r>
            <w:r w:rsidR="00543738">
              <w:rPr>
                <w:noProof/>
                <w:webHidden/>
              </w:rPr>
            </w:r>
            <w:r w:rsidR="00543738">
              <w:rPr>
                <w:noProof/>
                <w:webHidden/>
              </w:rPr>
              <w:fldChar w:fldCharType="separate"/>
            </w:r>
            <w:r w:rsidR="00543738">
              <w:rPr>
                <w:noProof/>
                <w:webHidden/>
              </w:rPr>
              <w:t>30</w:t>
            </w:r>
            <w:r w:rsidR="00543738">
              <w:rPr>
                <w:noProof/>
                <w:webHidden/>
              </w:rPr>
              <w:fldChar w:fldCharType="end"/>
            </w:r>
          </w:hyperlink>
        </w:p>
        <w:p w14:paraId="075F2D0B" w14:textId="77777777" w:rsidR="00543738" w:rsidRDefault="007647FF">
          <w:pPr>
            <w:pStyle w:val="TOC2"/>
            <w:tabs>
              <w:tab w:val="left" w:pos="880"/>
              <w:tab w:val="right" w:leader="dot" w:pos="9016"/>
            </w:tabs>
            <w:rPr>
              <w:rFonts w:asciiTheme="minorHAnsi" w:hAnsiTheme="minorHAnsi"/>
              <w:noProof/>
              <w:lang w:eastAsia="en-AU"/>
            </w:rPr>
          </w:pPr>
          <w:hyperlink w:anchor="_Toc7528154" w:history="1">
            <w:r w:rsidR="00543738" w:rsidRPr="0024562C">
              <w:rPr>
                <w:rStyle w:val="Hyperlink"/>
                <w:noProof/>
                <w14:scene3d>
                  <w14:camera w14:prst="orthographicFront"/>
                  <w14:lightRig w14:rig="threePt" w14:dir="t">
                    <w14:rot w14:lat="0" w14:lon="0" w14:rev="0"/>
                  </w14:lightRig>
                </w14:scene3d>
              </w:rPr>
              <w:t>14.2</w:t>
            </w:r>
            <w:r w:rsidR="00543738">
              <w:rPr>
                <w:rFonts w:asciiTheme="minorHAnsi" w:hAnsiTheme="minorHAnsi"/>
                <w:noProof/>
                <w:lang w:eastAsia="en-AU"/>
              </w:rPr>
              <w:tab/>
            </w:r>
            <w:r w:rsidR="00543738" w:rsidRPr="0024562C">
              <w:rPr>
                <w:rStyle w:val="Hyperlink"/>
                <w:noProof/>
              </w:rPr>
              <w:t>Report to the ministers</w:t>
            </w:r>
            <w:r w:rsidR="00543738">
              <w:rPr>
                <w:noProof/>
                <w:webHidden/>
              </w:rPr>
              <w:tab/>
            </w:r>
            <w:r w:rsidR="00543738">
              <w:rPr>
                <w:noProof/>
                <w:webHidden/>
              </w:rPr>
              <w:fldChar w:fldCharType="begin"/>
            </w:r>
            <w:r w:rsidR="00543738">
              <w:rPr>
                <w:noProof/>
                <w:webHidden/>
              </w:rPr>
              <w:instrText xml:space="preserve"> PAGEREF _Toc7528154 \h </w:instrText>
            </w:r>
            <w:r w:rsidR="00543738">
              <w:rPr>
                <w:noProof/>
                <w:webHidden/>
              </w:rPr>
            </w:r>
            <w:r w:rsidR="00543738">
              <w:rPr>
                <w:noProof/>
                <w:webHidden/>
              </w:rPr>
              <w:fldChar w:fldCharType="separate"/>
            </w:r>
            <w:r w:rsidR="00543738">
              <w:rPr>
                <w:noProof/>
                <w:webHidden/>
              </w:rPr>
              <w:t>30</w:t>
            </w:r>
            <w:r w:rsidR="00543738">
              <w:rPr>
                <w:noProof/>
                <w:webHidden/>
              </w:rPr>
              <w:fldChar w:fldCharType="end"/>
            </w:r>
          </w:hyperlink>
        </w:p>
        <w:p w14:paraId="694FB2B2" w14:textId="77777777" w:rsidR="00543738" w:rsidRDefault="007647FF">
          <w:pPr>
            <w:pStyle w:val="TOC1"/>
            <w:tabs>
              <w:tab w:val="right" w:leader="dot" w:pos="9016"/>
            </w:tabs>
            <w:rPr>
              <w:rFonts w:asciiTheme="minorHAnsi" w:hAnsiTheme="minorHAnsi"/>
              <w:noProof/>
              <w:lang w:eastAsia="en-AU"/>
            </w:rPr>
          </w:pPr>
          <w:hyperlink w:anchor="_Toc7528155" w:history="1">
            <w:r w:rsidR="00543738" w:rsidRPr="0024562C">
              <w:rPr>
                <w:rStyle w:val="Hyperlink"/>
                <w:noProof/>
              </w:rPr>
              <w:t>Schedule 1 – Flow chart of approach to national emergency environmental pease or disease response</w:t>
            </w:r>
            <w:r w:rsidR="00543738">
              <w:rPr>
                <w:noProof/>
                <w:webHidden/>
              </w:rPr>
              <w:tab/>
            </w:r>
            <w:r w:rsidR="00543738">
              <w:rPr>
                <w:noProof/>
                <w:webHidden/>
              </w:rPr>
              <w:fldChar w:fldCharType="begin"/>
            </w:r>
            <w:r w:rsidR="00543738">
              <w:rPr>
                <w:noProof/>
                <w:webHidden/>
              </w:rPr>
              <w:instrText xml:space="preserve"> PAGEREF _Toc7528155 \h </w:instrText>
            </w:r>
            <w:r w:rsidR="00543738">
              <w:rPr>
                <w:noProof/>
                <w:webHidden/>
              </w:rPr>
            </w:r>
            <w:r w:rsidR="00543738">
              <w:rPr>
                <w:noProof/>
                <w:webHidden/>
              </w:rPr>
              <w:fldChar w:fldCharType="separate"/>
            </w:r>
            <w:r w:rsidR="00543738">
              <w:rPr>
                <w:noProof/>
                <w:webHidden/>
              </w:rPr>
              <w:t>31</w:t>
            </w:r>
            <w:r w:rsidR="00543738">
              <w:rPr>
                <w:noProof/>
                <w:webHidden/>
              </w:rPr>
              <w:fldChar w:fldCharType="end"/>
            </w:r>
          </w:hyperlink>
        </w:p>
        <w:p w14:paraId="31873D3E" w14:textId="77777777" w:rsidR="00543738" w:rsidRDefault="007647FF">
          <w:pPr>
            <w:pStyle w:val="TOC1"/>
            <w:tabs>
              <w:tab w:val="right" w:leader="dot" w:pos="9016"/>
            </w:tabs>
            <w:rPr>
              <w:rFonts w:asciiTheme="minorHAnsi" w:hAnsiTheme="minorHAnsi"/>
              <w:noProof/>
              <w:lang w:eastAsia="en-AU"/>
            </w:rPr>
          </w:pPr>
          <w:hyperlink w:anchor="_Toc7528156" w:history="1">
            <w:r w:rsidR="00543738" w:rsidRPr="0024562C">
              <w:rPr>
                <w:rStyle w:val="Hyperlink"/>
                <w:noProof/>
              </w:rPr>
              <w:t>Schedule 2 – National significance criteria</w:t>
            </w:r>
            <w:r w:rsidR="00543738">
              <w:rPr>
                <w:noProof/>
                <w:webHidden/>
              </w:rPr>
              <w:tab/>
            </w:r>
            <w:r w:rsidR="00543738">
              <w:rPr>
                <w:noProof/>
                <w:webHidden/>
              </w:rPr>
              <w:fldChar w:fldCharType="begin"/>
            </w:r>
            <w:r w:rsidR="00543738">
              <w:rPr>
                <w:noProof/>
                <w:webHidden/>
              </w:rPr>
              <w:instrText xml:space="preserve"> PAGEREF _Toc7528156 \h </w:instrText>
            </w:r>
            <w:r w:rsidR="00543738">
              <w:rPr>
                <w:noProof/>
                <w:webHidden/>
              </w:rPr>
            </w:r>
            <w:r w:rsidR="00543738">
              <w:rPr>
                <w:noProof/>
                <w:webHidden/>
              </w:rPr>
              <w:fldChar w:fldCharType="separate"/>
            </w:r>
            <w:r w:rsidR="00543738">
              <w:rPr>
                <w:noProof/>
                <w:webHidden/>
              </w:rPr>
              <w:t>32</w:t>
            </w:r>
            <w:r w:rsidR="00543738">
              <w:rPr>
                <w:noProof/>
                <w:webHidden/>
              </w:rPr>
              <w:fldChar w:fldCharType="end"/>
            </w:r>
          </w:hyperlink>
        </w:p>
        <w:p w14:paraId="2C45408D" w14:textId="77777777" w:rsidR="00543738" w:rsidRDefault="007647FF">
          <w:pPr>
            <w:pStyle w:val="TOC1"/>
            <w:tabs>
              <w:tab w:val="right" w:leader="dot" w:pos="9016"/>
            </w:tabs>
            <w:rPr>
              <w:rFonts w:asciiTheme="minorHAnsi" w:hAnsiTheme="minorHAnsi"/>
              <w:noProof/>
              <w:lang w:eastAsia="en-AU"/>
            </w:rPr>
          </w:pPr>
          <w:hyperlink w:anchor="_Toc7528157" w:history="1">
            <w:r w:rsidR="00543738" w:rsidRPr="0024562C">
              <w:rPr>
                <w:rStyle w:val="Hyperlink"/>
                <w:noProof/>
              </w:rPr>
              <w:t>Schedule 3 – Response Plan – technical feasibility and benefit:cost</w:t>
            </w:r>
            <w:r w:rsidR="00543738">
              <w:rPr>
                <w:noProof/>
                <w:webHidden/>
              </w:rPr>
              <w:tab/>
            </w:r>
            <w:r w:rsidR="00543738">
              <w:rPr>
                <w:noProof/>
                <w:webHidden/>
              </w:rPr>
              <w:fldChar w:fldCharType="begin"/>
            </w:r>
            <w:r w:rsidR="00543738">
              <w:rPr>
                <w:noProof/>
                <w:webHidden/>
              </w:rPr>
              <w:instrText xml:space="preserve"> PAGEREF _Toc7528157 \h </w:instrText>
            </w:r>
            <w:r w:rsidR="00543738">
              <w:rPr>
                <w:noProof/>
                <w:webHidden/>
              </w:rPr>
            </w:r>
            <w:r w:rsidR="00543738">
              <w:rPr>
                <w:noProof/>
                <w:webHidden/>
              </w:rPr>
              <w:fldChar w:fldCharType="separate"/>
            </w:r>
            <w:r w:rsidR="00543738">
              <w:rPr>
                <w:noProof/>
                <w:webHidden/>
              </w:rPr>
              <w:t>36</w:t>
            </w:r>
            <w:r w:rsidR="00543738">
              <w:rPr>
                <w:noProof/>
                <w:webHidden/>
              </w:rPr>
              <w:fldChar w:fldCharType="end"/>
            </w:r>
          </w:hyperlink>
        </w:p>
        <w:p w14:paraId="77CA3092" w14:textId="77777777" w:rsidR="00543738" w:rsidRDefault="007647FF">
          <w:pPr>
            <w:pStyle w:val="TOC1"/>
            <w:tabs>
              <w:tab w:val="right" w:leader="dot" w:pos="9016"/>
            </w:tabs>
            <w:rPr>
              <w:rFonts w:asciiTheme="minorHAnsi" w:hAnsiTheme="minorHAnsi"/>
              <w:noProof/>
              <w:lang w:eastAsia="en-AU"/>
            </w:rPr>
          </w:pPr>
          <w:hyperlink w:anchor="_Toc7528158" w:history="1">
            <w:r w:rsidR="00543738" w:rsidRPr="0024562C">
              <w:rPr>
                <w:rStyle w:val="Hyperlink"/>
                <w:noProof/>
              </w:rPr>
              <w:t>Schedule 4 – Arrangements for cost-sharing of eligible costs</w:t>
            </w:r>
            <w:r w:rsidR="00543738">
              <w:rPr>
                <w:noProof/>
                <w:webHidden/>
              </w:rPr>
              <w:tab/>
            </w:r>
            <w:r w:rsidR="00543738">
              <w:rPr>
                <w:noProof/>
                <w:webHidden/>
              </w:rPr>
              <w:fldChar w:fldCharType="begin"/>
            </w:r>
            <w:r w:rsidR="00543738">
              <w:rPr>
                <w:noProof/>
                <w:webHidden/>
              </w:rPr>
              <w:instrText xml:space="preserve"> PAGEREF _Toc7528158 \h </w:instrText>
            </w:r>
            <w:r w:rsidR="00543738">
              <w:rPr>
                <w:noProof/>
                <w:webHidden/>
              </w:rPr>
            </w:r>
            <w:r w:rsidR="00543738">
              <w:rPr>
                <w:noProof/>
                <w:webHidden/>
              </w:rPr>
              <w:fldChar w:fldCharType="separate"/>
            </w:r>
            <w:r w:rsidR="00543738">
              <w:rPr>
                <w:noProof/>
                <w:webHidden/>
              </w:rPr>
              <w:t>39</w:t>
            </w:r>
            <w:r w:rsidR="00543738">
              <w:rPr>
                <w:noProof/>
                <w:webHidden/>
              </w:rPr>
              <w:fldChar w:fldCharType="end"/>
            </w:r>
          </w:hyperlink>
        </w:p>
        <w:p w14:paraId="22B63898" w14:textId="77777777" w:rsidR="00543738" w:rsidRDefault="007647FF">
          <w:pPr>
            <w:pStyle w:val="TOC2"/>
            <w:tabs>
              <w:tab w:val="left" w:pos="1883"/>
              <w:tab w:val="right" w:leader="dot" w:pos="9016"/>
            </w:tabs>
            <w:rPr>
              <w:rFonts w:asciiTheme="minorHAnsi" w:hAnsiTheme="minorHAnsi"/>
              <w:noProof/>
              <w:lang w:eastAsia="en-AU"/>
            </w:rPr>
          </w:pPr>
          <w:hyperlink w:anchor="_Toc7528159" w:history="1">
            <w:r w:rsidR="00543738" w:rsidRPr="0024562C">
              <w:rPr>
                <w:rStyle w:val="Hyperlink"/>
                <w:noProof/>
              </w:rPr>
              <w:t>Attachment 4A</w:t>
            </w:r>
            <w:r w:rsidR="00543738">
              <w:rPr>
                <w:rFonts w:asciiTheme="minorHAnsi" w:hAnsiTheme="minorHAnsi"/>
                <w:noProof/>
                <w:lang w:eastAsia="en-AU"/>
              </w:rPr>
              <w:tab/>
            </w:r>
            <w:r w:rsidR="00543738" w:rsidRPr="0024562C">
              <w:rPr>
                <w:rStyle w:val="Hyperlink"/>
                <w:noProof/>
              </w:rPr>
              <w:t>Potential distribution of terrestrial pests and diseases</w:t>
            </w:r>
            <w:r w:rsidR="00543738">
              <w:rPr>
                <w:noProof/>
                <w:webHidden/>
              </w:rPr>
              <w:tab/>
            </w:r>
            <w:r w:rsidR="00543738">
              <w:rPr>
                <w:noProof/>
                <w:webHidden/>
              </w:rPr>
              <w:fldChar w:fldCharType="begin"/>
            </w:r>
            <w:r w:rsidR="00543738">
              <w:rPr>
                <w:noProof/>
                <w:webHidden/>
              </w:rPr>
              <w:instrText xml:space="preserve"> PAGEREF _Toc7528159 \h </w:instrText>
            </w:r>
            <w:r w:rsidR="00543738">
              <w:rPr>
                <w:noProof/>
                <w:webHidden/>
              </w:rPr>
            </w:r>
            <w:r w:rsidR="00543738">
              <w:rPr>
                <w:noProof/>
                <w:webHidden/>
              </w:rPr>
              <w:fldChar w:fldCharType="separate"/>
            </w:r>
            <w:r w:rsidR="00543738">
              <w:rPr>
                <w:noProof/>
                <w:webHidden/>
              </w:rPr>
              <w:t>45</w:t>
            </w:r>
            <w:r w:rsidR="00543738">
              <w:rPr>
                <w:noProof/>
                <w:webHidden/>
              </w:rPr>
              <w:fldChar w:fldCharType="end"/>
            </w:r>
          </w:hyperlink>
        </w:p>
        <w:p w14:paraId="43A5D3E5" w14:textId="77777777" w:rsidR="00543738" w:rsidRDefault="007647FF">
          <w:pPr>
            <w:pStyle w:val="TOC2"/>
            <w:tabs>
              <w:tab w:val="left" w:pos="1883"/>
              <w:tab w:val="right" w:leader="dot" w:pos="9016"/>
            </w:tabs>
            <w:rPr>
              <w:rFonts w:asciiTheme="minorHAnsi" w:hAnsiTheme="minorHAnsi"/>
              <w:noProof/>
              <w:lang w:eastAsia="en-AU"/>
            </w:rPr>
          </w:pPr>
          <w:hyperlink w:anchor="_Toc7528160" w:history="1">
            <w:r w:rsidR="00543738" w:rsidRPr="0024562C">
              <w:rPr>
                <w:rStyle w:val="Hyperlink"/>
                <w:noProof/>
              </w:rPr>
              <w:t>Attachment 4B</w:t>
            </w:r>
            <w:r w:rsidR="00543738">
              <w:rPr>
                <w:rFonts w:asciiTheme="minorHAnsi" w:hAnsiTheme="minorHAnsi"/>
                <w:noProof/>
                <w:lang w:eastAsia="en-AU"/>
              </w:rPr>
              <w:tab/>
            </w:r>
            <w:r w:rsidR="00543738" w:rsidRPr="0024562C">
              <w:rPr>
                <w:rStyle w:val="Hyperlink"/>
                <w:noProof/>
              </w:rPr>
              <w:t>Potential distribution of inland water pests</w:t>
            </w:r>
            <w:r w:rsidR="00543738">
              <w:rPr>
                <w:noProof/>
                <w:webHidden/>
              </w:rPr>
              <w:tab/>
            </w:r>
            <w:r w:rsidR="00543738">
              <w:rPr>
                <w:noProof/>
                <w:webHidden/>
              </w:rPr>
              <w:fldChar w:fldCharType="begin"/>
            </w:r>
            <w:r w:rsidR="00543738">
              <w:rPr>
                <w:noProof/>
                <w:webHidden/>
              </w:rPr>
              <w:instrText xml:space="preserve"> PAGEREF _Toc7528160 \h </w:instrText>
            </w:r>
            <w:r w:rsidR="00543738">
              <w:rPr>
                <w:noProof/>
                <w:webHidden/>
              </w:rPr>
            </w:r>
            <w:r w:rsidR="00543738">
              <w:rPr>
                <w:noProof/>
                <w:webHidden/>
              </w:rPr>
              <w:fldChar w:fldCharType="separate"/>
            </w:r>
            <w:r w:rsidR="00543738">
              <w:rPr>
                <w:noProof/>
                <w:webHidden/>
              </w:rPr>
              <w:t>51</w:t>
            </w:r>
            <w:r w:rsidR="00543738">
              <w:rPr>
                <w:noProof/>
                <w:webHidden/>
              </w:rPr>
              <w:fldChar w:fldCharType="end"/>
            </w:r>
          </w:hyperlink>
        </w:p>
        <w:p w14:paraId="4BBEC644" w14:textId="77777777" w:rsidR="00543738" w:rsidRDefault="007647FF">
          <w:pPr>
            <w:pStyle w:val="TOC2"/>
            <w:tabs>
              <w:tab w:val="left" w:pos="1895"/>
              <w:tab w:val="right" w:leader="dot" w:pos="9016"/>
            </w:tabs>
            <w:rPr>
              <w:rFonts w:asciiTheme="minorHAnsi" w:hAnsiTheme="minorHAnsi"/>
              <w:noProof/>
              <w:lang w:eastAsia="en-AU"/>
            </w:rPr>
          </w:pPr>
          <w:hyperlink w:anchor="_Toc7528161" w:history="1">
            <w:r w:rsidR="00543738" w:rsidRPr="0024562C">
              <w:rPr>
                <w:rStyle w:val="Hyperlink"/>
                <w:noProof/>
              </w:rPr>
              <w:t>Attachment 4C</w:t>
            </w:r>
            <w:r w:rsidR="00543738">
              <w:rPr>
                <w:rFonts w:asciiTheme="minorHAnsi" w:hAnsiTheme="minorHAnsi"/>
                <w:noProof/>
                <w:lang w:eastAsia="en-AU"/>
              </w:rPr>
              <w:tab/>
            </w:r>
            <w:r w:rsidR="00543738" w:rsidRPr="0024562C">
              <w:rPr>
                <w:rStyle w:val="Hyperlink"/>
                <w:noProof/>
              </w:rPr>
              <w:t>Potential distribution of inland water diseases</w:t>
            </w:r>
            <w:r w:rsidR="00543738">
              <w:rPr>
                <w:noProof/>
                <w:webHidden/>
              </w:rPr>
              <w:tab/>
            </w:r>
            <w:r w:rsidR="00543738">
              <w:rPr>
                <w:noProof/>
                <w:webHidden/>
              </w:rPr>
              <w:fldChar w:fldCharType="begin"/>
            </w:r>
            <w:r w:rsidR="00543738">
              <w:rPr>
                <w:noProof/>
                <w:webHidden/>
              </w:rPr>
              <w:instrText xml:space="preserve"> PAGEREF _Toc7528161 \h </w:instrText>
            </w:r>
            <w:r w:rsidR="00543738">
              <w:rPr>
                <w:noProof/>
                <w:webHidden/>
              </w:rPr>
            </w:r>
            <w:r w:rsidR="00543738">
              <w:rPr>
                <w:noProof/>
                <w:webHidden/>
              </w:rPr>
              <w:fldChar w:fldCharType="separate"/>
            </w:r>
            <w:r w:rsidR="00543738">
              <w:rPr>
                <w:noProof/>
                <w:webHidden/>
              </w:rPr>
              <w:t>57</w:t>
            </w:r>
            <w:r w:rsidR="00543738">
              <w:rPr>
                <w:noProof/>
                <w:webHidden/>
              </w:rPr>
              <w:fldChar w:fldCharType="end"/>
            </w:r>
          </w:hyperlink>
        </w:p>
        <w:p w14:paraId="70C902E1" w14:textId="77777777" w:rsidR="00543738" w:rsidRDefault="007647FF">
          <w:pPr>
            <w:pStyle w:val="TOC2"/>
            <w:tabs>
              <w:tab w:val="right" w:leader="dot" w:pos="9016"/>
            </w:tabs>
            <w:rPr>
              <w:rFonts w:asciiTheme="minorHAnsi" w:hAnsiTheme="minorHAnsi"/>
              <w:noProof/>
              <w:lang w:eastAsia="en-AU"/>
            </w:rPr>
          </w:pPr>
          <w:hyperlink w:anchor="_Toc7528162" w:history="1">
            <w:r w:rsidR="00543738" w:rsidRPr="0024562C">
              <w:rPr>
                <w:rStyle w:val="Hyperlink"/>
                <w:noProof/>
              </w:rPr>
              <w:t>Attachment 4D – Potential distribution of marine pests and potentially affected populations</w:t>
            </w:r>
            <w:r w:rsidR="00543738">
              <w:rPr>
                <w:noProof/>
                <w:webHidden/>
              </w:rPr>
              <w:tab/>
            </w:r>
            <w:r w:rsidR="00543738">
              <w:rPr>
                <w:noProof/>
                <w:webHidden/>
              </w:rPr>
              <w:fldChar w:fldCharType="begin"/>
            </w:r>
            <w:r w:rsidR="00543738">
              <w:rPr>
                <w:noProof/>
                <w:webHidden/>
              </w:rPr>
              <w:instrText xml:space="preserve"> PAGEREF _Toc7528162 \h </w:instrText>
            </w:r>
            <w:r w:rsidR="00543738">
              <w:rPr>
                <w:noProof/>
                <w:webHidden/>
              </w:rPr>
            </w:r>
            <w:r w:rsidR="00543738">
              <w:rPr>
                <w:noProof/>
                <w:webHidden/>
              </w:rPr>
              <w:fldChar w:fldCharType="separate"/>
            </w:r>
            <w:r w:rsidR="00543738">
              <w:rPr>
                <w:noProof/>
                <w:webHidden/>
              </w:rPr>
              <w:t>66</w:t>
            </w:r>
            <w:r w:rsidR="00543738">
              <w:rPr>
                <w:noProof/>
                <w:webHidden/>
              </w:rPr>
              <w:fldChar w:fldCharType="end"/>
            </w:r>
          </w:hyperlink>
        </w:p>
        <w:p w14:paraId="6A806C52" w14:textId="77777777" w:rsidR="00543738" w:rsidRDefault="007647FF">
          <w:pPr>
            <w:pStyle w:val="TOC2"/>
            <w:tabs>
              <w:tab w:val="right" w:leader="dot" w:pos="9016"/>
            </w:tabs>
            <w:rPr>
              <w:rFonts w:asciiTheme="minorHAnsi" w:hAnsiTheme="minorHAnsi"/>
              <w:noProof/>
              <w:lang w:eastAsia="en-AU"/>
            </w:rPr>
          </w:pPr>
          <w:hyperlink w:anchor="_Toc7528163" w:history="1">
            <w:r w:rsidR="00543738" w:rsidRPr="0024562C">
              <w:rPr>
                <w:rStyle w:val="Hyperlink"/>
                <w:noProof/>
              </w:rPr>
              <w:t>Attachment 4E – Potential distribution of marine diseases and potentially affected populations</w:t>
            </w:r>
            <w:r w:rsidR="00543738">
              <w:rPr>
                <w:noProof/>
                <w:webHidden/>
              </w:rPr>
              <w:tab/>
            </w:r>
            <w:r w:rsidR="00543738">
              <w:rPr>
                <w:noProof/>
                <w:webHidden/>
              </w:rPr>
              <w:fldChar w:fldCharType="begin"/>
            </w:r>
            <w:r w:rsidR="00543738">
              <w:rPr>
                <w:noProof/>
                <w:webHidden/>
              </w:rPr>
              <w:instrText xml:space="preserve"> PAGEREF _Toc7528163 \h </w:instrText>
            </w:r>
            <w:r w:rsidR="00543738">
              <w:rPr>
                <w:noProof/>
                <w:webHidden/>
              </w:rPr>
            </w:r>
            <w:r w:rsidR="00543738">
              <w:rPr>
                <w:noProof/>
                <w:webHidden/>
              </w:rPr>
              <w:fldChar w:fldCharType="separate"/>
            </w:r>
            <w:r w:rsidR="00543738">
              <w:rPr>
                <w:noProof/>
                <w:webHidden/>
              </w:rPr>
              <w:t>74</w:t>
            </w:r>
            <w:r w:rsidR="00543738">
              <w:rPr>
                <w:noProof/>
                <w:webHidden/>
              </w:rPr>
              <w:fldChar w:fldCharType="end"/>
            </w:r>
          </w:hyperlink>
        </w:p>
        <w:p w14:paraId="5BC865EC" w14:textId="77777777" w:rsidR="00543738" w:rsidRDefault="007647FF">
          <w:pPr>
            <w:pStyle w:val="TOC2"/>
            <w:tabs>
              <w:tab w:val="right" w:leader="dot" w:pos="9016"/>
            </w:tabs>
            <w:rPr>
              <w:rFonts w:asciiTheme="minorHAnsi" w:hAnsiTheme="minorHAnsi"/>
              <w:noProof/>
              <w:lang w:eastAsia="en-AU"/>
            </w:rPr>
          </w:pPr>
          <w:hyperlink w:anchor="_Toc7528164" w:history="1">
            <w:r w:rsidR="00543738" w:rsidRPr="0024562C">
              <w:rPr>
                <w:rStyle w:val="Hyperlink"/>
                <w:noProof/>
              </w:rPr>
              <w:t>Attachment 4F – Response Plan accounting and reporting requirements</w:t>
            </w:r>
            <w:r w:rsidR="00543738">
              <w:rPr>
                <w:noProof/>
                <w:webHidden/>
              </w:rPr>
              <w:tab/>
            </w:r>
            <w:r w:rsidR="00543738">
              <w:rPr>
                <w:noProof/>
                <w:webHidden/>
              </w:rPr>
              <w:fldChar w:fldCharType="begin"/>
            </w:r>
            <w:r w:rsidR="00543738">
              <w:rPr>
                <w:noProof/>
                <w:webHidden/>
              </w:rPr>
              <w:instrText xml:space="preserve"> PAGEREF _Toc7528164 \h </w:instrText>
            </w:r>
            <w:r w:rsidR="00543738">
              <w:rPr>
                <w:noProof/>
                <w:webHidden/>
              </w:rPr>
            </w:r>
            <w:r w:rsidR="00543738">
              <w:rPr>
                <w:noProof/>
                <w:webHidden/>
              </w:rPr>
              <w:fldChar w:fldCharType="separate"/>
            </w:r>
            <w:r w:rsidR="00543738">
              <w:rPr>
                <w:noProof/>
                <w:webHidden/>
              </w:rPr>
              <w:t>82</w:t>
            </w:r>
            <w:r w:rsidR="00543738">
              <w:rPr>
                <w:noProof/>
                <w:webHidden/>
              </w:rPr>
              <w:fldChar w:fldCharType="end"/>
            </w:r>
          </w:hyperlink>
        </w:p>
        <w:p w14:paraId="31FAEA4C" w14:textId="77777777" w:rsidR="00543738" w:rsidRDefault="007647FF">
          <w:pPr>
            <w:pStyle w:val="TOC2"/>
            <w:tabs>
              <w:tab w:val="right" w:leader="dot" w:pos="9016"/>
            </w:tabs>
            <w:rPr>
              <w:rFonts w:asciiTheme="minorHAnsi" w:hAnsiTheme="minorHAnsi"/>
              <w:noProof/>
              <w:lang w:eastAsia="en-AU"/>
            </w:rPr>
          </w:pPr>
          <w:hyperlink w:anchor="_Toc7528165" w:history="1">
            <w:r w:rsidR="00543738" w:rsidRPr="0024562C">
              <w:rPr>
                <w:rStyle w:val="Hyperlink"/>
                <w:noProof/>
              </w:rPr>
              <w:t>Attachment 4G – Response Plan audit requirements</w:t>
            </w:r>
            <w:r w:rsidR="00543738">
              <w:rPr>
                <w:noProof/>
                <w:webHidden/>
              </w:rPr>
              <w:tab/>
            </w:r>
            <w:r w:rsidR="00543738">
              <w:rPr>
                <w:noProof/>
                <w:webHidden/>
              </w:rPr>
              <w:fldChar w:fldCharType="begin"/>
            </w:r>
            <w:r w:rsidR="00543738">
              <w:rPr>
                <w:noProof/>
                <w:webHidden/>
              </w:rPr>
              <w:instrText xml:space="preserve"> PAGEREF _Toc7528165 \h </w:instrText>
            </w:r>
            <w:r w:rsidR="00543738">
              <w:rPr>
                <w:noProof/>
                <w:webHidden/>
              </w:rPr>
            </w:r>
            <w:r w:rsidR="00543738">
              <w:rPr>
                <w:noProof/>
                <w:webHidden/>
              </w:rPr>
              <w:fldChar w:fldCharType="separate"/>
            </w:r>
            <w:r w:rsidR="00543738">
              <w:rPr>
                <w:noProof/>
                <w:webHidden/>
              </w:rPr>
              <w:t>85</w:t>
            </w:r>
            <w:r w:rsidR="00543738">
              <w:rPr>
                <w:noProof/>
                <w:webHidden/>
              </w:rPr>
              <w:fldChar w:fldCharType="end"/>
            </w:r>
          </w:hyperlink>
        </w:p>
        <w:p w14:paraId="01FB3E1B" w14:textId="77777777" w:rsidR="00543738" w:rsidRDefault="007647FF">
          <w:pPr>
            <w:pStyle w:val="TOC1"/>
            <w:tabs>
              <w:tab w:val="right" w:leader="dot" w:pos="9016"/>
            </w:tabs>
            <w:rPr>
              <w:rFonts w:asciiTheme="minorHAnsi" w:hAnsiTheme="minorHAnsi"/>
              <w:noProof/>
              <w:lang w:eastAsia="en-AU"/>
            </w:rPr>
          </w:pPr>
          <w:hyperlink w:anchor="_Toc7528166" w:history="1">
            <w:r w:rsidR="00543738" w:rsidRPr="0024562C">
              <w:rPr>
                <w:rStyle w:val="Hyperlink"/>
                <w:noProof/>
              </w:rPr>
              <w:t>Schedule 5 – Legislative and administrative arrangements</w:t>
            </w:r>
            <w:r w:rsidR="00543738">
              <w:rPr>
                <w:noProof/>
                <w:webHidden/>
              </w:rPr>
              <w:tab/>
            </w:r>
            <w:r w:rsidR="00543738">
              <w:rPr>
                <w:noProof/>
                <w:webHidden/>
              </w:rPr>
              <w:fldChar w:fldCharType="begin"/>
            </w:r>
            <w:r w:rsidR="00543738">
              <w:rPr>
                <w:noProof/>
                <w:webHidden/>
              </w:rPr>
              <w:instrText xml:space="preserve"> PAGEREF _Toc7528166 \h </w:instrText>
            </w:r>
            <w:r w:rsidR="00543738">
              <w:rPr>
                <w:noProof/>
                <w:webHidden/>
              </w:rPr>
            </w:r>
            <w:r w:rsidR="00543738">
              <w:rPr>
                <w:noProof/>
                <w:webHidden/>
              </w:rPr>
              <w:fldChar w:fldCharType="separate"/>
            </w:r>
            <w:r w:rsidR="00543738">
              <w:rPr>
                <w:noProof/>
                <w:webHidden/>
              </w:rPr>
              <w:t>87</w:t>
            </w:r>
            <w:r w:rsidR="00543738">
              <w:rPr>
                <w:noProof/>
                <w:webHidden/>
              </w:rPr>
              <w:fldChar w:fldCharType="end"/>
            </w:r>
          </w:hyperlink>
        </w:p>
        <w:p w14:paraId="1E8A32C8" w14:textId="77777777" w:rsidR="00543738" w:rsidRDefault="007647FF">
          <w:pPr>
            <w:pStyle w:val="TOC1"/>
            <w:tabs>
              <w:tab w:val="right" w:leader="dot" w:pos="9016"/>
            </w:tabs>
            <w:rPr>
              <w:rFonts w:asciiTheme="minorHAnsi" w:hAnsiTheme="minorHAnsi"/>
              <w:noProof/>
              <w:lang w:eastAsia="en-AU"/>
            </w:rPr>
          </w:pPr>
          <w:hyperlink w:anchor="_Toc7528167" w:history="1">
            <w:r w:rsidR="00543738" w:rsidRPr="0024562C">
              <w:rPr>
                <w:rStyle w:val="Hyperlink"/>
                <w:noProof/>
              </w:rPr>
              <w:t>Schedule 6 – National Management Group</w:t>
            </w:r>
            <w:r w:rsidR="00543738">
              <w:rPr>
                <w:noProof/>
                <w:webHidden/>
              </w:rPr>
              <w:tab/>
            </w:r>
            <w:r w:rsidR="00543738">
              <w:rPr>
                <w:noProof/>
                <w:webHidden/>
              </w:rPr>
              <w:fldChar w:fldCharType="begin"/>
            </w:r>
            <w:r w:rsidR="00543738">
              <w:rPr>
                <w:noProof/>
                <w:webHidden/>
              </w:rPr>
              <w:instrText xml:space="preserve"> PAGEREF _Toc7528167 \h </w:instrText>
            </w:r>
            <w:r w:rsidR="00543738">
              <w:rPr>
                <w:noProof/>
                <w:webHidden/>
              </w:rPr>
            </w:r>
            <w:r w:rsidR="00543738">
              <w:rPr>
                <w:noProof/>
                <w:webHidden/>
              </w:rPr>
              <w:fldChar w:fldCharType="separate"/>
            </w:r>
            <w:r w:rsidR="00543738">
              <w:rPr>
                <w:noProof/>
                <w:webHidden/>
              </w:rPr>
              <w:t>89</w:t>
            </w:r>
            <w:r w:rsidR="00543738">
              <w:rPr>
                <w:noProof/>
                <w:webHidden/>
              </w:rPr>
              <w:fldChar w:fldCharType="end"/>
            </w:r>
          </w:hyperlink>
        </w:p>
        <w:p w14:paraId="36CAD323" w14:textId="77777777" w:rsidR="00543738" w:rsidRDefault="007647FF">
          <w:pPr>
            <w:pStyle w:val="TOC1"/>
            <w:tabs>
              <w:tab w:val="right" w:leader="dot" w:pos="9016"/>
            </w:tabs>
            <w:rPr>
              <w:rFonts w:asciiTheme="minorHAnsi" w:hAnsiTheme="minorHAnsi"/>
              <w:noProof/>
              <w:lang w:eastAsia="en-AU"/>
            </w:rPr>
          </w:pPr>
          <w:hyperlink w:anchor="_Toc7528168" w:history="1">
            <w:r w:rsidR="00543738" w:rsidRPr="0024562C">
              <w:rPr>
                <w:rStyle w:val="Hyperlink"/>
                <w:noProof/>
              </w:rPr>
              <w:t>Schedule 7 – National Biosecurity Management Consultative Committee</w:t>
            </w:r>
            <w:r w:rsidR="00543738">
              <w:rPr>
                <w:noProof/>
                <w:webHidden/>
              </w:rPr>
              <w:tab/>
            </w:r>
            <w:r w:rsidR="00543738">
              <w:rPr>
                <w:noProof/>
                <w:webHidden/>
              </w:rPr>
              <w:fldChar w:fldCharType="begin"/>
            </w:r>
            <w:r w:rsidR="00543738">
              <w:rPr>
                <w:noProof/>
                <w:webHidden/>
              </w:rPr>
              <w:instrText xml:space="preserve"> PAGEREF _Toc7528168 \h </w:instrText>
            </w:r>
            <w:r w:rsidR="00543738">
              <w:rPr>
                <w:noProof/>
                <w:webHidden/>
              </w:rPr>
            </w:r>
            <w:r w:rsidR="00543738">
              <w:rPr>
                <w:noProof/>
                <w:webHidden/>
              </w:rPr>
              <w:fldChar w:fldCharType="separate"/>
            </w:r>
            <w:r w:rsidR="00543738">
              <w:rPr>
                <w:noProof/>
                <w:webHidden/>
              </w:rPr>
              <w:t>95</w:t>
            </w:r>
            <w:r w:rsidR="00543738">
              <w:rPr>
                <w:noProof/>
                <w:webHidden/>
              </w:rPr>
              <w:fldChar w:fldCharType="end"/>
            </w:r>
          </w:hyperlink>
        </w:p>
        <w:p w14:paraId="1E12C434" w14:textId="77777777" w:rsidR="00543738" w:rsidRDefault="007647FF">
          <w:pPr>
            <w:pStyle w:val="TOC1"/>
            <w:tabs>
              <w:tab w:val="right" w:leader="dot" w:pos="9016"/>
            </w:tabs>
            <w:rPr>
              <w:rFonts w:asciiTheme="minorHAnsi" w:hAnsiTheme="minorHAnsi"/>
              <w:noProof/>
              <w:lang w:eastAsia="en-AU"/>
            </w:rPr>
          </w:pPr>
          <w:hyperlink w:anchor="_Toc7528169" w:history="1">
            <w:r w:rsidR="00543738" w:rsidRPr="0024562C">
              <w:rPr>
                <w:rStyle w:val="Hyperlink"/>
                <w:noProof/>
              </w:rPr>
              <w:t>SIGNING PAGE</w:t>
            </w:r>
            <w:r w:rsidR="00543738">
              <w:rPr>
                <w:noProof/>
                <w:webHidden/>
              </w:rPr>
              <w:tab/>
            </w:r>
            <w:r w:rsidR="00543738">
              <w:rPr>
                <w:noProof/>
                <w:webHidden/>
              </w:rPr>
              <w:fldChar w:fldCharType="begin"/>
            </w:r>
            <w:r w:rsidR="00543738">
              <w:rPr>
                <w:noProof/>
                <w:webHidden/>
              </w:rPr>
              <w:instrText xml:space="preserve"> PAGEREF _Toc7528169 \h </w:instrText>
            </w:r>
            <w:r w:rsidR="00543738">
              <w:rPr>
                <w:noProof/>
                <w:webHidden/>
              </w:rPr>
            </w:r>
            <w:r w:rsidR="00543738">
              <w:rPr>
                <w:noProof/>
                <w:webHidden/>
              </w:rPr>
              <w:fldChar w:fldCharType="separate"/>
            </w:r>
            <w:r w:rsidR="00543738">
              <w:rPr>
                <w:noProof/>
                <w:webHidden/>
              </w:rPr>
              <w:t>100</w:t>
            </w:r>
            <w:r w:rsidR="00543738">
              <w:rPr>
                <w:noProof/>
                <w:webHidden/>
              </w:rPr>
              <w:fldChar w:fldCharType="end"/>
            </w:r>
          </w:hyperlink>
        </w:p>
        <w:p w14:paraId="6C70EB24" w14:textId="77777777" w:rsidR="0082071C" w:rsidRPr="00A729D8" w:rsidRDefault="0082071C" w:rsidP="002106F9">
          <w:r w:rsidRPr="00A729D8">
            <w:fldChar w:fldCharType="end"/>
          </w:r>
        </w:p>
      </w:sdtContent>
    </w:sdt>
    <w:p w14:paraId="42F9C09C" w14:textId="77777777" w:rsidR="0082071C" w:rsidRPr="00A729D8" w:rsidRDefault="0082071C" w:rsidP="002106F9">
      <w:pPr>
        <w:spacing w:before="0" w:after="160" w:line="252" w:lineRule="auto"/>
        <w:rPr>
          <w:rFonts w:eastAsiaTheme="majorEastAsia" w:cstheme="majorBidi"/>
          <w:b/>
          <w:bCs/>
          <w:caps/>
          <w:spacing w:val="4"/>
          <w:szCs w:val="28"/>
        </w:rPr>
      </w:pPr>
      <w:r w:rsidRPr="00A729D8">
        <w:br w:type="page"/>
      </w:r>
    </w:p>
    <w:p w14:paraId="025EF652" w14:textId="77777777" w:rsidR="00B34554" w:rsidRPr="00A729D8" w:rsidRDefault="00B34554" w:rsidP="002106F9">
      <w:pPr>
        <w:pStyle w:val="Heading1"/>
        <w:keepNext w:val="0"/>
        <w:keepLines w:val="0"/>
      </w:pPr>
      <w:bookmarkStart w:id="4" w:name="_Toc7528085"/>
      <w:r w:rsidRPr="00A729D8">
        <w:lastRenderedPageBreak/>
        <w:t>Background</w:t>
      </w:r>
      <w:bookmarkEnd w:id="4"/>
    </w:p>
    <w:p w14:paraId="101C4C82" w14:textId="77777777" w:rsidR="00B34554" w:rsidRPr="00A729D8" w:rsidRDefault="00B34554" w:rsidP="002106F9">
      <w:pPr>
        <w:pStyle w:val="Heading2"/>
        <w:keepNext w:val="0"/>
        <w:keepLines w:val="0"/>
      </w:pPr>
      <w:bookmarkStart w:id="5" w:name="_Toc7528086"/>
      <w:r w:rsidRPr="00A729D8">
        <w:t>Purpose of agreement</w:t>
      </w:r>
      <w:bookmarkEnd w:id="5"/>
    </w:p>
    <w:p w14:paraId="28AFCADB" w14:textId="77777777" w:rsidR="00B34554" w:rsidRPr="00A729D8" w:rsidRDefault="00B34554" w:rsidP="002106F9">
      <w:r w:rsidRPr="00A729D8">
        <w:t>The purpose of this agreement is to establish national arrangements for responses to nationally significant biosecurity incidents where there are predominantly public benefits.</w:t>
      </w:r>
    </w:p>
    <w:p w14:paraId="7B0603CE" w14:textId="77777777" w:rsidR="00B34554" w:rsidRPr="00A729D8" w:rsidRDefault="00B34554" w:rsidP="002106F9">
      <w:pPr>
        <w:pStyle w:val="Heading2"/>
        <w:keepNext w:val="0"/>
        <w:keepLines w:val="0"/>
      </w:pPr>
      <w:bookmarkStart w:id="6" w:name="_Toc7528087"/>
      <w:r w:rsidRPr="00A729D8">
        <w:t>Interaction with related biosecurity arrangements</w:t>
      </w:r>
      <w:bookmarkEnd w:id="6"/>
    </w:p>
    <w:p w14:paraId="30CCE448" w14:textId="77777777" w:rsidR="00B34554" w:rsidRPr="00A729D8" w:rsidRDefault="00B34554" w:rsidP="002106F9">
      <w:pPr>
        <w:pStyle w:val="Heading3"/>
        <w:keepNext w:val="0"/>
        <w:keepLines w:val="0"/>
      </w:pPr>
      <w:r w:rsidRPr="00A729D8">
        <w:t>This agreement is consistent with, and supports the function of, the overarching Intergovernmental Agreement on Biosecurity.</w:t>
      </w:r>
    </w:p>
    <w:p w14:paraId="3F5E6E1B" w14:textId="77777777" w:rsidR="00B34554" w:rsidRPr="00A729D8" w:rsidRDefault="00B34554" w:rsidP="002106F9">
      <w:pPr>
        <w:pStyle w:val="Heading3"/>
        <w:keepNext w:val="0"/>
        <w:keepLines w:val="0"/>
      </w:pPr>
      <w:r w:rsidRPr="00A729D8">
        <w:t>This agreement builds on related biosecurity arrangements (as defined in clause 2.2) for Australia and is intended to be consistent with, and to support the function of, those arrangements.</w:t>
      </w:r>
    </w:p>
    <w:p w14:paraId="24B2D462" w14:textId="77777777" w:rsidR="00B34554" w:rsidRPr="00A729D8" w:rsidRDefault="00B34554" w:rsidP="002106F9">
      <w:pPr>
        <w:pStyle w:val="Heading3"/>
        <w:keepNext w:val="0"/>
        <w:keepLines w:val="0"/>
      </w:pPr>
      <w:r w:rsidRPr="00A729D8">
        <w:t>This agreement will not displace or replace the operation of any of the related biosecurity arrangements, including those for cost-sharing under pre-existing arrangements.</w:t>
      </w:r>
    </w:p>
    <w:p w14:paraId="7B8A6D85" w14:textId="77777777" w:rsidR="00B34554" w:rsidRPr="00A729D8" w:rsidRDefault="00B34554" w:rsidP="002106F9">
      <w:pPr>
        <w:pStyle w:val="Heading3"/>
        <w:keepNext w:val="0"/>
        <w:keepLines w:val="0"/>
      </w:pPr>
      <w:r w:rsidRPr="00A729D8">
        <w:t>This agreement will be implemented in accordance with Australia’s international rights and obligations.</w:t>
      </w:r>
    </w:p>
    <w:p w14:paraId="089870D2" w14:textId="77777777" w:rsidR="00B34554" w:rsidRPr="00A729D8" w:rsidRDefault="00B34554" w:rsidP="002106F9">
      <w:pPr>
        <w:pStyle w:val="Heading2"/>
        <w:keepNext w:val="0"/>
        <w:keepLines w:val="0"/>
      </w:pPr>
      <w:bookmarkStart w:id="7" w:name="_Toc7528088"/>
      <w:r w:rsidRPr="00A729D8">
        <w:t>Scope</w:t>
      </w:r>
      <w:bookmarkEnd w:id="7"/>
    </w:p>
    <w:p w14:paraId="5B2CD22C" w14:textId="7E9A48A2" w:rsidR="00B34554" w:rsidRPr="00A729D8" w:rsidRDefault="00B34554" w:rsidP="002106F9">
      <w:r w:rsidRPr="00A729D8">
        <w:t>To reduce the impacts of pests and diseases on Australia’s environment and social amenity this agreement establishes national response arrangements, including for cost-sharing, to be applied by agreement of the parties where there are no existing arrangements</w:t>
      </w:r>
      <w:r w:rsidR="00C4264C" w:rsidRPr="00A729D8">
        <w:t>.</w:t>
      </w:r>
    </w:p>
    <w:p w14:paraId="6187D06D" w14:textId="77777777" w:rsidR="00B34554" w:rsidRPr="00A729D8" w:rsidRDefault="00B34554" w:rsidP="002106F9">
      <w:pPr>
        <w:pStyle w:val="Heading2"/>
        <w:keepNext w:val="0"/>
        <w:keepLines w:val="0"/>
      </w:pPr>
      <w:bookmarkStart w:id="8" w:name="_Toc7528089"/>
      <w:r w:rsidRPr="00A729D8">
        <w:t>Outcomes</w:t>
      </w:r>
      <w:bookmarkEnd w:id="8"/>
    </w:p>
    <w:p w14:paraId="3253DBC3" w14:textId="77777777" w:rsidR="00B34554" w:rsidRPr="00A729D8" w:rsidRDefault="00B34554" w:rsidP="002106F9">
      <w:r w:rsidRPr="00A729D8">
        <w:t>This agreement will achieve or promote the following outcomes:</w:t>
      </w:r>
    </w:p>
    <w:p w14:paraId="56228C79" w14:textId="29325413" w:rsidR="00B34554" w:rsidRPr="00A729D8" w:rsidRDefault="00B34554" w:rsidP="00121729">
      <w:pPr>
        <w:pStyle w:val="ListParagraph"/>
        <w:numPr>
          <w:ilvl w:val="0"/>
          <w:numId w:val="13"/>
        </w:numPr>
      </w:pPr>
      <w:r w:rsidRPr="00A729D8">
        <w:t xml:space="preserve">reduce the impact of </w:t>
      </w:r>
      <w:r w:rsidR="00C14B6A" w:rsidRPr="00A729D8">
        <w:t xml:space="preserve">nationally significant </w:t>
      </w:r>
      <w:r w:rsidRPr="00A729D8">
        <w:t>pests and diseases on</w:t>
      </w:r>
    </w:p>
    <w:p w14:paraId="0673E67C" w14:textId="77777777" w:rsidR="00B34554" w:rsidRPr="00A729D8" w:rsidRDefault="00B34554" w:rsidP="002106F9">
      <w:pPr>
        <w:pStyle w:val="ListParagraph"/>
        <w:numPr>
          <w:ilvl w:val="0"/>
          <w:numId w:val="2"/>
        </w:numPr>
      </w:pPr>
      <w:r w:rsidRPr="00A729D8">
        <w:t>the environment</w:t>
      </w:r>
    </w:p>
    <w:p w14:paraId="275DE56F" w14:textId="77777777" w:rsidR="00B34554" w:rsidRPr="00A729D8" w:rsidRDefault="00B34554" w:rsidP="002106F9">
      <w:pPr>
        <w:pStyle w:val="ListParagraph"/>
        <w:numPr>
          <w:ilvl w:val="0"/>
          <w:numId w:val="2"/>
        </w:numPr>
      </w:pPr>
      <w:r w:rsidRPr="00A729D8">
        <w:t>people, including social amenity and human infrastructure</w:t>
      </w:r>
    </w:p>
    <w:p w14:paraId="5837AA9D" w14:textId="22BE2003" w:rsidR="00B34554" w:rsidRPr="00A729D8" w:rsidRDefault="00B34554" w:rsidP="00121729">
      <w:pPr>
        <w:pStyle w:val="ListParagraph"/>
        <w:numPr>
          <w:ilvl w:val="0"/>
          <w:numId w:val="13"/>
        </w:numPr>
      </w:pPr>
      <w:r w:rsidRPr="00A729D8">
        <w:t>ensure more efficient and timely emergency responses to</w:t>
      </w:r>
      <w:r w:rsidR="00C14B6A" w:rsidRPr="00A729D8">
        <w:t xml:space="preserve"> nationally significant</w:t>
      </w:r>
      <w:r w:rsidRPr="00A729D8">
        <w:t xml:space="preserve"> </w:t>
      </w:r>
      <w:r w:rsidR="00FE435B" w:rsidRPr="00A729D8">
        <w:t xml:space="preserve">environmental </w:t>
      </w:r>
      <w:r w:rsidRPr="00A729D8">
        <w:t xml:space="preserve">pest and disease </w:t>
      </w:r>
      <w:r w:rsidR="00747D05" w:rsidRPr="00A729D8">
        <w:t>incident</w:t>
      </w:r>
      <w:r w:rsidRPr="00A729D8">
        <w:t>s</w:t>
      </w:r>
    </w:p>
    <w:p w14:paraId="6A993A53" w14:textId="77777777" w:rsidR="00B34554" w:rsidRPr="00A729D8" w:rsidRDefault="00B34554" w:rsidP="00121729">
      <w:pPr>
        <w:pStyle w:val="ListParagraph"/>
        <w:numPr>
          <w:ilvl w:val="0"/>
          <w:numId w:val="13"/>
        </w:numPr>
      </w:pPr>
      <w:r w:rsidRPr="00A729D8">
        <w:t>maintain Australia’s favourable international reputation</w:t>
      </w:r>
    </w:p>
    <w:p w14:paraId="135F7492" w14:textId="1F494022" w:rsidR="00B34554" w:rsidRPr="00A729D8" w:rsidRDefault="00B34554" w:rsidP="002106F9">
      <w:pPr>
        <w:pStyle w:val="ListParagraph"/>
        <w:numPr>
          <w:ilvl w:val="0"/>
          <w:numId w:val="4"/>
        </w:numPr>
        <w:ind w:left="1800"/>
      </w:pPr>
      <w:r w:rsidRPr="00A729D8">
        <w:t xml:space="preserve">for being free from many </w:t>
      </w:r>
      <w:r w:rsidR="00FE435B" w:rsidRPr="00A729D8">
        <w:t xml:space="preserve">nationally significant environmental </w:t>
      </w:r>
      <w:r w:rsidRPr="00A729D8">
        <w:t>pests and diseases</w:t>
      </w:r>
    </w:p>
    <w:p w14:paraId="5007C687" w14:textId="77777777" w:rsidR="00B34554" w:rsidRPr="00A729D8" w:rsidRDefault="00B34554" w:rsidP="002106F9">
      <w:pPr>
        <w:pStyle w:val="ListParagraph"/>
        <w:numPr>
          <w:ilvl w:val="0"/>
          <w:numId w:val="4"/>
        </w:numPr>
        <w:ind w:left="1800"/>
      </w:pPr>
      <w:r w:rsidRPr="00A729D8">
        <w:t>for diverse ecosystem sustainability</w:t>
      </w:r>
    </w:p>
    <w:p w14:paraId="2B093A12" w14:textId="77777777" w:rsidR="00B34554" w:rsidRPr="00A729D8" w:rsidRDefault="00B34554" w:rsidP="00121729">
      <w:pPr>
        <w:pStyle w:val="ListParagraph"/>
        <w:numPr>
          <w:ilvl w:val="0"/>
          <w:numId w:val="13"/>
        </w:numPr>
      </w:pPr>
      <w:r w:rsidRPr="00A729D8">
        <w:t>continued compliance with Australia’s international rights and obligations</w:t>
      </w:r>
    </w:p>
    <w:p w14:paraId="1C058C19" w14:textId="77777777" w:rsidR="00B34554" w:rsidRPr="00A729D8" w:rsidRDefault="00B34554" w:rsidP="00121729">
      <w:pPr>
        <w:pStyle w:val="ListParagraph"/>
        <w:numPr>
          <w:ilvl w:val="0"/>
          <w:numId w:val="13"/>
        </w:numPr>
      </w:pPr>
      <w:r w:rsidRPr="00A729D8">
        <w:t>cost-effective, science and risk-based biosecurity management.</w:t>
      </w:r>
    </w:p>
    <w:p w14:paraId="1BDC6078" w14:textId="77777777" w:rsidR="00B34554" w:rsidRPr="00A729D8" w:rsidRDefault="00B34554" w:rsidP="002106F9">
      <w:pPr>
        <w:pStyle w:val="Heading2"/>
        <w:keepNext w:val="0"/>
        <w:keepLines w:val="0"/>
      </w:pPr>
      <w:bookmarkStart w:id="9" w:name="_Toc7528090"/>
      <w:r w:rsidRPr="00A729D8">
        <w:t>Intention of the parties not to contract</w:t>
      </w:r>
      <w:bookmarkEnd w:id="9"/>
    </w:p>
    <w:p w14:paraId="706D96B6" w14:textId="77777777" w:rsidR="00B34554" w:rsidRPr="00A729D8" w:rsidRDefault="00B34554" w:rsidP="002106F9">
      <w:r w:rsidRPr="00A729D8">
        <w:t>To avoid doubt, the parties to this agreement maintain that it should not be a legally binding contract but, notwithstanding this, intend to comply with all its provisions.</w:t>
      </w:r>
    </w:p>
    <w:p w14:paraId="373BAA05" w14:textId="77777777" w:rsidR="00B34554" w:rsidRPr="00A729D8" w:rsidRDefault="00B34554" w:rsidP="002106F9">
      <w:pPr>
        <w:pStyle w:val="Heading1"/>
        <w:keepNext w:val="0"/>
        <w:keepLines w:val="0"/>
      </w:pPr>
      <w:bookmarkStart w:id="10" w:name="_Toc7528091"/>
      <w:r w:rsidRPr="00A729D8">
        <w:lastRenderedPageBreak/>
        <w:t>Glossary and interpretation</w:t>
      </w:r>
      <w:bookmarkEnd w:id="10"/>
    </w:p>
    <w:p w14:paraId="06F65CDC" w14:textId="77777777" w:rsidR="00B34554" w:rsidRPr="00A729D8" w:rsidRDefault="00B34554" w:rsidP="002106F9">
      <w:pPr>
        <w:pStyle w:val="Heading2"/>
        <w:keepNext w:val="0"/>
        <w:keepLines w:val="0"/>
      </w:pPr>
      <w:bookmarkStart w:id="11" w:name="_Toc7528092"/>
      <w:r w:rsidRPr="00A729D8">
        <w:t>Existing definitions</w:t>
      </w:r>
      <w:bookmarkEnd w:id="11"/>
    </w:p>
    <w:p w14:paraId="34550BA3" w14:textId="77777777" w:rsidR="00B34554" w:rsidRPr="00A729D8" w:rsidRDefault="00B34554" w:rsidP="002106F9">
      <w:r w:rsidRPr="00A729D8">
        <w:t>Except as set out in clause 2.2, terms used in this agreement have the same meaning as given to those in the SPS agreement.</w:t>
      </w:r>
    </w:p>
    <w:p w14:paraId="3DAC2A08" w14:textId="77777777" w:rsidR="00B34554" w:rsidRPr="00A729D8" w:rsidRDefault="00B34554" w:rsidP="002106F9">
      <w:pPr>
        <w:pStyle w:val="Heading2"/>
        <w:keepNext w:val="0"/>
        <w:keepLines w:val="0"/>
      </w:pPr>
      <w:r w:rsidRPr="00A729D8">
        <w:t xml:space="preserve"> </w:t>
      </w:r>
      <w:bookmarkStart w:id="12" w:name="_Toc7528093"/>
      <w:r w:rsidRPr="00A729D8">
        <w:t>Glossary</w:t>
      </w:r>
      <w:bookmarkEnd w:id="12"/>
    </w:p>
    <w:p w14:paraId="10D54921" w14:textId="77777777" w:rsidR="00B34554" w:rsidRPr="00A729D8" w:rsidRDefault="00B34554" w:rsidP="002106F9">
      <w:r w:rsidRPr="00A729D8">
        <w:t>In this document:</w:t>
      </w:r>
    </w:p>
    <w:p w14:paraId="616330C2" w14:textId="146B1074" w:rsidR="00B34554" w:rsidRPr="00A729D8" w:rsidRDefault="00B34554" w:rsidP="002106F9">
      <w:r w:rsidRPr="00A729D8">
        <w:rPr>
          <w:b/>
        </w:rPr>
        <w:t>affected</w:t>
      </w:r>
      <w:r w:rsidRPr="00A729D8">
        <w:t xml:space="preserve">, in relation to the parties means the Commonwealth, state or territory parties that are, or may be, directly affected by an </w:t>
      </w:r>
      <w:r w:rsidR="00747D05" w:rsidRPr="00A729D8">
        <w:t>incident</w:t>
      </w:r>
      <w:r w:rsidRPr="00A729D8">
        <w:t xml:space="preserve"> of a pest or disease as determined by the National Biosecurity Management Group, in the sense that the pest or disease actually or potentially occurs in that party’s jurisdiction.</w:t>
      </w:r>
      <w:r w:rsidR="00043155" w:rsidRPr="00A729D8">
        <w:t xml:space="preserve"> In relation to non-government </w:t>
      </w:r>
      <w:r w:rsidR="00B352AC" w:rsidRPr="00A729D8">
        <w:t>entities</w:t>
      </w:r>
      <w:r w:rsidR="00043155" w:rsidRPr="00A729D8">
        <w:t xml:space="preserve"> it means those </w:t>
      </w:r>
      <w:r w:rsidR="00454F21" w:rsidRPr="00A729D8">
        <w:t xml:space="preserve">entities </w:t>
      </w:r>
      <w:r w:rsidR="00043155" w:rsidRPr="00A729D8">
        <w:t xml:space="preserve">that the NBMG has determined to be </w:t>
      </w:r>
      <w:r w:rsidR="00EB493B" w:rsidRPr="00A729D8">
        <w:t>‘</w:t>
      </w:r>
      <w:r w:rsidR="00043155" w:rsidRPr="00A729D8">
        <w:t>affected</w:t>
      </w:r>
      <w:r w:rsidR="00EB493B" w:rsidRPr="00A729D8">
        <w:t>’</w:t>
      </w:r>
      <w:r w:rsidR="00043155" w:rsidRPr="00A729D8">
        <w:t xml:space="preserve"> and are voting members at the NBMG. </w:t>
      </w:r>
    </w:p>
    <w:p w14:paraId="35525E0A" w14:textId="77777777" w:rsidR="00B34554" w:rsidRPr="00A729D8" w:rsidRDefault="00B34554" w:rsidP="002106F9">
      <w:r w:rsidRPr="00A729D8">
        <w:rPr>
          <w:b/>
        </w:rPr>
        <w:t>agreement</w:t>
      </w:r>
      <w:r w:rsidRPr="00A729D8">
        <w:t xml:space="preserve"> means this agreement and all schedules and attachments to this agreement.</w:t>
      </w:r>
    </w:p>
    <w:p w14:paraId="33EE7E20" w14:textId="77777777" w:rsidR="00B34554" w:rsidRPr="00A729D8" w:rsidRDefault="00B34554" w:rsidP="002106F9">
      <w:r w:rsidRPr="00A729D8">
        <w:rPr>
          <w:b/>
        </w:rPr>
        <w:t>benefit:cost analysis</w:t>
      </w:r>
      <w:r w:rsidRPr="00A729D8">
        <w:t xml:space="preserve"> or </w:t>
      </w:r>
      <w:r w:rsidRPr="00A729D8">
        <w:rPr>
          <w:b/>
        </w:rPr>
        <w:t>cost beneficial</w:t>
      </w:r>
      <w:r w:rsidRPr="00A729D8">
        <w:t xml:space="preserve"> means an analysis having the objectives set out in, and carried out in accordance with, item 5.1 of Schedule </w:t>
      </w:r>
      <w:r w:rsidR="005164BE" w:rsidRPr="00A729D8">
        <w:t>3</w:t>
      </w:r>
      <w:r w:rsidRPr="00A729D8">
        <w:t>.</w:t>
      </w:r>
    </w:p>
    <w:p w14:paraId="5F6958F5" w14:textId="7137973D" w:rsidR="00B34554" w:rsidRPr="00A729D8" w:rsidRDefault="00B34554" w:rsidP="002106F9">
      <w:r w:rsidRPr="00A729D8">
        <w:rPr>
          <w:b/>
        </w:rPr>
        <w:t>biosecurity</w:t>
      </w:r>
      <w:r w:rsidRPr="00A729D8">
        <w:t xml:space="preserve"> </w:t>
      </w:r>
      <w:r w:rsidR="00C4264C" w:rsidRPr="00A729D8">
        <w:t>is the management of risks to the economy, the environment and the community, of pests and diseases entering, emerging, establishing or spreading.</w:t>
      </w:r>
    </w:p>
    <w:p w14:paraId="678685D8" w14:textId="77777777" w:rsidR="00B34554" w:rsidRPr="00A729D8" w:rsidRDefault="00B34554" w:rsidP="002106F9">
      <w:r w:rsidRPr="00A729D8">
        <w:rPr>
          <w:b/>
        </w:rPr>
        <w:t>claiming</w:t>
      </w:r>
      <w:r w:rsidRPr="00A729D8">
        <w:t xml:space="preserve"> party has the meaning given to that term in clause </w:t>
      </w:r>
      <w:r w:rsidR="00AB4906" w:rsidRPr="00A729D8">
        <w:t>6</w:t>
      </w:r>
      <w:r w:rsidR="005164BE" w:rsidRPr="00A729D8">
        <w:t>.2.5</w:t>
      </w:r>
      <w:r w:rsidRPr="00A729D8">
        <w:t>.</w:t>
      </w:r>
    </w:p>
    <w:p w14:paraId="2EC99D51" w14:textId="77777777" w:rsidR="00B34554" w:rsidRPr="00A729D8" w:rsidRDefault="00B34554" w:rsidP="002106F9">
      <w:r w:rsidRPr="00A729D8">
        <w:rPr>
          <w:b/>
        </w:rPr>
        <w:t>commencement</w:t>
      </w:r>
      <w:r w:rsidRPr="00A729D8">
        <w:t xml:space="preserve"> means the commencement of this agreement in accordance with clause 1</w:t>
      </w:r>
      <w:r w:rsidR="00983429" w:rsidRPr="00A729D8">
        <w:t>0</w:t>
      </w:r>
      <w:r w:rsidRPr="00A729D8">
        <w:t>.1.</w:t>
      </w:r>
    </w:p>
    <w:p w14:paraId="07A4EAD8" w14:textId="77777777" w:rsidR="00B34554" w:rsidRPr="00A729D8" w:rsidRDefault="00B34554" w:rsidP="002106F9">
      <w:r w:rsidRPr="00A729D8">
        <w:rPr>
          <w:b/>
        </w:rPr>
        <w:t>Commonwealth</w:t>
      </w:r>
      <w:r w:rsidRPr="00A729D8">
        <w:t xml:space="preserve"> means the party to this agreement that is the Commonwealth of Australia.</w:t>
      </w:r>
    </w:p>
    <w:p w14:paraId="5CD21FB5" w14:textId="77777777" w:rsidR="00B34554" w:rsidRPr="00A729D8" w:rsidRDefault="00B34554" w:rsidP="002106F9">
      <w:r w:rsidRPr="00A729D8">
        <w:rPr>
          <w:b/>
        </w:rPr>
        <w:t>Commonwealth land</w:t>
      </w:r>
      <w:r w:rsidRPr="00A729D8">
        <w:t xml:space="preserve"> means land:</w:t>
      </w:r>
    </w:p>
    <w:p w14:paraId="04174849" w14:textId="77777777" w:rsidR="00B34554" w:rsidRPr="00A729D8" w:rsidRDefault="00B34554" w:rsidP="002106F9">
      <w:pPr>
        <w:pStyle w:val="ListParagraph"/>
        <w:numPr>
          <w:ilvl w:val="0"/>
          <w:numId w:val="3"/>
        </w:numPr>
        <w:ind w:left="720"/>
      </w:pPr>
      <w:r w:rsidRPr="00A729D8">
        <w:t>owned or leased by the Commonwealth or a Commonwealth agency (including land owned or leased by the Commonwealth on Norfolk Island)</w:t>
      </w:r>
    </w:p>
    <w:p w14:paraId="0C3CD0B8" w14:textId="77777777" w:rsidR="0003487E" w:rsidRPr="00A729D8" w:rsidRDefault="00B34554" w:rsidP="002106F9">
      <w:pPr>
        <w:pStyle w:val="ListParagraph"/>
        <w:numPr>
          <w:ilvl w:val="0"/>
          <w:numId w:val="3"/>
        </w:numPr>
        <w:ind w:left="720"/>
      </w:pPr>
      <w:r w:rsidRPr="00A729D8">
        <w:t>in the Jervis Bay Territory</w:t>
      </w:r>
    </w:p>
    <w:p w14:paraId="141FDF2A" w14:textId="77777777" w:rsidR="00B34554" w:rsidRPr="00A729D8" w:rsidRDefault="00B34554" w:rsidP="002106F9">
      <w:pPr>
        <w:pStyle w:val="ListParagraph"/>
        <w:numPr>
          <w:ilvl w:val="0"/>
          <w:numId w:val="3"/>
        </w:numPr>
        <w:ind w:left="720"/>
      </w:pPr>
      <w:r w:rsidRPr="00A729D8">
        <w:t>in the following external territories</w:t>
      </w:r>
    </w:p>
    <w:p w14:paraId="25C10A34" w14:textId="77777777" w:rsidR="00B34554" w:rsidRPr="00A729D8" w:rsidRDefault="00B34554" w:rsidP="002106F9">
      <w:pPr>
        <w:pStyle w:val="ListParagraph"/>
        <w:numPr>
          <w:ilvl w:val="0"/>
          <w:numId w:val="5"/>
        </w:numPr>
        <w:ind w:left="1080"/>
      </w:pPr>
      <w:r w:rsidRPr="00A729D8">
        <w:t>Christmas Island, Ashmore and Cartier Islands</w:t>
      </w:r>
    </w:p>
    <w:p w14:paraId="79B12C5A" w14:textId="77777777" w:rsidR="00B34554" w:rsidRPr="00A729D8" w:rsidRDefault="00B34554" w:rsidP="002106F9">
      <w:pPr>
        <w:pStyle w:val="ListParagraph"/>
        <w:numPr>
          <w:ilvl w:val="0"/>
          <w:numId w:val="5"/>
        </w:numPr>
        <w:ind w:left="1080"/>
      </w:pPr>
      <w:r w:rsidRPr="00A729D8">
        <w:t>Coral Sea Islands</w:t>
      </w:r>
    </w:p>
    <w:p w14:paraId="1CFF7321" w14:textId="77777777" w:rsidR="00B34554" w:rsidRPr="00A729D8" w:rsidRDefault="00B34554" w:rsidP="002106F9">
      <w:pPr>
        <w:pStyle w:val="ListParagraph"/>
        <w:numPr>
          <w:ilvl w:val="0"/>
          <w:numId w:val="5"/>
        </w:numPr>
        <w:ind w:left="1080"/>
      </w:pPr>
      <w:r w:rsidRPr="00A729D8">
        <w:t>Cocos (Keeling) Islands</w:t>
      </w:r>
    </w:p>
    <w:p w14:paraId="0EF08B56" w14:textId="77777777" w:rsidR="00B34554" w:rsidRPr="00A729D8" w:rsidRDefault="00B34554" w:rsidP="002106F9">
      <w:pPr>
        <w:pStyle w:val="ListParagraph"/>
        <w:numPr>
          <w:ilvl w:val="0"/>
          <w:numId w:val="5"/>
        </w:numPr>
        <w:ind w:left="1080"/>
      </w:pPr>
      <w:r w:rsidRPr="00A729D8">
        <w:t>Australian Antarctic Territory</w:t>
      </w:r>
    </w:p>
    <w:p w14:paraId="3D1E2D9F" w14:textId="77777777" w:rsidR="00B34554" w:rsidRPr="00A729D8" w:rsidRDefault="00B34554" w:rsidP="002106F9">
      <w:pPr>
        <w:pStyle w:val="ListParagraph"/>
        <w:numPr>
          <w:ilvl w:val="0"/>
          <w:numId w:val="5"/>
        </w:numPr>
        <w:ind w:left="1080"/>
      </w:pPr>
      <w:r w:rsidRPr="00A729D8">
        <w:t>Heard and McDonald Islands</w:t>
      </w:r>
    </w:p>
    <w:p w14:paraId="49C8FC43" w14:textId="77777777" w:rsidR="00B34554" w:rsidRPr="00A729D8" w:rsidRDefault="00B34554" w:rsidP="002106F9">
      <w:r w:rsidRPr="00A729D8">
        <w:t>and any other land included in a Commonwealth reserve.</w:t>
      </w:r>
    </w:p>
    <w:p w14:paraId="3E826577" w14:textId="77777777" w:rsidR="00B34554" w:rsidRPr="00A729D8" w:rsidRDefault="00B34554" w:rsidP="002106F9">
      <w:r w:rsidRPr="00A729D8">
        <w:rPr>
          <w:b/>
        </w:rPr>
        <w:t>Commonwealth waters</w:t>
      </w:r>
      <w:r w:rsidRPr="00A729D8">
        <w:t xml:space="preserve"> means waters beyond three nautical miles from the territorial sea baseline to the outer edge of Australia’s exclusive economic zone (i.e. all the areas not state waters as defined in the Coastal Waters (State Powers) Act 1980 (Cth) and the Seas and Submerged Lands Act 1973 (Cth), or as otherwise agreed between the Commonwealth and the relevant state or territory.</w:t>
      </w:r>
    </w:p>
    <w:p w14:paraId="2B7B58E1" w14:textId="77777777" w:rsidR="005406ED" w:rsidRPr="00A729D8" w:rsidRDefault="00B34554" w:rsidP="002106F9">
      <w:r w:rsidRPr="00A729D8">
        <w:rPr>
          <w:b/>
        </w:rPr>
        <w:lastRenderedPageBreak/>
        <w:t>consensus</w:t>
      </w:r>
      <w:r w:rsidRPr="00A729D8">
        <w:t xml:space="preserve">, </w:t>
      </w:r>
      <w:r w:rsidR="005406ED" w:rsidRPr="00A729D8">
        <w:t>means in respect of a decision to be taken on an issue, that none of those persons present when the decision is taken are opposed to it, although:</w:t>
      </w:r>
    </w:p>
    <w:p w14:paraId="360D70A1" w14:textId="77777777" w:rsidR="005406ED" w:rsidRPr="00A729D8" w:rsidRDefault="005406ED" w:rsidP="002106F9">
      <w:r w:rsidRPr="00A729D8">
        <w:t>(a) persons present during the discussion may have expressed contrary views;</w:t>
      </w:r>
    </w:p>
    <w:p w14:paraId="3CA68F81" w14:textId="77777777" w:rsidR="005406ED" w:rsidRPr="00A729D8" w:rsidRDefault="005406ED" w:rsidP="002106F9">
      <w:r w:rsidRPr="00A729D8">
        <w:t>(b) achieving the consensus may have required a measure of compromise to ensure a workable outcome; and</w:t>
      </w:r>
    </w:p>
    <w:p w14:paraId="5CDC187C" w14:textId="77777777" w:rsidR="00B34554" w:rsidRPr="00A729D8" w:rsidRDefault="005406ED" w:rsidP="002106F9">
      <w:r w:rsidRPr="00A729D8">
        <w:t>(c) some entitled to be present may not be present and some may abstain from participating in the decision.</w:t>
      </w:r>
    </w:p>
    <w:p w14:paraId="02A437F9" w14:textId="77777777" w:rsidR="00B34554" w:rsidRPr="00A729D8" w:rsidRDefault="00B34554" w:rsidP="002106F9">
      <w:r w:rsidRPr="00A729D8">
        <w:rPr>
          <w:b/>
        </w:rPr>
        <w:t>conservation status</w:t>
      </w:r>
      <w:r w:rsidRPr="00A729D8">
        <w:t xml:space="preserve"> has the same meaning as in the Environment Protection and Biodiversity Conservation Act 1999 (Cth).</w:t>
      </w:r>
    </w:p>
    <w:p w14:paraId="710406A6" w14:textId="77777777" w:rsidR="00B34554" w:rsidRPr="00A729D8" w:rsidRDefault="00B34554" w:rsidP="002106F9">
      <w:r w:rsidRPr="00A729D8">
        <w:rPr>
          <w:b/>
        </w:rPr>
        <w:t>cost-sharing</w:t>
      </w:r>
      <w:r w:rsidRPr="00A729D8">
        <w:t xml:space="preserve"> means the proportional funding of a national response by some or all of the parties, and is determined in accordance with item 2 of Schedule </w:t>
      </w:r>
      <w:r w:rsidR="00BA67A8" w:rsidRPr="00A729D8">
        <w:t>4</w:t>
      </w:r>
      <w:r w:rsidRPr="00A729D8">
        <w:t>.</w:t>
      </w:r>
    </w:p>
    <w:p w14:paraId="427FFB2E" w14:textId="7CB1E6EF" w:rsidR="009F1BEB" w:rsidRPr="00A729D8" w:rsidRDefault="00CC4DBB" w:rsidP="002106F9">
      <w:pPr>
        <w:rPr>
          <w:b/>
        </w:rPr>
      </w:pPr>
      <w:r w:rsidRPr="00A729D8">
        <w:rPr>
          <w:b/>
        </w:rPr>
        <w:t>c</w:t>
      </w:r>
      <w:r w:rsidR="009F1BEB" w:rsidRPr="00A729D8">
        <w:rPr>
          <w:b/>
        </w:rPr>
        <w:t>ustodian</w:t>
      </w:r>
      <w:r w:rsidRPr="00A729D8">
        <w:rPr>
          <w:b/>
        </w:rPr>
        <w:t xml:space="preserve"> </w:t>
      </w:r>
      <w:r w:rsidRPr="00A729D8">
        <w:t>is the entity that parties to the agreement have assigned set responsibilities for management of th</w:t>
      </w:r>
      <w:r w:rsidR="00983429" w:rsidRPr="00A729D8">
        <w:t>is agreement.</w:t>
      </w:r>
      <w:r w:rsidRPr="00A729D8">
        <w:t xml:space="preserve"> </w:t>
      </w:r>
    </w:p>
    <w:p w14:paraId="42D3DB45" w14:textId="77777777" w:rsidR="00B34554" w:rsidRPr="00A729D8" w:rsidRDefault="00B34554" w:rsidP="002106F9">
      <w:r w:rsidRPr="00A729D8">
        <w:rPr>
          <w:b/>
        </w:rPr>
        <w:t xml:space="preserve">disease </w:t>
      </w:r>
      <w:r w:rsidRPr="00A729D8">
        <w:t>means the presence of a pathogenic agent in a host and/or the clinical manifestation of infection that has an impact or poses a likely threat of an impact. It includes micro-organisms, disease agents, infectious agents and parasites.</w:t>
      </w:r>
    </w:p>
    <w:p w14:paraId="548FAB73" w14:textId="4FF54EB1" w:rsidR="00B34554" w:rsidRPr="00A729D8" w:rsidRDefault="00B34554" w:rsidP="002106F9">
      <w:r w:rsidRPr="00A729D8">
        <w:rPr>
          <w:b/>
        </w:rPr>
        <w:t>eligible costs</w:t>
      </w:r>
      <w:r w:rsidRPr="00A729D8">
        <w:t xml:space="preserve"> means the costs incurred when implementing a national response that are over and above normal commitments and eligible for cost-sharing, </w:t>
      </w:r>
      <w:r w:rsidR="00DE6A60" w:rsidRPr="00A729D8">
        <w:t>as</w:t>
      </w:r>
      <w:r w:rsidRPr="00A729D8">
        <w:t xml:space="preserve"> set out in item 3 of Schedule </w:t>
      </w:r>
      <w:r w:rsidR="00BA67A8" w:rsidRPr="00A729D8">
        <w:t>4</w:t>
      </w:r>
      <w:r w:rsidRPr="00A729D8">
        <w:t>.</w:t>
      </w:r>
    </w:p>
    <w:p w14:paraId="26B13C43" w14:textId="77777777" w:rsidR="00EC6848" w:rsidRPr="00A729D8" w:rsidRDefault="00EC6848" w:rsidP="00EC6848">
      <w:pPr>
        <w:tabs>
          <w:tab w:val="left" w:pos="3108"/>
        </w:tabs>
      </w:pPr>
      <w:r w:rsidRPr="00A729D8">
        <w:rPr>
          <w:b/>
        </w:rPr>
        <w:t>emergency containment</w:t>
      </w:r>
      <w:r w:rsidRPr="00A729D8">
        <w:t xml:space="preserve"> means a set of measures implemented by affected parties as part of a response to a pest or disease. It is intended to restrict the pest or disease to a defined area, and may include the use of quarantine measures, in order to prevent further spread of the pest or disease and preserve the opportunities for eradication of the pest or disease.</w:t>
      </w:r>
    </w:p>
    <w:p w14:paraId="786195E0" w14:textId="77777777" w:rsidR="00EA71EF" w:rsidRPr="00A729D8" w:rsidRDefault="00EA71EF" w:rsidP="002106F9">
      <w:r w:rsidRPr="00A729D8">
        <w:rPr>
          <w:b/>
        </w:rPr>
        <w:t>emergency</w:t>
      </w:r>
      <w:r w:rsidR="00552CD2" w:rsidRPr="00A729D8">
        <w:rPr>
          <w:b/>
        </w:rPr>
        <w:t xml:space="preserve"> eradication </w:t>
      </w:r>
      <w:r w:rsidRPr="00A729D8">
        <w:rPr>
          <w:b/>
        </w:rPr>
        <w:t>response phase</w:t>
      </w:r>
      <w:r w:rsidRPr="00A729D8">
        <w:t xml:space="preserve"> has the meaning given in clause </w:t>
      </w:r>
      <w:r w:rsidR="00DA327A" w:rsidRPr="00A729D8">
        <w:t>5.</w:t>
      </w:r>
      <w:r w:rsidR="004764FD" w:rsidRPr="00A729D8">
        <w:t>2</w:t>
      </w:r>
    </w:p>
    <w:p w14:paraId="52BFB3C6" w14:textId="77777777" w:rsidR="00B34554" w:rsidRPr="00A729D8" w:rsidRDefault="00B34554" w:rsidP="002106F9">
      <w:r w:rsidRPr="00A729D8">
        <w:rPr>
          <w:b/>
        </w:rPr>
        <w:t>environment</w:t>
      </w:r>
      <w:r w:rsidRPr="00A729D8">
        <w:t xml:space="preserve"> has the same meaning as in section 528 of the Environment Protection and Biodiversity Conservation Act 1999 (Cth).</w:t>
      </w:r>
    </w:p>
    <w:p w14:paraId="1F60A772" w14:textId="10D8BD7C" w:rsidR="006E0D53" w:rsidRPr="00A729D8" w:rsidRDefault="00025451" w:rsidP="006E0D53">
      <w:r w:rsidRPr="00A729D8">
        <w:rPr>
          <w:b/>
        </w:rPr>
        <w:t xml:space="preserve">emergency environmental pest or disease (EEPoD) </w:t>
      </w:r>
      <w:r w:rsidRPr="00A729D8">
        <w:t xml:space="preserve">is a pest or disease </w:t>
      </w:r>
      <w:r w:rsidR="00DE6A60" w:rsidRPr="00A729D8">
        <w:t>that</w:t>
      </w:r>
      <w:r w:rsidRPr="00A729D8">
        <w:t xml:space="preserve">, </w:t>
      </w:r>
      <w:r w:rsidR="00790953" w:rsidRPr="00A729D8">
        <w:t>is</w:t>
      </w:r>
      <w:r w:rsidRPr="00A729D8">
        <w:t xml:space="preserve"> national</w:t>
      </w:r>
      <w:r w:rsidR="00790953" w:rsidRPr="00A729D8">
        <w:t>ly</w:t>
      </w:r>
      <w:r w:rsidRPr="00A729D8">
        <w:t xml:space="preserve"> significan</w:t>
      </w:r>
      <w:r w:rsidR="00790953" w:rsidRPr="00A729D8">
        <w:t xml:space="preserve">t </w:t>
      </w:r>
      <w:r w:rsidR="00DE6A60" w:rsidRPr="00A729D8">
        <w:t xml:space="preserve">according to the </w:t>
      </w:r>
      <w:r w:rsidR="00092D7D" w:rsidRPr="00A729D8">
        <w:t xml:space="preserve">criteria </w:t>
      </w:r>
      <w:r w:rsidR="00DE6A60" w:rsidRPr="00A729D8">
        <w:t xml:space="preserve">set out in Schedule 2 </w:t>
      </w:r>
      <w:r w:rsidR="00790953" w:rsidRPr="00A729D8">
        <w:t xml:space="preserve">and </w:t>
      </w:r>
      <w:r w:rsidRPr="00A729D8">
        <w:t>meets one or more of the following criteria:</w:t>
      </w:r>
    </w:p>
    <w:p w14:paraId="5A048532" w14:textId="65EA0813" w:rsidR="006E0D53" w:rsidRPr="00A729D8" w:rsidRDefault="006E0D53" w:rsidP="00121729">
      <w:pPr>
        <w:pStyle w:val="ListParagraph"/>
        <w:numPr>
          <w:ilvl w:val="0"/>
          <w:numId w:val="7"/>
        </w:numPr>
      </w:pPr>
      <w:r w:rsidRPr="00A729D8">
        <w:t>a known pest or disease</w:t>
      </w:r>
      <w:r w:rsidR="00025451" w:rsidRPr="00A729D8">
        <w:t xml:space="preserve">, which, if established in Australia, would be environmentally harmful and for which it is considered to be in the regional and national interest to </w:t>
      </w:r>
      <w:r w:rsidR="007E585A" w:rsidRPr="00A729D8">
        <w:t>eradicate</w:t>
      </w:r>
      <w:r w:rsidR="00CE4DF3" w:rsidRPr="00A729D8">
        <w:t>, or</w:t>
      </w:r>
    </w:p>
    <w:p w14:paraId="7A76C59F" w14:textId="77777777" w:rsidR="006E0D53" w:rsidRPr="00A729D8" w:rsidRDefault="006E0D53" w:rsidP="00121729">
      <w:pPr>
        <w:pStyle w:val="ListParagraph"/>
        <w:numPr>
          <w:ilvl w:val="0"/>
          <w:numId w:val="7"/>
        </w:numPr>
      </w:pPr>
      <w:r w:rsidRPr="00A729D8">
        <w:t>a distinguishable variant of a pest or disease that is established, but not a new incidence of an established pest or disease</w:t>
      </w:r>
      <w:r w:rsidR="00025451" w:rsidRPr="00A729D8">
        <w:t>, which if established in Australia would have a regional and national impact</w:t>
      </w:r>
      <w:r w:rsidR="00CE4DF3" w:rsidRPr="00A729D8">
        <w:t>, or</w:t>
      </w:r>
    </w:p>
    <w:p w14:paraId="39886BA2" w14:textId="77777777" w:rsidR="009C312C" w:rsidRPr="00A729D8" w:rsidRDefault="009C312C" w:rsidP="00121729">
      <w:pPr>
        <w:pStyle w:val="ListParagraph"/>
        <w:numPr>
          <w:ilvl w:val="0"/>
          <w:numId w:val="7"/>
        </w:numPr>
      </w:pPr>
      <w:r w:rsidRPr="00A729D8">
        <w:t>a pest or disease of unknown or uncertain origin, which may, on the evidence available at the time be an entirely new pest or disease and which if established in Australia is considered likely to have an adverse environmental impact regionally and/or nationally.</w:t>
      </w:r>
    </w:p>
    <w:p w14:paraId="4195FDE4" w14:textId="77777777" w:rsidR="00B34554" w:rsidRPr="00A729D8" w:rsidRDefault="00B34554" w:rsidP="002106F9">
      <w:r w:rsidRPr="00A729D8">
        <w:rPr>
          <w:b/>
        </w:rPr>
        <w:lastRenderedPageBreak/>
        <w:t>eradication</w:t>
      </w:r>
      <w:r w:rsidRPr="00A729D8">
        <w:t xml:space="preserve"> or </w:t>
      </w:r>
      <w:r w:rsidRPr="00A729D8">
        <w:rPr>
          <w:b/>
        </w:rPr>
        <w:t>eradicate</w:t>
      </w:r>
      <w:r w:rsidRPr="00A729D8">
        <w:t>, in relation to pests and diseases means eliminating a pest or disease from an area. Eradication is indicated by the pest or disease no longer being detectable (see ‘proof of freedom’).</w:t>
      </w:r>
    </w:p>
    <w:p w14:paraId="3239FE14" w14:textId="5C68FC81" w:rsidR="00B34554" w:rsidRPr="00A729D8" w:rsidRDefault="00B34554" w:rsidP="002106F9">
      <w:r w:rsidRPr="00A729D8">
        <w:rPr>
          <w:b/>
        </w:rPr>
        <w:t>established</w:t>
      </w:r>
      <w:r w:rsidRPr="00A729D8">
        <w:t xml:space="preserve"> or </w:t>
      </w:r>
      <w:r w:rsidRPr="00A729D8">
        <w:rPr>
          <w:b/>
        </w:rPr>
        <w:t>establishment</w:t>
      </w:r>
      <w:r w:rsidRPr="00A729D8">
        <w:t>, in relation to pests and diseases means a pest or disease that, for the foreseeable future, is perpetuat</w:t>
      </w:r>
      <w:r w:rsidR="00FD2FF8">
        <w:t xml:space="preserve">ed within any area and which </w:t>
      </w:r>
      <w:r w:rsidRPr="00A729D8">
        <w:t>is deemed not feasible (either technically or as a result of a benefit:cost analysis) to eradicate.</w:t>
      </w:r>
    </w:p>
    <w:p w14:paraId="75D50E78" w14:textId="77777777" w:rsidR="00710F60" w:rsidRPr="00A729D8" w:rsidRDefault="00710F60" w:rsidP="00710F60">
      <w:r w:rsidRPr="00A729D8">
        <w:rPr>
          <w:b/>
        </w:rPr>
        <w:t>existing cost-sharing arrangement</w:t>
      </w:r>
      <w:r w:rsidRPr="00A729D8">
        <w:t>, in relation to an emergency response to a pest or disease means:</w:t>
      </w:r>
    </w:p>
    <w:p w14:paraId="0998FD32" w14:textId="32644C11" w:rsidR="00710F60" w:rsidRPr="00A729D8" w:rsidRDefault="00710F60" w:rsidP="00121729">
      <w:pPr>
        <w:pStyle w:val="ListParagraph"/>
        <w:numPr>
          <w:ilvl w:val="0"/>
          <w:numId w:val="9"/>
        </w:numPr>
      </w:pPr>
      <w:r w:rsidRPr="00A729D8">
        <w:t>the Government and Plant Industry Cost-sharing Deed in Respect of Emergency Plant Pest Responses</w:t>
      </w:r>
    </w:p>
    <w:p w14:paraId="4D361458" w14:textId="74C17ECD" w:rsidR="00710F60" w:rsidRPr="00A729D8" w:rsidRDefault="00710F60" w:rsidP="00121729">
      <w:pPr>
        <w:pStyle w:val="ListParagraph"/>
        <w:numPr>
          <w:ilvl w:val="0"/>
          <w:numId w:val="9"/>
        </w:numPr>
      </w:pPr>
      <w:r w:rsidRPr="00A729D8">
        <w:t>the Government and Livestock Industry Cost-sharing Deed in Respect of Emergency Animal Disease Responses</w:t>
      </w:r>
    </w:p>
    <w:p w14:paraId="2EB7621D" w14:textId="71161F9F" w:rsidR="00710F60" w:rsidRPr="00A729D8" w:rsidRDefault="00710F60" w:rsidP="00121729">
      <w:pPr>
        <w:pStyle w:val="ListParagraph"/>
        <w:numPr>
          <w:ilvl w:val="0"/>
          <w:numId w:val="9"/>
        </w:numPr>
      </w:pPr>
      <w:r w:rsidRPr="00A729D8">
        <w:t>other national cost sharing emergency response deeds that</w:t>
      </w:r>
      <w:r w:rsidR="006D1371" w:rsidRPr="00A729D8">
        <w:t xml:space="preserve"> are signed after</w:t>
      </w:r>
      <w:r w:rsidR="00DE6A60" w:rsidRPr="00A729D8">
        <w:t xml:space="preserve"> the commencement of</w:t>
      </w:r>
      <w:r w:rsidR="006D1371" w:rsidRPr="00A729D8">
        <w:t xml:space="preserve"> this agreement or are proposed to be developed</w:t>
      </w:r>
      <w:r w:rsidRPr="00A729D8">
        <w:t>; and/or</w:t>
      </w:r>
    </w:p>
    <w:p w14:paraId="4C3BCCD3" w14:textId="77777777" w:rsidR="00710F60" w:rsidRPr="00A729D8" w:rsidRDefault="00710F60" w:rsidP="00121729">
      <w:pPr>
        <w:pStyle w:val="ListParagraph"/>
        <w:numPr>
          <w:ilvl w:val="0"/>
          <w:numId w:val="9"/>
        </w:numPr>
      </w:pPr>
      <w:r w:rsidRPr="00A729D8">
        <w:t>national arrangements in the health sector.</w:t>
      </w:r>
    </w:p>
    <w:p w14:paraId="2D2D8FC6" w14:textId="0B979E2E" w:rsidR="00710F60" w:rsidRPr="00A729D8" w:rsidRDefault="00710F60" w:rsidP="00710F60">
      <w:r w:rsidRPr="00A729D8">
        <w:t>It does not mean existing or finalised responses</w:t>
      </w:r>
      <w:r w:rsidR="00904C29" w:rsidRPr="00A729D8">
        <w:t xml:space="preserve"> made under </w:t>
      </w:r>
      <w:r w:rsidR="00DE6A60" w:rsidRPr="00A729D8">
        <w:t xml:space="preserve">any </w:t>
      </w:r>
      <w:r w:rsidR="00904C29" w:rsidRPr="00A729D8">
        <w:t>previous version of this agreement</w:t>
      </w:r>
      <w:r w:rsidRPr="00A729D8">
        <w:t xml:space="preserve">, or responses being considered under </w:t>
      </w:r>
      <w:r w:rsidR="00DE6A60" w:rsidRPr="00A729D8">
        <w:t xml:space="preserve">any </w:t>
      </w:r>
      <w:r w:rsidR="00904C29" w:rsidRPr="00A729D8">
        <w:t xml:space="preserve">previous version of this agreement </w:t>
      </w:r>
      <w:r w:rsidRPr="00A729D8">
        <w:t>at the time of signing.</w:t>
      </w:r>
    </w:p>
    <w:p w14:paraId="47F15F98" w14:textId="77777777" w:rsidR="00941FEE" w:rsidRPr="00A729D8" w:rsidRDefault="00EC6848" w:rsidP="002106F9">
      <w:r w:rsidRPr="00A729D8">
        <w:rPr>
          <w:b/>
        </w:rPr>
        <w:t>f</w:t>
      </w:r>
      <w:r w:rsidR="00941FEE" w:rsidRPr="00A729D8">
        <w:rPr>
          <w:b/>
        </w:rPr>
        <w:t xml:space="preserve">ormal notification </w:t>
      </w:r>
      <w:r w:rsidR="00941FEE" w:rsidRPr="00A729D8">
        <w:t xml:space="preserve">occurs when a jurisdiction notifies one of the reporting points, either orally or in </w:t>
      </w:r>
      <w:r w:rsidR="00B77DE5" w:rsidRPr="00A729D8">
        <w:t xml:space="preserve">writing that </w:t>
      </w:r>
      <w:r w:rsidR="00941FEE" w:rsidRPr="00A729D8">
        <w:t xml:space="preserve">an </w:t>
      </w:r>
      <w:r w:rsidR="00904C29" w:rsidRPr="00A729D8">
        <w:t>i</w:t>
      </w:r>
      <w:r w:rsidR="00941FEE" w:rsidRPr="00A729D8">
        <w:t>ncident has occurred within that jurisdiction. Written notification must be used to confirm oral advice and must be in the form agreed from time to time by the parties.</w:t>
      </w:r>
    </w:p>
    <w:p w14:paraId="11ED1AB2" w14:textId="42ABC7AA" w:rsidR="00B34554" w:rsidRPr="00A729D8" w:rsidRDefault="00B34554" w:rsidP="002106F9">
      <w:r w:rsidRPr="00A729D8">
        <w:rPr>
          <w:b/>
        </w:rPr>
        <w:t>human</w:t>
      </w:r>
      <w:r w:rsidRPr="00A729D8">
        <w:t xml:space="preserve"> infrastructure means the man-made surroundings, including buildings, roads, fixtures, parks and other transport corridors, as well as the housing and residential areas, commercial centres, pipelines and utilities.</w:t>
      </w:r>
    </w:p>
    <w:p w14:paraId="5025D549" w14:textId="77777777" w:rsidR="00B34554" w:rsidRPr="00A729D8" w:rsidRDefault="00B34554" w:rsidP="002106F9">
      <w:r w:rsidRPr="00A729D8">
        <w:rPr>
          <w:b/>
        </w:rPr>
        <w:t>impact</w:t>
      </w:r>
      <w:r w:rsidRPr="00A729D8">
        <w:t>, in relation to pests and diseases, means the significant negative consequences caused by a pest or disease on:</w:t>
      </w:r>
    </w:p>
    <w:p w14:paraId="56743B51" w14:textId="77777777" w:rsidR="0003487E" w:rsidRPr="00A729D8" w:rsidRDefault="00B34554" w:rsidP="00121729">
      <w:pPr>
        <w:pStyle w:val="ListParagraph"/>
        <w:numPr>
          <w:ilvl w:val="0"/>
          <w:numId w:val="6"/>
        </w:numPr>
      </w:pPr>
      <w:r w:rsidRPr="00A729D8">
        <w:t>the environment or an ecosystem, including terrestrial, inland waters and marine environments;</w:t>
      </w:r>
    </w:p>
    <w:p w14:paraId="44147E8C" w14:textId="77777777" w:rsidR="0003487E" w:rsidRPr="00A729D8" w:rsidRDefault="00B34554" w:rsidP="00121729">
      <w:pPr>
        <w:pStyle w:val="ListParagraph"/>
        <w:numPr>
          <w:ilvl w:val="0"/>
          <w:numId w:val="6"/>
        </w:numPr>
      </w:pPr>
      <w:r w:rsidRPr="00A729D8">
        <w:t>social amenity including negative impacts on human infrastructure or human health, including from zoonoses; and/or</w:t>
      </w:r>
    </w:p>
    <w:p w14:paraId="61479ED1" w14:textId="77777777" w:rsidR="00B34554" w:rsidRPr="00A729D8" w:rsidRDefault="00B34554" w:rsidP="00121729">
      <w:pPr>
        <w:pStyle w:val="ListParagraph"/>
        <w:numPr>
          <w:ilvl w:val="0"/>
          <w:numId w:val="6"/>
        </w:numPr>
      </w:pPr>
      <w:r w:rsidRPr="00A729D8">
        <w:t>the economy, including negative impacts on human, animal or plant life, or health and relevant abiotic aspects of primary production and/or business.</w:t>
      </w:r>
    </w:p>
    <w:p w14:paraId="13A4AF97" w14:textId="77777777" w:rsidR="000A22ED" w:rsidRPr="00A729D8" w:rsidRDefault="00B34554" w:rsidP="000A22ED">
      <w:r w:rsidRPr="00A729D8">
        <w:rPr>
          <w:b/>
        </w:rPr>
        <w:t xml:space="preserve">incident </w:t>
      </w:r>
      <w:r w:rsidRPr="00A729D8">
        <w:t>means</w:t>
      </w:r>
      <w:r w:rsidR="000A22ED" w:rsidRPr="00A729D8">
        <w:t xml:space="preserve"> the occurrence of a confirmed or reasonably held suspicion of an emergency environmental pest or disease that has passed through Australia’s border:</w:t>
      </w:r>
    </w:p>
    <w:p w14:paraId="2FF0EA68" w14:textId="77777777" w:rsidR="000A22ED" w:rsidRPr="00A729D8" w:rsidRDefault="000A22ED" w:rsidP="00121729">
      <w:pPr>
        <w:pStyle w:val="ListParagraph"/>
        <w:numPr>
          <w:ilvl w:val="0"/>
          <w:numId w:val="170"/>
        </w:numPr>
      </w:pPr>
      <w:r w:rsidRPr="00A729D8">
        <w:t xml:space="preserve">detected in or on its original </w:t>
      </w:r>
      <w:r w:rsidR="00904C29" w:rsidRPr="00A729D8">
        <w:t>consignment or carrier material, or</w:t>
      </w:r>
    </w:p>
    <w:p w14:paraId="485D5440" w14:textId="77777777" w:rsidR="000A22ED" w:rsidRPr="00A729D8" w:rsidRDefault="000A22ED" w:rsidP="00121729">
      <w:pPr>
        <w:pStyle w:val="ListParagraph"/>
        <w:numPr>
          <w:ilvl w:val="0"/>
          <w:numId w:val="170"/>
        </w:numPr>
      </w:pPr>
      <w:r w:rsidRPr="00A729D8">
        <w:t>has migrated from its original carrier and established in other hosts or host material in Australian territory</w:t>
      </w:r>
      <w:r w:rsidR="00904C29" w:rsidRPr="00A729D8">
        <w:t>, and</w:t>
      </w:r>
    </w:p>
    <w:p w14:paraId="3F75E521" w14:textId="435CA12A" w:rsidR="009632B5" w:rsidRPr="00A729D8" w:rsidRDefault="00904C29" w:rsidP="00121729">
      <w:pPr>
        <w:pStyle w:val="ListParagraph"/>
        <w:numPr>
          <w:ilvl w:val="0"/>
          <w:numId w:val="170"/>
        </w:numPr>
      </w:pPr>
      <w:r w:rsidRPr="00A729D8">
        <w:t>t</w:t>
      </w:r>
      <w:r w:rsidR="009632B5" w:rsidRPr="00A729D8">
        <w:t xml:space="preserve">hat </w:t>
      </w:r>
      <w:r w:rsidR="00AC737F" w:rsidRPr="00A729D8">
        <w:t>was</w:t>
      </w:r>
      <w:r w:rsidR="009632B5" w:rsidRPr="00A729D8">
        <w:t xml:space="preserve"> not </w:t>
      </w:r>
      <w:r w:rsidR="00AC737F" w:rsidRPr="00A729D8">
        <w:t xml:space="preserve">known to be </w:t>
      </w:r>
      <w:r w:rsidR="009632B5" w:rsidRPr="00A729D8">
        <w:t>present in Australia</w:t>
      </w:r>
      <w:r w:rsidR="00AC737F" w:rsidRPr="00A729D8">
        <w:t xml:space="preserve"> prior to the detection</w:t>
      </w:r>
      <w:r w:rsidR="009632B5" w:rsidRPr="00A729D8">
        <w:t>, or if present is subject to an active eradication response</w:t>
      </w:r>
      <w:r w:rsidR="005E6AD3" w:rsidRPr="00A729D8">
        <w:t xml:space="preserve">; and </w:t>
      </w:r>
    </w:p>
    <w:p w14:paraId="28E40093" w14:textId="77777777" w:rsidR="005E6AD3" w:rsidRPr="00A729D8" w:rsidRDefault="005E6AD3" w:rsidP="00121729">
      <w:pPr>
        <w:pStyle w:val="ListParagraph"/>
        <w:numPr>
          <w:ilvl w:val="0"/>
          <w:numId w:val="170"/>
        </w:numPr>
      </w:pPr>
      <w:r w:rsidRPr="00A729D8">
        <w:lastRenderedPageBreak/>
        <w:t>is not a range extension of an established pest or disease.</w:t>
      </w:r>
    </w:p>
    <w:p w14:paraId="4DF6DC38" w14:textId="77777777" w:rsidR="00EA71EF" w:rsidRPr="00A729D8" w:rsidRDefault="00EA71EF" w:rsidP="002106F9">
      <w:r w:rsidRPr="00A729D8">
        <w:rPr>
          <w:b/>
        </w:rPr>
        <w:t>incident definition phase</w:t>
      </w:r>
      <w:r w:rsidRPr="00A729D8">
        <w:t xml:space="preserve"> has the meaning given in clause</w:t>
      </w:r>
      <w:r w:rsidR="000F0E1B" w:rsidRPr="00A729D8">
        <w:t xml:space="preserve"> 5</w:t>
      </w:r>
      <w:r w:rsidR="00FB72D1" w:rsidRPr="00A729D8">
        <w:t>.1</w:t>
      </w:r>
      <w:r w:rsidR="000F0E1B" w:rsidRPr="00A729D8">
        <w:t>.</w:t>
      </w:r>
    </w:p>
    <w:p w14:paraId="126B41DD" w14:textId="77777777" w:rsidR="00B34554" w:rsidRPr="00A729D8" w:rsidRDefault="00B34554" w:rsidP="002106F9">
      <w:r w:rsidRPr="00A729D8">
        <w:rPr>
          <w:b/>
        </w:rPr>
        <w:t>international standard setting bodies</w:t>
      </w:r>
      <w:r w:rsidRPr="00A729D8">
        <w:t xml:space="preserve"> means the international organisations and subsidiary bodies that develop international standards, guidelines and recommendations that are recognised by the SPS agreement, namely, the Codex Alimentarius Commission, the International Plant Protection Convention, the World Organisation for Animal Health, and the International Maritime Organisation.</w:t>
      </w:r>
    </w:p>
    <w:p w14:paraId="37CA75E1" w14:textId="77777777" w:rsidR="00B34554" w:rsidRPr="00A729D8" w:rsidRDefault="00B34554" w:rsidP="002106F9">
      <w:r w:rsidRPr="00A729D8">
        <w:rPr>
          <w:b/>
        </w:rPr>
        <w:t>ministers</w:t>
      </w:r>
      <w:r w:rsidRPr="00A729D8">
        <w:t xml:space="preserve"> means the Commonwealth and State and Territory Ministers responsible for biosecurity responses that are for public benefit.</w:t>
      </w:r>
    </w:p>
    <w:p w14:paraId="6D191439" w14:textId="5317A6B0" w:rsidR="00B34554" w:rsidRPr="00A729D8" w:rsidRDefault="00B34554" w:rsidP="002106F9">
      <w:r w:rsidRPr="00A729D8">
        <w:rPr>
          <w:b/>
        </w:rPr>
        <w:t xml:space="preserve">National Biosecurity Committee </w:t>
      </w:r>
      <w:r w:rsidRPr="00A729D8">
        <w:t xml:space="preserve">or </w:t>
      </w:r>
      <w:r w:rsidRPr="00A729D8">
        <w:rPr>
          <w:b/>
        </w:rPr>
        <w:t>NBC</w:t>
      </w:r>
      <w:r w:rsidRPr="00A729D8">
        <w:t xml:space="preserve"> means the </w:t>
      </w:r>
      <w:r w:rsidR="00FD2FF8">
        <w:t xml:space="preserve">intergovernmental </w:t>
      </w:r>
      <w:r w:rsidRPr="00A729D8">
        <w:t>committee established, independently of this agreement, responsible for biosecurity matters, and tasked with managing a national, strategic approach to emerging and ongoing biosecurity policy issues as set out in clause 8.3. This also means any successor bodies that undertake these roles.</w:t>
      </w:r>
    </w:p>
    <w:p w14:paraId="7629C697" w14:textId="40C4EAD8" w:rsidR="00B34554" w:rsidRPr="00A729D8" w:rsidRDefault="00454F21" w:rsidP="002106F9">
      <w:r w:rsidRPr="00A729D8">
        <w:rPr>
          <w:b/>
        </w:rPr>
        <w:t>N</w:t>
      </w:r>
      <w:r w:rsidR="00463E1B" w:rsidRPr="00A729D8">
        <w:rPr>
          <w:b/>
        </w:rPr>
        <w:t>ational response</w:t>
      </w:r>
      <w:r w:rsidR="00B34554" w:rsidRPr="00A729D8">
        <w:t xml:space="preserve">, in relation to a pest or disease </w:t>
      </w:r>
      <w:r w:rsidR="009829E4" w:rsidRPr="00A729D8">
        <w:t>incident</w:t>
      </w:r>
      <w:r w:rsidR="00B34554" w:rsidRPr="00A729D8">
        <w:t>, means an emergency response undertaken in accordance with, and outlined in</w:t>
      </w:r>
      <w:r w:rsidR="000F0E1B" w:rsidRPr="00A729D8">
        <w:t xml:space="preserve"> a </w:t>
      </w:r>
      <w:r w:rsidR="00E7297E" w:rsidRPr="00A729D8">
        <w:t>Response Plan</w:t>
      </w:r>
      <w:r w:rsidR="0003487E" w:rsidRPr="00A729D8">
        <w:t>.</w:t>
      </w:r>
    </w:p>
    <w:p w14:paraId="3BB480AC" w14:textId="77777777" w:rsidR="00B34554" w:rsidRPr="00A729D8" w:rsidRDefault="000F0E1B" w:rsidP="002106F9">
      <w:r w:rsidRPr="00A729D8">
        <w:rPr>
          <w:b/>
        </w:rPr>
        <w:t>response plan</w:t>
      </w:r>
      <w:r w:rsidR="00B34554" w:rsidRPr="00A729D8">
        <w:t xml:space="preserve">, in relation to an </w:t>
      </w:r>
      <w:r w:rsidR="009829E4" w:rsidRPr="00A729D8">
        <w:t xml:space="preserve">incident </w:t>
      </w:r>
      <w:r w:rsidR="00B34554" w:rsidRPr="00A729D8">
        <w:t>of a</w:t>
      </w:r>
      <w:r w:rsidR="00904C29" w:rsidRPr="00A729D8">
        <w:t>n emergency environmental</w:t>
      </w:r>
      <w:r w:rsidR="00B34554" w:rsidRPr="00A729D8">
        <w:t xml:space="preserve"> pest or disease, means a plan outlining emergency response </w:t>
      </w:r>
      <w:r w:rsidR="00080660" w:rsidRPr="00A729D8">
        <w:t xml:space="preserve">activity </w:t>
      </w:r>
      <w:r w:rsidR="00B34554" w:rsidRPr="00A729D8">
        <w:t xml:space="preserve">that is prepared and approved in accordance with this agreement, </w:t>
      </w:r>
      <w:r w:rsidR="00080660" w:rsidRPr="00A729D8">
        <w:t xml:space="preserve">may cover one or more phases of a response </w:t>
      </w:r>
      <w:r w:rsidR="00B34554" w:rsidRPr="00A729D8">
        <w:t>and may be subject to cost-sharing arrangements.</w:t>
      </w:r>
    </w:p>
    <w:p w14:paraId="16B91D08" w14:textId="5ECA9ADC" w:rsidR="00B34554" w:rsidRPr="00A729D8" w:rsidRDefault="00B34554" w:rsidP="002106F9">
      <w:r w:rsidRPr="00A729D8">
        <w:rPr>
          <w:b/>
        </w:rPr>
        <w:t xml:space="preserve">National </w:t>
      </w:r>
      <w:r w:rsidR="00454F21" w:rsidRPr="00A729D8">
        <w:rPr>
          <w:b/>
        </w:rPr>
        <w:t xml:space="preserve">Biosecurity </w:t>
      </w:r>
      <w:r w:rsidRPr="00A729D8">
        <w:rPr>
          <w:b/>
        </w:rPr>
        <w:t>Management Consultative Committee</w:t>
      </w:r>
      <w:r w:rsidRPr="00A729D8">
        <w:t xml:space="preserve"> or </w:t>
      </w:r>
      <w:r w:rsidR="00B20F48" w:rsidRPr="00A729D8">
        <w:rPr>
          <w:b/>
        </w:rPr>
        <w:t>NBMCC</w:t>
      </w:r>
      <w:r w:rsidRPr="00A729D8">
        <w:t xml:space="preserve"> means the committee established in accordance with clause </w:t>
      </w:r>
      <w:r w:rsidR="003B114B" w:rsidRPr="00A729D8">
        <w:t>8</w:t>
      </w:r>
      <w:r w:rsidR="00107F2B" w:rsidRPr="00A729D8">
        <w:t>.4</w:t>
      </w:r>
      <w:r w:rsidRPr="00A729D8">
        <w:t xml:space="preserve"> with roles set out in Schedule </w:t>
      </w:r>
      <w:r w:rsidR="00107F2B" w:rsidRPr="00A729D8">
        <w:t>7</w:t>
      </w:r>
      <w:r w:rsidRPr="00A729D8">
        <w:t>.</w:t>
      </w:r>
    </w:p>
    <w:p w14:paraId="569B6783" w14:textId="77777777" w:rsidR="00B34554" w:rsidRPr="00A729D8" w:rsidRDefault="00B34554" w:rsidP="002106F9">
      <w:r w:rsidRPr="00A729D8">
        <w:rPr>
          <w:b/>
        </w:rPr>
        <w:t>National Management Group</w:t>
      </w:r>
      <w:r w:rsidRPr="00A729D8">
        <w:t xml:space="preserve"> or </w:t>
      </w:r>
      <w:r w:rsidRPr="00A729D8">
        <w:rPr>
          <w:b/>
        </w:rPr>
        <w:t>NMG</w:t>
      </w:r>
      <w:r w:rsidRPr="00A729D8">
        <w:t xml:space="preserve"> means the group established in accordance with clause </w:t>
      </w:r>
      <w:r w:rsidR="003B114B" w:rsidRPr="00A729D8">
        <w:t>8</w:t>
      </w:r>
      <w:r w:rsidRPr="00A729D8">
        <w:t xml:space="preserve">.5 and having the roles set out in Schedule </w:t>
      </w:r>
      <w:r w:rsidR="00107F2B" w:rsidRPr="00A729D8">
        <w:t>6</w:t>
      </w:r>
      <w:r w:rsidRPr="00A729D8">
        <w:t>.</w:t>
      </w:r>
    </w:p>
    <w:p w14:paraId="22DF01DB" w14:textId="77777777" w:rsidR="00B34554" w:rsidRPr="00A729D8" w:rsidRDefault="00B34554" w:rsidP="002106F9">
      <w:r w:rsidRPr="00A729D8">
        <w:rPr>
          <w:b/>
        </w:rPr>
        <w:t>national significance</w:t>
      </w:r>
      <w:r w:rsidRPr="00A729D8">
        <w:t xml:space="preserve"> or </w:t>
      </w:r>
      <w:r w:rsidRPr="00A729D8">
        <w:rPr>
          <w:b/>
        </w:rPr>
        <w:t>nationally significant</w:t>
      </w:r>
      <w:r w:rsidRPr="00A729D8">
        <w:t>, in relation to a pest or disease means that the NMG has determined, in accordance with Schedule 2, that it meets the national significance criteria.</w:t>
      </w:r>
    </w:p>
    <w:p w14:paraId="6056EC4C" w14:textId="77777777" w:rsidR="00B34554" w:rsidRPr="00A729D8" w:rsidRDefault="00B34554" w:rsidP="002106F9">
      <w:r w:rsidRPr="00A729D8">
        <w:rPr>
          <w:b/>
        </w:rPr>
        <w:t>national significance criteria</w:t>
      </w:r>
      <w:r w:rsidRPr="00A729D8">
        <w:t xml:space="preserve"> means the criteria set out in Schedule </w:t>
      </w:r>
      <w:r w:rsidR="00107F2B" w:rsidRPr="00A729D8">
        <w:t>2</w:t>
      </w:r>
      <w:r w:rsidRPr="00A729D8">
        <w:t>.</w:t>
      </w:r>
    </w:p>
    <w:p w14:paraId="01B4133A" w14:textId="02C933A6" w:rsidR="003132BE" w:rsidRPr="00A729D8" w:rsidRDefault="003132BE" w:rsidP="002106F9">
      <w:pPr>
        <w:rPr>
          <w:b/>
        </w:rPr>
      </w:pPr>
      <w:r w:rsidRPr="00A729D8">
        <w:rPr>
          <w:b/>
        </w:rPr>
        <w:t xml:space="preserve">non-government </w:t>
      </w:r>
      <w:r w:rsidR="00454F21" w:rsidRPr="00A729D8">
        <w:rPr>
          <w:b/>
        </w:rPr>
        <w:t xml:space="preserve">entity </w:t>
      </w:r>
      <w:r w:rsidRPr="00A729D8">
        <w:t xml:space="preserve">has the meaning given at </w:t>
      </w:r>
      <w:r w:rsidR="007E585A" w:rsidRPr="00A729D8">
        <w:t xml:space="preserve">Schedule 6 </w:t>
      </w:r>
      <w:r w:rsidRPr="00A729D8">
        <w:t>clause</w:t>
      </w:r>
      <w:r w:rsidR="00C50EBF" w:rsidRPr="00A729D8">
        <w:t xml:space="preserve"> 4.3 (b) (v).</w:t>
      </w:r>
    </w:p>
    <w:p w14:paraId="745255F5" w14:textId="77777777" w:rsidR="00B34554" w:rsidRPr="00A729D8" w:rsidRDefault="00B34554" w:rsidP="002106F9">
      <w:r w:rsidRPr="00A729D8">
        <w:rPr>
          <w:b/>
        </w:rPr>
        <w:t>notifying party</w:t>
      </w:r>
      <w:r w:rsidRPr="00A729D8">
        <w:t xml:space="preserve"> has the meaning given to that term in clause </w:t>
      </w:r>
      <w:r w:rsidR="00AB4906" w:rsidRPr="00A729D8">
        <w:t>6</w:t>
      </w:r>
      <w:r w:rsidR="00710F60" w:rsidRPr="00A729D8">
        <w:t>.2.1</w:t>
      </w:r>
      <w:r w:rsidRPr="00A729D8">
        <w:t>.</w:t>
      </w:r>
    </w:p>
    <w:p w14:paraId="15B8998F" w14:textId="77777777" w:rsidR="00B34554" w:rsidRPr="00A729D8" w:rsidRDefault="00B34554" w:rsidP="002106F9">
      <w:r w:rsidRPr="00A729D8">
        <w:rPr>
          <w:b/>
        </w:rPr>
        <w:t>pest</w:t>
      </w:r>
      <w:r w:rsidRPr="00A729D8">
        <w:t xml:space="preserve"> means any species, strain or biotype of the Kingdoms Animalia (excluding human beings), Plantae, Fungi, Monera or Protista that have an impact or pose a lik</w:t>
      </w:r>
      <w:r w:rsidR="0003487E" w:rsidRPr="00A729D8">
        <w:t>ely threat of having an impact.</w:t>
      </w:r>
    </w:p>
    <w:p w14:paraId="65E7CF99" w14:textId="77777777" w:rsidR="00B34554" w:rsidRPr="00A729D8" w:rsidRDefault="00B34554" w:rsidP="002106F9">
      <w:r w:rsidRPr="00A729D8">
        <w:rPr>
          <w:b/>
        </w:rPr>
        <w:t>phylogenetic distinctiveness</w:t>
      </w:r>
      <w:r w:rsidRPr="00A729D8">
        <w:t>, in relation to a species means:</w:t>
      </w:r>
    </w:p>
    <w:p w14:paraId="091419D2" w14:textId="77777777" w:rsidR="00B34554" w:rsidRPr="00A729D8" w:rsidRDefault="00B34554" w:rsidP="00121729">
      <w:pPr>
        <w:pStyle w:val="ListParagraph"/>
        <w:numPr>
          <w:ilvl w:val="0"/>
          <w:numId w:val="8"/>
        </w:numPr>
      </w:pPr>
      <w:r w:rsidRPr="00A729D8">
        <w:t>the distinctness of a species from other, related species; or</w:t>
      </w:r>
    </w:p>
    <w:p w14:paraId="632F3CB8" w14:textId="77777777" w:rsidR="00B34554" w:rsidRPr="00A729D8" w:rsidRDefault="00B34554" w:rsidP="00121729">
      <w:pPr>
        <w:pStyle w:val="ListParagraph"/>
        <w:numPr>
          <w:ilvl w:val="0"/>
          <w:numId w:val="8"/>
        </w:numPr>
      </w:pPr>
      <w:r w:rsidRPr="00A729D8">
        <w:t>a species not closely related to other species that may have a distinct or important genetic inheritance of conservation significance.</w:t>
      </w:r>
    </w:p>
    <w:p w14:paraId="263937DC" w14:textId="77777777" w:rsidR="00B34554" w:rsidRPr="00A729D8" w:rsidRDefault="00B34554" w:rsidP="002106F9">
      <w:r w:rsidRPr="00A729D8">
        <w:rPr>
          <w:b/>
        </w:rPr>
        <w:t>preparedness</w:t>
      </w:r>
      <w:r w:rsidRPr="00A729D8">
        <w:t xml:space="preserve">, in relation to pests and diseases, includes arrangements to ensure that, should an </w:t>
      </w:r>
      <w:r w:rsidR="00747D05" w:rsidRPr="00A729D8">
        <w:t>incident</w:t>
      </w:r>
      <w:r w:rsidRPr="00A729D8">
        <w:t xml:space="preserve"> occur, all the necessary resources and services can be efficiently mobilised and deployed.</w:t>
      </w:r>
    </w:p>
    <w:p w14:paraId="7C20C4AA" w14:textId="77777777" w:rsidR="00B34554" w:rsidRPr="00A729D8" w:rsidRDefault="00B34554" w:rsidP="002106F9">
      <w:r w:rsidRPr="00A729D8">
        <w:rPr>
          <w:b/>
        </w:rPr>
        <w:lastRenderedPageBreak/>
        <w:t>prevention</w:t>
      </w:r>
      <w:r w:rsidRPr="00A729D8">
        <w:t xml:space="preserve">, in relation to pests and diseases, includes regulatory and physical measures to ensure that </w:t>
      </w:r>
      <w:r w:rsidR="00747D05" w:rsidRPr="00A729D8">
        <w:t>incident</w:t>
      </w:r>
      <w:r w:rsidRPr="00A729D8">
        <w:t>s are prevented or their impacts mitigated, and includes pre-border, border and post- border activities.</w:t>
      </w:r>
    </w:p>
    <w:p w14:paraId="1025B47B" w14:textId="77777777" w:rsidR="00B34554" w:rsidRPr="00A729D8" w:rsidRDefault="00B34554" w:rsidP="002106F9">
      <w:r w:rsidRPr="00A729D8">
        <w:rPr>
          <w:b/>
        </w:rPr>
        <w:t>primary production</w:t>
      </w:r>
      <w:r w:rsidRPr="00A729D8">
        <w:t xml:space="preserve"> means cultivating, harvesting, rearing, farming, collecting, catching or producing animals</w:t>
      </w:r>
      <w:r w:rsidR="00772C24" w:rsidRPr="00A729D8">
        <w:t xml:space="preserve">, </w:t>
      </w:r>
      <w:r w:rsidRPr="00A729D8">
        <w:t xml:space="preserve">plants </w:t>
      </w:r>
      <w:r w:rsidR="00772C24" w:rsidRPr="00A729D8">
        <w:t xml:space="preserve">or fungi </w:t>
      </w:r>
      <w:r w:rsidRPr="00A729D8">
        <w:t>for commercial gain</w:t>
      </w:r>
      <w:r w:rsidR="00FF3180" w:rsidRPr="00A729D8">
        <w:t>.</w:t>
      </w:r>
    </w:p>
    <w:p w14:paraId="11899CF1" w14:textId="77777777" w:rsidR="00B34554" w:rsidRPr="00A729D8" w:rsidRDefault="00B34554" w:rsidP="002106F9">
      <w:r w:rsidRPr="00A729D8">
        <w:rPr>
          <w:b/>
        </w:rPr>
        <w:t>proof of freedom</w:t>
      </w:r>
      <w:r w:rsidRPr="00A729D8">
        <w:t xml:space="preserve"> means that:</w:t>
      </w:r>
    </w:p>
    <w:p w14:paraId="67567D40" w14:textId="77777777" w:rsidR="00B34554" w:rsidRPr="00A729D8" w:rsidRDefault="00B34554" w:rsidP="00121729">
      <w:pPr>
        <w:pStyle w:val="ListParagraph"/>
        <w:numPr>
          <w:ilvl w:val="0"/>
          <w:numId w:val="10"/>
        </w:numPr>
      </w:pPr>
      <w:r w:rsidRPr="00A729D8">
        <w:t xml:space="preserve">surveillance activities carried out by the parties in accordance with the approved </w:t>
      </w:r>
      <w:r w:rsidR="00E7297E" w:rsidRPr="00A729D8">
        <w:t>Response Plan</w:t>
      </w:r>
      <w:r w:rsidRPr="00A729D8">
        <w:t xml:space="preserve"> indicate that the pest or disease has been eradicated and that</w:t>
      </w:r>
    </w:p>
    <w:p w14:paraId="7C0FE6D3" w14:textId="77777777" w:rsidR="00B34554" w:rsidRPr="00A729D8" w:rsidRDefault="00B34554" w:rsidP="00121729">
      <w:pPr>
        <w:pStyle w:val="ListParagraph"/>
        <w:numPr>
          <w:ilvl w:val="0"/>
          <w:numId w:val="10"/>
        </w:numPr>
      </w:pPr>
      <w:r w:rsidRPr="00A729D8">
        <w:t xml:space="preserve">the NMG has made a determination in accordance with clause </w:t>
      </w:r>
      <w:r w:rsidR="00DD0988" w:rsidRPr="00A729D8">
        <w:t>6.4</w:t>
      </w:r>
      <w:r w:rsidR="00710F60" w:rsidRPr="00A729D8">
        <w:t>.7</w:t>
      </w:r>
      <w:r w:rsidRPr="00A729D8">
        <w:t xml:space="preserve"> that the pest or disease subject to a </w:t>
      </w:r>
      <w:r w:rsidR="00E7297E" w:rsidRPr="00A729D8">
        <w:t>Response Plan</w:t>
      </w:r>
      <w:r w:rsidRPr="00A729D8">
        <w:t xml:space="preserve"> has been eradicated.</w:t>
      </w:r>
    </w:p>
    <w:p w14:paraId="0917200C" w14:textId="77777777" w:rsidR="00EA71EF" w:rsidRPr="00A729D8" w:rsidRDefault="00EA71EF" w:rsidP="002106F9">
      <w:pPr>
        <w:rPr>
          <w:b/>
        </w:rPr>
      </w:pPr>
      <w:r w:rsidRPr="00A729D8">
        <w:rPr>
          <w:b/>
        </w:rPr>
        <w:t>proof of freedom phase</w:t>
      </w:r>
      <w:r w:rsidRPr="00A729D8">
        <w:t xml:space="preserve"> has the meaning given in clause</w:t>
      </w:r>
      <w:r w:rsidR="00710F60" w:rsidRPr="00A729D8">
        <w:t xml:space="preserve"> 5.</w:t>
      </w:r>
      <w:r w:rsidR="00765FAA" w:rsidRPr="00A729D8">
        <w:t>3</w:t>
      </w:r>
      <w:r w:rsidR="00710F60" w:rsidRPr="00A729D8">
        <w:t>.</w:t>
      </w:r>
    </w:p>
    <w:p w14:paraId="57351558" w14:textId="77777777" w:rsidR="00B34554" w:rsidRPr="00A729D8" w:rsidRDefault="00B34554" w:rsidP="002106F9">
      <w:r w:rsidRPr="00A729D8">
        <w:rPr>
          <w:b/>
        </w:rPr>
        <w:t>public benefit</w:t>
      </w:r>
      <w:r w:rsidRPr="00A729D8">
        <w:t xml:space="preserve"> means the community receives significant benefit from a national response, regardless of whether the benefit is economic, non-economi</w:t>
      </w:r>
      <w:r w:rsidR="0003487E" w:rsidRPr="00A729D8">
        <w:t>c, environmental or intangible.</w:t>
      </w:r>
    </w:p>
    <w:p w14:paraId="2A80B885" w14:textId="52EA3D46" w:rsidR="001233AF" w:rsidRPr="00A729D8" w:rsidRDefault="001233AF" w:rsidP="009C312C">
      <w:pPr>
        <w:shd w:val="clear" w:color="auto" w:fill="D9D9D9" w:themeFill="background1" w:themeFillShade="D9"/>
        <w:rPr>
          <w:b/>
        </w:rPr>
      </w:pPr>
      <w:r w:rsidRPr="00A729D8">
        <w:rPr>
          <w:b/>
        </w:rPr>
        <w:t xml:space="preserve">[DRAFTING NOTE: </w:t>
      </w:r>
      <w:r w:rsidRPr="00A729D8">
        <w:t xml:space="preserve">NBC </w:t>
      </w:r>
      <w:r w:rsidR="00DE6A60" w:rsidRPr="00A729D8">
        <w:t>consideration is being sought on the</w:t>
      </w:r>
      <w:r w:rsidRPr="00A729D8">
        <w:t xml:space="preserve"> </w:t>
      </w:r>
      <w:r w:rsidR="005A1F27" w:rsidRPr="00A729D8">
        <w:t>definition</w:t>
      </w:r>
      <w:r w:rsidRPr="00A729D8">
        <w:t xml:space="preserve"> of range </w:t>
      </w:r>
      <w:r w:rsidR="005A1F27" w:rsidRPr="00A729D8">
        <w:t>extension</w:t>
      </w:r>
      <w:r w:rsidR="00DE6A60" w:rsidRPr="00A729D8">
        <w:t xml:space="preserve"> through the April 2019 out of session paper</w:t>
      </w:r>
      <w:r w:rsidRPr="00A729D8">
        <w:t xml:space="preserve"> </w:t>
      </w:r>
    </w:p>
    <w:p w14:paraId="2733A135" w14:textId="77777777" w:rsidR="001233AF" w:rsidRPr="00A729D8" w:rsidRDefault="00F75C2A" w:rsidP="00F75C2A">
      <w:r w:rsidRPr="00A729D8">
        <w:rPr>
          <w:b/>
        </w:rPr>
        <w:t xml:space="preserve">Range extension </w:t>
      </w:r>
      <w:r w:rsidRPr="00A729D8">
        <w:t>means</w:t>
      </w:r>
      <w:r w:rsidR="001233AF" w:rsidRPr="00A729D8">
        <w:t xml:space="preserve"> </w:t>
      </w:r>
      <w:r w:rsidRPr="00A729D8">
        <w:t xml:space="preserve">a new detection of a pest or disease </w:t>
      </w:r>
      <w:r w:rsidR="001233AF" w:rsidRPr="00A729D8">
        <w:t xml:space="preserve">on either the Australian mainland, including Tasmania, or an external territory, </w:t>
      </w:r>
      <w:r w:rsidRPr="00A729D8">
        <w:t>that is</w:t>
      </w:r>
      <w:r w:rsidR="001233AF" w:rsidRPr="00A729D8">
        <w:t>:</w:t>
      </w:r>
    </w:p>
    <w:p w14:paraId="02BC2E66" w14:textId="77777777" w:rsidR="001233AF" w:rsidRPr="00A729D8" w:rsidRDefault="001233AF" w:rsidP="00121729">
      <w:pPr>
        <w:pStyle w:val="ListParagraph"/>
        <w:numPr>
          <w:ilvl w:val="0"/>
          <w:numId w:val="176"/>
        </w:numPr>
      </w:pPr>
      <w:r w:rsidRPr="00A729D8">
        <w:t xml:space="preserve">already present on the Australian mainland, including Tasmania; and </w:t>
      </w:r>
    </w:p>
    <w:p w14:paraId="084C9EC1" w14:textId="60CEA851" w:rsidR="001233AF" w:rsidRPr="00A729D8" w:rsidRDefault="00FC116A" w:rsidP="00FC116A">
      <w:pPr>
        <w:pStyle w:val="ListParagraph"/>
        <w:numPr>
          <w:ilvl w:val="0"/>
          <w:numId w:val="176"/>
        </w:numPr>
      </w:pPr>
      <w:r w:rsidRPr="00A729D8">
        <w:t>not under an emergency eradication response (where eradication is still considered technically feasible and the response has not moved to a transition to management phase).</w:t>
      </w:r>
    </w:p>
    <w:p w14:paraId="7E72FF38" w14:textId="77777777" w:rsidR="00F75C2A" w:rsidRPr="00A729D8" w:rsidRDefault="00F75C2A" w:rsidP="005A1F27">
      <w:r w:rsidRPr="00A729D8">
        <w:t xml:space="preserve">A new detection of a pest or disease </w:t>
      </w:r>
      <w:r w:rsidR="001233AF" w:rsidRPr="00A729D8">
        <w:t>on the Australian mainland, including Tasmania, that</w:t>
      </w:r>
      <w:r w:rsidRPr="00A729D8">
        <w:t xml:space="preserve"> is</w:t>
      </w:r>
      <w:r w:rsidR="001233AF" w:rsidRPr="00A729D8">
        <w:t xml:space="preserve"> established on an external territory but not on the Australian mainland, including Tasmania, </w:t>
      </w:r>
      <w:r w:rsidR="005A1F27" w:rsidRPr="00A729D8">
        <w:t>is not a range extension.</w:t>
      </w:r>
    </w:p>
    <w:p w14:paraId="1CB60584" w14:textId="77777777" w:rsidR="00B34554" w:rsidRPr="00A729D8" w:rsidRDefault="00B34554" w:rsidP="002106F9">
      <w:r w:rsidRPr="00A729D8">
        <w:rPr>
          <w:b/>
        </w:rPr>
        <w:t>recovery</w:t>
      </w:r>
      <w:r w:rsidRPr="00A729D8">
        <w:t xml:space="preserve">, in relation to pests and diseases, means the restoration of physical, environmental and economic elements as well as psychosocial </w:t>
      </w:r>
      <w:r w:rsidR="002106F9" w:rsidRPr="00A729D8">
        <w:t>wellbeing</w:t>
      </w:r>
      <w:r w:rsidRPr="00A729D8">
        <w:t xml:space="preserve"> f</w:t>
      </w:r>
      <w:r w:rsidR="0003487E" w:rsidRPr="00A729D8">
        <w:t>ollowing an emergency response.</w:t>
      </w:r>
    </w:p>
    <w:p w14:paraId="0DFE5F2A" w14:textId="6A33E4E5" w:rsidR="00B34554" w:rsidRPr="00A729D8" w:rsidRDefault="00B34554" w:rsidP="002106F9">
      <w:r w:rsidRPr="00A729D8">
        <w:rPr>
          <w:b/>
        </w:rPr>
        <w:t>related biosecurity arrangements</w:t>
      </w:r>
      <w:r w:rsidRPr="00A729D8">
        <w:t xml:space="preserve"> means any biosecurity-related agreements, contracts or arrangements already existing at the time this agreement comes into effect, and include, but are not limited to, the existing cost-sharing</w:t>
      </w:r>
      <w:r w:rsidR="0003487E" w:rsidRPr="00A729D8">
        <w:t xml:space="preserve"> arrangements as defined above</w:t>
      </w:r>
      <w:r w:rsidR="00BF231A" w:rsidRPr="00A729D8">
        <w:t xml:space="preserve"> and deed-like arrangements</w:t>
      </w:r>
      <w:r w:rsidR="0003487E" w:rsidRPr="00A729D8">
        <w:t>.</w:t>
      </w:r>
    </w:p>
    <w:p w14:paraId="7295894C" w14:textId="77777777" w:rsidR="00B34554" w:rsidRPr="00A729D8" w:rsidRDefault="00B34554" w:rsidP="002106F9">
      <w:r w:rsidRPr="00A729D8">
        <w:rPr>
          <w:b/>
        </w:rPr>
        <w:t>reporting point</w:t>
      </w:r>
      <w:r w:rsidRPr="00A729D8">
        <w:t xml:space="preserve"> has the meaning given</w:t>
      </w:r>
      <w:r w:rsidR="0003487E" w:rsidRPr="00A729D8">
        <w:t xml:space="preserve"> to that term in clause </w:t>
      </w:r>
      <w:r w:rsidR="00AB4906" w:rsidRPr="00A729D8">
        <w:t>6</w:t>
      </w:r>
      <w:r w:rsidR="00710F60" w:rsidRPr="00A729D8">
        <w:t>.2.3</w:t>
      </w:r>
      <w:r w:rsidR="0003487E" w:rsidRPr="00A729D8">
        <w:t>.</w:t>
      </w:r>
    </w:p>
    <w:p w14:paraId="6DC12DE8" w14:textId="77777777" w:rsidR="00B34554" w:rsidRPr="00A729D8" w:rsidRDefault="00B34554" w:rsidP="002106F9">
      <w:r w:rsidRPr="00A729D8">
        <w:rPr>
          <w:b/>
        </w:rPr>
        <w:t>sector</w:t>
      </w:r>
      <w:r w:rsidRPr="00A729D8">
        <w:t xml:space="preserve"> means specific biosecurity areas, such as animal health, aquatic animal health, plant health, marine pests, weeds, vertebrate pests, invertebrates and pathogens of the environment, and human health with respect to zoonoses/veterinary public health.</w:t>
      </w:r>
    </w:p>
    <w:p w14:paraId="270AFC84" w14:textId="77777777" w:rsidR="00B34554" w:rsidRPr="00A729D8" w:rsidRDefault="00B34554" w:rsidP="002106F9">
      <w:r w:rsidRPr="00A729D8">
        <w:rPr>
          <w:b/>
        </w:rPr>
        <w:t>social amenity</w:t>
      </w:r>
      <w:r w:rsidRPr="00A729D8">
        <w:t xml:space="preserve"> means any tangible or intangible resources developed or provided by humans or nature such as dwellings an</w:t>
      </w:r>
      <w:r w:rsidR="0003487E" w:rsidRPr="00A729D8">
        <w:t>d parks, or views and outlooks.</w:t>
      </w:r>
    </w:p>
    <w:p w14:paraId="6B8628B2" w14:textId="77777777" w:rsidR="00B34554" w:rsidRPr="00A729D8" w:rsidRDefault="00B34554" w:rsidP="002106F9">
      <w:r w:rsidRPr="00A729D8">
        <w:rPr>
          <w:b/>
        </w:rPr>
        <w:t>SPS agreement</w:t>
      </w:r>
      <w:r w:rsidRPr="00A729D8">
        <w:t xml:space="preserve"> means the World Trade Organization Agreement on the Application of Sanit</w:t>
      </w:r>
      <w:r w:rsidR="0003487E" w:rsidRPr="00A729D8">
        <w:t>ary and Phytosanitary Measures.</w:t>
      </w:r>
    </w:p>
    <w:p w14:paraId="14D41F37" w14:textId="77777777" w:rsidR="00B34554" w:rsidRPr="00A729D8" w:rsidRDefault="00B34554" w:rsidP="002106F9">
      <w:r w:rsidRPr="00A729D8">
        <w:rPr>
          <w:b/>
        </w:rPr>
        <w:lastRenderedPageBreak/>
        <w:t>state party</w:t>
      </w:r>
      <w:r w:rsidRPr="00A729D8">
        <w:t xml:space="preserve"> means each party to this agreement that is a state of the Commonwealth o</w:t>
      </w:r>
      <w:r w:rsidR="0003487E" w:rsidRPr="00A729D8">
        <w:t>f Australia.</w:t>
      </w:r>
    </w:p>
    <w:p w14:paraId="28BE3FD9" w14:textId="7BCF2A36" w:rsidR="00B34554" w:rsidRPr="00A729D8" w:rsidRDefault="00B34554" w:rsidP="002106F9">
      <w:r w:rsidRPr="00A729D8">
        <w:rPr>
          <w:b/>
        </w:rPr>
        <w:t>state or territory party’s borders</w:t>
      </w:r>
      <w:r w:rsidRPr="00A729D8">
        <w:t xml:space="preserve"> means the stated boundary of the jurisdiction of that party, including all land areas, internal waters and sea areas to 3</w:t>
      </w:r>
      <w:r w:rsidR="009E4AD0" w:rsidRPr="00A729D8">
        <w:t xml:space="preserve"> nautical miles</w:t>
      </w:r>
      <w:r w:rsidRPr="00A729D8">
        <w:t xml:space="preserve"> of the territorial sea baseline, or as otherwise agreed by the relevant state/terri</w:t>
      </w:r>
      <w:r w:rsidR="0003487E" w:rsidRPr="00A729D8">
        <w:t>tory.</w:t>
      </w:r>
    </w:p>
    <w:p w14:paraId="25A42A85" w14:textId="77777777" w:rsidR="00B34554" w:rsidRPr="00A729D8" w:rsidRDefault="00B34554" w:rsidP="002106F9">
      <w:r w:rsidRPr="00A729D8">
        <w:rPr>
          <w:b/>
        </w:rPr>
        <w:t xml:space="preserve">surveillance </w:t>
      </w:r>
      <w:r w:rsidRPr="00A729D8">
        <w:t>means the systematic investigation, over time, of a population or area to collect data and information about the presence, incidence, prevalence or geographical extent of a pest or disease. Surveillance includes active and passive appro</w:t>
      </w:r>
      <w:r w:rsidR="0003487E" w:rsidRPr="00A729D8">
        <w:t>aches.</w:t>
      </w:r>
    </w:p>
    <w:p w14:paraId="25FFFD1F" w14:textId="77777777" w:rsidR="00B34554" w:rsidRPr="00A729D8" w:rsidRDefault="00B34554" w:rsidP="002106F9">
      <w:r w:rsidRPr="00A729D8">
        <w:rPr>
          <w:b/>
        </w:rPr>
        <w:t>technical feasibility analysis</w:t>
      </w:r>
      <w:r w:rsidRPr="00A729D8">
        <w:t xml:space="preserve"> or </w:t>
      </w:r>
      <w:r w:rsidRPr="00A729D8">
        <w:rPr>
          <w:b/>
        </w:rPr>
        <w:t>technically feasible</w:t>
      </w:r>
      <w:r w:rsidRPr="00A729D8">
        <w:t xml:space="preserve"> means an analysis undertaken in accordance with item 4 of Schedule </w:t>
      </w:r>
      <w:r w:rsidR="00710F60" w:rsidRPr="00A729D8">
        <w:t>3</w:t>
      </w:r>
      <w:r w:rsidRPr="00A729D8">
        <w:t xml:space="preserve"> in relation to the feasibility of a national response on the basis of conclusions reached by using scientific information to </w:t>
      </w:r>
      <w:r w:rsidR="0003487E" w:rsidRPr="00A729D8">
        <w:t>evaluate the proposed response.</w:t>
      </w:r>
    </w:p>
    <w:p w14:paraId="689E48B4" w14:textId="77777777" w:rsidR="00B34554" w:rsidRPr="00A729D8" w:rsidRDefault="00B34554" w:rsidP="002106F9">
      <w:r w:rsidRPr="00A729D8">
        <w:rPr>
          <w:b/>
        </w:rPr>
        <w:t>termination</w:t>
      </w:r>
      <w:r w:rsidRPr="00A729D8">
        <w:t xml:space="preserve"> means the termination of this agreement </w:t>
      </w:r>
      <w:r w:rsidR="0003487E" w:rsidRPr="00A729D8">
        <w:t>in accordance with clause 1</w:t>
      </w:r>
      <w:r w:rsidR="00FF3180" w:rsidRPr="00A729D8">
        <w:t>2</w:t>
      </w:r>
      <w:r w:rsidR="0003487E" w:rsidRPr="00A729D8">
        <w:t>.3.</w:t>
      </w:r>
    </w:p>
    <w:p w14:paraId="1B58154F" w14:textId="77777777" w:rsidR="00B34554" w:rsidRPr="00A729D8" w:rsidRDefault="00B34554" w:rsidP="002106F9">
      <w:r w:rsidRPr="00A729D8">
        <w:rPr>
          <w:b/>
        </w:rPr>
        <w:t>territory party</w:t>
      </w:r>
      <w:r w:rsidRPr="00A729D8">
        <w:t xml:space="preserve"> means a party to this agreement that is the Australian Capital Territory or the Northern Territory.</w:t>
      </w:r>
    </w:p>
    <w:p w14:paraId="1D362B1A" w14:textId="77777777" w:rsidR="00076E3B" w:rsidRPr="00A729D8" w:rsidRDefault="00076E3B" w:rsidP="002106F9">
      <w:r w:rsidRPr="00A729D8">
        <w:rPr>
          <w:b/>
        </w:rPr>
        <w:t xml:space="preserve">transition to management </w:t>
      </w:r>
      <w:r w:rsidRPr="00A729D8">
        <w:t xml:space="preserve">means the undertaking of activities for transitioning the management of an </w:t>
      </w:r>
      <w:r w:rsidR="00FF3180" w:rsidRPr="00A729D8">
        <w:t>emergency e</w:t>
      </w:r>
      <w:r w:rsidRPr="00A729D8">
        <w:t xml:space="preserve">nvironmental pest or disease from seeking to achieve eradication of the environmental pest and/or disease during an Emergency Response Phase to management of the pest and/or disease outside of this </w:t>
      </w:r>
      <w:r w:rsidR="00FF3180" w:rsidRPr="00A729D8">
        <w:t>agreement</w:t>
      </w:r>
      <w:r w:rsidRPr="00A729D8">
        <w:t xml:space="preserve">.                                                  </w:t>
      </w:r>
    </w:p>
    <w:p w14:paraId="42204F26" w14:textId="77777777" w:rsidR="00EA71EF" w:rsidRPr="00A729D8" w:rsidRDefault="00EA71EF" w:rsidP="002106F9">
      <w:pPr>
        <w:rPr>
          <w:b/>
        </w:rPr>
      </w:pPr>
      <w:r w:rsidRPr="00A729D8">
        <w:rPr>
          <w:b/>
        </w:rPr>
        <w:t xml:space="preserve">transition to management phase </w:t>
      </w:r>
      <w:r w:rsidRPr="00A729D8">
        <w:t xml:space="preserve">has the meaning given in clause </w:t>
      </w:r>
      <w:r w:rsidR="00710F60" w:rsidRPr="00A729D8">
        <w:t>5.</w:t>
      </w:r>
      <w:r w:rsidR="00765FAA" w:rsidRPr="00A729D8">
        <w:t>4</w:t>
      </w:r>
      <w:r w:rsidR="00710F60" w:rsidRPr="00A729D8">
        <w:t>.</w:t>
      </w:r>
    </w:p>
    <w:p w14:paraId="6C894250" w14:textId="77777777" w:rsidR="00B34554" w:rsidRPr="00A729D8" w:rsidRDefault="00B34554" w:rsidP="002106F9">
      <w:r w:rsidRPr="00A729D8">
        <w:rPr>
          <w:b/>
        </w:rPr>
        <w:t>unanimous</w:t>
      </w:r>
      <w:r w:rsidRPr="00A729D8">
        <w:t xml:space="preserve">, </w:t>
      </w:r>
      <w:r w:rsidR="005463C8" w:rsidRPr="00A729D8">
        <w:t>means all Parties or persons entitled to vote on an issue have voted in the same fashion in respect of that issue. Unanimously will have a corresponding meaning.</w:t>
      </w:r>
    </w:p>
    <w:p w14:paraId="68C1EB46" w14:textId="77777777" w:rsidR="00B34554" w:rsidRPr="00A729D8" w:rsidRDefault="00B34554" w:rsidP="002106F9">
      <w:pPr>
        <w:pStyle w:val="Heading2"/>
        <w:keepNext w:val="0"/>
        <w:keepLines w:val="0"/>
      </w:pPr>
      <w:bookmarkStart w:id="13" w:name="_Toc7528094"/>
      <w:r w:rsidRPr="00A729D8">
        <w:t>Interpretation</w:t>
      </w:r>
      <w:bookmarkEnd w:id="13"/>
    </w:p>
    <w:p w14:paraId="726BD224" w14:textId="77777777" w:rsidR="00B34554" w:rsidRPr="00A729D8" w:rsidRDefault="00B34554" w:rsidP="002106F9">
      <w:r w:rsidRPr="00A729D8">
        <w:t>In this agreement, un</w:t>
      </w:r>
      <w:r w:rsidR="0003487E" w:rsidRPr="00A729D8">
        <w:t>less the contrary is indicated:</w:t>
      </w:r>
    </w:p>
    <w:p w14:paraId="2D6996A1" w14:textId="77777777" w:rsidR="0003487E" w:rsidRPr="00A729D8" w:rsidRDefault="0003487E" w:rsidP="00121729">
      <w:pPr>
        <w:pStyle w:val="ListParagraph"/>
        <w:numPr>
          <w:ilvl w:val="0"/>
          <w:numId w:val="11"/>
        </w:numPr>
      </w:pPr>
      <w:r w:rsidRPr="00A729D8">
        <w:t>th</w:t>
      </w:r>
      <w:r w:rsidR="00B34554" w:rsidRPr="00A729D8">
        <w:t>e singular inc</w:t>
      </w:r>
      <w:r w:rsidRPr="00A729D8">
        <w:t>ludes the plural and vice versa</w:t>
      </w:r>
    </w:p>
    <w:p w14:paraId="46C47987" w14:textId="77777777" w:rsidR="0003487E" w:rsidRPr="00A729D8" w:rsidRDefault="00B34554" w:rsidP="00121729">
      <w:pPr>
        <w:pStyle w:val="ListParagraph"/>
        <w:numPr>
          <w:ilvl w:val="0"/>
          <w:numId w:val="11"/>
        </w:numPr>
      </w:pPr>
      <w:r w:rsidRPr="00A729D8">
        <w:t>a reference t</w:t>
      </w:r>
      <w:r w:rsidR="0003487E" w:rsidRPr="00A729D8">
        <w:t>o one gender includes the other</w:t>
      </w:r>
    </w:p>
    <w:p w14:paraId="7A76FE1D" w14:textId="77777777" w:rsidR="0003487E" w:rsidRPr="00A729D8" w:rsidRDefault="00B34554" w:rsidP="00121729">
      <w:pPr>
        <w:pStyle w:val="ListParagraph"/>
        <w:numPr>
          <w:ilvl w:val="0"/>
          <w:numId w:val="11"/>
        </w:numPr>
      </w:pPr>
      <w:r w:rsidRPr="00A729D8">
        <w:t>a reference to a person includes a body politic</w:t>
      </w:r>
      <w:r w:rsidR="0003487E" w:rsidRPr="00A729D8">
        <w:t>, body corporate or partnership</w:t>
      </w:r>
    </w:p>
    <w:p w14:paraId="41FFA914" w14:textId="77777777" w:rsidR="0003487E" w:rsidRPr="00A729D8" w:rsidRDefault="00B34554" w:rsidP="00121729">
      <w:pPr>
        <w:pStyle w:val="ListParagraph"/>
        <w:numPr>
          <w:ilvl w:val="0"/>
          <w:numId w:val="11"/>
        </w:numPr>
      </w:pPr>
      <w:r w:rsidRPr="00A729D8">
        <w:t>a reference to currency is a r</w:t>
      </w:r>
      <w:r w:rsidR="0003487E" w:rsidRPr="00A729D8">
        <w:t>eference to Australian currency</w:t>
      </w:r>
    </w:p>
    <w:p w14:paraId="08063890" w14:textId="77777777" w:rsidR="0003487E" w:rsidRPr="00A729D8" w:rsidRDefault="00B34554" w:rsidP="00121729">
      <w:pPr>
        <w:pStyle w:val="ListParagraph"/>
        <w:numPr>
          <w:ilvl w:val="0"/>
          <w:numId w:val="11"/>
        </w:numPr>
      </w:pPr>
      <w:r w:rsidRPr="00A729D8">
        <w:t>a reference to an Act is a reference to an Act of the Commonwealth, or a state or territory of Australia, as amended from time to time, and includes references to any subordinate legislation made under the Act</w:t>
      </w:r>
    </w:p>
    <w:p w14:paraId="71B4AD0C" w14:textId="77777777" w:rsidR="0003487E" w:rsidRPr="00A729D8" w:rsidRDefault="00B34554" w:rsidP="00121729">
      <w:pPr>
        <w:pStyle w:val="ListParagraph"/>
        <w:numPr>
          <w:ilvl w:val="0"/>
          <w:numId w:val="11"/>
        </w:numPr>
      </w:pPr>
      <w:r w:rsidRPr="00A729D8">
        <w:t>a reference to a clause includes a reference to a sub-clause of that clause</w:t>
      </w:r>
    </w:p>
    <w:p w14:paraId="3B5FA32A" w14:textId="77777777" w:rsidR="00D37C44" w:rsidRPr="00A729D8" w:rsidRDefault="00B34554" w:rsidP="00121729">
      <w:pPr>
        <w:pStyle w:val="ListParagraph"/>
        <w:numPr>
          <w:ilvl w:val="0"/>
          <w:numId w:val="11"/>
        </w:numPr>
      </w:pPr>
      <w:r w:rsidRPr="00A729D8">
        <w:t>a reference to a specification, publication, Commonwealth policy or other document is a reference to</w:t>
      </w:r>
    </w:p>
    <w:p w14:paraId="5F035B32" w14:textId="77777777" w:rsidR="00D37C44" w:rsidRPr="00A729D8" w:rsidRDefault="00B34554" w:rsidP="00121729">
      <w:pPr>
        <w:pStyle w:val="ListParagraph"/>
        <w:numPr>
          <w:ilvl w:val="1"/>
          <w:numId w:val="11"/>
        </w:numPr>
      </w:pPr>
      <w:r w:rsidRPr="00A729D8">
        <w:t>that specification, publication, Commonwealth policy or document in effect on the commencement date; or</w:t>
      </w:r>
    </w:p>
    <w:p w14:paraId="1ECE7E4F" w14:textId="77777777" w:rsidR="00B34554" w:rsidRPr="00A729D8" w:rsidRDefault="00B34554" w:rsidP="00121729">
      <w:pPr>
        <w:pStyle w:val="ListParagraph"/>
        <w:numPr>
          <w:ilvl w:val="1"/>
          <w:numId w:val="11"/>
        </w:numPr>
      </w:pPr>
      <w:r w:rsidRPr="00A729D8">
        <w:t>other versions of a document agreed to in writing by the parties.</w:t>
      </w:r>
    </w:p>
    <w:p w14:paraId="72D05AD0" w14:textId="77777777" w:rsidR="00B34554" w:rsidRPr="00A729D8" w:rsidRDefault="00B34554" w:rsidP="00121729">
      <w:pPr>
        <w:pStyle w:val="ListParagraph"/>
        <w:numPr>
          <w:ilvl w:val="0"/>
          <w:numId w:val="11"/>
        </w:numPr>
      </w:pPr>
      <w:r w:rsidRPr="00A729D8">
        <w:t>if a word or phrase is given a defined meaning, any other part of speech or grammatical form of that word or phrase has a corresponding meaning.</w:t>
      </w:r>
    </w:p>
    <w:p w14:paraId="3E38CDA8" w14:textId="77777777" w:rsidR="00B34554" w:rsidRPr="00A729D8" w:rsidRDefault="00B34554" w:rsidP="00790953">
      <w:pPr>
        <w:pStyle w:val="Heading1"/>
        <w:keepLines w:val="0"/>
        <w:ind w:left="431" w:hanging="431"/>
      </w:pPr>
      <w:bookmarkStart w:id="14" w:name="_Toc7528095"/>
      <w:r w:rsidRPr="00A729D8">
        <w:lastRenderedPageBreak/>
        <w:t>Legislative framework</w:t>
      </w:r>
      <w:bookmarkEnd w:id="14"/>
      <w:r w:rsidRPr="00A729D8">
        <w:t xml:space="preserve"> </w:t>
      </w:r>
      <w:r w:rsidRPr="00A729D8">
        <w:tab/>
      </w:r>
    </w:p>
    <w:p w14:paraId="243675AF" w14:textId="77777777" w:rsidR="00B34554" w:rsidRPr="00A729D8" w:rsidRDefault="00B34554" w:rsidP="002106F9">
      <w:pPr>
        <w:pStyle w:val="Heading2"/>
        <w:keepNext w:val="0"/>
        <w:keepLines w:val="0"/>
      </w:pPr>
      <w:bookmarkStart w:id="15" w:name="_Toc7528096"/>
      <w:r w:rsidRPr="00A729D8">
        <w:t>General acknowledgments regarding legislative framework</w:t>
      </w:r>
      <w:bookmarkEnd w:id="15"/>
    </w:p>
    <w:p w14:paraId="584D7145" w14:textId="77777777" w:rsidR="00B34554" w:rsidRPr="00A729D8" w:rsidRDefault="00B34554" w:rsidP="002106F9">
      <w:r w:rsidRPr="00A729D8">
        <w:t>The parties acknowledge that:</w:t>
      </w:r>
    </w:p>
    <w:p w14:paraId="2DFF54D6" w14:textId="4D629749" w:rsidR="00F54C08" w:rsidRPr="00A729D8" w:rsidRDefault="00493272" w:rsidP="002106F9">
      <w:pPr>
        <w:pStyle w:val="Heading3"/>
        <w:keepNext w:val="0"/>
        <w:keepLines w:val="0"/>
      </w:pPr>
      <w:r w:rsidRPr="00A729D8">
        <w:t>I</w:t>
      </w:r>
      <w:r w:rsidR="00B34554" w:rsidRPr="00A729D8">
        <w:t>n accordance with the Australian Constitution, the Commonwealth does not have exclusive power to make laws in relation to quarantine and biosecurity, meaning that Commonwealth and state and territory biosecurity laws can co-exist</w:t>
      </w:r>
      <w:r w:rsidR="00FD2FF8">
        <w:t>.</w:t>
      </w:r>
    </w:p>
    <w:p w14:paraId="37665761" w14:textId="77777777" w:rsidR="00F54C08" w:rsidRPr="00A729D8" w:rsidRDefault="00B34554" w:rsidP="002106F9">
      <w:pPr>
        <w:pStyle w:val="Heading3"/>
        <w:keepNext w:val="0"/>
        <w:keepLines w:val="0"/>
      </w:pPr>
      <w:r w:rsidRPr="00A729D8">
        <w:t>Australia’s legislative framework for biosecurity includes</w:t>
      </w:r>
    </w:p>
    <w:p w14:paraId="6C330292" w14:textId="77777777" w:rsidR="00F54C08" w:rsidRPr="00A729D8" w:rsidRDefault="00B34554" w:rsidP="00121729">
      <w:pPr>
        <w:pStyle w:val="ListParagraph"/>
        <w:numPr>
          <w:ilvl w:val="0"/>
          <w:numId w:val="12"/>
        </w:numPr>
      </w:pPr>
      <w:r w:rsidRPr="00A729D8">
        <w:t>Commonwealth legislation</w:t>
      </w:r>
    </w:p>
    <w:p w14:paraId="7BF68F2D" w14:textId="77777777" w:rsidR="00B34554" w:rsidRPr="00A729D8" w:rsidRDefault="00B34554" w:rsidP="00121729">
      <w:pPr>
        <w:pStyle w:val="ListParagraph"/>
        <w:numPr>
          <w:ilvl w:val="0"/>
          <w:numId w:val="12"/>
        </w:numPr>
      </w:pPr>
      <w:r w:rsidRPr="00A729D8">
        <w:t>state and territory legislation</w:t>
      </w:r>
    </w:p>
    <w:p w14:paraId="3CDFA02B" w14:textId="77777777" w:rsidR="00F54C08" w:rsidRPr="00A729D8" w:rsidRDefault="00B34554" w:rsidP="002106F9">
      <w:pPr>
        <w:ind w:left="1134"/>
      </w:pPr>
      <w:r w:rsidRPr="00A729D8">
        <w:t>with each party having responsibilities and obligations in accordance with that framework.</w:t>
      </w:r>
    </w:p>
    <w:p w14:paraId="6A105DF9" w14:textId="77777777" w:rsidR="00B34554" w:rsidRPr="00A729D8" w:rsidRDefault="00B34554" w:rsidP="002106F9">
      <w:pPr>
        <w:pStyle w:val="Heading3"/>
        <w:keepNext w:val="0"/>
        <w:keepLines w:val="0"/>
      </w:pPr>
      <w:r w:rsidRPr="00A729D8">
        <w:t>Where inconsistencies may arise between state and territory legislation and this agreement, the parties will comply with the state and territory legislation to the extent of the inconsistency.</w:t>
      </w:r>
    </w:p>
    <w:p w14:paraId="10F1F6D2" w14:textId="77777777" w:rsidR="00B34554" w:rsidRPr="00A729D8" w:rsidRDefault="00B34554" w:rsidP="002106F9">
      <w:pPr>
        <w:pStyle w:val="Heading2"/>
        <w:keepNext w:val="0"/>
        <w:keepLines w:val="0"/>
      </w:pPr>
      <w:bookmarkStart w:id="16" w:name="_Toc7528097"/>
      <w:r w:rsidRPr="00A729D8">
        <w:t>Acknowledgements regarding international rights and obligations</w:t>
      </w:r>
      <w:bookmarkEnd w:id="16"/>
    </w:p>
    <w:p w14:paraId="2D969634" w14:textId="77777777" w:rsidR="003A5F35" w:rsidRPr="00A729D8" w:rsidRDefault="00B34554" w:rsidP="002106F9">
      <w:pPr>
        <w:pStyle w:val="Heading3"/>
        <w:keepNext w:val="0"/>
        <w:keepLines w:val="0"/>
      </w:pPr>
      <w:r w:rsidRPr="00A729D8">
        <w:t>Nothing in this agreement will affect or alter activities undertaken within Australia pursuant to fulfilling rights and obligations under relevant inte</w:t>
      </w:r>
      <w:r w:rsidR="00493272" w:rsidRPr="00A729D8">
        <w:t xml:space="preserve">rnational agreements, including </w:t>
      </w:r>
      <w:r w:rsidRPr="00A729D8">
        <w:t>the right to apply standards, recommendations and guidelines developed by international standard setting bodies.</w:t>
      </w:r>
    </w:p>
    <w:p w14:paraId="050D2069" w14:textId="77777777" w:rsidR="003A5F35" w:rsidRPr="00A729D8" w:rsidRDefault="00B34554" w:rsidP="002106F9">
      <w:pPr>
        <w:pStyle w:val="Heading3"/>
        <w:keepNext w:val="0"/>
        <w:keepLines w:val="0"/>
      </w:pPr>
      <w:r w:rsidRPr="00A729D8">
        <w:t>Where the operation of this agreement results in measures that, directly or indirectly, affect international trade, or have the potential to do so, such measures must be developed and applied in accordance with Australia’s international rights and obligations, including those contained in the SPS agreement.</w:t>
      </w:r>
      <w:r w:rsidR="00494E96" w:rsidRPr="00A729D8">
        <w:rPr>
          <w:rStyle w:val="FootnoteReference"/>
        </w:rPr>
        <w:footnoteReference w:id="1"/>
      </w:r>
    </w:p>
    <w:p w14:paraId="63A1159D" w14:textId="77777777" w:rsidR="00B34554" w:rsidRPr="00A729D8" w:rsidRDefault="00B34554" w:rsidP="00C4160B">
      <w:pPr>
        <w:pStyle w:val="Heading3"/>
        <w:keepNext w:val="0"/>
        <w:keepLines w:val="0"/>
      </w:pPr>
      <w:r w:rsidRPr="00A729D8">
        <w:t>The 1995 Memorandum of Understanding on Animal and Plant Quarantine Measures between the Commonwealth and states and territories sets out the division of quarantine responsibilities between the Commonwealth and state and territory governments to enable compliance by Australia with relevant obligations under the SPS agreement.</w:t>
      </w:r>
    </w:p>
    <w:p w14:paraId="35C70E17" w14:textId="77777777" w:rsidR="00B34554" w:rsidRPr="00A729D8" w:rsidRDefault="00B34554" w:rsidP="002106F9">
      <w:pPr>
        <w:pStyle w:val="Heading1"/>
        <w:keepNext w:val="0"/>
        <w:keepLines w:val="0"/>
        <w:ind w:left="431" w:hanging="431"/>
      </w:pPr>
      <w:bookmarkStart w:id="17" w:name="_Toc7528098"/>
      <w:r w:rsidRPr="00A729D8">
        <w:t>Roles and responsibilities</w:t>
      </w:r>
      <w:bookmarkEnd w:id="17"/>
      <w:r w:rsidRPr="00A729D8">
        <w:t xml:space="preserve"> </w:t>
      </w:r>
      <w:r w:rsidRPr="00A729D8">
        <w:tab/>
      </w:r>
    </w:p>
    <w:p w14:paraId="30744AF8" w14:textId="77777777" w:rsidR="00B34554" w:rsidRPr="00A729D8" w:rsidRDefault="00B34554" w:rsidP="002106F9">
      <w:pPr>
        <w:pStyle w:val="Heading2"/>
        <w:keepNext w:val="0"/>
        <w:keepLines w:val="0"/>
      </w:pPr>
      <w:bookmarkStart w:id="18" w:name="_Toc7528099"/>
      <w:r w:rsidRPr="00A729D8">
        <w:t>Acknowledgements regarding party roles and responsibilities</w:t>
      </w:r>
      <w:bookmarkEnd w:id="18"/>
    </w:p>
    <w:p w14:paraId="786CD1EC" w14:textId="77777777" w:rsidR="002106F9" w:rsidRPr="00A729D8" w:rsidRDefault="00B34554" w:rsidP="002106F9">
      <w:r w:rsidRPr="00A729D8">
        <w:t>The parties agree and acknowledge:</w:t>
      </w:r>
    </w:p>
    <w:p w14:paraId="01BE5608" w14:textId="77777777" w:rsidR="002106F9" w:rsidRPr="00A729D8" w:rsidRDefault="00493272" w:rsidP="002106F9">
      <w:pPr>
        <w:pStyle w:val="Heading3"/>
        <w:keepNext w:val="0"/>
        <w:keepLines w:val="0"/>
      </w:pPr>
      <w:r w:rsidRPr="00A729D8">
        <w:t>T</w:t>
      </w:r>
      <w:r w:rsidR="00B34554" w:rsidRPr="00A729D8">
        <w:t>he roles and responsibilities of other contributors in achieving effective biosecurity (including local government, industry, regional bodies, communities, natural resource management boards, catchment management authorities and natural resource managers, including farmers, fishers, land owners and Indigenous groups)</w:t>
      </w:r>
    </w:p>
    <w:p w14:paraId="7DF717CA" w14:textId="77777777" w:rsidR="002106F9" w:rsidRPr="00A729D8" w:rsidRDefault="00493272" w:rsidP="002106F9">
      <w:pPr>
        <w:pStyle w:val="Heading3"/>
        <w:keepNext w:val="0"/>
        <w:keepLines w:val="0"/>
      </w:pPr>
      <w:r w:rsidRPr="00A729D8">
        <w:lastRenderedPageBreak/>
        <w:t>T</w:t>
      </w:r>
      <w:r w:rsidR="00B34554" w:rsidRPr="00A729D8">
        <w:t>hat greater clarity is needed on the specific roles and responsibilities of local government and that this should be handled, where appropriate, in subsidiary agreements and arrangements within jurisdictions</w:t>
      </w:r>
    </w:p>
    <w:p w14:paraId="0B58AB02" w14:textId="77777777" w:rsidR="00B34554" w:rsidRPr="00A729D8" w:rsidRDefault="00493272" w:rsidP="002106F9">
      <w:pPr>
        <w:pStyle w:val="Heading3"/>
        <w:keepNext w:val="0"/>
        <w:keepLines w:val="0"/>
        <w:ind w:left="737" w:hanging="737"/>
      </w:pPr>
      <w:r w:rsidRPr="00A729D8">
        <w:t>T</w:t>
      </w:r>
      <w:r w:rsidR="00B34554" w:rsidRPr="00A729D8">
        <w:t>hat, for the purposes of this agreement, this part describes the roles and responsibilities of the parties for working in partnership to achieve national emergency response outcomes specified under this agreement.</w:t>
      </w:r>
    </w:p>
    <w:p w14:paraId="63A51144" w14:textId="77777777" w:rsidR="00EC078D" w:rsidRPr="00A729D8" w:rsidRDefault="00EC078D" w:rsidP="002106F9">
      <w:pPr>
        <w:pStyle w:val="Heading2"/>
        <w:keepNext w:val="0"/>
        <w:keepLines w:val="0"/>
      </w:pPr>
      <w:bookmarkStart w:id="19" w:name="_Toc7528100"/>
      <w:r w:rsidRPr="00A729D8">
        <w:t xml:space="preserve">Acknowledgements regarding roles and responsibilities in preparing for and responding to </w:t>
      </w:r>
      <w:r w:rsidR="005A02B2" w:rsidRPr="00A729D8">
        <w:t xml:space="preserve">environmental biosecurity </w:t>
      </w:r>
      <w:r w:rsidR="00747D05" w:rsidRPr="00A729D8">
        <w:t>incident</w:t>
      </w:r>
      <w:r w:rsidRPr="00A729D8">
        <w:t>s</w:t>
      </w:r>
      <w:bookmarkEnd w:id="19"/>
    </w:p>
    <w:p w14:paraId="4E94379E" w14:textId="77777777" w:rsidR="00EC078D" w:rsidRPr="00A729D8" w:rsidRDefault="00EC078D" w:rsidP="002106F9">
      <w:r w:rsidRPr="00A729D8">
        <w:t>The parties acknowledge that:</w:t>
      </w:r>
    </w:p>
    <w:p w14:paraId="2726810A" w14:textId="77777777" w:rsidR="00EC078D" w:rsidRPr="00A729D8" w:rsidRDefault="00493272" w:rsidP="002106F9">
      <w:pPr>
        <w:pStyle w:val="Heading3"/>
        <w:keepNext w:val="0"/>
        <w:keepLines w:val="0"/>
      </w:pPr>
      <w:r w:rsidRPr="00A729D8">
        <w:t>T</w:t>
      </w:r>
      <w:r w:rsidR="00EC078D" w:rsidRPr="00A729D8">
        <w:t xml:space="preserve">he states and territories bear primary responsibility for the emergency management of </w:t>
      </w:r>
      <w:r w:rsidR="00747D05" w:rsidRPr="00A729D8">
        <w:t>incident</w:t>
      </w:r>
      <w:r w:rsidR="00EC078D" w:rsidRPr="00A729D8">
        <w:t>s, including preparedness and emergency responses within their borders.</w:t>
      </w:r>
    </w:p>
    <w:p w14:paraId="0B3131E8" w14:textId="77777777" w:rsidR="00EC078D" w:rsidRPr="00A729D8" w:rsidRDefault="00493272" w:rsidP="002106F9">
      <w:pPr>
        <w:pStyle w:val="Heading3"/>
        <w:keepNext w:val="0"/>
        <w:keepLines w:val="0"/>
      </w:pPr>
      <w:r w:rsidRPr="00A729D8">
        <w:t>T</w:t>
      </w:r>
      <w:r w:rsidR="00EC078D" w:rsidRPr="00A729D8">
        <w:t>he Commonwealth assists the states and territories by</w:t>
      </w:r>
    </w:p>
    <w:p w14:paraId="79543984" w14:textId="77777777" w:rsidR="00EC078D" w:rsidRPr="00A729D8" w:rsidRDefault="00EC078D" w:rsidP="00121729">
      <w:pPr>
        <w:pStyle w:val="ListParagraph"/>
        <w:numPr>
          <w:ilvl w:val="0"/>
          <w:numId w:val="18"/>
        </w:numPr>
      </w:pPr>
      <w:r w:rsidRPr="00A729D8">
        <w:t>providing leadership in national biosecurity policy determination</w:t>
      </w:r>
    </w:p>
    <w:p w14:paraId="2F2F6B8C" w14:textId="77777777" w:rsidR="00EC078D" w:rsidRPr="00A729D8" w:rsidRDefault="00EC078D" w:rsidP="00121729">
      <w:pPr>
        <w:pStyle w:val="ListParagraph"/>
        <w:numPr>
          <w:ilvl w:val="0"/>
          <w:numId w:val="18"/>
        </w:numPr>
      </w:pPr>
      <w:r w:rsidRPr="00A729D8">
        <w:t>providing a national coordinating role</w:t>
      </w:r>
    </w:p>
    <w:p w14:paraId="493DB798" w14:textId="77777777" w:rsidR="00EC078D" w:rsidRPr="00A729D8" w:rsidRDefault="00EC078D" w:rsidP="00121729">
      <w:pPr>
        <w:pStyle w:val="ListParagraph"/>
        <w:numPr>
          <w:ilvl w:val="0"/>
          <w:numId w:val="18"/>
        </w:numPr>
      </w:pPr>
      <w:r w:rsidRPr="00A729D8">
        <w:t xml:space="preserve">supporting emergency responses to </w:t>
      </w:r>
      <w:r w:rsidR="00747D05" w:rsidRPr="00A729D8">
        <w:t>incident</w:t>
      </w:r>
      <w:r w:rsidRPr="00A729D8">
        <w:t>s through cost-sharing if they are of national significance and the other requirements in this agreement are met.</w:t>
      </w:r>
    </w:p>
    <w:p w14:paraId="5FB924F9" w14:textId="7BB5C127" w:rsidR="00EC078D" w:rsidRPr="00A729D8" w:rsidRDefault="00EC078D" w:rsidP="002106F9">
      <w:pPr>
        <w:pStyle w:val="Heading2"/>
        <w:keepNext w:val="0"/>
        <w:keepLines w:val="0"/>
      </w:pPr>
      <w:bookmarkStart w:id="20" w:name="_Toc7528101"/>
      <w:r w:rsidRPr="00A729D8">
        <w:t>Commonwealth role in preparing for and responding to</w:t>
      </w:r>
      <w:r w:rsidR="005A02B2" w:rsidRPr="00A729D8">
        <w:t xml:space="preserve"> environmental biosecurity </w:t>
      </w:r>
      <w:r w:rsidR="00747D05" w:rsidRPr="00A729D8">
        <w:t>incident</w:t>
      </w:r>
      <w:r w:rsidRPr="00A729D8">
        <w:t>s</w:t>
      </w:r>
      <w:bookmarkEnd w:id="20"/>
    </w:p>
    <w:p w14:paraId="3D608B61" w14:textId="74140450" w:rsidR="00D115AD" w:rsidRPr="00A729D8" w:rsidRDefault="00EC078D" w:rsidP="00D115AD">
      <w:r w:rsidRPr="00A729D8">
        <w:t>Commonwealth roles and responsibilities are to:</w:t>
      </w:r>
    </w:p>
    <w:p w14:paraId="24CEE0A4" w14:textId="0156E9B6" w:rsidR="00EC078D" w:rsidRPr="00A729D8" w:rsidRDefault="00EC078D" w:rsidP="00121729">
      <w:pPr>
        <w:pStyle w:val="ListParagraph"/>
        <w:numPr>
          <w:ilvl w:val="0"/>
          <w:numId w:val="19"/>
        </w:numPr>
      </w:pPr>
      <w:r w:rsidRPr="00A729D8">
        <w:t xml:space="preserve">lead the determination of agreed national biosecurity policy in terms of responses to </w:t>
      </w:r>
      <w:r w:rsidR="00747D05" w:rsidRPr="00A729D8">
        <w:t>incident</w:t>
      </w:r>
      <w:r w:rsidRPr="00A729D8">
        <w:t xml:space="preserve">s </w:t>
      </w:r>
    </w:p>
    <w:p w14:paraId="46E25CDB" w14:textId="5195D7C6" w:rsidR="00EC078D" w:rsidRPr="00A729D8" w:rsidRDefault="00EC078D" w:rsidP="00121729">
      <w:pPr>
        <w:pStyle w:val="ListParagraph"/>
        <w:numPr>
          <w:ilvl w:val="0"/>
          <w:numId w:val="19"/>
        </w:numPr>
      </w:pPr>
      <w:r w:rsidRPr="00A729D8">
        <w:t>participat</w:t>
      </w:r>
      <w:r w:rsidR="006D1371" w:rsidRPr="00A729D8">
        <w:t>e</w:t>
      </w:r>
      <w:r w:rsidRPr="00A729D8">
        <w:t xml:space="preserve"> in, and provid</w:t>
      </w:r>
      <w:r w:rsidR="006D1371" w:rsidRPr="00A729D8">
        <w:t>e</w:t>
      </w:r>
      <w:r w:rsidRPr="00A729D8">
        <w:t xml:space="preserve"> national coordination for, decision-making processes for national responses</w:t>
      </w:r>
    </w:p>
    <w:p w14:paraId="75110CC1" w14:textId="7E5097FF" w:rsidR="00EC078D" w:rsidRPr="00A729D8" w:rsidRDefault="00EC078D" w:rsidP="00121729">
      <w:pPr>
        <w:pStyle w:val="ListParagraph"/>
        <w:numPr>
          <w:ilvl w:val="0"/>
          <w:numId w:val="19"/>
        </w:numPr>
      </w:pPr>
      <w:r w:rsidRPr="00A729D8">
        <w:t xml:space="preserve">coordinate the development and maintenance of cost-sharing arrangements in relation to national responses with state and territory parties and </w:t>
      </w:r>
      <w:r w:rsidR="00D115AD" w:rsidRPr="00A729D8">
        <w:t>non</w:t>
      </w:r>
      <w:r w:rsidR="00D115AD" w:rsidRPr="00A729D8">
        <w:noBreakHyphen/>
        <w:t>government entities</w:t>
      </w:r>
      <w:r w:rsidRPr="00A729D8">
        <w:t>, as applicable</w:t>
      </w:r>
    </w:p>
    <w:p w14:paraId="2A234818" w14:textId="27B493A7" w:rsidR="00EC078D" w:rsidRPr="00A729D8" w:rsidRDefault="00EC078D" w:rsidP="00121729">
      <w:pPr>
        <w:pStyle w:val="ListParagraph"/>
        <w:numPr>
          <w:ilvl w:val="0"/>
          <w:numId w:val="19"/>
        </w:numPr>
      </w:pPr>
      <w:r w:rsidRPr="00A729D8">
        <w:t>be responsible for managing the eradication of pests and diseases on Commonwealth land and in Commonwealth waters, and when they are subject to Commonwealth regulatory action</w:t>
      </w:r>
    </w:p>
    <w:p w14:paraId="26917D7D" w14:textId="75DF40EF" w:rsidR="00EC078D" w:rsidRPr="00A729D8" w:rsidRDefault="00EC078D" w:rsidP="00121729">
      <w:pPr>
        <w:pStyle w:val="ListParagraph"/>
        <w:numPr>
          <w:ilvl w:val="0"/>
          <w:numId w:val="19"/>
        </w:numPr>
      </w:pPr>
      <w:r w:rsidRPr="00A729D8">
        <w:t xml:space="preserve">perform the shared roles outlined in clause </w:t>
      </w:r>
      <w:r w:rsidR="001C7C2D" w:rsidRPr="00A729D8">
        <w:t>4.5</w:t>
      </w:r>
      <w:r w:rsidRPr="00A729D8">
        <w:t>.</w:t>
      </w:r>
    </w:p>
    <w:p w14:paraId="3687E3CD" w14:textId="77777777" w:rsidR="00EC078D" w:rsidRPr="00A729D8" w:rsidRDefault="00EC078D" w:rsidP="002106F9">
      <w:pPr>
        <w:pStyle w:val="Heading2"/>
        <w:keepNext w:val="0"/>
        <w:keepLines w:val="0"/>
      </w:pPr>
      <w:bookmarkStart w:id="21" w:name="_Toc7528102"/>
      <w:r w:rsidRPr="00A729D8">
        <w:t xml:space="preserve">State and Territory Party role in preparing for and responding to </w:t>
      </w:r>
      <w:r w:rsidR="005A02B2" w:rsidRPr="00A729D8">
        <w:t xml:space="preserve">environmental biosecurity </w:t>
      </w:r>
      <w:r w:rsidR="00747D05" w:rsidRPr="00A729D8">
        <w:t>incident</w:t>
      </w:r>
      <w:r w:rsidRPr="00A729D8">
        <w:t>s</w:t>
      </w:r>
      <w:bookmarkEnd w:id="21"/>
    </w:p>
    <w:p w14:paraId="163AFC94" w14:textId="77777777" w:rsidR="00EC078D" w:rsidRPr="00A729D8" w:rsidRDefault="00EC078D" w:rsidP="002106F9">
      <w:r w:rsidRPr="00A729D8">
        <w:t>State and territory party roles and responsibilities are to:</w:t>
      </w:r>
    </w:p>
    <w:p w14:paraId="27FC9B47" w14:textId="59A59082" w:rsidR="00EC078D" w:rsidRPr="00A729D8" w:rsidRDefault="00EC078D" w:rsidP="00121729">
      <w:pPr>
        <w:pStyle w:val="ListParagraph"/>
        <w:numPr>
          <w:ilvl w:val="0"/>
          <w:numId w:val="20"/>
        </w:numPr>
      </w:pPr>
      <w:r w:rsidRPr="00A729D8">
        <w:t>maintain preparedness arrangements, including capacity and capability, to enable timely responses to incidents of nationally significant pests and diseases</w:t>
      </w:r>
    </w:p>
    <w:p w14:paraId="7279F426" w14:textId="74E40A45" w:rsidR="00EC078D" w:rsidRPr="00A729D8" w:rsidRDefault="00FD2FF8" w:rsidP="00121729">
      <w:pPr>
        <w:pStyle w:val="ListParagraph"/>
        <w:numPr>
          <w:ilvl w:val="0"/>
          <w:numId w:val="20"/>
        </w:numPr>
      </w:pPr>
      <w:r>
        <w:t xml:space="preserve">participate in </w:t>
      </w:r>
      <w:r w:rsidR="00EC078D" w:rsidRPr="00A729D8">
        <w:t>national responses, including cost-sharing</w:t>
      </w:r>
    </w:p>
    <w:p w14:paraId="4B984FDD" w14:textId="6AD059E8" w:rsidR="00EC078D" w:rsidRPr="00A729D8" w:rsidRDefault="00EC078D" w:rsidP="00121729">
      <w:pPr>
        <w:pStyle w:val="ListParagraph"/>
        <w:numPr>
          <w:ilvl w:val="0"/>
          <w:numId w:val="20"/>
        </w:numPr>
      </w:pPr>
      <w:r w:rsidRPr="00A729D8">
        <w:lastRenderedPageBreak/>
        <w:t xml:space="preserve">regardless of whether an </w:t>
      </w:r>
      <w:r w:rsidR="00747D05" w:rsidRPr="00A729D8">
        <w:t>incident</w:t>
      </w:r>
      <w:r w:rsidRPr="00A729D8">
        <w:t xml:space="preserve"> of a significant pest or disease is subject to a national response or is being handled by a state or territory party</w:t>
      </w:r>
    </w:p>
    <w:p w14:paraId="2D3CA714" w14:textId="2927386F" w:rsidR="00EC078D" w:rsidRPr="00A729D8" w:rsidRDefault="00EC078D" w:rsidP="00121729">
      <w:pPr>
        <w:pStyle w:val="ListParagraph"/>
        <w:numPr>
          <w:ilvl w:val="1"/>
          <w:numId w:val="20"/>
        </w:numPr>
      </w:pPr>
      <w:r w:rsidRPr="00A729D8">
        <w:t>manage the eradication of significant pests and diseases within a state or territory party’s borders (including land and waters), where it is feasible and cost-effective</w:t>
      </w:r>
    </w:p>
    <w:p w14:paraId="0AE28349" w14:textId="09C230BC" w:rsidR="00EC078D" w:rsidRPr="00A729D8" w:rsidRDefault="00EC078D" w:rsidP="00121729">
      <w:pPr>
        <w:pStyle w:val="ListParagraph"/>
        <w:numPr>
          <w:ilvl w:val="1"/>
          <w:numId w:val="20"/>
        </w:numPr>
      </w:pPr>
      <w:r w:rsidRPr="00A729D8">
        <w:t xml:space="preserve">respond to </w:t>
      </w:r>
      <w:r w:rsidR="00747D05" w:rsidRPr="00A729D8">
        <w:t>incident</w:t>
      </w:r>
      <w:r w:rsidRPr="00A729D8">
        <w:t>s of significant pests and diseases where feasible and cost-effective</w:t>
      </w:r>
    </w:p>
    <w:p w14:paraId="2ED332E8" w14:textId="7049D8BB" w:rsidR="00EC078D" w:rsidRPr="00A729D8" w:rsidRDefault="00EC078D" w:rsidP="00121729">
      <w:pPr>
        <w:pStyle w:val="ListParagraph"/>
        <w:numPr>
          <w:ilvl w:val="1"/>
          <w:numId w:val="20"/>
        </w:numPr>
      </w:pPr>
      <w:r w:rsidRPr="00A729D8">
        <w:t xml:space="preserve">inform other jurisdictions and stakeholders of </w:t>
      </w:r>
      <w:r w:rsidR="00747D05" w:rsidRPr="00A729D8">
        <w:t>incident</w:t>
      </w:r>
      <w:r w:rsidRPr="00A729D8">
        <w:t>s of significant pests and diseases</w:t>
      </w:r>
    </w:p>
    <w:p w14:paraId="7754A846" w14:textId="4571E54F" w:rsidR="00EC078D" w:rsidRPr="00A729D8" w:rsidRDefault="00EC078D" w:rsidP="00121729">
      <w:pPr>
        <w:pStyle w:val="ListParagraph"/>
        <w:numPr>
          <w:ilvl w:val="1"/>
          <w:numId w:val="20"/>
        </w:numPr>
      </w:pPr>
      <w:r w:rsidRPr="00A729D8">
        <w:t xml:space="preserve">participate in joint management activities where </w:t>
      </w:r>
      <w:r w:rsidR="00747D05" w:rsidRPr="00A729D8">
        <w:t>incident</w:t>
      </w:r>
      <w:r w:rsidRPr="00A729D8">
        <w:t>s occur across state and territory border</w:t>
      </w:r>
    </w:p>
    <w:p w14:paraId="05C875E7" w14:textId="77777777" w:rsidR="00EC078D" w:rsidRPr="00A729D8" w:rsidRDefault="00EC078D" w:rsidP="00121729">
      <w:pPr>
        <w:pStyle w:val="ListParagraph"/>
        <w:numPr>
          <w:ilvl w:val="0"/>
          <w:numId w:val="20"/>
        </w:numPr>
      </w:pPr>
      <w:r w:rsidRPr="00A729D8">
        <w:t xml:space="preserve">perform the shared roles outlined in clause </w:t>
      </w:r>
      <w:r w:rsidR="001C7C2D" w:rsidRPr="00A729D8">
        <w:t>4.5</w:t>
      </w:r>
      <w:r w:rsidRPr="00A729D8">
        <w:t>.</w:t>
      </w:r>
    </w:p>
    <w:p w14:paraId="765FC4C1" w14:textId="3A413270" w:rsidR="00EC078D" w:rsidRPr="00A729D8" w:rsidRDefault="00EC078D" w:rsidP="002106F9">
      <w:pPr>
        <w:pStyle w:val="Heading2"/>
        <w:keepNext w:val="0"/>
        <w:keepLines w:val="0"/>
      </w:pPr>
      <w:bookmarkStart w:id="22" w:name="_Toc7528103"/>
      <w:r w:rsidRPr="00A729D8">
        <w:t>Shared roles in preparing for and responding to</w:t>
      </w:r>
      <w:r w:rsidR="005A02B2" w:rsidRPr="00A729D8">
        <w:t xml:space="preserve"> environmental biosecurity</w:t>
      </w:r>
      <w:r w:rsidRPr="00A729D8">
        <w:t xml:space="preserve"> </w:t>
      </w:r>
      <w:r w:rsidR="00747D05" w:rsidRPr="00A729D8">
        <w:t>incident</w:t>
      </w:r>
      <w:r w:rsidRPr="00A729D8">
        <w:t>s</w:t>
      </w:r>
      <w:bookmarkEnd w:id="22"/>
    </w:p>
    <w:p w14:paraId="530C15E6" w14:textId="77777777" w:rsidR="00EC078D" w:rsidRPr="00A729D8" w:rsidRDefault="00EC078D" w:rsidP="002106F9">
      <w:r w:rsidRPr="00A729D8">
        <w:t>Commonwealth and state and territory party shared roles and responsibilities are to:</w:t>
      </w:r>
    </w:p>
    <w:p w14:paraId="585376FB" w14:textId="2377BF33" w:rsidR="00D115AD" w:rsidRPr="00A729D8" w:rsidRDefault="00D115AD" w:rsidP="00121729">
      <w:pPr>
        <w:pStyle w:val="ListParagraph"/>
        <w:numPr>
          <w:ilvl w:val="0"/>
          <w:numId w:val="21"/>
        </w:numPr>
      </w:pPr>
      <w:r w:rsidRPr="00A729D8">
        <w:t>enact and implement legislation and regulations to help reduce the impact of incidents of nationally significant pests and diseases</w:t>
      </w:r>
    </w:p>
    <w:p w14:paraId="5400427A" w14:textId="161B30F6" w:rsidR="00D115AD" w:rsidRPr="00A729D8" w:rsidRDefault="00D115AD" w:rsidP="00121729">
      <w:pPr>
        <w:pStyle w:val="ListParagraph"/>
        <w:numPr>
          <w:ilvl w:val="0"/>
          <w:numId w:val="21"/>
        </w:numPr>
      </w:pPr>
      <w:r w:rsidRPr="00A729D8">
        <w:t>contribute to agreed national responses, including cost-sharing</w:t>
      </w:r>
    </w:p>
    <w:p w14:paraId="67E29C2E" w14:textId="46D7194B" w:rsidR="00D115AD" w:rsidRPr="00A729D8" w:rsidRDefault="00D115AD" w:rsidP="00121729">
      <w:pPr>
        <w:pStyle w:val="ListParagraph"/>
        <w:numPr>
          <w:ilvl w:val="0"/>
          <w:numId w:val="21"/>
        </w:numPr>
      </w:pPr>
      <w:r w:rsidRPr="00A729D8">
        <w:t>participate in decision-making processes for national responses</w:t>
      </w:r>
    </w:p>
    <w:p w14:paraId="11B10714" w14:textId="77777777" w:rsidR="00EC078D" w:rsidRPr="00A729D8" w:rsidRDefault="00EC078D" w:rsidP="00121729">
      <w:pPr>
        <w:pStyle w:val="ListParagraph"/>
        <w:numPr>
          <w:ilvl w:val="0"/>
          <w:numId w:val="21"/>
        </w:numPr>
      </w:pPr>
      <w:r w:rsidRPr="00A729D8">
        <w:t>contribute to the national capacity to detect and identify pests and diseases</w:t>
      </w:r>
    </w:p>
    <w:p w14:paraId="4F693AAB" w14:textId="77777777" w:rsidR="00EC078D" w:rsidRPr="00A729D8" w:rsidRDefault="00EC078D" w:rsidP="00121729">
      <w:pPr>
        <w:pStyle w:val="ListParagraph"/>
        <w:numPr>
          <w:ilvl w:val="0"/>
          <w:numId w:val="21"/>
        </w:numPr>
      </w:pPr>
      <w:r w:rsidRPr="00A729D8">
        <w:t>contribute to the national capacity and capability to respond to pests and diseases</w:t>
      </w:r>
    </w:p>
    <w:p w14:paraId="12FC9900" w14:textId="77777777" w:rsidR="00EC078D" w:rsidRPr="00A729D8" w:rsidRDefault="00EC078D" w:rsidP="00121729">
      <w:pPr>
        <w:pStyle w:val="ListParagraph"/>
        <w:numPr>
          <w:ilvl w:val="0"/>
          <w:numId w:val="21"/>
        </w:numPr>
      </w:pPr>
      <w:r w:rsidRPr="00A729D8">
        <w:t xml:space="preserve">contribute to capacity building in </w:t>
      </w:r>
      <w:r w:rsidR="00747D05" w:rsidRPr="00A729D8">
        <w:t>incident</w:t>
      </w:r>
      <w:r w:rsidRPr="00A729D8">
        <w:t xml:space="preserve"> management, including education, training, research, information systems and other critical infrastructure</w:t>
      </w:r>
    </w:p>
    <w:p w14:paraId="7F865788" w14:textId="77777777" w:rsidR="00EC078D" w:rsidRPr="00A729D8" w:rsidRDefault="00EC078D" w:rsidP="00121729">
      <w:pPr>
        <w:pStyle w:val="ListParagraph"/>
        <w:numPr>
          <w:ilvl w:val="0"/>
          <w:numId w:val="21"/>
        </w:numPr>
      </w:pPr>
      <w:r w:rsidRPr="00A729D8">
        <w:t>develop and implement appropriate standards, policies and procedures to reduce the impact of pests and diseases</w:t>
      </w:r>
    </w:p>
    <w:p w14:paraId="5FD907FF" w14:textId="6B6AEF60" w:rsidR="00EC078D" w:rsidRPr="00A729D8" w:rsidRDefault="00EC078D" w:rsidP="00121729">
      <w:pPr>
        <w:pStyle w:val="ListParagraph"/>
        <w:numPr>
          <w:ilvl w:val="0"/>
          <w:numId w:val="21"/>
        </w:numPr>
      </w:pPr>
      <w:r w:rsidRPr="00A729D8">
        <w:t xml:space="preserve">increase government agency, industry and community awareness of, and engagement in, </w:t>
      </w:r>
      <w:r w:rsidR="00747D05" w:rsidRPr="00A729D8">
        <w:t>incident</w:t>
      </w:r>
      <w:r w:rsidRPr="00A729D8">
        <w:t xml:space="preserve"> management and related issue</w:t>
      </w:r>
      <w:r w:rsidR="00FD2FF8">
        <w:t>s</w:t>
      </w:r>
    </w:p>
    <w:p w14:paraId="2414AAC3" w14:textId="006E2EE3" w:rsidR="00974B80" w:rsidRPr="00A729D8" w:rsidRDefault="00EC078D" w:rsidP="00121729">
      <w:pPr>
        <w:pStyle w:val="ListParagraph"/>
        <w:numPr>
          <w:ilvl w:val="0"/>
          <w:numId w:val="21"/>
        </w:numPr>
      </w:pPr>
      <w:r w:rsidRPr="00A729D8">
        <w:t>cooperate to engage</w:t>
      </w:r>
      <w:r w:rsidR="00974B80" w:rsidRPr="00A729D8">
        <w:t xml:space="preserve"> with,</w:t>
      </w:r>
      <w:r w:rsidRPr="00A729D8">
        <w:t xml:space="preserve"> </w:t>
      </w:r>
      <w:r w:rsidR="00974B80" w:rsidRPr="00A729D8">
        <w:t xml:space="preserve">and </w:t>
      </w:r>
      <w:r w:rsidRPr="00A729D8">
        <w:t>negotiate contributions from</w:t>
      </w:r>
      <w:r w:rsidR="00FD2FF8">
        <w:t>,</w:t>
      </w:r>
      <w:r w:rsidRPr="00A729D8">
        <w:t xml:space="preserve"> </w:t>
      </w:r>
      <w:r w:rsidR="00974B80" w:rsidRPr="00A729D8">
        <w:t xml:space="preserve">non-government </w:t>
      </w:r>
      <w:r w:rsidR="00454F21" w:rsidRPr="00A729D8">
        <w:t xml:space="preserve">entities </w:t>
      </w:r>
      <w:r w:rsidRPr="00A729D8">
        <w:t>in accordance with this agreement, as part of preparedness activities and in advance of an emergency response</w:t>
      </w:r>
    </w:p>
    <w:p w14:paraId="47E7CE9C" w14:textId="77777777" w:rsidR="00EC078D" w:rsidRPr="00A729D8" w:rsidRDefault="00EC078D" w:rsidP="00121729">
      <w:pPr>
        <w:pStyle w:val="ListParagraph"/>
        <w:numPr>
          <w:ilvl w:val="0"/>
          <w:numId w:val="21"/>
        </w:numPr>
      </w:pPr>
      <w:r w:rsidRPr="00A729D8">
        <w:t xml:space="preserve">act in accordance with Australia’s international rights and obligations. </w:t>
      </w:r>
    </w:p>
    <w:p w14:paraId="22EE135C" w14:textId="77777777" w:rsidR="00072E57" w:rsidRPr="00A729D8" w:rsidRDefault="00072E57" w:rsidP="002106F9">
      <w:pPr>
        <w:spacing w:before="0" w:after="160" w:line="252" w:lineRule="auto"/>
        <w:rPr>
          <w:rFonts w:eastAsiaTheme="majorEastAsia" w:cstheme="majorBidi"/>
          <w:b/>
          <w:bCs/>
          <w:caps/>
          <w:spacing w:val="4"/>
          <w:szCs w:val="28"/>
        </w:rPr>
      </w:pPr>
      <w:r w:rsidRPr="00A729D8">
        <w:br w:type="page"/>
      </w:r>
    </w:p>
    <w:p w14:paraId="22697E59" w14:textId="77777777" w:rsidR="000F1CE2" w:rsidRPr="00A729D8" w:rsidRDefault="005A02B2" w:rsidP="005A02B2">
      <w:pPr>
        <w:pStyle w:val="Heading1"/>
        <w:keepNext w:val="0"/>
        <w:keepLines w:val="0"/>
        <w:ind w:left="431" w:hanging="431"/>
      </w:pPr>
      <w:bookmarkStart w:id="23" w:name="_Toc530410294"/>
      <w:bookmarkStart w:id="24" w:name="_Toc531359217"/>
      <w:bookmarkStart w:id="25" w:name="_Toc531359376"/>
      <w:bookmarkStart w:id="26" w:name="_Toc530410295"/>
      <w:bookmarkStart w:id="27" w:name="_Toc531359218"/>
      <w:bookmarkStart w:id="28" w:name="_Toc531359377"/>
      <w:bookmarkStart w:id="29" w:name="_Toc530410296"/>
      <w:bookmarkStart w:id="30" w:name="_Toc531359219"/>
      <w:bookmarkStart w:id="31" w:name="_Toc531359378"/>
      <w:bookmarkStart w:id="32" w:name="_Toc530410297"/>
      <w:bookmarkStart w:id="33" w:name="_Toc531359220"/>
      <w:bookmarkStart w:id="34" w:name="_Toc531359379"/>
      <w:bookmarkStart w:id="35" w:name="_Toc530410298"/>
      <w:bookmarkStart w:id="36" w:name="_Toc531359221"/>
      <w:bookmarkStart w:id="37" w:name="_Toc531359380"/>
      <w:bookmarkStart w:id="38" w:name="_Toc530410299"/>
      <w:bookmarkStart w:id="39" w:name="_Toc531359222"/>
      <w:bookmarkStart w:id="40" w:name="_Toc531359381"/>
      <w:bookmarkStart w:id="41" w:name="_Toc530410300"/>
      <w:bookmarkStart w:id="42" w:name="_Toc531359223"/>
      <w:bookmarkStart w:id="43" w:name="_Toc531359382"/>
      <w:bookmarkStart w:id="44" w:name="_Toc530410301"/>
      <w:bookmarkStart w:id="45" w:name="_Toc531359224"/>
      <w:bookmarkStart w:id="46" w:name="_Toc531359383"/>
      <w:bookmarkStart w:id="47" w:name="_Toc530410302"/>
      <w:bookmarkStart w:id="48" w:name="_Toc531359225"/>
      <w:bookmarkStart w:id="49" w:name="_Toc531359384"/>
      <w:bookmarkStart w:id="50" w:name="_Toc530410303"/>
      <w:bookmarkStart w:id="51" w:name="_Toc531359226"/>
      <w:bookmarkStart w:id="52" w:name="_Toc531359385"/>
      <w:bookmarkStart w:id="53" w:name="_Toc530410304"/>
      <w:bookmarkStart w:id="54" w:name="_Toc531359227"/>
      <w:bookmarkStart w:id="55" w:name="_Toc531359386"/>
      <w:bookmarkStart w:id="56" w:name="_Toc530410305"/>
      <w:bookmarkStart w:id="57" w:name="_Toc531359228"/>
      <w:bookmarkStart w:id="58" w:name="_Toc531359387"/>
      <w:bookmarkStart w:id="59" w:name="_Toc530410306"/>
      <w:bookmarkStart w:id="60" w:name="_Toc531359229"/>
      <w:bookmarkStart w:id="61" w:name="_Toc531359388"/>
      <w:bookmarkStart w:id="62" w:name="_Toc530410307"/>
      <w:bookmarkStart w:id="63" w:name="_Toc531359230"/>
      <w:bookmarkStart w:id="64" w:name="_Toc531359389"/>
      <w:bookmarkStart w:id="65" w:name="_Toc530410308"/>
      <w:bookmarkStart w:id="66" w:name="_Toc531359231"/>
      <w:bookmarkStart w:id="67" w:name="_Toc531359390"/>
      <w:bookmarkStart w:id="68" w:name="_Toc530410309"/>
      <w:bookmarkStart w:id="69" w:name="_Toc531359232"/>
      <w:bookmarkStart w:id="70" w:name="_Toc531359391"/>
      <w:bookmarkStart w:id="71" w:name="_Toc530410310"/>
      <w:bookmarkStart w:id="72" w:name="_Toc531359233"/>
      <w:bookmarkStart w:id="73" w:name="_Toc531359392"/>
      <w:bookmarkStart w:id="74" w:name="_Toc530410311"/>
      <w:bookmarkStart w:id="75" w:name="_Toc531359234"/>
      <w:bookmarkStart w:id="76" w:name="_Toc531359393"/>
      <w:bookmarkStart w:id="77" w:name="_Toc530410312"/>
      <w:bookmarkStart w:id="78" w:name="_Toc531359235"/>
      <w:bookmarkStart w:id="79" w:name="_Toc531359394"/>
      <w:bookmarkStart w:id="80" w:name="_Toc530410313"/>
      <w:bookmarkStart w:id="81" w:name="_Toc531359236"/>
      <w:bookmarkStart w:id="82" w:name="_Toc531359395"/>
      <w:bookmarkStart w:id="83" w:name="_Toc530410314"/>
      <w:bookmarkStart w:id="84" w:name="_Toc531359237"/>
      <w:bookmarkStart w:id="85" w:name="_Toc531359396"/>
      <w:bookmarkStart w:id="86" w:name="_Toc530410315"/>
      <w:bookmarkStart w:id="87" w:name="_Toc531359238"/>
      <w:bookmarkStart w:id="88" w:name="_Toc531359397"/>
      <w:bookmarkStart w:id="89" w:name="_Toc530410316"/>
      <w:bookmarkStart w:id="90" w:name="_Toc531359239"/>
      <w:bookmarkStart w:id="91" w:name="_Toc531359398"/>
      <w:bookmarkStart w:id="92" w:name="_Toc530410317"/>
      <w:bookmarkStart w:id="93" w:name="_Toc531359240"/>
      <w:bookmarkStart w:id="94" w:name="_Toc531359399"/>
      <w:bookmarkStart w:id="95" w:name="_Toc530410318"/>
      <w:bookmarkStart w:id="96" w:name="_Toc531359241"/>
      <w:bookmarkStart w:id="97" w:name="_Toc531359400"/>
      <w:bookmarkStart w:id="98" w:name="_Toc530410319"/>
      <w:bookmarkStart w:id="99" w:name="_Toc531359242"/>
      <w:bookmarkStart w:id="100" w:name="_Toc531359401"/>
      <w:bookmarkStart w:id="101" w:name="_Toc530410320"/>
      <w:bookmarkStart w:id="102" w:name="_Toc531359243"/>
      <w:bookmarkStart w:id="103" w:name="_Toc531359402"/>
      <w:bookmarkStart w:id="104" w:name="_Toc530410321"/>
      <w:bookmarkStart w:id="105" w:name="_Toc531359244"/>
      <w:bookmarkStart w:id="106" w:name="_Toc531359403"/>
      <w:bookmarkStart w:id="107" w:name="_Toc530410322"/>
      <w:bookmarkStart w:id="108" w:name="_Toc531359245"/>
      <w:bookmarkStart w:id="109" w:name="_Toc531359404"/>
      <w:bookmarkStart w:id="110" w:name="_Toc530410323"/>
      <w:bookmarkStart w:id="111" w:name="_Toc531359246"/>
      <w:bookmarkStart w:id="112" w:name="_Toc531359405"/>
      <w:bookmarkStart w:id="113" w:name="_Toc530410324"/>
      <w:bookmarkStart w:id="114" w:name="_Toc531359247"/>
      <w:bookmarkStart w:id="115" w:name="_Toc531359406"/>
      <w:bookmarkStart w:id="116" w:name="_Toc530410325"/>
      <w:bookmarkStart w:id="117" w:name="_Toc531359248"/>
      <w:bookmarkStart w:id="118" w:name="_Toc531359407"/>
      <w:bookmarkStart w:id="119" w:name="_Toc530410326"/>
      <w:bookmarkStart w:id="120" w:name="_Toc531359249"/>
      <w:bookmarkStart w:id="121" w:name="_Toc531359408"/>
      <w:bookmarkStart w:id="122" w:name="_Toc7528104"/>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A729D8">
        <w:lastRenderedPageBreak/>
        <w:t xml:space="preserve">Phases of </w:t>
      </w:r>
      <w:r w:rsidR="00957DB0" w:rsidRPr="00A729D8">
        <w:t>an emergency</w:t>
      </w:r>
      <w:r w:rsidR="0011567D" w:rsidRPr="00A729D8">
        <w:t xml:space="preserve"> Environmental </w:t>
      </w:r>
      <w:r w:rsidR="00957DB0" w:rsidRPr="00A729D8">
        <w:t>pest or disease R</w:t>
      </w:r>
      <w:r w:rsidRPr="00A729D8">
        <w:t>esponse</w:t>
      </w:r>
      <w:bookmarkEnd w:id="122"/>
    </w:p>
    <w:p w14:paraId="4420F293" w14:textId="77777777" w:rsidR="000F1CE2" w:rsidRPr="00A729D8" w:rsidRDefault="000F1CE2" w:rsidP="000F1CE2">
      <w:pPr>
        <w:pStyle w:val="Heading2"/>
        <w:keepNext w:val="0"/>
        <w:keepLines w:val="0"/>
      </w:pPr>
      <w:bookmarkStart w:id="123" w:name="_Toc7528105"/>
      <w:r w:rsidRPr="00A729D8">
        <w:t>Incident Definition Phase</w:t>
      </w:r>
      <w:bookmarkEnd w:id="123"/>
    </w:p>
    <w:p w14:paraId="3F06CDDD" w14:textId="77777777" w:rsidR="000F1CE2" w:rsidRPr="00A729D8" w:rsidRDefault="000F1CE2" w:rsidP="000F1CE2">
      <w:pPr>
        <w:pStyle w:val="Heading3"/>
      </w:pPr>
      <w:r w:rsidRPr="00A729D8">
        <w:t xml:space="preserve">This is the investigation period which will commence following Formal Notification. </w:t>
      </w:r>
    </w:p>
    <w:p w14:paraId="031476AC" w14:textId="77777777" w:rsidR="000F1CE2" w:rsidRPr="00A729D8" w:rsidRDefault="000F1CE2" w:rsidP="000F1CE2">
      <w:pPr>
        <w:pStyle w:val="Heading3"/>
      </w:pPr>
      <w:r w:rsidRPr="00A729D8">
        <w:t>The Incident Definition Phase will continue until either</w:t>
      </w:r>
    </w:p>
    <w:p w14:paraId="431960BA" w14:textId="77777777" w:rsidR="000F1CE2" w:rsidRPr="00A729D8" w:rsidRDefault="000F1CE2" w:rsidP="00121729">
      <w:pPr>
        <w:pStyle w:val="ListParagraph"/>
        <w:numPr>
          <w:ilvl w:val="0"/>
          <w:numId w:val="15"/>
        </w:numPr>
      </w:pPr>
      <w:r w:rsidRPr="00A729D8">
        <w:t xml:space="preserve"> </w:t>
      </w:r>
      <w:r w:rsidR="0040107C" w:rsidRPr="00A729D8">
        <w:t xml:space="preserve">A </w:t>
      </w:r>
      <w:r w:rsidRPr="00A729D8">
        <w:t>Response Plan is agreed by the NMG, following</w:t>
      </w:r>
      <w:r w:rsidR="0040107C" w:rsidRPr="00A729D8">
        <w:t xml:space="preserve"> </w:t>
      </w:r>
      <w:r w:rsidRPr="00A729D8">
        <w:t xml:space="preserve">determination by the NBMCC that the Incident relates to nationally significant environmental pest or disease and eradication of the pest or disease is feasible </w:t>
      </w:r>
      <w:r w:rsidR="00096528" w:rsidRPr="00A729D8">
        <w:t xml:space="preserve">and cost effective </w:t>
      </w:r>
      <w:r w:rsidRPr="00A729D8">
        <w:t xml:space="preserve">and the incident should proceed to an Emergency Eradication phase; </w:t>
      </w:r>
      <w:r w:rsidR="0040107C" w:rsidRPr="00A729D8">
        <w:t>or</w:t>
      </w:r>
    </w:p>
    <w:p w14:paraId="3FA09AE9" w14:textId="77777777" w:rsidR="000F1CE2" w:rsidRPr="00A729D8" w:rsidRDefault="000F1CE2" w:rsidP="00121729">
      <w:pPr>
        <w:pStyle w:val="ListParagraph"/>
        <w:numPr>
          <w:ilvl w:val="0"/>
          <w:numId w:val="15"/>
        </w:numPr>
      </w:pPr>
      <w:r w:rsidRPr="00A729D8">
        <w:t xml:space="preserve">the NMG, on advice from the NBMCC, determines either: </w:t>
      </w:r>
    </w:p>
    <w:p w14:paraId="0F63B73C" w14:textId="77777777" w:rsidR="000F1CE2" w:rsidRPr="00A729D8" w:rsidRDefault="000F1CE2" w:rsidP="00121729">
      <w:pPr>
        <w:pStyle w:val="ListParagraph"/>
        <w:numPr>
          <w:ilvl w:val="1"/>
          <w:numId w:val="15"/>
        </w:numPr>
      </w:pPr>
      <w:r w:rsidRPr="00A729D8">
        <w:t>that the incident does not relate to a</w:t>
      </w:r>
      <w:r w:rsidR="00B24B6F" w:rsidRPr="00A729D8">
        <w:t xml:space="preserve">n emergency environmental pest </w:t>
      </w:r>
      <w:r w:rsidRPr="00A729D8">
        <w:t xml:space="preserve">or disease; or </w:t>
      </w:r>
    </w:p>
    <w:p w14:paraId="7F79436C" w14:textId="77777777" w:rsidR="00096528" w:rsidRPr="00A729D8" w:rsidRDefault="00096528" w:rsidP="00121729">
      <w:pPr>
        <w:pStyle w:val="ListParagraph"/>
        <w:numPr>
          <w:ilvl w:val="1"/>
          <w:numId w:val="15"/>
        </w:numPr>
      </w:pPr>
      <w:r w:rsidRPr="00A729D8">
        <w:t>that it is not technically feasible or cost beneficial to eradicate the pest or disease.</w:t>
      </w:r>
    </w:p>
    <w:p w14:paraId="6A1C8323" w14:textId="77777777" w:rsidR="000F1CE2" w:rsidRPr="00A729D8" w:rsidRDefault="000F1CE2" w:rsidP="000F1CE2">
      <w:pPr>
        <w:pStyle w:val="Heading3"/>
      </w:pPr>
      <w:r w:rsidRPr="00A729D8">
        <w:t>Emergency Containment measures may be implemented during the Incident Definition Phase.</w:t>
      </w:r>
    </w:p>
    <w:p w14:paraId="62DFCE1F" w14:textId="77777777" w:rsidR="000F1CE2" w:rsidRPr="00A729D8" w:rsidRDefault="000F1CE2" w:rsidP="000F1CE2">
      <w:pPr>
        <w:pStyle w:val="Heading2"/>
        <w:keepNext w:val="0"/>
        <w:keepLines w:val="0"/>
      </w:pPr>
      <w:bookmarkStart w:id="124" w:name="_Toc7528106"/>
      <w:r w:rsidRPr="00A729D8">
        <w:t>Emergency Eradication Response Phase</w:t>
      </w:r>
      <w:bookmarkEnd w:id="124"/>
      <w:r w:rsidRPr="00A729D8">
        <w:t xml:space="preserve"> </w:t>
      </w:r>
    </w:p>
    <w:p w14:paraId="3EF3777E" w14:textId="26899B34" w:rsidR="000F1CE2" w:rsidRPr="00A729D8" w:rsidRDefault="000F1CE2" w:rsidP="000F1CE2">
      <w:pPr>
        <w:pStyle w:val="Heading3"/>
        <w:keepNext w:val="0"/>
        <w:keepLines w:val="0"/>
      </w:pPr>
      <w:r w:rsidRPr="00A729D8">
        <w:t xml:space="preserve">This is the period which may follow the Incident Definition Phase if the NMG agrees to implement a </w:t>
      </w:r>
      <w:r w:rsidR="003D68AC" w:rsidRPr="00A729D8">
        <w:t>response</w:t>
      </w:r>
      <w:r w:rsidRPr="00A729D8">
        <w:t xml:space="preserve"> plan to eradicate a pest or disease. </w:t>
      </w:r>
    </w:p>
    <w:p w14:paraId="1D3BFCC2" w14:textId="77777777" w:rsidR="000F1CE2" w:rsidRPr="00A729D8" w:rsidRDefault="000F1CE2" w:rsidP="000F1CE2">
      <w:pPr>
        <w:pStyle w:val="Heading3"/>
        <w:keepNext w:val="0"/>
        <w:keepLines w:val="0"/>
      </w:pPr>
      <w:r w:rsidRPr="00A729D8">
        <w:t xml:space="preserve">The Emergency Eradication Response Phase will commence on agreement by the NMG of a Response Plan for an emergency eradication response. </w:t>
      </w:r>
    </w:p>
    <w:p w14:paraId="215C6C1B" w14:textId="77777777" w:rsidR="000F1CE2" w:rsidRPr="00A729D8" w:rsidRDefault="000F1CE2" w:rsidP="000F1CE2">
      <w:pPr>
        <w:pStyle w:val="Heading3"/>
        <w:keepNext w:val="0"/>
        <w:keepLines w:val="0"/>
      </w:pPr>
      <w:r w:rsidRPr="00A729D8">
        <w:t xml:space="preserve">The Emergency Eradication Response Phase will continue until either: </w:t>
      </w:r>
    </w:p>
    <w:p w14:paraId="71AC022D" w14:textId="77777777" w:rsidR="000F1CE2" w:rsidRPr="00A729D8" w:rsidRDefault="000F1CE2" w:rsidP="00121729">
      <w:pPr>
        <w:pStyle w:val="ListParagraph"/>
        <w:numPr>
          <w:ilvl w:val="0"/>
          <w:numId w:val="14"/>
        </w:numPr>
      </w:pPr>
      <w:r w:rsidRPr="00A729D8">
        <w:t xml:space="preserve">the NBMCC determines that the emergency eradication response should enter a Proof of Freedom Phase; or </w:t>
      </w:r>
    </w:p>
    <w:p w14:paraId="6EDC654A" w14:textId="77777777" w:rsidR="000F1CE2" w:rsidRPr="00A729D8" w:rsidRDefault="000F1CE2" w:rsidP="00121729">
      <w:pPr>
        <w:pStyle w:val="ListParagraph"/>
        <w:numPr>
          <w:ilvl w:val="0"/>
          <w:numId w:val="14"/>
        </w:numPr>
      </w:pPr>
      <w:r w:rsidRPr="00A729D8">
        <w:t xml:space="preserve">the NMG determines (on advice from the NBMCC) that eradication of the pest or disease is not feasible and either: </w:t>
      </w:r>
    </w:p>
    <w:p w14:paraId="1826CC49" w14:textId="77777777" w:rsidR="000F1CE2" w:rsidRPr="00A729D8" w:rsidRDefault="000F1CE2" w:rsidP="00121729">
      <w:pPr>
        <w:pStyle w:val="ListParagraph"/>
        <w:numPr>
          <w:ilvl w:val="1"/>
          <w:numId w:val="14"/>
        </w:numPr>
      </w:pPr>
      <w:r w:rsidRPr="00A729D8">
        <w:t xml:space="preserve">that the emergency eradication response should come to an end, in which case the Response Plan will be terminated; or </w:t>
      </w:r>
    </w:p>
    <w:p w14:paraId="2377BE80" w14:textId="77777777" w:rsidR="000F1CE2" w:rsidRPr="00A729D8" w:rsidRDefault="000F1CE2" w:rsidP="00121729">
      <w:pPr>
        <w:pStyle w:val="ListParagraph"/>
        <w:numPr>
          <w:ilvl w:val="1"/>
          <w:numId w:val="14"/>
        </w:numPr>
      </w:pPr>
      <w:r w:rsidRPr="00A729D8">
        <w:t xml:space="preserve">that the emergency eradication response should enter a Transition to Management Phase in which case the Response Plan will be modified to include provisions for the Transition to Management Phase. </w:t>
      </w:r>
    </w:p>
    <w:p w14:paraId="43D3EDE5" w14:textId="77777777" w:rsidR="000F1CE2" w:rsidRPr="00A729D8" w:rsidRDefault="000F1CE2" w:rsidP="00790953">
      <w:pPr>
        <w:pStyle w:val="Heading2"/>
        <w:keepLines w:val="0"/>
        <w:ind w:left="720" w:hanging="578"/>
      </w:pPr>
      <w:bookmarkStart w:id="125" w:name="_Toc7528107"/>
      <w:r w:rsidRPr="00A729D8">
        <w:t>Proof of Freedom Phase</w:t>
      </w:r>
      <w:bookmarkEnd w:id="125"/>
      <w:r w:rsidRPr="00A729D8">
        <w:t xml:space="preserve"> </w:t>
      </w:r>
    </w:p>
    <w:p w14:paraId="345A4947" w14:textId="77777777" w:rsidR="000F1CE2" w:rsidRPr="00A729D8" w:rsidRDefault="000F1CE2" w:rsidP="000F1CE2">
      <w:pPr>
        <w:pStyle w:val="Heading3"/>
        <w:keepNext w:val="0"/>
        <w:keepLines w:val="0"/>
      </w:pPr>
      <w:r w:rsidRPr="00A729D8">
        <w:t xml:space="preserve">This is the period which may follow the Emergency Eradication Response Phase. </w:t>
      </w:r>
    </w:p>
    <w:p w14:paraId="06B9EF87" w14:textId="77777777" w:rsidR="000F1CE2" w:rsidRPr="00A729D8" w:rsidRDefault="000F1CE2" w:rsidP="000F1CE2">
      <w:pPr>
        <w:pStyle w:val="Heading3"/>
        <w:keepNext w:val="0"/>
        <w:keepLines w:val="0"/>
      </w:pPr>
      <w:r w:rsidRPr="00A729D8">
        <w:t xml:space="preserve">The aim of the Proof of Freedom Phase is to undertake activities to confirm whether the </w:t>
      </w:r>
      <w:r w:rsidR="00E251E2" w:rsidRPr="00A729D8">
        <w:t xml:space="preserve">emergency </w:t>
      </w:r>
      <w:r w:rsidRPr="00A729D8">
        <w:t xml:space="preserve">environmental biosecurity pest or disease has been eradicated. </w:t>
      </w:r>
    </w:p>
    <w:p w14:paraId="2626D381" w14:textId="77777777" w:rsidR="000F1CE2" w:rsidRPr="00A729D8" w:rsidRDefault="000F1CE2" w:rsidP="000F1CE2">
      <w:pPr>
        <w:pStyle w:val="Heading3"/>
        <w:keepNext w:val="0"/>
        <w:keepLines w:val="0"/>
      </w:pPr>
      <w:r w:rsidRPr="00A729D8">
        <w:t xml:space="preserve">A Proof of Freedom Phase will commence if the NBMCC determines that the emergency eradication response activities set out in the Response Plan have </w:t>
      </w:r>
      <w:r w:rsidRPr="00A729D8">
        <w:lastRenderedPageBreak/>
        <w:t xml:space="preserve">been successfully completed and the emergency eradication response should enter the Proof of Freedom Phase. </w:t>
      </w:r>
    </w:p>
    <w:p w14:paraId="3A8CBDF3" w14:textId="77777777" w:rsidR="000F1CE2" w:rsidRPr="00A729D8" w:rsidRDefault="000F1CE2" w:rsidP="000F1CE2">
      <w:pPr>
        <w:pStyle w:val="Heading3"/>
        <w:keepNext w:val="0"/>
        <w:keepLines w:val="0"/>
      </w:pPr>
      <w:r w:rsidRPr="00A729D8">
        <w:t xml:space="preserve">The Proof of Freedom Phase will continue until the NMG determines (on advice from the NBMCC) either: </w:t>
      </w:r>
    </w:p>
    <w:p w14:paraId="445FF50F" w14:textId="77777777" w:rsidR="000F1CE2" w:rsidRPr="00A729D8" w:rsidRDefault="000F1CE2" w:rsidP="00121729">
      <w:pPr>
        <w:pStyle w:val="ListParagraph"/>
        <w:numPr>
          <w:ilvl w:val="0"/>
          <w:numId w:val="16"/>
        </w:numPr>
      </w:pPr>
      <w:r w:rsidRPr="00A729D8">
        <w:t xml:space="preserve">that the pest or disease has been eradicated in which case the Response Plan will come to an end; or </w:t>
      </w:r>
    </w:p>
    <w:p w14:paraId="30491BDD" w14:textId="77777777" w:rsidR="000F1CE2" w:rsidRPr="00A729D8" w:rsidRDefault="000F1CE2" w:rsidP="00121729">
      <w:pPr>
        <w:pStyle w:val="ListParagraph"/>
        <w:numPr>
          <w:ilvl w:val="0"/>
          <w:numId w:val="16"/>
        </w:numPr>
      </w:pPr>
      <w:r w:rsidRPr="00A729D8">
        <w:t>that the Proof of Freedom Phase should end, in which case the NMG may also determine that the Response Plan should come to an end.</w:t>
      </w:r>
    </w:p>
    <w:p w14:paraId="7FBEB7D6" w14:textId="77777777" w:rsidR="00765FAA" w:rsidRPr="00A729D8" w:rsidRDefault="00765FAA" w:rsidP="00765FAA">
      <w:pPr>
        <w:pStyle w:val="Heading2"/>
        <w:keepNext w:val="0"/>
        <w:keepLines w:val="0"/>
      </w:pPr>
      <w:bookmarkStart w:id="126" w:name="_Toc7528108"/>
      <w:r w:rsidRPr="00A729D8">
        <w:t>Transition to Management Phase</w:t>
      </w:r>
      <w:bookmarkEnd w:id="126"/>
      <w:r w:rsidRPr="00A729D8">
        <w:t xml:space="preserve"> </w:t>
      </w:r>
    </w:p>
    <w:p w14:paraId="529F82AE" w14:textId="77777777" w:rsidR="00765FAA" w:rsidRPr="00A729D8" w:rsidRDefault="00765FAA" w:rsidP="00765FAA">
      <w:pPr>
        <w:pStyle w:val="Heading3"/>
        <w:keepNext w:val="0"/>
        <w:keepLines w:val="0"/>
      </w:pPr>
      <w:r w:rsidRPr="00A729D8">
        <w:t>This</w:t>
      </w:r>
      <w:r w:rsidR="00E11AB7" w:rsidRPr="00A729D8">
        <w:t xml:space="preserve"> is the </w:t>
      </w:r>
      <w:r w:rsidRPr="00A729D8">
        <w:t>period</w:t>
      </w:r>
      <w:r w:rsidR="00E11AB7" w:rsidRPr="00A729D8">
        <w:t xml:space="preserve"> that </w:t>
      </w:r>
      <w:r w:rsidRPr="00A729D8">
        <w:t xml:space="preserve">may follow the Emergency Eradication Response Phase. </w:t>
      </w:r>
    </w:p>
    <w:p w14:paraId="4C652374" w14:textId="77777777" w:rsidR="00765FAA" w:rsidRPr="00A729D8" w:rsidRDefault="00765FAA" w:rsidP="00FE566A">
      <w:pPr>
        <w:pStyle w:val="Heading3"/>
        <w:keepNext w:val="0"/>
        <w:keepLines w:val="0"/>
      </w:pPr>
      <w:r w:rsidRPr="00A729D8">
        <w:t>The Transition to Management Phase will commence if it has been determined by the NMG (on advice from the NBMCC) that</w:t>
      </w:r>
      <w:r w:rsidR="00FE566A" w:rsidRPr="00A729D8">
        <w:t xml:space="preserve"> </w:t>
      </w:r>
      <w:r w:rsidRPr="00A729D8">
        <w:t>the emergency eradication response should enter a Transition to Management Phase</w:t>
      </w:r>
      <w:r w:rsidR="00FE566A" w:rsidRPr="00A729D8">
        <w:t>.</w:t>
      </w:r>
    </w:p>
    <w:p w14:paraId="5F0DF59A" w14:textId="7DAE5ECE" w:rsidR="00765FAA" w:rsidRPr="00A729D8" w:rsidRDefault="00765FAA" w:rsidP="00765FAA">
      <w:pPr>
        <w:pStyle w:val="Heading3"/>
        <w:keepNext w:val="0"/>
        <w:keepLines w:val="0"/>
      </w:pPr>
      <w:r w:rsidRPr="00A729D8">
        <w:t>The NMG may only make such determination under clause 5.</w:t>
      </w:r>
      <w:r w:rsidR="00E45268" w:rsidRPr="00A729D8">
        <w:t>4</w:t>
      </w:r>
      <w:r w:rsidRPr="00A729D8">
        <w:t>.2 if it considers that Transition to Management is</w:t>
      </w:r>
      <w:r w:rsidR="00E45268" w:rsidRPr="00A729D8">
        <w:t xml:space="preserve"> in the national interest and </w:t>
      </w:r>
      <w:r w:rsidRPr="00A729D8">
        <w:t xml:space="preserve">achievable within a defined and reasonable timeframe </w:t>
      </w:r>
      <w:r w:rsidR="00DE4303" w:rsidRPr="00A729D8">
        <w:t>as determined by the NMG</w:t>
      </w:r>
      <w:r w:rsidRPr="00A729D8">
        <w:t xml:space="preserve">. </w:t>
      </w:r>
    </w:p>
    <w:p w14:paraId="3593F454" w14:textId="77777777" w:rsidR="00765FAA" w:rsidRPr="00A729D8" w:rsidRDefault="00765FAA" w:rsidP="00765FAA">
      <w:pPr>
        <w:pStyle w:val="Heading3"/>
        <w:keepNext w:val="0"/>
        <w:keepLines w:val="0"/>
      </w:pPr>
      <w:r w:rsidRPr="00A729D8">
        <w:t xml:space="preserve">The Transition to Management Phase will continue until NMG determines (on advice from the NBMCC) that either: </w:t>
      </w:r>
    </w:p>
    <w:p w14:paraId="08111D20" w14:textId="77777777" w:rsidR="00765FAA" w:rsidRPr="00A729D8" w:rsidRDefault="00765FAA" w:rsidP="00121729">
      <w:pPr>
        <w:pStyle w:val="ListParagraph"/>
        <w:numPr>
          <w:ilvl w:val="0"/>
          <w:numId w:val="17"/>
        </w:numPr>
      </w:pPr>
      <w:r w:rsidRPr="00A729D8">
        <w:t xml:space="preserve">Transition to Management has been completed; or </w:t>
      </w:r>
    </w:p>
    <w:p w14:paraId="1397099A" w14:textId="77777777" w:rsidR="00765FAA" w:rsidRPr="00A729D8" w:rsidRDefault="00765FAA" w:rsidP="00121729">
      <w:pPr>
        <w:pStyle w:val="ListParagraph"/>
        <w:numPr>
          <w:ilvl w:val="0"/>
          <w:numId w:val="17"/>
        </w:numPr>
      </w:pPr>
      <w:r w:rsidRPr="00A729D8">
        <w:t>The Transition to Management Phase should end, in which case the Response Plan will come to an end</w:t>
      </w:r>
      <w:r w:rsidR="00E251E2" w:rsidRPr="00A729D8">
        <w:t>.</w:t>
      </w:r>
    </w:p>
    <w:p w14:paraId="24581C88" w14:textId="77777777" w:rsidR="00765FAA" w:rsidRPr="00A729D8" w:rsidRDefault="00765FAA" w:rsidP="00765FAA">
      <w:pPr>
        <w:pStyle w:val="Heading2"/>
        <w:keepNext w:val="0"/>
        <w:keepLines w:val="0"/>
      </w:pPr>
      <w:bookmarkStart w:id="127" w:name="_Toc7528109"/>
      <w:r w:rsidRPr="00A729D8">
        <w:t>New incidents</w:t>
      </w:r>
      <w:bookmarkEnd w:id="127"/>
      <w:r w:rsidRPr="00A729D8">
        <w:t xml:space="preserve"> </w:t>
      </w:r>
    </w:p>
    <w:p w14:paraId="634B6119" w14:textId="77777777" w:rsidR="00765FAA" w:rsidRPr="00A729D8" w:rsidRDefault="00765FAA" w:rsidP="00765FAA">
      <w:pPr>
        <w:pStyle w:val="Heading3"/>
        <w:keepNext w:val="0"/>
        <w:keepLines w:val="0"/>
        <w:numPr>
          <w:ilvl w:val="0"/>
          <w:numId w:val="0"/>
        </w:numPr>
      </w:pPr>
      <w:r w:rsidRPr="00A729D8">
        <w:t>Where an incident cannot be directly linked to a previous incident, it will be treated as a new incident and the four Phases described above may apply.</w:t>
      </w:r>
    </w:p>
    <w:p w14:paraId="5DD8F829" w14:textId="0FC26E40" w:rsidR="000E48B3" w:rsidRPr="00A729D8" w:rsidRDefault="000E48B3" w:rsidP="00790953">
      <w:pPr>
        <w:pStyle w:val="Heading1"/>
        <w:keepLines w:val="0"/>
        <w:ind w:left="431" w:hanging="431"/>
      </w:pPr>
      <w:bookmarkStart w:id="128" w:name="_Toc7528110"/>
      <w:r w:rsidRPr="00A729D8">
        <w:t xml:space="preserve">National approach to </w:t>
      </w:r>
      <w:r w:rsidR="002B593B" w:rsidRPr="00A729D8">
        <w:t>emergency environmenta</w:t>
      </w:r>
      <w:r w:rsidR="00A729D8">
        <w:t xml:space="preserve">l pest </w:t>
      </w:r>
      <w:r w:rsidR="002B593B" w:rsidRPr="00A729D8">
        <w:t>or</w:t>
      </w:r>
      <w:r w:rsidRPr="00A729D8">
        <w:t xml:space="preserve"> diseases</w:t>
      </w:r>
      <w:bookmarkEnd w:id="128"/>
      <w:r w:rsidRPr="00A729D8">
        <w:t xml:space="preserve"> </w:t>
      </w:r>
    </w:p>
    <w:p w14:paraId="67B5354D" w14:textId="77777777" w:rsidR="00D91EDD" w:rsidRPr="00A729D8" w:rsidRDefault="005633C9" w:rsidP="00957DB0">
      <w:pPr>
        <w:pStyle w:val="Heading2"/>
      </w:pPr>
      <w:bookmarkStart w:id="129" w:name="_Toc7528111"/>
      <w:r w:rsidRPr="00A729D8">
        <w:t xml:space="preserve">Emergency responses to be addressed under </w:t>
      </w:r>
      <w:r w:rsidR="00D91EDD" w:rsidRPr="00A729D8">
        <w:t>existing cost-sharing arrangements</w:t>
      </w:r>
      <w:bookmarkEnd w:id="129"/>
    </w:p>
    <w:p w14:paraId="2DCAC735" w14:textId="77777777" w:rsidR="00D91EDD" w:rsidRPr="00A729D8" w:rsidRDefault="00D91EDD" w:rsidP="002C1386">
      <w:pPr>
        <w:pStyle w:val="Heading3"/>
      </w:pPr>
      <w:r w:rsidRPr="00A729D8">
        <w:t>The parties agree that this agreement will not displace or replace any existing cost- sharing arrangements.</w:t>
      </w:r>
    </w:p>
    <w:p w14:paraId="5748F5DF" w14:textId="77777777" w:rsidR="00A05FD7" w:rsidRPr="00A729D8" w:rsidRDefault="00D91EDD" w:rsidP="00527C19">
      <w:pPr>
        <w:pStyle w:val="Heading3"/>
        <w:keepNext w:val="0"/>
        <w:keepLines w:val="0"/>
      </w:pPr>
      <w:r w:rsidRPr="00A729D8">
        <w:t>If an emergency response to a pest or disease can be handled under existing cost-sharing arrangements the parties will agree to do so.</w:t>
      </w:r>
    </w:p>
    <w:p w14:paraId="250D6001" w14:textId="77777777" w:rsidR="000E48B3" w:rsidRPr="00A729D8" w:rsidRDefault="000E48B3" w:rsidP="00957DB0">
      <w:pPr>
        <w:pStyle w:val="Heading2"/>
      </w:pPr>
      <w:bookmarkStart w:id="130" w:name="_Toc7528112"/>
      <w:r w:rsidRPr="00A729D8">
        <w:t xml:space="preserve">Notification of an </w:t>
      </w:r>
      <w:r w:rsidR="00747D05" w:rsidRPr="00A729D8">
        <w:t>incident</w:t>
      </w:r>
      <w:r w:rsidRPr="00A729D8">
        <w:t xml:space="preserve"> of a </w:t>
      </w:r>
      <w:r w:rsidR="00957DB0" w:rsidRPr="00A729D8">
        <w:t xml:space="preserve">suspected emergency environmental </w:t>
      </w:r>
      <w:r w:rsidRPr="00A729D8">
        <w:t>pest or disease</w:t>
      </w:r>
      <w:bookmarkEnd w:id="130"/>
    </w:p>
    <w:p w14:paraId="0D28C0BC" w14:textId="77777777" w:rsidR="000E48B3" w:rsidRPr="00A729D8" w:rsidRDefault="000E48B3" w:rsidP="002106F9">
      <w:pPr>
        <w:pStyle w:val="Heading3"/>
        <w:keepNext w:val="0"/>
        <w:keepLines w:val="0"/>
      </w:pPr>
      <w:r w:rsidRPr="00A729D8">
        <w:t>The chief biosecurity officer, chief veterinary officer, chief plant health manager</w:t>
      </w:r>
      <w:r w:rsidR="00DE6069" w:rsidRPr="00A729D8">
        <w:t>, chief environmental biosecurity officer</w:t>
      </w:r>
      <w:r w:rsidRPr="00A729D8">
        <w:t xml:space="preserve"> or equivalent in the jurisdiction in which the suspected </w:t>
      </w:r>
      <w:r w:rsidR="00747D05" w:rsidRPr="00A729D8">
        <w:t>incident</w:t>
      </w:r>
      <w:r w:rsidRPr="00A729D8">
        <w:t xml:space="preserve"> of the pest or disease occurs will comprise the notifying party.</w:t>
      </w:r>
    </w:p>
    <w:p w14:paraId="6F76B2E0" w14:textId="77777777" w:rsidR="000E48B3" w:rsidRPr="00A729D8" w:rsidRDefault="000E48B3" w:rsidP="002106F9">
      <w:pPr>
        <w:pStyle w:val="Heading3"/>
        <w:keepNext w:val="0"/>
        <w:keepLines w:val="0"/>
      </w:pPr>
      <w:r w:rsidRPr="00A729D8">
        <w:lastRenderedPageBreak/>
        <w:t>The notifying party must:</w:t>
      </w:r>
    </w:p>
    <w:p w14:paraId="37B93FA0" w14:textId="2CFFB6FE" w:rsidR="000E48B3" w:rsidRPr="00A729D8" w:rsidRDefault="009D026B" w:rsidP="00121729">
      <w:pPr>
        <w:pStyle w:val="ListParagraph"/>
        <w:numPr>
          <w:ilvl w:val="0"/>
          <w:numId w:val="171"/>
        </w:numPr>
      </w:pPr>
      <w:r w:rsidRPr="00A729D8">
        <w:t>give Formal</w:t>
      </w:r>
      <w:r w:rsidR="00A4545A" w:rsidRPr="00A729D8">
        <w:t xml:space="preserve"> </w:t>
      </w:r>
      <w:r w:rsidR="007C1124" w:rsidRPr="00A729D8">
        <w:t>N</w:t>
      </w:r>
      <w:r w:rsidR="00A4545A" w:rsidRPr="00A729D8">
        <w:t>otification to</w:t>
      </w:r>
      <w:r w:rsidR="000E48B3" w:rsidRPr="00A729D8">
        <w:t xml:space="preserve"> the reporting point, as defined in clause</w:t>
      </w:r>
      <w:r w:rsidR="00AB4906" w:rsidRPr="00A729D8">
        <w:t xml:space="preserve"> 6</w:t>
      </w:r>
      <w:r w:rsidR="0003642C" w:rsidRPr="00A729D8">
        <w:t>.2.3</w:t>
      </w:r>
      <w:r w:rsidR="000E48B3" w:rsidRPr="00A729D8">
        <w:t xml:space="preserve">, of a confirmed or suspected </w:t>
      </w:r>
      <w:r w:rsidR="00E251E2" w:rsidRPr="00A729D8">
        <w:t>emergency environmental</w:t>
      </w:r>
      <w:r w:rsidR="000E48B3" w:rsidRPr="00A729D8">
        <w:t xml:space="preserve"> pest or disease </w:t>
      </w:r>
      <w:r w:rsidR="0024646B" w:rsidRPr="00A729D8">
        <w:t xml:space="preserve">incident </w:t>
      </w:r>
      <w:r w:rsidR="000E48B3" w:rsidRPr="00A729D8">
        <w:t>within 24 hours of becoming aware of it</w:t>
      </w:r>
    </w:p>
    <w:p w14:paraId="58CAA787" w14:textId="77777777" w:rsidR="000E48B3" w:rsidRPr="00A729D8" w:rsidRDefault="000E48B3" w:rsidP="00121729">
      <w:pPr>
        <w:pStyle w:val="ListParagraph"/>
        <w:numPr>
          <w:ilvl w:val="0"/>
          <w:numId w:val="171"/>
        </w:numPr>
      </w:pPr>
      <w:r w:rsidRPr="00A729D8">
        <w:t xml:space="preserve">take reasonable steps to ensure that people within the affected jurisdiction advise the notifying party of an </w:t>
      </w:r>
      <w:r w:rsidR="00747D05" w:rsidRPr="00A729D8">
        <w:t>incident</w:t>
      </w:r>
      <w:r w:rsidRPr="00A729D8">
        <w:t xml:space="preserve"> to enable it to notify the relevant reporting point within 24 hours.</w:t>
      </w:r>
    </w:p>
    <w:p w14:paraId="7189CE0A" w14:textId="77777777" w:rsidR="000E48B3" w:rsidRPr="00A729D8" w:rsidRDefault="000E48B3" w:rsidP="002106F9">
      <w:pPr>
        <w:pStyle w:val="Heading3"/>
        <w:keepNext w:val="0"/>
        <w:keepLines w:val="0"/>
      </w:pPr>
      <w:r w:rsidRPr="00A729D8">
        <w:t xml:space="preserve">The reporting point is a single point for reporting a confirmed or suspected </w:t>
      </w:r>
      <w:r w:rsidR="00747D05" w:rsidRPr="00A729D8">
        <w:t>incident</w:t>
      </w:r>
      <w:r w:rsidRPr="00A729D8">
        <w:t xml:space="preserve"> of a nationally significant pest or disease and comprises the Commonwealth’s Chief Veterinary Officer, Chief Plant Protection Officer and </w:t>
      </w:r>
      <w:r w:rsidR="00A4545A" w:rsidRPr="00A729D8">
        <w:t xml:space="preserve">the </w:t>
      </w:r>
      <w:r w:rsidRPr="00A729D8">
        <w:t>Chief Environmental Biosecurity Officer.</w:t>
      </w:r>
    </w:p>
    <w:p w14:paraId="4EB25A55" w14:textId="77777777" w:rsidR="000E48B3" w:rsidRPr="00A729D8" w:rsidRDefault="000E48B3" w:rsidP="002106F9">
      <w:pPr>
        <w:pStyle w:val="Heading3"/>
        <w:keepNext w:val="0"/>
        <w:keepLines w:val="0"/>
      </w:pPr>
      <w:r w:rsidRPr="00A729D8">
        <w:t xml:space="preserve">Once the </w:t>
      </w:r>
      <w:r w:rsidR="00B20F48" w:rsidRPr="00A729D8">
        <w:t>NBMCC</w:t>
      </w:r>
      <w:r w:rsidRPr="00A729D8">
        <w:t xml:space="preserve"> has confirmed the suspected </w:t>
      </w:r>
      <w:r w:rsidR="00747D05" w:rsidRPr="00A729D8">
        <w:t>incident</w:t>
      </w:r>
      <w:r w:rsidRPr="00A729D8">
        <w:t xml:space="preserve"> it will notify all parties and the reporting point.</w:t>
      </w:r>
    </w:p>
    <w:p w14:paraId="2B403CBB" w14:textId="77777777" w:rsidR="000E48B3" w:rsidRPr="00A729D8" w:rsidRDefault="000E48B3" w:rsidP="002106F9">
      <w:pPr>
        <w:pStyle w:val="Heading3"/>
        <w:keepNext w:val="0"/>
        <w:keepLines w:val="0"/>
      </w:pPr>
      <w:r w:rsidRPr="00A729D8">
        <w:t xml:space="preserve">The eligible costs incurred by a party (claiming party) in relation to an </w:t>
      </w:r>
      <w:r w:rsidR="00747D05" w:rsidRPr="00A729D8">
        <w:t>incident</w:t>
      </w:r>
      <w:r w:rsidRPr="00A729D8">
        <w:t xml:space="preserve"> that is or becomes the subject of a national response will not be subject to cost- sharing in accordance with this agreement unless:</w:t>
      </w:r>
    </w:p>
    <w:p w14:paraId="5A66A135" w14:textId="77777777" w:rsidR="000E48B3" w:rsidRPr="00A729D8" w:rsidRDefault="000E48B3" w:rsidP="00121729">
      <w:pPr>
        <w:pStyle w:val="ListParagraph"/>
        <w:numPr>
          <w:ilvl w:val="0"/>
          <w:numId w:val="22"/>
        </w:numPr>
      </w:pPr>
      <w:r w:rsidRPr="00A729D8">
        <w:t xml:space="preserve">the claiming party notified the reporting point in accordance with clause </w:t>
      </w:r>
      <w:r w:rsidR="00AB4906" w:rsidRPr="00A729D8">
        <w:t>6</w:t>
      </w:r>
      <w:r w:rsidR="0003642C" w:rsidRPr="00A729D8">
        <w:t>.2.2</w:t>
      </w:r>
      <w:r w:rsidRPr="00A729D8">
        <w:t>; or</w:t>
      </w:r>
    </w:p>
    <w:p w14:paraId="2E434ED6" w14:textId="77777777" w:rsidR="000E48B3" w:rsidRPr="00A729D8" w:rsidRDefault="000E48B3" w:rsidP="00121729">
      <w:pPr>
        <w:pStyle w:val="ListParagraph"/>
        <w:numPr>
          <w:ilvl w:val="0"/>
          <w:numId w:val="22"/>
        </w:numPr>
      </w:pPr>
      <w:r w:rsidRPr="00A729D8">
        <w:t xml:space="preserve">the NMG determines, based on advice from the </w:t>
      </w:r>
      <w:r w:rsidR="00B20F48" w:rsidRPr="00A729D8">
        <w:t>NBMCC</w:t>
      </w:r>
      <w:r w:rsidRPr="00A729D8">
        <w:t xml:space="preserve">, that the claiming party has acted appropriately and that, despite clause </w:t>
      </w:r>
      <w:r w:rsidR="00AB4906" w:rsidRPr="00A729D8">
        <w:t>6</w:t>
      </w:r>
      <w:r w:rsidR="0003642C" w:rsidRPr="00A729D8">
        <w:t>.2.2</w:t>
      </w:r>
      <w:r w:rsidRPr="00A729D8">
        <w:t xml:space="preserve"> not having been complied with, eligible costs incurred by the claiming party more than 24 hours before the reporting point was notified of the </w:t>
      </w:r>
      <w:r w:rsidR="00747D05" w:rsidRPr="00A729D8">
        <w:t>incident</w:t>
      </w:r>
      <w:r w:rsidRPr="00A729D8">
        <w:t>, should be subject to cost-sharing.</w:t>
      </w:r>
    </w:p>
    <w:p w14:paraId="673446C0" w14:textId="77777777" w:rsidR="00495A61" w:rsidRPr="00A729D8" w:rsidRDefault="00B20F48" w:rsidP="00E72613">
      <w:pPr>
        <w:pStyle w:val="Heading2"/>
      </w:pPr>
      <w:bookmarkStart w:id="131" w:name="_Toc7528113"/>
      <w:r w:rsidRPr="00A729D8">
        <w:t>NBMCC</w:t>
      </w:r>
      <w:r w:rsidR="00495A61" w:rsidRPr="00A729D8">
        <w:t xml:space="preserve"> to prepare advice to NMG</w:t>
      </w:r>
      <w:bookmarkEnd w:id="131"/>
      <w:r w:rsidR="00495A61" w:rsidRPr="00A729D8">
        <w:t xml:space="preserve"> </w:t>
      </w:r>
    </w:p>
    <w:p w14:paraId="5B8B19E0" w14:textId="6CD0F0F1" w:rsidR="009D09DE" w:rsidRPr="00A729D8" w:rsidRDefault="00FD2FF8" w:rsidP="002D4193">
      <w:pPr>
        <w:pStyle w:val="Heading3"/>
        <w:keepNext w:val="0"/>
        <w:keepLines w:val="0"/>
        <w:numPr>
          <w:ilvl w:val="0"/>
          <w:numId w:val="0"/>
        </w:numPr>
      </w:pPr>
      <w:r>
        <w:t>NBMCC</w:t>
      </w:r>
      <w:r w:rsidR="009D09DE" w:rsidRPr="00A729D8">
        <w:t xml:space="preserve"> will review the notifying party’s assessment of whether the pest or disease </w:t>
      </w:r>
      <w:r w:rsidR="00D36B0D" w:rsidRPr="00A729D8">
        <w:t xml:space="preserve">incident </w:t>
      </w:r>
      <w:r w:rsidR="009D09DE" w:rsidRPr="00A729D8">
        <w:t xml:space="preserve">is of national significance and whether it can be eradicated, and prepare advice for the </w:t>
      </w:r>
      <w:r w:rsidR="009C76C1" w:rsidRPr="00A729D8">
        <w:t>NMG</w:t>
      </w:r>
      <w:r w:rsidR="009D09DE" w:rsidRPr="00A729D8">
        <w:t>. In particular, the NBMCC will:</w:t>
      </w:r>
    </w:p>
    <w:p w14:paraId="026C9652" w14:textId="77777777" w:rsidR="009D09DE" w:rsidRPr="00A729D8" w:rsidRDefault="009D09DE" w:rsidP="00121729">
      <w:pPr>
        <w:pStyle w:val="ListParagraph"/>
        <w:numPr>
          <w:ilvl w:val="0"/>
          <w:numId w:val="160"/>
        </w:numPr>
      </w:pPr>
      <w:r w:rsidRPr="00A729D8">
        <w:t xml:space="preserve">review the pest or disease in the context of the criteria for national significance (in accordance with Schedule </w:t>
      </w:r>
      <w:r w:rsidR="0003642C" w:rsidRPr="00A729D8">
        <w:t>2</w:t>
      </w:r>
      <w:r w:rsidRPr="00A729D8">
        <w:t xml:space="preserve">), and make a recommendation to the </w:t>
      </w:r>
      <w:r w:rsidR="009C76C1" w:rsidRPr="00A729D8">
        <w:t>NMG</w:t>
      </w:r>
      <w:r w:rsidRPr="00A729D8">
        <w:t xml:space="preserve"> regarding the pest or disease </w:t>
      </w:r>
      <w:r w:rsidR="00747D05" w:rsidRPr="00A729D8">
        <w:t>incident</w:t>
      </w:r>
      <w:r w:rsidRPr="00A729D8">
        <w:t xml:space="preserve"> in relation to this assessment</w:t>
      </w:r>
    </w:p>
    <w:p w14:paraId="1ACF8981" w14:textId="77777777" w:rsidR="009D09DE" w:rsidRPr="00A729D8" w:rsidRDefault="009D09DE" w:rsidP="00121729">
      <w:pPr>
        <w:pStyle w:val="ListParagraph"/>
        <w:numPr>
          <w:ilvl w:val="0"/>
          <w:numId w:val="160"/>
        </w:numPr>
      </w:pPr>
      <w:r w:rsidRPr="00A729D8">
        <w:t xml:space="preserve">analyse the pest or disease and the </w:t>
      </w:r>
      <w:r w:rsidR="00747D05" w:rsidRPr="00A729D8">
        <w:t>incident</w:t>
      </w:r>
      <w:r w:rsidRPr="00A729D8">
        <w:t xml:space="preserve"> and make recommendations to the </w:t>
      </w:r>
      <w:r w:rsidR="009C76C1" w:rsidRPr="00A729D8">
        <w:t>NMG</w:t>
      </w:r>
      <w:r w:rsidRPr="00A729D8">
        <w:t xml:space="preserve"> regarding the technical feasibility of successful eradication of the pest or disease, and the benefit:cost of doing so</w:t>
      </w:r>
    </w:p>
    <w:p w14:paraId="26DAD8CF" w14:textId="77777777" w:rsidR="009D09DE" w:rsidRPr="00A729D8" w:rsidRDefault="009D09DE" w:rsidP="00121729">
      <w:pPr>
        <w:pStyle w:val="ListParagraph"/>
        <w:numPr>
          <w:ilvl w:val="0"/>
          <w:numId w:val="160"/>
        </w:numPr>
      </w:pPr>
      <w:r w:rsidRPr="00A729D8">
        <w:t xml:space="preserve">make a recommendation to the </w:t>
      </w:r>
      <w:r w:rsidR="009C76C1" w:rsidRPr="00A729D8">
        <w:t>NMG</w:t>
      </w:r>
      <w:r w:rsidRPr="00A729D8">
        <w:t xml:space="preserve"> on the need for and nature of a national response to the </w:t>
      </w:r>
      <w:r w:rsidR="00747D05" w:rsidRPr="00A729D8">
        <w:t>incident</w:t>
      </w:r>
      <w:r w:rsidRPr="00A729D8">
        <w:t xml:space="preserve">, taking into account the outcomes of clauses </w:t>
      </w:r>
      <w:r w:rsidR="00DD0988" w:rsidRPr="00A729D8">
        <w:t xml:space="preserve">6.3 </w:t>
      </w:r>
      <w:r w:rsidRPr="00A729D8">
        <w:t>(a) and (b)</w:t>
      </w:r>
    </w:p>
    <w:p w14:paraId="34BC377F" w14:textId="77777777" w:rsidR="009D09DE" w:rsidRPr="00A729D8" w:rsidRDefault="009D09DE" w:rsidP="00121729">
      <w:pPr>
        <w:pStyle w:val="ListParagraph"/>
        <w:numPr>
          <w:ilvl w:val="0"/>
          <w:numId w:val="160"/>
        </w:numPr>
      </w:pPr>
      <w:r w:rsidRPr="00A729D8">
        <w:t xml:space="preserve">make a recommendation on the review points required for a </w:t>
      </w:r>
      <w:r w:rsidR="00155A07" w:rsidRPr="00A729D8">
        <w:t>national response under item 3(g</w:t>
      </w:r>
      <w:r w:rsidRPr="00A729D8">
        <w:t xml:space="preserve">) of Schedule 4, at which time the </w:t>
      </w:r>
      <w:r w:rsidR="009C76C1" w:rsidRPr="00A729D8">
        <w:t>NMG</w:t>
      </w:r>
      <w:r w:rsidRPr="00A729D8">
        <w:t xml:space="preserve"> may review the ongoing technical and economic feasibility of the response.</w:t>
      </w:r>
    </w:p>
    <w:p w14:paraId="33A9C2C0" w14:textId="77777777" w:rsidR="0056057D" w:rsidRPr="00A729D8" w:rsidRDefault="0056057D" w:rsidP="0056057D">
      <w:pPr>
        <w:pStyle w:val="Heading2"/>
        <w:keepNext w:val="0"/>
        <w:keepLines w:val="0"/>
      </w:pPr>
      <w:bookmarkStart w:id="132" w:name="_Toc531359260"/>
      <w:bookmarkStart w:id="133" w:name="_Toc531359419"/>
      <w:bookmarkStart w:id="134" w:name="_Toc531359261"/>
      <w:bookmarkStart w:id="135" w:name="_Toc531359420"/>
      <w:bookmarkStart w:id="136" w:name="_Toc531359262"/>
      <w:bookmarkStart w:id="137" w:name="_Toc531359421"/>
      <w:bookmarkStart w:id="138" w:name="_Toc531359263"/>
      <w:bookmarkStart w:id="139" w:name="_Toc531359422"/>
      <w:bookmarkStart w:id="140" w:name="_Toc531359264"/>
      <w:bookmarkStart w:id="141" w:name="_Toc531359423"/>
      <w:bookmarkStart w:id="142" w:name="_Toc531359265"/>
      <w:bookmarkStart w:id="143" w:name="_Toc531359424"/>
      <w:bookmarkStart w:id="144" w:name="_Toc7528114"/>
      <w:bookmarkEnd w:id="132"/>
      <w:bookmarkEnd w:id="133"/>
      <w:bookmarkEnd w:id="134"/>
      <w:bookmarkEnd w:id="135"/>
      <w:bookmarkEnd w:id="136"/>
      <w:bookmarkEnd w:id="137"/>
      <w:bookmarkEnd w:id="138"/>
      <w:bookmarkEnd w:id="139"/>
      <w:bookmarkEnd w:id="140"/>
      <w:bookmarkEnd w:id="141"/>
      <w:bookmarkEnd w:id="142"/>
      <w:bookmarkEnd w:id="143"/>
      <w:r w:rsidRPr="00A729D8">
        <w:t xml:space="preserve">NMG to decide whether a </w:t>
      </w:r>
      <w:r w:rsidR="009663CF" w:rsidRPr="00A729D8">
        <w:t xml:space="preserve">national </w:t>
      </w:r>
      <w:r w:rsidRPr="00A729D8">
        <w:t>response is required</w:t>
      </w:r>
      <w:bookmarkEnd w:id="144"/>
    </w:p>
    <w:p w14:paraId="12A121C2" w14:textId="77777777" w:rsidR="0056057D" w:rsidRPr="00A729D8" w:rsidRDefault="0056057D" w:rsidP="001707B3">
      <w:pPr>
        <w:pStyle w:val="Heading3"/>
        <w:keepNext w:val="0"/>
        <w:keepLines w:val="0"/>
      </w:pPr>
      <w:r w:rsidRPr="00A729D8">
        <w:t xml:space="preserve">Based on its determination, the NMG must decide whether an </w:t>
      </w:r>
      <w:r w:rsidR="00747D05" w:rsidRPr="00A729D8">
        <w:t>incident</w:t>
      </w:r>
      <w:r w:rsidRPr="00A729D8">
        <w:t xml:space="preserve"> of a pest or disease requires a national response.</w:t>
      </w:r>
    </w:p>
    <w:p w14:paraId="4A98D96E" w14:textId="77777777" w:rsidR="0056057D" w:rsidRPr="00A729D8" w:rsidRDefault="0056057D" w:rsidP="0056057D">
      <w:pPr>
        <w:pStyle w:val="Heading3"/>
        <w:keepNext w:val="0"/>
        <w:keepLines w:val="0"/>
      </w:pPr>
      <w:r w:rsidRPr="00A729D8">
        <w:lastRenderedPageBreak/>
        <w:t xml:space="preserve">The NMG may decide, on the basis of advice from the </w:t>
      </w:r>
      <w:r w:rsidR="00B20F48" w:rsidRPr="00A729D8">
        <w:t>NBMCC</w:t>
      </w:r>
      <w:r w:rsidRPr="00A729D8">
        <w:t>, that a</w:t>
      </w:r>
      <w:r w:rsidR="00526FE4" w:rsidRPr="00A729D8">
        <w:t>n</w:t>
      </w:r>
      <w:r w:rsidRPr="00A729D8">
        <w:t xml:space="preserve"> </w:t>
      </w:r>
      <w:r w:rsidR="00526FE4" w:rsidRPr="00A729D8">
        <w:t xml:space="preserve">emergency </w:t>
      </w:r>
      <w:r w:rsidR="002A1FE2" w:rsidRPr="00A729D8">
        <w:t>e</w:t>
      </w:r>
      <w:r w:rsidR="0031572B" w:rsidRPr="00A729D8">
        <w:t>radication</w:t>
      </w:r>
      <w:r w:rsidRPr="00A729D8">
        <w:t xml:space="preserve"> response will commence if:</w:t>
      </w:r>
    </w:p>
    <w:p w14:paraId="64DA3583" w14:textId="77777777" w:rsidR="0056057D" w:rsidRPr="00A729D8" w:rsidRDefault="0056057D" w:rsidP="00121729">
      <w:pPr>
        <w:pStyle w:val="ListParagraph"/>
        <w:numPr>
          <w:ilvl w:val="0"/>
          <w:numId w:val="161"/>
        </w:numPr>
      </w:pPr>
      <w:r w:rsidRPr="00A729D8">
        <w:t xml:space="preserve">the technical feasibility analysis of the </w:t>
      </w:r>
      <w:r w:rsidR="00747D05" w:rsidRPr="00A729D8">
        <w:t>incident</w:t>
      </w:r>
      <w:r w:rsidRPr="00A729D8">
        <w:t xml:space="preserve"> indicates that eradication is possible and likely (see Schedule </w:t>
      </w:r>
      <w:r w:rsidR="008972F9" w:rsidRPr="00A729D8">
        <w:t>3</w:t>
      </w:r>
      <w:r w:rsidRPr="00A729D8">
        <w:t>); and</w:t>
      </w:r>
    </w:p>
    <w:p w14:paraId="2243D9A7" w14:textId="77777777" w:rsidR="0056057D" w:rsidRPr="00A729D8" w:rsidRDefault="0056057D" w:rsidP="00121729">
      <w:pPr>
        <w:pStyle w:val="ListParagraph"/>
        <w:numPr>
          <w:ilvl w:val="0"/>
          <w:numId w:val="161"/>
        </w:numPr>
      </w:pPr>
      <w:r w:rsidRPr="00A729D8">
        <w:t xml:space="preserve">the benefit:cost analysis indicates that it is cost beneficial (see Schedule </w:t>
      </w:r>
      <w:r w:rsidR="008972F9" w:rsidRPr="00A729D8">
        <w:t>3</w:t>
      </w:r>
      <w:r w:rsidRPr="00A729D8">
        <w:t>); and</w:t>
      </w:r>
    </w:p>
    <w:p w14:paraId="2001A733" w14:textId="77777777" w:rsidR="0056057D" w:rsidRPr="00A729D8" w:rsidRDefault="0056057D" w:rsidP="00121729">
      <w:pPr>
        <w:pStyle w:val="ListParagraph"/>
        <w:numPr>
          <w:ilvl w:val="0"/>
          <w:numId w:val="161"/>
        </w:numPr>
      </w:pPr>
      <w:r w:rsidRPr="00A729D8">
        <w:t xml:space="preserve">one or more of the national significance criteria are met (see Schedule </w:t>
      </w:r>
      <w:r w:rsidR="008972F9" w:rsidRPr="00A729D8">
        <w:t>2</w:t>
      </w:r>
      <w:r w:rsidRPr="00A729D8">
        <w:t>).</w:t>
      </w:r>
    </w:p>
    <w:p w14:paraId="7A780699" w14:textId="056B8888" w:rsidR="001338F3" w:rsidRPr="00A729D8" w:rsidRDefault="001338F3" w:rsidP="001338F3">
      <w:pPr>
        <w:pStyle w:val="Heading3"/>
        <w:keepNext w:val="0"/>
        <w:keepLines w:val="0"/>
      </w:pPr>
      <w:r w:rsidRPr="00A729D8">
        <w:t>The NMG may decide, on the basis of advice from the NBMCC</w:t>
      </w:r>
      <w:r w:rsidR="008972F9" w:rsidRPr="00A729D8">
        <w:t xml:space="preserve">,that a national </w:t>
      </w:r>
      <w:r w:rsidR="00FD2FF8">
        <w:t>Transition to M</w:t>
      </w:r>
      <w:r w:rsidRPr="00A729D8">
        <w:t xml:space="preserve">anagement </w:t>
      </w:r>
      <w:r w:rsidR="00FD2FF8">
        <w:t>P</w:t>
      </w:r>
      <w:r w:rsidR="008972F9" w:rsidRPr="00A729D8">
        <w:t>hase</w:t>
      </w:r>
      <w:r w:rsidRPr="00A729D8">
        <w:t xml:space="preserve"> will commence if:</w:t>
      </w:r>
    </w:p>
    <w:p w14:paraId="69A208D3" w14:textId="77777777" w:rsidR="001338F3" w:rsidRPr="00A729D8" w:rsidRDefault="008972F9" w:rsidP="00121729">
      <w:pPr>
        <w:pStyle w:val="ListParagraph"/>
        <w:numPr>
          <w:ilvl w:val="0"/>
          <w:numId w:val="174"/>
        </w:numPr>
      </w:pPr>
      <w:r w:rsidRPr="00A729D8">
        <w:t>t</w:t>
      </w:r>
      <w:r w:rsidR="001338F3" w:rsidRPr="00A729D8">
        <w:t>here has been an</w:t>
      </w:r>
      <w:r w:rsidR="008857D2" w:rsidRPr="00A729D8">
        <w:t xml:space="preserve"> Eradication Response Phase</w:t>
      </w:r>
      <w:r w:rsidR="001338F3" w:rsidRPr="00A729D8">
        <w:t>; and</w:t>
      </w:r>
    </w:p>
    <w:p w14:paraId="08398090" w14:textId="77777777" w:rsidR="00FA3A9E" w:rsidRPr="00A729D8" w:rsidRDefault="00FA3A9E" w:rsidP="00121729">
      <w:pPr>
        <w:pStyle w:val="ListParagraph"/>
        <w:numPr>
          <w:ilvl w:val="0"/>
          <w:numId w:val="174"/>
        </w:numPr>
      </w:pPr>
      <w:r w:rsidRPr="00A729D8">
        <w:t xml:space="preserve">one or more of the national significance criteria are met (see Schedule </w:t>
      </w:r>
      <w:r w:rsidR="008972F9" w:rsidRPr="00A729D8">
        <w:t>2</w:t>
      </w:r>
      <w:r w:rsidRPr="00A729D8">
        <w:t xml:space="preserve">); and </w:t>
      </w:r>
    </w:p>
    <w:p w14:paraId="2105DC19" w14:textId="77D0E91C" w:rsidR="004C1668" w:rsidRPr="00A729D8" w:rsidRDefault="008972F9" w:rsidP="00121729">
      <w:pPr>
        <w:pStyle w:val="ListParagraph"/>
        <w:numPr>
          <w:ilvl w:val="0"/>
          <w:numId w:val="174"/>
        </w:numPr>
      </w:pPr>
      <w:r w:rsidRPr="00A729D8">
        <w:t>t</w:t>
      </w:r>
      <w:r w:rsidR="0008028A" w:rsidRPr="00A729D8">
        <w:t xml:space="preserve">here </w:t>
      </w:r>
      <w:r w:rsidR="004C1668" w:rsidRPr="00A729D8">
        <w:t xml:space="preserve">is a willingness for the areas </w:t>
      </w:r>
      <w:r w:rsidR="00BA7369" w:rsidRPr="00A729D8">
        <w:t xml:space="preserve">free of the </w:t>
      </w:r>
      <w:r w:rsidR="00155A07" w:rsidRPr="00A729D8">
        <w:t>pest or disease</w:t>
      </w:r>
      <w:r w:rsidR="00BA7369" w:rsidRPr="00A729D8">
        <w:t xml:space="preserve"> to be maintained and </w:t>
      </w:r>
      <w:r w:rsidR="004C1668" w:rsidRPr="00A729D8">
        <w:t>manag</w:t>
      </w:r>
      <w:r w:rsidR="00BA7369" w:rsidRPr="00A729D8">
        <w:t>ed and funded</w:t>
      </w:r>
      <w:r w:rsidR="00FA7AA3" w:rsidRPr="00A729D8">
        <w:t xml:space="preserve"> </w:t>
      </w:r>
      <w:r w:rsidR="000D4E20" w:rsidRPr="00A729D8">
        <w:t xml:space="preserve">outside this agreement </w:t>
      </w:r>
      <w:r w:rsidR="00FA7AA3" w:rsidRPr="00A729D8">
        <w:t>after any transition to management is complete</w:t>
      </w:r>
      <w:r w:rsidR="000D4E20" w:rsidRPr="00A729D8">
        <w:t>.</w:t>
      </w:r>
      <w:r w:rsidR="004C1668" w:rsidRPr="00A729D8">
        <w:t xml:space="preserve"> </w:t>
      </w:r>
    </w:p>
    <w:p w14:paraId="78D95F01" w14:textId="77777777" w:rsidR="004C1668" w:rsidRPr="00A729D8" w:rsidRDefault="00BA7369" w:rsidP="00121729">
      <w:pPr>
        <w:pStyle w:val="ListParagraph"/>
        <w:numPr>
          <w:ilvl w:val="0"/>
          <w:numId w:val="174"/>
        </w:numPr>
      </w:pPr>
      <w:r w:rsidRPr="00A729D8">
        <w:t>t</w:t>
      </w:r>
      <w:r w:rsidR="004C1668" w:rsidRPr="00A729D8">
        <w:t xml:space="preserve">here is a sound understanding of the epidemiology, potential risk pathways and the extent of the </w:t>
      </w:r>
      <w:r w:rsidRPr="00A729D8">
        <w:t>incident</w:t>
      </w:r>
      <w:r w:rsidR="004C1668" w:rsidRPr="00A729D8">
        <w:t xml:space="preserve">, suggesting that </w:t>
      </w:r>
      <w:r w:rsidR="000759D0" w:rsidRPr="00A729D8">
        <w:t xml:space="preserve">ongoing management </w:t>
      </w:r>
      <w:r w:rsidR="004C1668" w:rsidRPr="00A729D8">
        <w:t xml:space="preserve">will </w:t>
      </w:r>
      <w:r w:rsidRPr="00A729D8">
        <w:t>be effective</w:t>
      </w:r>
      <w:r w:rsidR="004C1668" w:rsidRPr="00A729D8">
        <w:t>.</w:t>
      </w:r>
    </w:p>
    <w:p w14:paraId="3181643C" w14:textId="4BEF29C3" w:rsidR="000D4E20" w:rsidRPr="00A729D8" w:rsidRDefault="000D4E20" w:rsidP="00121729">
      <w:pPr>
        <w:pStyle w:val="ListParagraph"/>
        <w:numPr>
          <w:ilvl w:val="0"/>
          <w:numId w:val="174"/>
        </w:numPr>
      </w:pPr>
      <w:r w:rsidRPr="00A729D8">
        <w:t>It is feasible to contain the pest or disease by managing potential risk pathways and geographical areas.</w:t>
      </w:r>
    </w:p>
    <w:p w14:paraId="461EA4D8" w14:textId="77777777" w:rsidR="0056057D" w:rsidRPr="00A729D8" w:rsidRDefault="0056057D" w:rsidP="00E4251D">
      <w:pPr>
        <w:pStyle w:val="Heading3"/>
        <w:keepNext w:val="0"/>
        <w:keepLines w:val="0"/>
      </w:pPr>
      <w:r w:rsidRPr="00A729D8">
        <w:t>If the NMG determines, in accordance with clause</w:t>
      </w:r>
      <w:r w:rsidR="008972F9" w:rsidRPr="00A729D8">
        <w:t xml:space="preserve"> </w:t>
      </w:r>
      <w:r w:rsidR="00DD0988" w:rsidRPr="00A729D8">
        <w:t>6.4</w:t>
      </w:r>
      <w:r w:rsidR="008972F9" w:rsidRPr="00A729D8">
        <w:t>.1</w:t>
      </w:r>
      <w:r w:rsidRPr="00A729D8">
        <w:t xml:space="preserve">, that </w:t>
      </w:r>
      <w:r w:rsidR="0008028A" w:rsidRPr="00A729D8">
        <w:t xml:space="preserve">a </w:t>
      </w:r>
      <w:r w:rsidRPr="00A729D8">
        <w:t>national response is required, it must:</w:t>
      </w:r>
    </w:p>
    <w:p w14:paraId="20A6D97F" w14:textId="77777777" w:rsidR="0056057D" w:rsidRPr="00A729D8" w:rsidRDefault="0056057D" w:rsidP="00121729">
      <w:pPr>
        <w:pStyle w:val="ListParagraph"/>
        <w:numPr>
          <w:ilvl w:val="0"/>
          <w:numId w:val="162"/>
        </w:numPr>
      </w:pPr>
      <w:r w:rsidRPr="00A729D8">
        <w:t xml:space="preserve">determine whether to approve the draft </w:t>
      </w:r>
      <w:r w:rsidR="00283AAA" w:rsidRPr="00A729D8">
        <w:t>R</w:t>
      </w:r>
      <w:r w:rsidRPr="00A729D8">
        <w:t xml:space="preserve">esponse </w:t>
      </w:r>
      <w:r w:rsidR="00283AAA" w:rsidRPr="00A729D8">
        <w:t>P</w:t>
      </w:r>
      <w:r w:rsidRPr="00A729D8">
        <w:t>lan prepared by</w:t>
      </w:r>
      <w:r w:rsidR="0008028A" w:rsidRPr="00A729D8">
        <w:t xml:space="preserve"> </w:t>
      </w:r>
      <w:r w:rsidRPr="00A729D8">
        <w:t xml:space="preserve">the notifying party and reviewed by the </w:t>
      </w:r>
      <w:r w:rsidR="00B20F48" w:rsidRPr="00A729D8">
        <w:t>NBMCC</w:t>
      </w:r>
      <w:r w:rsidRPr="00A729D8">
        <w:t>; or</w:t>
      </w:r>
    </w:p>
    <w:p w14:paraId="3BF2AD9C" w14:textId="77777777" w:rsidR="0056057D" w:rsidRPr="00A729D8" w:rsidRDefault="0056057D" w:rsidP="00121729">
      <w:pPr>
        <w:pStyle w:val="ListParagraph"/>
        <w:numPr>
          <w:ilvl w:val="0"/>
          <w:numId w:val="162"/>
        </w:numPr>
      </w:pPr>
      <w:r w:rsidRPr="00A729D8">
        <w:t xml:space="preserve">if it does not approve the draft </w:t>
      </w:r>
      <w:r w:rsidR="00283AAA" w:rsidRPr="00A729D8">
        <w:t>R</w:t>
      </w:r>
      <w:r w:rsidRPr="00A729D8">
        <w:t xml:space="preserve">esponse </w:t>
      </w:r>
      <w:r w:rsidR="00283AAA" w:rsidRPr="00A729D8">
        <w:t>P</w:t>
      </w:r>
      <w:r w:rsidRPr="00A729D8">
        <w:t>lan, advise the affected parties on an appropriate course of action.</w:t>
      </w:r>
    </w:p>
    <w:p w14:paraId="67FB16A8" w14:textId="77777777" w:rsidR="0056057D" w:rsidRPr="00A729D8" w:rsidRDefault="0056057D" w:rsidP="00505812">
      <w:pPr>
        <w:pStyle w:val="Heading3"/>
      </w:pPr>
      <w:r w:rsidRPr="00A729D8">
        <w:t xml:space="preserve">In making a determination in accordance with clause </w:t>
      </w:r>
      <w:r w:rsidR="00DD0988" w:rsidRPr="00A729D8">
        <w:t>6.4</w:t>
      </w:r>
      <w:r w:rsidR="008972F9" w:rsidRPr="00A729D8">
        <w:t xml:space="preserve">.2 </w:t>
      </w:r>
      <w:r w:rsidR="00567A96" w:rsidRPr="00A729D8">
        <w:t xml:space="preserve">or </w:t>
      </w:r>
      <w:r w:rsidR="00DD0988" w:rsidRPr="00A729D8">
        <w:t>6.4</w:t>
      </w:r>
      <w:r w:rsidR="008972F9" w:rsidRPr="00A729D8">
        <w:t>.3</w:t>
      </w:r>
      <w:r w:rsidRPr="00A729D8">
        <w:t>, the NMG may:</w:t>
      </w:r>
    </w:p>
    <w:p w14:paraId="26A114D5" w14:textId="77777777" w:rsidR="0056057D" w:rsidRPr="00A729D8" w:rsidRDefault="0056057D" w:rsidP="00121729">
      <w:pPr>
        <w:pStyle w:val="ListParagraph"/>
        <w:numPr>
          <w:ilvl w:val="0"/>
          <w:numId w:val="163"/>
        </w:numPr>
      </w:pPr>
      <w:r w:rsidRPr="00A729D8">
        <w:t>seek and have regard to advice from technical experts</w:t>
      </w:r>
    </w:p>
    <w:p w14:paraId="0CA8F524" w14:textId="77777777" w:rsidR="0056057D" w:rsidRPr="00A729D8" w:rsidRDefault="0056057D" w:rsidP="00121729">
      <w:pPr>
        <w:pStyle w:val="ListParagraph"/>
        <w:numPr>
          <w:ilvl w:val="0"/>
          <w:numId w:val="163"/>
        </w:numPr>
      </w:pPr>
      <w:r w:rsidRPr="00A729D8">
        <w:t xml:space="preserve">consider an existing </w:t>
      </w:r>
      <w:r w:rsidR="00155A07" w:rsidRPr="00A729D8">
        <w:t>R</w:t>
      </w:r>
      <w:r w:rsidRPr="00A729D8">
        <w:t xml:space="preserve">esponse </w:t>
      </w:r>
      <w:r w:rsidR="00155A07" w:rsidRPr="00A729D8">
        <w:t>P</w:t>
      </w:r>
      <w:r w:rsidRPr="00A729D8">
        <w:t>lan</w:t>
      </w:r>
    </w:p>
    <w:p w14:paraId="48D11DAD" w14:textId="77777777" w:rsidR="0056057D" w:rsidRPr="00A729D8" w:rsidRDefault="0056057D" w:rsidP="00121729">
      <w:pPr>
        <w:pStyle w:val="ListParagraph"/>
        <w:numPr>
          <w:ilvl w:val="0"/>
          <w:numId w:val="163"/>
        </w:numPr>
      </w:pPr>
      <w:r w:rsidRPr="00A729D8">
        <w:t xml:space="preserve">approve a </w:t>
      </w:r>
      <w:r w:rsidR="00283AAA" w:rsidRPr="00A729D8">
        <w:t>Response P</w:t>
      </w:r>
      <w:r w:rsidR="00E9294D" w:rsidRPr="00A729D8">
        <w:t>lan</w:t>
      </w:r>
      <w:r w:rsidRPr="00A729D8">
        <w:t xml:space="preserve"> for one or more phases of a national response prior to giving consideration to a plan to achieve eradication. A </w:t>
      </w:r>
      <w:r w:rsidR="000713FA" w:rsidRPr="00A729D8">
        <w:t>R</w:t>
      </w:r>
      <w:r w:rsidRPr="00A729D8">
        <w:t xml:space="preserve">esponse </w:t>
      </w:r>
      <w:r w:rsidR="000713FA" w:rsidRPr="00A729D8">
        <w:t>P</w:t>
      </w:r>
      <w:r w:rsidRPr="00A729D8">
        <w:t>lan may be approved for any phase, including the delineation of distribution and/or initial containment.</w:t>
      </w:r>
    </w:p>
    <w:p w14:paraId="196C4726" w14:textId="2B5EC444" w:rsidR="0056057D" w:rsidRPr="00A729D8" w:rsidRDefault="0056057D" w:rsidP="00E4251D">
      <w:pPr>
        <w:pStyle w:val="Heading3"/>
        <w:keepNext w:val="0"/>
        <w:keepLines w:val="0"/>
      </w:pPr>
      <w:r w:rsidRPr="00A729D8">
        <w:t xml:space="preserve">To avoid any doubt, the NMG must decide, on the basis of advice from the </w:t>
      </w:r>
      <w:r w:rsidR="00B20F48" w:rsidRPr="00A729D8">
        <w:t>NBMCC</w:t>
      </w:r>
      <w:r w:rsidRPr="00A729D8">
        <w:t>, that a</w:t>
      </w:r>
      <w:r w:rsidR="00FD2FF8">
        <w:t>n Emergency E</w:t>
      </w:r>
      <w:r w:rsidR="00CD326F" w:rsidRPr="00A729D8">
        <w:t xml:space="preserve">radication </w:t>
      </w:r>
      <w:r w:rsidR="00FD2FF8">
        <w:t>R</w:t>
      </w:r>
      <w:r w:rsidRPr="00A729D8">
        <w:t>esponse will not commence if:</w:t>
      </w:r>
    </w:p>
    <w:p w14:paraId="69F2335A" w14:textId="77777777" w:rsidR="0056057D" w:rsidRPr="00A729D8" w:rsidRDefault="0056057D" w:rsidP="00121729">
      <w:pPr>
        <w:pStyle w:val="ListParagraph"/>
        <w:numPr>
          <w:ilvl w:val="0"/>
          <w:numId w:val="164"/>
        </w:numPr>
      </w:pPr>
      <w:r w:rsidRPr="00A729D8">
        <w:t xml:space="preserve">the technical feasibility analysis for the </w:t>
      </w:r>
      <w:r w:rsidR="00747D05" w:rsidRPr="00A729D8">
        <w:t>incident</w:t>
      </w:r>
      <w:r w:rsidR="00155A07" w:rsidRPr="00A729D8">
        <w:t xml:space="preserve"> indicates that eradication is</w:t>
      </w:r>
      <w:r w:rsidRPr="00A729D8">
        <w:t xml:space="preserve"> not possible or likely (see Schedule </w:t>
      </w:r>
      <w:r w:rsidR="007D70FB" w:rsidRPr="00A729D8">
        <w:t>3</w:t>
      </w:r>
      <w:r w:rsidRPr="00A729D8">
        <w:t>); or</w:t>
      </w:r>
    </w:p>
    <w:p w14:paraId="0BA8E687" w14:textId="77777777" w:rsidR="0056057D" w:rsidRPr="00A729D8" w:rsidRDefault="0056057D" w:rsidP="00121729">
      <w:pPr>
        <w:pStyle w:val="ListParagraph"/>
        <w:numPr>
          <w:ilvl w:val="0"/>
          <w:numId w:val="164"/>
        </w:numPr>
      </w:pPr>
      <w:r w:rsidRPr="00A729D8">
        <w:t xml:space="preserve">the benefit:cost analysis indicates that it is not cost beneficial to do so (see Schedule </w:t>
      </w:r>
      <w:r w:rsidR="007D70FB" w:rsidRPr="00A729D8">
        <w:t>3</w:t>
      </w:r>
      <w:r w:rsidRPr="00A729D8">
        <w:t>); or</w:t>
      </w:r>
    </w:p>
    <w:p w14:paraId="69A092EC" w14:textId="77777777" w:rsidR="0056057D" w:rsidRPr="00A729D8" w:rsidRDefault="0056057D" w:rsidP="00121729">
      <w:pPr>
        <w:pStyle w:val="ListParagraph"/>
        <w:numPr>
          <w:ilvl w:val="0"/>
          <w:numId w:val="164"/>
        </w:numPr>
      </w:pPr>
      <w:r w:rsidRPr="00A729D8">
        <w:t xml:space="preserve">none of the national significance criteria are met (see Schedule </w:t>
      </w:r>
      <w:r w:rsidR="007D70FB" w:rsidRPr="00A729D8">
        <w:t>2</w:t>
      </w:r>
      <w:r w:rsidRPr="00A729D8">
        <w:t>); or</w:t>
      </w:r>
    </w:p>
    <w:p w14:paraId="50314552" w14:textId="7324DAD6" w:rsidR="004B5845" w:rsidRPr="00A729D8" w:rsidRDefault="0056057D" w:rsidP="00121729">
      <w:pPr>
        <w:pStyle w:val="ListParagraph"/>
        <w:numPr>
          <w:ilvl w:val="0"/>
          <w:numId w:val="164"/>
        </w:numPr>
      </w:pPr>
      <w:r w:rsidRPr="00A729D8">
        <w:lastRenderedPageBreak/>
        <w:t>the NMG has not reached a consensus that a</w:t>
      </w:r>
      <w:r w:rsidR="00FD2FF8">
        <w:t>n E</w:t>
      </w:r>
      <w:r w:rsidR="0008028A" w:rsidRPr="00A729D8">
        <w:t xml:space="preserve">mergency </w:t>
      </w:r>
      <w:r w:rsidR="00FD2FF8">
        <w:t>E</w:t>
      </w:r>
      <w:r w:rsidR="0008028A" w:rsidRPr="00A729D8">
        <w:t xml:space="preserve">radication </w:t>
      </w:r>
      <w:r w:rsidR="00FD2FF8">
        <w:t>R</w:t>
      </w:r>
      <w:r w:rsidR="00B44529" w:rsidRPr="00A729D8">
        <w:t>esponse should commence</w:t>
      </w:r>
      <w:r w:rsidR="004B5845" w:rsidRPr="00A729D8">
        <w:t xml:space="preserve">. </w:t>
      </w:r>
    </w:p>
    <w:p w14:paraId="0D3D2F9C" w14:textId="77777777" w:rsidR="0056057D" w:rsidRPr="00A729D8" w:rsidRDefault="0056057D" w:rsidP="00E4251D">
      <w:pPr>
        <w:pStyle w:val="Heading3"/>
        <w:keepNext w:val="0"/>
        <w:keepLines w:val="0"/>
      </w:pPr>
      <w:r w:rsidRPr="00A729D8">
        <w:t>The NMG must decide, on th</w:t>
      </w:r>
      <w:r w:rsidR="00505812" w:rsidRPr="00A729D8">
        <w:t xml:space="preserve">e basis of advice from the </w:t>
      </w:r>
      <w:r w:rsidR="00B20F48" w:rsidRPr="00A729D8">
        <w:t>NBMCC</w:t>
      </w:r>
      <w:r w:rsidR="00505812" w:rsidRPr="00A729D8">
        <w:t>,</w:t>
      </w:r>
      <w:r w:rsidRPr="00A729D8">
        <w:t xml:space="preserve"> that a</w:t>
      </w:r>
      <w:r w:rsidR="00D36B0D" w:rsidRPr="00A729D8">
        <w:t>n emergency eradication</w:t>
      </w:r>
      <w:r w:rsidRPr="00A729D8">
        <w:t xml:space="preserve"> response will not continue if:</w:t>
      </w:r>
    </w:p>
    <w:p w14:paraId="7F583ED2" w14:textId="30EBF0EA" w:rsidR="0056057D" w:rsidRPr="00A729D8" w:rsidRDefault="0056057D" w:rsidP="00121729">
      <w:pPr>
        <w:pStyle w:val="ListParagraph"/>
        <w:numPr>
          <w:ilvl w:val="0"/>
          <w:numId w:val="165"/>
        </w:numPr>
      </w:pPr>
      <w:r w:rsidRPr="00A729D8">
        <w:t xml:space="preserve">it considers that the </w:t>
      </w:r>
      <w:r w:rsidR="00FD2FF8">
        <w:t>Emergency E</w:t>
      </w:r>
      <w:r w:rsidR="00D36B0D" w:rsidRPr="00A729D8">
        <w:t xml:space="preserve">radication </w:t>
      </w:r>
      <w:r w:rsidR="00FD2FF8">
        <w:t>R</w:t>
      </w:r>
      <w:r w:rsidRPr="00A729D8">
        <w:t>esponse has been successful in eradicating the pest or disease; or</w:t>
      </w:r>
    </w:p>
    <w:p w14:paraId="776F059B" w14:textId="5166038F" w:rsidR="0056057D" w:rsidRPr="00A729D8" w:rsidRDefault="0056057D" w:rsidP="00121729">
      <w:pPr>
        <w:pStyle w:val="ListParagraph"/>
        <w:numPr>
          <w:ilvl w:val="0"/>
          <w:numId w:val="165"/>
        </w:numPr>
      </w:pPr>
      <w:r w:rsidRPr="00A729D8">
        <w:t xml:space="preserve">it considers that the </w:t>
      </w:r>
      <w:r w:rsidR="00FD2FF8">
        <w:t>Emergency E</w:t>
      </w:r>
      <w:r w:rsidR="00D36B0D" w:rsidRPr="00A729D8">
        <w:t>radication</w:t>
      </w:r>
      <w:r w:rsidR="00FD2FF8">
        <w:t xml:space="preserve"> R</w:t>
      </w:r>
      <w:r w:rsidRPr="00A729D8">
        <w:t>esponse has failed to eradicate the pest or disease; or</w:t>
      </w:r>
    </w:p>
    <w:p w14:paraId="79370D4E" w14:textId="0DB25F65" w:rsidR="0056057D" w:rsidRPr="00A729D8" w:rsidRDefault="0056057D" w:rsidP="00121729">
      <w:pPr>
        <w:pStyle w:val="ListParagraph"/>
        <w:numPr>
          <w:ilvl w:val="0"/>
          <w:numId w:val="165"/>
        </w:numPr>
      </w:pPr>
      <w:r w:rsidRPr="00A729D8">
        <w:t>it has not reached consensus that a</w:t>
      </w:r>
      <w:r w:rsidR="00FD2FF8">
        <w:t>n Emergency E</w:t>
      </w:r>
      <w:r w:rsidR="00D36B0D" w:rsidRPr="00A729D8">
        <w:t>radication</w:t>
      </w:r>
      <w:r w:rsidR="00FD2FF8">
        <w:t xml:space="preserve"> R</w:t>
      </w:r>
      <w:r w:rsidRPr="00A729D8">
        <w:t>esponse should continue</w:t>
      </w:r>
      <w:r w:rsidR="0038381A" w:rsidRPr="00A729D8">
        <w:t xml:space="preserve">; or </w:t>
      </w:r>
    </w:p>
    <w:p w14:paraId="50066F3B" w14:textId="77777777" w:rsidR="00326B89" w:rsidRPr="00A729D8" w:rsidRDefault="0038381A" w:rsidP="00121729">
      <w:pPr>
        <w:pStyle w:val="ListParagraph"/>
        <w:numPr>
          <w:ilvl w:val="0"/>
          <w:numId w:val="165"/>
        </w:numPr>
      </w:pPr>
      <w:r w:rsidRPr="00A729D8">
        <w:t xml:space="preserve">it has been agreed the pest and/or disease is no longer feasible to eradicate and the </w:t>
      </w:r>
      <w:r w:rsidR="00D36B0D" w:rsidRPr="00A729D8">
        <w:t xml:space="preserve">incident </w:t>
      </w:r>
      <w:r w:rsidRPr="00A729D8">
        <w:t xml:space="preserve">will continue to a Transition to Management Phase. </w:t>
      </w:r>
    </w:p>
    <w:p w14:paraId="21E61B0E" w14:textId="77777777" w:rsidR="00B34554" w:rsidRPr="00A729D8" w:rsidRDefault="00B34554" w:rsidP="007E7C47">
      <w:pPr>
        <w:pStyle w:val="Heading2"/>
      </w:pPr>
      <w:bookmarkStart w:id="145" w:name="_Toc531359267"/>
      <w:bookmarkStart w:id="146" w:name="_Toc531359426"/>
      <w:bookmarkStart w:id="147" w:name="_Toc531359268"/>
      <w:bookmarkStart w:id="148" w:name="_Toc531359427"/>
      <w:bookmarkStart w:id="149" w:name="_Toc531359269"/>
      <w:bookmarkStart w:id="150" w:name="_Toc531359428"/>
      <w:bookmarkStart w:id="151" w:name="_Toc531359270"/>
      <w:bookmarkStart w:id="152" w:name="_Toc531359429"/>
      <w:bookmarkStart w:id="153" w:name="_Toc531359271"/>
      <w:bookmarkStart w:id="154" w:name="_Toc531359430"/>
      <w:bookmarkStart w:id="155" w:name="_Toc531359272"/>
      <w:bookmarkStart w:id="156" w:name="_Toc531359431"/>
      <w:bookmarkStart w:id="157" w:name="_Toc531359273"/>
      <w:bookmarkStart w:id="158" w:name="_Toc531359432"/>
      <w:bookmarkStart w:id="159" w:name="_Toc531359274"/>
      <w:bookmarkStart w:id="160" w:name="_Toc531359433"/>
      <w:bookmarkStart w:id="161" w:name="_Toc531359275"/>
      <w:bookmarkStart w:id="162" w:name="_Toc531359434"/>
      <w:bookmarkStart w:id="163" w:name="_Toc531359276"/>
      <w:bookmarkStart w:id="164" w:name="_Toc531359435"/>
      <w:bookmarkStart w:id="165" w:name="_Toc531359277"/>
      <w:bookmarkStart w:id="166" w:name="_Toc531359436"/>
      <w:bookmarkStart w:id="167" w:name="_Toc531359278"/>
      <w:bookmarkStart w:id="168" w:name="_Toc531359437"/>
      <w:bookmarkStart w:id="169" w:name="_Toc7528115"/>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A729D8">
        <w:t>Involvement in NMG decisions</w:t>
      </w:r>
      <w:bookmarkEnd w:id="169"/>
    </w:p>
    <w:p w14:paraId="13A89BCA" w14:textId="6B4E33D2" w:rsidR="00E5108E" w:rsidRPr="00A729D8" w:rsidRDefault="00B34554" w:rsidP="00121729">
      <w:pPr>
        <w:pStyle w:val="ListParagraph"/>
        <w:numPr>
          <w:ilvl w:val="0"/>
          <w:numId w:val="167"/>
        </w:numPr>
      </w:pPr>
      <w:r w:rsidRPr="00A729D8">
        <w:t xml:space="preserve">Determinations by the NMG </w:t>
      </w:r>
      <w:r w:rsidR="00FD2FF8">
        <w:t>related to cost-sharing</w:t>
      </w:r>
      <w:r w:rsidR="00DA0BB7" w:rsidRPr="00A729D8" w:rsidDel="00DA0BB7">
        <w:t xml:space="preserve"> </w:t>
      </w:r>
      <w:r w:rsidRPr="00A729D8">
        <w:t>must be</w:t>
      </w:r>
      <w:r w:rsidR="00DA0BB7" w:rsidRPr="00A729D8">
        <w:t xml:space="preserve"> </w:t>
      </w:r>
      <w:r w:rsidRPr="00A729D8">
        <w:t xml:space="preserve">made unanimously by the </w:t>
      </w:r>
      <w:r w:rsidR="00E25DF7" w:rsidRPr="00A729D8">
        <w:t xml:space="preserve">voting members of the NMG that are </w:t>
      </w:r>
      <w:r w:rsidR="00DA0BB7" w:rsidRPr="00A729D8">
        <w:t>making a financial</w:t>
      </w:r>
      <w:r w:rsidR="00E25DF7" w:rsidRPr="00A729D8">
        <w:t>,</w:t>
      </w:r>
      <w:r w:rsidR="00DA0BB7" w:rsidRPr="00A729D8">
        <w:t xml:space="preserve"> or in-kind</w:t>
      </w:r>
      <w:r w:rsidR="00E25DF7" w:rsidRPr="00A729D8">
        <w:t>,</w:t>
      </w:r>
      <w:r w:rsidR="00DA0BB7" w:rsidRPr="00A729D8">
        <w:t xml:space="preserve"> contribution to a national </w:t>
      </w:r>
      <w:r w:rsidR="00155A07" w:rsidRPr="00A729D8">
        <w:t>response</w:t>
      </w:r>
    </w:p>
    <w:p w14:paraId="466D5499" w14:textId="248BC911" w:rsidR="00E5108E" w:rsidRPr="00A729D8" w:rsidRDefault="0019559C" w:rsidP="00121729">
      <w:pPr>
        <w:pStyle w:val="ListParagraph"/>
        <w:numPr>
          <w:ilvl w:val="0"/>
          <w:numId w:val="167"/>
        </w:numPr>
      </w:pPr>
      <w:r w:rsidRPr="00A729D8">
        <w:t xml:space="preserve">All other determinations must be </w:t>
      </w:r>
      <w:r w:rsidR="00B34554" w:rsidRPr="00A729D8">
        <w:t>made by consensus.</w:t>
      </w:r>
    </w:p>
    <w:p w14:paraId="6B533E9B" w14:textId="77777777" w:rsidR="00E5108E" w:rsidRPr="00A729D8" w:rsidRDefault="00B34554" w:rsidP="00121729">
      <w:pPr>
        <w:pStyle w:val="ListParagraph"/>
        <w:numPr>
          <w:ilvl w:val="0"/>
          <w:numId w:val="167"/>
        </w:numPr>
      </w:pPr>
      <w:r w:rsidRPr="00A729D8">
        <w:t>All NMG members may express views relating to its decisions, which the group must consider</w:t>
      </w:r>
      <w:r w:rsidR="00E5108E" w:rsidRPr="00A729D8">
        <w:t>.</w:t>
      </w:r>
      <w:r w:rsidR="00E5108E" w:rsidRPr="00A729D8">
        <w:br w:type="page"/>
      </w:r>
    </w:p>
    <w:p w14:paraId="7395B605" w14:textId="77777777" w:rsidR="00B34554" w:rsidRPr="00A729D8" w:rsidRDefault="00B34554" w:rsidP="00724EF7">
      <w:pPr>
        <w:pStyle w:val="Heading1"/>
        <w:keepNext w:val="0"/>
        <w:keepLines w:val="0"/>
        <w:ind w:left="431" w:hanging="431"/>
      </w:pPr>
      <w:bookmarkStart w:id="170" w:name="_Toc7528116"/>
      <w:r w:rsidRPr="00A729D8">
        <w:lastRenderedPageBreak/>
        <w:t>Cost-sharing</w:t>
      </w:r>
      <w:bookmarkEnd w:id="170"/>
    </w:p>
    <w:p w14:paraId="5174C571" w14:textId="77777777" w:rsidR="00E5108E" w:rsidRPr="00A729D8" w:rsidRDefault="00B34554" w:rsidP="00724EF7">
      <w:pPr>
        <w:pStyle w:val="Heading2"/>
        <w:keepNext w:val="0"/>
        <w:keepLines w:val="0"/>
      </w:pPr>
      <w:bookmarkStart w:id="171" w:name="_Toc7528117"/>
      <w:r w:rsidRPr="00A729D8">
        <w:t>Cost-sharing in accordance with this agreement</w:t>
      </w:r>
      <w:bookmarkEnd w:id="171"/>
    </w:p>
    <w:p w14:paraId="07C761FC" w14:textId="77777777" w:rsidR="00B34554" w:rsidRPr="00A729D8" w:rsidRDefault="00B34554" w:rsidP="002106F9">
      <w:r w:rsidRPr="00A729D8">
        <w:t xml:space="preserve">Where the NMG has determined, in accordance with clause </w:t>
      </w:r>
      <w:r w:rsidR="00DD0988" w:rsidRPr="00A729D8">
        <w:t>6.4</w:t>
      </w:r>
      <w:r w:rsidRPr="00A729D8">
        <w:t xml:space="preserve">, that an emergency response to a pest or disease will be addressed by a national response under this agreement, the cost-sharing will be determined in accordance with this clause </w:t>
      </w:r>
      <w:r w:rsidR="008D3F96" w:rsidRPr="00A729D8">
        <w:t>7</w:t>
      </w:r>
      <w:r w:rsidRPr="00A729D8">
        <w:t>.</w:t>
      </w:r>
    </w:p>
    <w:p w14:paraId="0706C389" w14:textId="77777777" w:rsidR="00B34554" w:rsidRPr="00A729D8" w:rsidRDefault="00B34554" w:rsidP="00724EF7">
      <w:pPr>
        <w:pStyle w:val="Heading2"/>
        <w:keepNext w:val="0"/>
        <w:keepLines w:val="0"/>
      </w:pPr>
      <w:bookmarkStart w:id="172" w:name="_Toc7528118"/>
      <w:r w:rsidRPr="00A729D8">
        <w:t>Cost-sharing formula</w:t>
      </w:r>
      <w:bookmarkEnd w:id="172"/>
    </w:p>
    <w:p w14:paraId="29882115" w14:textId="0FB98623" w:rsidR="00B34554" w:rsidRPr="00A729D8" w:rsidRDefault="00B34554" w:rsidP="00034738">
      <w:pPr>
        <w:pStyle w:val="Heading3"/>
      </w:pPr>
      <w:r w:rsidRPr="00A729D8">
        <w:t>Eligible costs associated with a national response</w:t>
      </w:r>
      <w:r w:rsidR="00034738" w:rsidRPr="00A729D8">
        <w:t xml:space="preserve">, for which </w:t>
      </w:r>
      <w:r w:rsidR="00E378A9" w:rsidRPr="00A729D8">
        <w:t xml:space="preserve">there is </w:t>
      </w:r>
      <w:r w:rsidR="00EF195D" w:rsidRPr="00A729D8">
        <w:t xml:space="preserve">no non-government </w:t>
      </w:r>
      <w:r w:rsidR="00454F21" w:rsidRPr="00A729D8">
        <w:t xml:space="preserve">entity </w:t>
      </w:r>
      <w:r w:rsidR="008857D2" w:rsidRPr="00A729D8">
        <w:t>who</w:t>
      </w:r>
      <w:r w:rsidR="00077DE8" w:rsidRPr="00A729D8">
        <w:t xml:space="preserve"> </w:t>
      </w:r>
      <w:r w:rsidR="003453E1" w:rsidRPr="00A729D8">
        <w:t>is a</w:t>
      </w:r>
      <w:r w:rsidR="00EF195D" w:rsidRPr="00A729D8">
        <w:t xml:space="preserve"> voting members on</w:t>
      </w:r>
      <w:r w:rsidR="00E378A9" w:rsidRPr="00A729D8">
        <w:t xml:space="preserve"> NMG</w:t>
      </w:r>
      <w:r w:rsidR="00034738" w:rsidRPr="00A729D8">
        <w:t>,</w:t>
      </w:r>
      <w:r w:rsidRPr="00A729D8">
        <w:t xml:space="preserve"> will be shared in accordance with the following:</w:t>
      </w:r>
    </w:p>
    <w:p w14:paraId="6669F2F3" w14:textId="77777777" w:rsidR="00E5108E" w:rsidRPr="00A729D8" w:rsidRDefault="00B34554" w:rsidP="00121729">
      <w:pPr>
        <w:pStyle w:val="ListParagraph"/>
        <w:numPr>
          <w:ilvl w:val="0"/>
          <w:numId w:val="166"/>
        </w:numPr>
      </w:pPr>
      <w:r w:rsidRPr="00A729D8">
        <w:t>The Commonwealth’s share will be 50 per cent of eligible costs.</w:t>
      </w:r>
    </w:p>
    <w:p w14:paraId="099A49B2" w14:textId="77777777" w:rsidR="00E5108E" w:rsidRPr="00A729D8" w:rsidRDefault="00B34554" w:rsidP="00121729">
      <w:pPr>
        <w:pStyle w:val="ListParagraph"/>
        <w:numPr>
          <w:ilvl w:val="0"/>
          <w:numId w:val="166"/>
        </w:numPr>
      </w:pPr>
      <w:r w:rsidRPr="00A729D8">
        <w:t>The state and territory parties’ combined share will be</w:t>
      </w:r>
      <w:r w:rsidR="00E5108E" w:rsidRPr="00A729D8">
        <w:t xml:space="preserve"> 50 per cent of eligible costs.</w:t>
      </w:r>
    </w:p>
    <w:p w14:paraId="7F09D6FA" w14:textId="77777777" w:rsidR="00E5108E" w:rsidRPr="00A729D8" w:rsidRDefault="00B34554" w:rsidP="00121729">
      <w:pPr>
        <w:pStyle w:val="ListParagraph"/>
        <w:numPr>
          <w:ilvl w:val="0"/>
          <w:numId w:val="166"/>
        </w:numPr>
      </w:pPr>
      <w:r w:rsidRPr="00A729D8">
        <w:t xml:space="preserve">Of the state and territory parties’ combined share, as calculated in accordance with clause </w:t>
      </w:r>
      <w:r w:rsidR="009949A4" w:rsidRPr="00A729D8">
        <w:t>7</w:t>
      </w:r>
      <w:r w:rsidRPr="00A729D8">
        <w:t>.2(d), only those jurisdictions affected by the pest or disease must contribute.</w:t>
      </w:r>
    </w:p>
    <w:p w14:paraId="37892032" w14:textId="77777777" w:rsidR="003E595F" w:rsidRPr="00A729D8" w:rsidRDefault="00B34554" w:rsidP="00121729">
      <w:pPr>
        <w:pStyle w:val="ListParagraph"/>
        <w:numPr>
          <w:ilvl w:val="0"/>
          <w:numId w:val="166"/>
        </w:numPr>
      </w:pPr>
      <w:r w:rsidRPr="00A729D8">
        <w:t>Each state or territory party’s contribution is determined by reference to that party’s share of the total number of beneficiaries of the national response, according to the following formula:</w:t>
      </w:r>
    </w:p>
    <w:p w14:paraId="22A4DCE2" w14:textId="77777777" w:rsidR="003E595F" w:rsidRPr="00A729D8" w:rsidRDefault="003E595F" w:rsidP="003E595F"/>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7"/>
        <w:gridCol w:w="4248"/>
      </w:tblGrid>
      <w:tr w:rsidR="003E595F" w:rsidRPr="00A729D8" w14:paraId="0D2A2C38" w14:textId="77777777" w:rsidTr="005F726F">
        <w:trPr>
          <w:cantSplit/>
        </w:trPr>
        <w:tc>
          <w:tcPr>
            <w:tcW w:w="3260" w:type="dxa"/>
            <w:vMerge w:val="restart"/>
          </w:tcPr>
          <w:p w14:paraId="29BA7EDA" w14:textId="77777777" w:rsidR="005F726F" w:rsidRPr="00A729D8" w:rsidRDefault="005F726F" w:rsidP="003E595F"/>
          <w:p w14:paraId="72A1463C" w14:textId="77777777" w:rsidR="003E595F" w:rsidRPr="00A729D8" w:rsidRDefault="003E595F" w:rsidP="003E595F">
            <w:r w:rsidRPr="00A729D8">
              <w:t>A State/Territory Party’s share of the combined investment</w:t>
            </w:r>
          </w:p>
        </w:tc>
        <w:tc>
          <w:tcPr>
            <w:tcW w:w="567" w:type="dxa"/>
            <w:vMerge w:val="restart"/>
          </w:tcPr>
          <w:p w14:paraId="30107238" w14:textId="77777777" w:rsidR="005F726F" w:rsidRPr="00A729D8" w:rsidRDefault="005F726F" w:rsidP="003E595F"/>
          <w:p w14:paraId="01FAA317" w14:textId="77777777" w:rsidR="003E595F" w:rsidRPr="00A729D8" w:rsidRDefault="003E595F" w:rsidP="003E595F">
            <w:r w:rsidRPr="00A729D8">
              <w:t>=</w:t>
            </w:r>
          </w:p>
        </w:tc>
        <w:tc>
          <w:tcPr>
            <w:tcW w:w="4248" w:type="dxa"/>
            <w:tcBorders>
              <w:bottom w:val="single" w:sz="4" w:space="0" w:color="auto"/>
            </w:tcBorders>
          </w:tcPr>
          <w:p w14:paraId="074F6D8B" w14:textId="77777777" w:rsidR="003E595F" w:rsidRPr="00A729D8" w:rsidRDefault="003E595F" w:rsidP="003E595F">
            <w:r w:rsidRPr="00A729D8">
              <w:t>the number of people in a potentially affected area in that jurisdiction</w:t>
            </w:r>
          </w:p>
        </w:tc>
      </w:tr>
      <w:tr w:rsidR="003E595F" w:rsidRPr="00A729D8" w14:paraId="4CF69A8A" w14:textId="77777777" w:rsidTr="005F726F">
        <w:trPr>
          <w:cantSplit/>
        </w:trPr>
        <w:tc>
          <w:tcPr>
            <w:tcW w:w="3260" w:type="dxa"/>
            <w:vMerge/>
          </w:tcPr>
          <w:p w14:paraId="25EF05BA" w14:textId="77777777" w:rsidR="003E595F" w:rsidRPr="00A729D8" w:rsidRDefault="003E595F" w:rsidP="003E595F"/>
        </w:tc>
        <w:tc>
          <w:tcPr>
            <w:tcW w:w="567" w:type="dxa"/>
            <w:vMerge/>
          </w:tcPr>
          <w:p w14:paraId="5DBB6D4A" w14:textId="77777777" w:rsidR="003E595F" w:rsidRPr="00A729D8" w:rsidRDefault="003E595F" w:rsidP="003E595F"/>
        </w:tc>
        <w:tc>
          <w:tcPr>
            <w:tcW w:w="4248" w:type="dxa"/>
            <w:tcBorders>
              <w:top w:val="single" w:sz="4" w:space="0" w:color="auto"/>
            </w:tcBorders>
          </w:tcPr>
          <w:p w14:paraId="7A5C9615" w14:textId="77777777" w:rsidR="003E595F" w:rsidRPr="00A729D8" w:rsidRDefault="003E595F" w:rsidP="003E595F">
            <w:r w:rsidRPr="00A729D8">
              <w:t>the total number of people potentially affected in Australia</w:t>
            </w:r>
          </w:p>
        </w:tc>
      </w:tr>
    </w:tbl>
    <w:p w14:paraId="2B93842A" w14:textId="77777777" w:rsidR="003E595F" w:rsidRPr="00A729D8" w:rsidRDefault="003E595F" w:rsidP="003E595F"/>
    <w:p w14:paraId="5542058A" w14:textId="77777777" w:rsidR="00BC7C7A" w:rsidRPr="00A729D8" w:rsidRDefault="00B34554" w:rsidP="00121729">
      <w:pPr>
        <w:pStyle w:val="ListParagraph"/>
        <w:numPr>
          <w:ilvl w:val="0"/>
          <w:numId w:val="166"/>
        </w:numPr>
      </w:pPr>
      <w:r w:rsidRPr="00A729D8">
        <w:t>The total number of people in a potentially affected area of a jurisdiction is determined by assuming that:</w:t>
      </w:r>
    </w:p>
    <w:p w14:paraId="60DB6782" w14:textId="77777777" w:rsidR="00BC7C7A" w:rsidRPr="00A729D8" w:rsidRDefault="00B34554" w:rsidP="00121729">
      <w:pPr>
        <w:pStyle w:val="ListParagraph"/>
        <w:numPr>
          <w:ilvl w:val="1"/>
          <w:numId w:val="11"/>
        </w:numPr>
      </w:pPr>
      <w:r w:rsidRPr="00A729D8">
        <w:t>for pest/disease incidents in terrestrial environments, 1 per cent of the jurisdiction’s land area potentially affected equates to 1 per cent of the jurisdiction’s population</w:t>
      </w:r>
    </w:p>
    <w:p w14:paraId="5C1EC10A" w14:textId="77777777" w:rsidR="00BC7C7A" w:rsidRPr="00A729D8" w:rsidRDefault="00B34554" w:rsidP="00121729">
      <w:pPr>
        <w:pStyle w:val="ListParagraph"/>
        <w:numPr>
          <w:ilvl w:val="1"/>
          <w:numId w:val="11"/>
        </w:numPr>
      </w:pPr>
      <w:r w:rsidRPr="00A729D8">
        <w:t>for pest/disease incidents in inland water environments, 1 per cent of the jurisdiction’s surface water area potentially affected equates to 1 per cent of the jurisdiction’s population</w:t>
      </w:r>
    </w:p>
    <w:p w14:paraId="22E07C2B" w14:textId="77777777" w:rsidR="00BC7C7A" w:rsidRPr="00A729D8" w:rsidRDefault="00B34554" w:rsidP="00121729">
      <w:pPr>
        <w:pStyle w:val="ListParagraph"/>
        <w:numPr>
          <w:ilvl w:val="1"/>
          <w:numId w:val="11"/>
        </w:numPr>
      </w:pPr>
      <w:r w:rsidRPr="00A729D8">
        <w:t>for pest incidents in marine environments, 1 per cent of the jurisdiction’s length of coastline potentially affected equates to 1 per cent of the jurisdiction’s population.</w:t>
      </w:r>
    </w:p>
    <w:p w14:paraId="190847CE" w14:textId="77777777" w:rsidR="00BC7C7A" w:rsidRPr="00A729D8" w:rsidRDefault="00B34554" w:rsidP="00121729">
      <w:pPr>
        <w:pStyle w:val="ListParagraph"/>
        <w:numPr>
          <w:ilvl w:val="0"/>
          <w:numId w:val="166"/>
        </w:numPr>
      </w:pPr>
      <w:r w:rsidRPr="00A729D8">
        <w:t>When determining the total number of people in a potentially affected area:</w:t>
      </w:r>
    </w:p>
    <w:p w14:paraId="6DB75691" w14:textId="77777777" w:rsidR="00BC7C7A" w:rsidRPr="00A729D8" w:rsidRDefault="00B34554" w:rsidP="00121729">
      <w:pPr>
        <w:pStyle w:val="ListParagraph"/>
        <w:numPr>
          <w:ilvl w:val="0"/>
          <w:numId w:val="168"/>
        </w:numPr>
      </w:pPr>
      <w:r w:rsidRPr="00A729D8">
        <w:t>the potentially affected area in a jurisdiction, expressed as a percentage of its total area, determines the risk faced by that jurisdiction</w:t>
      </w:r>
    </w:p>
    <w:p w14:paraId="2D80E360" w14:textId="77777777" w:rsidR="00BC7C7A" w:rsidRPr="00A729D8" w:rsidRDefault="00B34554" w:rsidP="00121729">
      <w:pPr>
        <w:pStyle w:val="ListParagraph"/>
        <w:numPr>
          <w:ilvl w:val="0"/>
          <w:numId w:val="168"/>
        </w:numPr>
      </w:pPr>
      <w:r w:rsidRPr="00A729D8">
        <w:lastRenderedPageBreak/>
        <w:t>the potentially affected area is represented by the potential distribution of a pest or disease calculated in accordance with:</w:t>
      </w:r>
    </w:p>
    <w:p w14:paraId="449FA687" w14:textId="77777777" w:rsidR="00BC7C7A" w:rsidRPr="00A729D8" w:rsidRDefault="003B2073" w:rsidP="00121729">
      <w:pPr>
        <w:pStyle w:val="ListParagraph"/>
        <w:numPr>
          <w:ilvl w:val="1"/>
          <w:numId w:val="168"/>
        </w:numPr>
      </w:pPr>
      <w:r w:rsidRPr="00A729D8">
        <w:t>Attachment 4</w:t>
      </w:r>
      <w:r w:rsidR="00B34554" w:rsidRPr="00A729D8">
        <w:t xml:space="preserve">A to Schedule </w:t>
      </w:r>
      <w:r w:rsidRPr="00A729D8">
        <w:t>4</w:t>
      </w:r>
      <w:r w:rsidR="00B34554" w:rsidRPr="00A729D8">
        <w:t xml:space="preserve"> for pest/disease incidents in a terrestrial environment</w:t>
      </w:r>
    </w:p>
    <w:p w14:paraId="3BC45BEA" w14:textId="77777777" w:rsidR="00BC7C7A" w:rsidRPr="00A729D8" w:rsidRDefault="003B2073" w:rsidP="00121729">
      <w:pPr>
        <w:pStyle w:val="ListParagraph"/>
        <w:numPr>
          <w:ilvl w:val="1"/>
          <w:numId w:val="168"/>
        </w:numPr>
      </w:pPr>
      <w:r w:rsidRPr="00A729D8">
        <w:t>Attachment 4</w:t>
      </w:r>
      <w:r w:rsidR="00B34554" w:rsidRPr="00A729D8">
        <w:t xml:space="preserve">B to Schedule </w:t>
      </w:r>
      <w:r w:rsidRPr="00A729D8">
        <w:t>4</w:t>
      </w:r>
      <w:r w:rsidR="00B34554" w:rsidRPr="00A729D8">
        <w:t xml:space="preserve"> (for </w:t>
      </w:r>
      <w:r w:rsidRPr="00A729D8">
        <w:t>pest incidents) and Attachment 4</w:t>
      </w:r>
      <w:r w:rsidR="00B34554" w:rsidRPr="00A729D8">
        <w:t xml:space="preserve">C to Schedule </w:t>
      </w:r>
      <w:r w:rsidRPr="00A729D8">
        <w:t>4</w:t>
      </w:r>
      <w:r w:rsidR="00B34554" w:rsidRPr="00A729D8">
        <w:t xml:space="preserve"> (for disease incidents) in inland water environments</w:t>
      </w:r>
    </w:p>
    <w:p w14:paraId="7706F5CC" w14:textId="77777777" w:rsidR="00BC7C7A" w:rsidRPr="00A729D8" w:rsidRDefault="00B34554" w:rsidP="00121729">
      <w:pPr>
        <w:pStyle w:val="ListParagraph"/>
        <w:numPr>
          <w:ilvl w:val="1"/>
          <w:numId w:val="168"/>
        </w:numPr>
      </w:pPr>
      <w:r w:rsidRPr="00A729D8">
        <w:t xml:space="preserve">Attachment </w:t>
      </w:r>
      <w:r w:rsidR="003B2073" w:rsidRPr="00A729D8">
        <w:t>4</w:t>
      </w:r>
      <w:r w:rsidRPr="00A729D8">
        <w:t xml:space="preserve">D to Schedule </w:t>
      </w:r>
      <w:r w:rsidR="003B2073" w:rsidRPr="00A729D8">
        <w:t>4</w:t>
      </w:r>
      <w:r w:rsidRPr="00A729D8">
        <w:t xml:space="preserve"> (for pest incidents) and Attachment </w:t>
      </w:r>
      <w:r w:rsidR="003B2073" w:rsidRPr="00A729D8">
        <w:t>4</w:t>
      </w:r>
      <w:r w:rsidRPr="00A729D8">
        <w:t xml:space="preserve">E to Schedule </w:t>
      </w:r>
      <w:r w:rsidR="003B2073" w:rsidRPr="00A729D8">
        <w:t>4</w:t>
      </w:r>
      <w:r w:rsidRPr="00A729D8">
        <w:t xml:space="preserve"> (for disease incidents) in marine environments</w:t>
      </w:r>
    </w:p>
    <w:p w14:paraId="6110927C" w14:textId="77777777" w:rsidR="00BC7C7A" w:rsidRPr="00A729D8" w:rsidRDefault="00B34554" w:rsidP="00121729">
      <w:pPr>
        <w:pStyle w:val="ListParagraph"/>
        <w:numPr>
          <w:ilvl w:val="0"/>
          <w:numId w:val="166"/>
        </w:numPr>
      </w:pPr>
      <w:r w:rsidRPr="00A729D8">
        <w:t>the total number of people potentially affected in Australia is determined by the sum of all the potentially affected people in the affected jurisdictions</w:t>
      </w:r>
    </w:p>
    <w:p w14:paraId="53D09728" w14:textId="77777777" w:rsidR="005F726F" w:rsidRPr="00A729D8" w:rsidRDefault="00B34554" w:rsidP="00121729">
      <w:pPr>
        <w:pStyle w:val="ListParagraph"/>
        <w:numPr>
          <w:ilvl w:val="0"/>
          <w:numId w:val="166"/>
        </w:numPr>
      </w:pPr>
      <w:r w:rsidRPr="00A729D8">
        <w:t>the population data used for cost-sharing calculations will be the most recently available Australian Bureau of Statistics demographic statistics</w:t>
      </w:r>
    </w:p>
    <w:p w14:paraId="0443B9E5" w14:textId="77777777" w:rsidR="00B34554" w:rsidRPr="00A729D8" w:rsidRDefault="00B34554" w:rsidP="00121729">
      <w:pPr>
        <w:pStyle w:val="ListParagraph"/>
        <w:numPr>
          <w:ilvl w:val="0"/>
          <w:numId w:val="166"/>
        </w:numPr>
      </w:pPr>
      <w:r w:rsidRPr="00A729D8">
        <w:t>for pest or disease incidents in marine environments the Australian population calcul</w:t>
      </w:r>
      <w:r w:rsidR="003B2073" w:rsidRPr="00A729D8">
        <w:t xml:space="preserve">ated in accordance with clause </w:t>
      </w:r>
      <w:r w:rsidR="009949A4" w:rsidRPr="00A729D8">
        <w:t>7</w:t>
      </w:r>
      <w:r w:rsidRPr="00A729D8">
        <w:t>.2(h) will not include the Australian Capital Territory.</w:t>
      </w:r>
    </w:p>
    <w:p w14:paraId="353F29EF" w14:textId="64261498" w:rsidR="00034738" w:rsidRPr="00A729D8" w:rsidRDefault="00034738" w:rsidP="00034738">
      <w:pPr>
        <w:pStyle w:val="Heading3"/>
      </w:pPr>
      <w:r w:rsidRPr="00A729D8">
        <w:t xml:space="preserve">Eligible costs associated with a national response for which one or more non-government </w:t>
      </w:r>
      <w:r w:rsidR="00454F21" w:rsidRPr="00A729D8">
        <w:t xml:space="preserve">entities </w:t>
      </w:r>
      <w:r w:rsidRPr="00A729D8">
        <w:t>is a voting member of the NMG, will be shared in accordance with the following:</w:t>
      </w:r>
    </w:p>
    <w:p w14:paraId="533881F3" w14:textId="6BD693E1" w:rsidR="00306C14" w:rsidRPr="00A729D8" w:rsidRDefault="00306C14" w:rsidP="00121729">
      <w:pPr>
        <w:pStyle w:val="ListParagraph"/>
        <w:numPr>
          <w:ilvl w:val="0"/>
          <w:numId w:val="169"/>
        </w:numPr>
      </w:pPr>
      <w:r w:rsidRPr="00A729D8">
        <w:t xml:space="preserve">Each </w:t>
      </w:r>
      <w:r w:rsidR="00931430" w:rsidRPr="00A729D8">
        <w:t xml:space="preserve">non-government </w:t>
      </w:r>
      <w:r w:rsidR="00454F21" w:rsidRPr="00A729D8">
        <w:t xml:space="preserve">entity </w:t>
      </w:r>
      <w:r w:rsidRPr="00A729D8">
        <w:t xml:space="preserve">will contribute </w:t>
      </w:r>
      <w:r w:rsidR="00931430" w:rsidRPr="00A729D8">
        <w:t>a minimum of</w:t>
      </w:r>
      <w:r w:rsidR="00931430" w:rsidRPr="00A729D8">
        <w:rPr>
          <w:shd w:val="clear" w:color="auto" w:fill="D9D9D9" w:themeFill="background1" w:themeFillShade="D9"/>
        </w:rPr>
        <w:t xml:space="preserve"> </w:t>
      </w:r>
      <w:r w:rsidR="00AB00D6" w:rsidRPr="00A729D8">
        <w:rPr>
          <w:shd w:val="clear" w:color="auto" w:fill="D9D9D9" w:themeFill="background1" w:themeFillShade="D9"/>
        </w:rPr>
        <w:t>“X”</w:t>
      </w:r>
      <w:r w:rsidR="00931430" w:rsidRPr="00A729D8">
        <w:t xml:space="preserve"> per cent of the eligible costs</w:t>
      </w:r>
      <w:r w:rsidRPr="00A729D8">
        <w:t>.</w:t>
      </w:r>
    </w:p>
    <w:p w14:paraId="39DE3619" w14:textId="3AC6C47D" w:rsidR="00306C14" w:rsidRPr="00A729D8" w:rsidRDefault="00306C14" w:rsidP="00121729">
      <w:pPr>
        <w:pStyle w:val="ListParagraph"/>
        <w:numPr>
          <w:ilvl w:val="1"/>
          <w:numId w:val="169"/>
        </w:numPr>
      </w:pPr>
      <w:r w:rsidRPr="00A729D8">
        <w:t xml:space="preserve">Contributions from non-government </w:t>
      </w:r>
      <w:r w:rsidR="00454F21" w:rsidRPr="00A729D8">
        <w:t xml:space="preserve">entity </w:t>
      </w:r>
      <w:r w:rsidRPr="00A729D8">
        <w:t>can be either dollar amounts or in-kind contributions that the NMG agrees equate to a specified dollar amount.</w:t>
      </w:r>
    </w:p>
    <w:p w14:paraId="0043F2C1" w14:textId="3C0CA130" w:rsidR="00AB00D6" w:rsidRPr="00A729D8" w:rsidRDefault="00AB00D6" w:rsidP="00AB00D6">
      <w:pPr>
        <w:pStyle w:val="ScheduleL1"/>
        <w:numPr>
          <w:ilvl w:val="0"/>
          <w:numId w:val="0"/>
        </w:numPr>
        <w:shd w:val="clear" w:color="auto" w:fill="D9D9D9" w:themeFill="background1" w:themeFillShade="D9"/>
        <w:rPr>
          <w:b w:val="0"/>
        </w:rPr>
      </w:pPr>
      <w:r w:rsidRPr="00A729D8">
        <w:rPr>
          <w:b w:val="0"/>
        </w:rPr>
        <w:t>[DRAFTING NOTE: percentage of eligible costs to be determined]</w:t>
      </w:r>
    </w:p>
    <w:p w14:paraId="1CCE295D" w14:textId="582E0ED3" w:rsidR="00034738" w:rsidRPr="00A729D8" w:rsidRDefault="00FE435B" w:rsidP="00121729">
      <w:pPr>
        <w:pStyle w:val="ListParagraph"/>
        <w:numPr>
          <w:ilvl w:val="0"/>
          <w:numId w:val="169"/>
        </w:numPr>
      </w:pPr>
      <w:r w:rsidRPr="00A729D8">
        <w:t>T</w:t>
      </w:r>
      <w:r w:rsidR="00034738" w:rsidRPr="00A729D8">
        <w:t xml:space="preserve">he Commonwealth’s share will be </w:t>
      </w:r>
      <w:r w:rsidR="00306C14" w:rsidRPr="00A729D8">
        <w:t>50</w:t>
      </w:r>
      <w:r w:rsidR="00034738" w:rsidRPr="00A729D8">
        <w:t xml:space="preserve"> per cent of </w:t>
      </w:r>
      <w:r w:rsidR="00965356" w:rsidRPr="00A729D8">
        <w:t xml:space="preserve">the total </w:t>
      </w:r>
      <w:r w:rsidR="00034738" w:rsidRPr="00A729D8">
        <w:t>eligible costs</w:t>
      </w:r>
      <w:r w:rsidR="00965356" w:rsidRPr="00A729D8">
        <w:t xml:space="preserve"> minus</w:t>
      </w:r>
      <w:r w:rsidR="00306C14" w:rsidRPr="00A729D8">
        <w:t xml:space="preserve"> the non-government </w:t>
      </w:r>
      <w:r w:rsidR="005A4D74" w:rsidRPr="00A729D8">
        <w:t>entities</w:t>
      </w:r>
      <w:r w:rsidR="00454F21" w:rsidRPr="00A729D8">
        <w:t xml:space="preserve"> </w:t>
      </w:r>
      <w:r w:rsidR="00306C14" w:rsidRPr="00A729D8">
        <w:t>contribution</w:t>
      </w:r>
      <w:r w:rsidR="00E25DF7" w:rsidRPr="00A729D8">
        <w:t>.</w:t>
      </w:r>
    </w:p>
    <w:p w14:paraId="2C1584D1" w14:textId="1BA0AAF5" w:rsidR="00420A2C" w:rsidRPr="00A729D8" w:rsidRDefault="00420A2C" w:rsidP="00121729">
      <w:pPr>
        <w:pStyle w:val="ListParagraph"/>
        <w:numPr>
          <w:ilvl w:val="0"/>
          <w:numId w:val="169"/>
        </w:numPr>
      </w:pPr>
      <w:r w:rsidRPr="00A729D8">
        <w:t xml:space="preserve">The state and territory parties’ combined share will be 50 per cent of </w:t>
      </w:r>
      <w:r w:rsidR="00965356" w:rsidRPr="00A729D8">
        <w:t xml:space="preserve">the total </w:t>
      </w:r>
      <w:r w:rsidRPr="00A729D8">
        <w:t xml:space="preserve">eligible costs </w:t>
      </w:r>
      <w:r w:rsidR="00965356" w:rsidRPr="00A729D8">
        <w:t xml:space="preserve">minus the </w:t>
      </w:r>
      <w:r w:rsidRPr="00A729D8">
        <w:t xml:space="preserve">non-government </w:t>
      </w:r>
      <w:r w:rsidR="00454F21" w:rsidRPr="00A729D8">
        <w:t xml:space="preserve">entities </w:t>
      </w:r>
      <w:r w:rsidRPr="00A729D8">
        <w:t xml:space="preserve">contribution, calculated in accordance with the clauses </w:t>
      </w:r>
      <w:r w:rsidR="00965356" w:rsidRPr="00A729D8">
        <w:t>7</w:t>
      </w:r>
      <w:r w:rsidRPr="00A729D8">
        <w:t>.2.1(c)-(i)</w:t>
      </w:r>
      <w:r w:rsidR="00E25DF7" w:rsidRPr="00A729D8">
        <w:t>.</w:t>
      </w:r>
    </w:p>
    <w:p w14:paraId="509509F6" w14:textId="77777777" w:rsidR="00B34554" w:rsidRPr="00A729D8" w:rsidRDefault="00B34554" w:rsidP="00EF195D">
      <w:pPr>
        <w:pStyle w:val="Heading2"/>
      </w:pPr>
      <w:bookmarkStart w:id="173" w:name="_Toc531359283"/>
      <w:bookmarkStart w:id="174" w:name="_Toc531359442"/>
      <w:bookmarkStart w:id="175" w:name="_Toc7528119"/>
      <w:bookmarkEnd w:id="173"/>
      <w:bookmarkEnd w:id="174"/>
      <w:r w:rsidRPr="00A729D8">
        <w:t>Eligible costs</w:t>
      </w:r>
      <w:bookmarkEnd w:id="175"/>
    </w:p>
    <w:p w14:paraId="00ABF983" w14:textId="77777777" w:rsidR="00B34554" w:rsidRPr="00A729D8" w:rsidRDefault="00B34554" w:rsidP="002106F9">
      <w:pPr>
        <w:pStyle w:val="Heading3"/>
        <w:keepNext w:val="0"/>
        <w:keepLines w:val="0"/>
      </w:pPr>
      <w:r w:rsidRPr="00A729D8">
        <w:t xml:space="preserve">Eligible costs are determined in accordance with Schedule </w:t>
      </w:r>
      <w:r w:rsidR="003B2073" w:rsidRPr="00A729D8">
        <w:t>4</w:t>
      </w:r>
      <w:r w:rsidRPr="00A729D8">
        <w:t>.</w:t>
      </w:r>
    </w:p>
    <w:p w14:paraId="608FD394" w14:textId="77777777" w:rsidR="00B34554" w:rsidRPr="00A729D8" w:rsidRDefault="00B34554" w:rsidP="007D701E">
      <w:pPr>
        <w:pStyle w:val="Heading3"/>
      </w:pPr>
      <w:r w:rsidRPr="00A729D8">
        <w:t xml:space="preserve">Eligible costs are only those costs that are above and beyond </w:t>
      </w:r>
      <w:r w:rsidR="00936A76" w:rsidRPr="00A729D8">
        <w:t xml:space="preserve">the resource costs of a party that exist for, or are required to carry out, its </w:t>
      </w:r>
      <w:r w:rsidRPr="00A729D8">
        <w:t xml:space="preserve">normal </w:t>
      </w:r>
      <w:r w:rsidR="00936A76" w:rsidRPr="00A729D8">
        <w:t xml:space="preserve">biosecurity </w:t>
      </w:r>
      <w:r w:rsidRPr="00A729D8">
        <w:t>commitments</w:t>
      </w:r>
      <w:r w:rsidR="00936A76" w:rsidRPr="00A729D8">
        <w:t xml:space="preserve"> (including technical and operational requirements), </w:t>
      </w:r>
      <w:r w:rsidR="005D3134" w:rsidRPr="00A729D8">
        <w:t>unless NMG agreed they meet the conditions specified in</w:t>
      </w:r>
      <w:r w:rsidR="00A07A9A" w:rsidRPr="00A729D8">
        <w:t xml:space="preserve"> clause </w:t>
      </w:r>
      <w:r w:rsidR="00A256D3" w:rsidRPr="00A729D8">
        <w:t xml:space="preserve">2.2 </w:t>
      </w:r>
      <w:r w:rsidR="00A07A9A" w:rsidRPr="00A729D8">
        <w:t xml:space="preserve">of </w:t>
      </w:r>
      <w:r w:rsidR="005D3134" w:rsidRPr="00A729D8">
        <w:t>schedule 4</w:t>
      </w:r>
      <w:r w:rsidRPr="00A729D8">
        <w:t>.</w:t>
      </w:r>
    </w:p>
    <w:p w14:paraId="08B4CF6E" w14:textId="77777777" w:rsidR="00B34554" w:rsidRPr="00A729D8" w:rsidRDefault="00B34554" w:rsidP="00EF195D">
      <w:pPr>
        <w:pStyle w:val="Heading2"/>
      </w:pPr>
      <w:bookmarkStart w:id="176" w:name="_Toc7528120"/>
      <w:r w:rsidRPr="00A729D8">
        <w:t xml:space="preserve">Funding a </w:t>
      </w:r>
      <w:r w:rsidR="00A66540" w:rsidRPr="00A729D8">
        <w:t>R</w:t>
      </w:r>
      <w:r w:rsidRPr="00A729D8">
        <w:t xml:space="preserve">esponse </w:t>
      </w:r>
      <w:r w:rsidR="00A66540" w:rsidRPr="00A729D8">
        <w:t>P</w:t>
      </w:r>
      <w:r w:rsidRPr="00A729D8">
        <w:t>lan</w:t>
      </w:r>
      <w:bookmarkEnd w:id="176"/>
    </w:p>
    <w:p w14:paraId="1B8654CD" w14:textId="77777777" w:rsidR="00B34554" w:rsidRPr="00A729D8" w:rsidRDefault="00B34554" w:rsidP="00121729">
      <w:pPr>
        <w:pStyle w:val="ListParagraph"/>
        <w:numPr>
          <w:ilvl w:val="0"/>
          <w:numId w:val="23"/>
        </w:numPr>
      </w:pPr>
      <w:r w:rsidRPr="00A729D8">
        <w:t xml:space="preserve">When a </w:t>
      </w:r>
      <w:r w:rsidR="00A66540" w:rsidRPr="00A729D8">
        <w:t>R</w:t>
      </w:r>
      <w:r w:rsidRPr="00A729D8">
        <w:t xml:space="preserve">esponse </w:t>
      </w:r>
      <w:r w:rsidR="00A66540" w:rsidRPr="00A729D8">
        <w:t>P</w:t>
      </w:r>
      <w:r w:rsidRPr="00A729D8">
        <w:t>lan is implemented each party must:</w:t>
      </w:r>
    </w:p>
    <w:p w14:paraId="0B700BE6" w14:textId="77777777" w:rsidR="00BC7C7A" w:rsidRPr="00A729D8" w:rsidRDefault="00B34554" w:rsidP="00121729">
      <w:pPr>
        <w:pStyle w:val="ListParagraph"/>
        <w:numPr>
          <w:ilvl w:val="1"/>
          <w:numId w:val="169"/>
        </w:numPr>
      </w:pPr>
      <w:r w:rsidRPr="00A729D8">
        <w:t xml:space="preserve">initially meet its own costs arising from the implementation of the plan </w:t>
      </w:r>
    </w:p>
    <w:p w14:paraId="64853EB5" w14:textId="77777777" w:rsidR="00B34554" w:rsidRPr="00A729D8" w:rsidRDefault="00B34554" w:rsidP="00121729">
      <w:pPr>
        <w:pStyle w:val="ListParagraph"/>
        <w:numPr>
          <w:ilvl w:val="1"/>
          <w:numId w:val="169"/>
        </w:numPr>
      </w:pPr>
      <w:r w:rsidRPr="00A729D8">
        <w:lastRenderedPageBreak/>
        <w:t>meet its cost-sharing obligations.</w:t>
      </w:r>
    </w:p>
    <w:p w14:paraId="66C3A2E2" w14:textId="7DCB4833" w:rsidR="00B34554" w:rsidRPr="00A729D8" w:rsidRDefault="00B34554" w:rsidP="00121729">
      <w:pPr>
        <w:pStyle w:val="ListParagraph"/>
        <w:numPr>
          <w:ilvl w:val="0"/>
          <w:numId w:val="23"/>
        </w:numPr>
      </w:pPr>
      <w:r w:rsidRPr="00A729D8">
        <w:t xml:space="preserve">Subject to an application being made in accordance with clause </w:t>
      </w:r>
      <w:r w:rsidR="00E2651B" w:rsidRPr="00A729D8">
        <w:t>7</w:t>
      </w:r>
      <w:r w:rsidRPr="00A729D8">
        <w:t>.</w:t>
      </w:r>
      <w:r w:rsidR="00A256D3" w:rsidRPr="00A729D8">
        <w:t>5</w:t>
      </w:r>
      <w:r w:rsidRPr="00A729D8">
        <w:t xml:space="preserve">, reimbursement (of net payments) between parties is to be made no less than </w:t>
      </w:r>
      <w:r w:rsidR="00EE1A1F" w:rsidRPr="00A729D8">
        <w:t xml:space="preserve">annually </w:t>
      </w:r>
      <w:r w:rsidRPr="00A729D8">
        <w:t>(or such other longer period as agreed by the NMG).</w:t>
      </w:r>
    </w:p>
    <w:p w14:paraId="7A4C9EFA" w14:textId="77777777" w:rsidR="00B34554" w:rsidRPr="00A729D8" w:rsidRDefault="00B34554" w:rsidP="00724EF7">
      <w:pPr>
        <w:pStyle w:val="Heading2"/>
        <w:keepNext w:val="0"/>
        <w:keepLines w:val="0"/>
      </w:pPr>
      <w:bookmarkStart w:id="177" w:name="_Toc530410346"/>
      <w:bookmarkStart w:id="178" w:name="_Toc531359286"/>
      <w:bookmarkStart w:id="179" w:name="_Toc531359445"/>
      <w:bookmarkStart w:id="180" w:name="_Toc530410347"/>
      <w:bookmarkStart w:id="181" w:name="_Toc531359287"/>
      <w:bookmarkStart w:id="182" w:name="_Toc531359446"/>
      <w:bookmarkStart w:id="183" w:name="_Toc530410348"/>
      <w:bookmarkStart w:id="184" w:name="_Toc531359288"/>
      <w:bookmarkStart w:id="185" w:name="_Toc531359447"/>
      <w:bookmarkStart w:id="186" w:name="_Toc530410349"/>
      <w:bookmarkStart w:id="187" w:name="_Toc531359289"/>
      <w:bookmarkStart w:id="188" w:name="_Toc531359448"/>
      <w:bookmarkStart w:id="189" w:name="_Toc7528121"/>
      <w:bookmarkEnd w:id="177"/>
      <w:bookmarkEnd w:id="178"/>
      <w:bookmarkEnd w:id="179"/>
      <w:bookmarkEnd w:id="180"/>
      <w:bookmarkEnd w:id="181"/>
      <w:bookmarkEnd w:id="182"/>
      <w:bookmarkEnd w:id="183"/>
      <w:bookmarkEnd w:id="184"/>
      <w:bookmarkEnd w:id="185"/>
      <w:bookmarkEnd w:id="186"/>
      <w:bookmarkEnd w:id="187"/>
      <w:bookmarkEnd w:id="188"/>
      <w:r w:rsidRPr="00A729D8">
        <w:t>Reimbursement of a party</w:t>
      </w:r>
      <w:bookmarkEnd w:id="189"/>
    </w:p>
    <w:p w14:paraId="687BC5B8" w14:textId="7A9DCC80" w:rsidR="00BC7C7A" w:rsidRPr="00A729D8" w:rsidRDefault="00EF195D" w:rsidP="002106F9">
      <w:r w:rsidRPr="00A729D8">
        <w:t xml:space="preserve">If a </w:t>
      </w:r>
      <w:r w:rsidR="00402008" w:rsidRPr="00A729D8">
        <w:t>R</w:t>
      </w:r>
      <w:r w:rsidRPr="00A729D8">
        <w:t xml:space="preserve">esponse </w:t>
      </w:r>
      <w:r w:rsidR="00402008" w:rsidRPr="00A729D8">
        <w:t>P</w:t>
      </w:r>
      <w:r w:rsidRPr="00A729D8">
        <w:t>lan is approved a party</w:t>
      </w:r>
      <w:r w:rsidR="00965356" w:rsidRPr="00A729D8">
        <w:t xml:space="preserve">, including a non-government </w:t>
      </w:r>
      <w:r w:rsidR="000D4E20" w:rsidRPr="00A729D8">
        <w:t>entit</w:t>
      </w:r>
      <w:r w:rsidR="00965356" w:rsidRPr="00A729D8">
        <w:t>y that is a voting member of the NBMG,</w:t>
      </w:r>
      <w:r w:rsidRPr="00A729D8">
        <w:t xml:space="preserve"> may apply for reimbursement in accordance with clause 7.1</w:t>
      </w:r>
      <w:r w:rsidR="00965356" w:rsidRPr="00A729D8">
        <w:t>0</w:t>
      </w:r>
      <w:r w:rsidRPr="00A729D8">
        <w:t xml:space="preserve"> under the cost-sharing arrangements for eligible costs incurred as a result of:</w:t>
      </w:r>
    </w:p>
    <w:p w14:paraId="6F5D0912" w14:textId="77777777" w:rsidR="00BC7C7A" w:rsidRPr="00A729D8" w:rsidRDefault="00B34554" w:rsidP="00121729">
      <w:pPr>
        <w:pStyle w:val="ListParagraph"/>
        <w:numPr>
          <w:ilvl w:val="0"/>
          <w:numId w:val="24"/>
        </w:numPr>
      </w:pPr>
      <w:r w:rsidRPr="00A729D8">
        <w:t>if the party is the notifying party</w:t>
      </w:r>
      <w:r w:rsidR="009B251D" w:rsidRPr="00A729D8">
        <w:t xml:space="preserve"> </w:t>
      </w:r>
    </w:p>
    <w:p w14:paraId="5F31E096" w14:textId="77777777" w:rsidR="00BC7C7A" w:rsidRPr="00A729D8" w:rsidRDefault="00B34554" w:rsidP="00121729">
      <w:pPr>
        <w:pStyle w:val="ListParagraph"/>
        <w:numPr>
          <w:ilvl w:val="1"/>
          <w:numId w:val="24"/>
        </w:numPr>
      </w:pPr>
      <w:r w:rsidRPr="00A729D8">
        <w:t xml:space="preserve">verifying the </w:t>
      </w:r>
      <w:r w:rsidR="00747D05" w:rsidRPr="00A729D8">
        <w:t>incident</w:t>
      </w:r>
      <w:r w:rsidRPr="00A729D8">
        <w:t xml:space="preserve"> </w:t>
      </w:r>
    </w:p>
    <w:p w14:paraId="1781CDCF" w14:textId="77777777" w:rsidR="00BC7C7A" w:rsidRPr="00A729D8" w:rsidRDefault="00B34554" w:rsidP="00121729">
      <w:pPr>
        <w:pStyle w:val="ListParagraph"/>
        <w:numPr>
          <w:ilvl w:val="1"/>
          <w:numId w:val="24"/>
        </w:numPr>
      </w:pPr>
      <w:r w:rsidRPr="00A729D8">
        <w:t xml:space="preserve">assessing whether the </w:t>
      </w:r>
      <w:r w:rsidR="00747D05" w:rsidRPr="00A729D8">
        <w:t>incident</w:t>
      </w:r>
      <w:r w:rsidRPr="00A729D8">
        <w:t xml:space="preserve"> is of national significance </w:t>
      </w:r>
    </w:p>
    <w:p w14:paraId="69C14694" w14:textId="77777777" w:rsidR="003E342C" w:rsidRPr="00A729D8" w:rsidRDefault="003E342C" w:rsidP="00121729">
      <w:pPr>
        <w:pStyle w:val="ListParagraph"/>
        <w:numPr>
          <w:ilvl w:val="1"/>
          <w:numId w:val="24"/>
        </w:numPr>
      </w:pPr>
      <w:r w:rsidRPr="00A729D8">
        <w:t xml:space="preserve">assessing the technical feasibility of eradication </w:t>
      </w:r>
    </w:p>
    <w:p w14:paraId="36BD8770" w14:textId="77777777" w:rsidR="003E342C" w:rsidRPr="00A729D8" w:rsidRDefault="003E342C" w:rsidP="00121729">
      <w:pPr>
        <w:pStyle w:val="ListParagraph"/>
        <w:numPr>
          <w:ilvl w:val="1"/>
          <w:numId w:val="24"/>
        </w:numPr>
      </w:pPr>
      <w:r w:rsidRPr="00A729D8">
        <w:t>assessing the benefit:cost of eradication</w:t>
      </w:r>
    </w:p>
    <w:p w14:paraId="2001AE34" w14:textId="0FCB9427" w:rsidR="00206B0C" w:rsidRPr="00A729D8" w:rsidRDefault="00B34554" w:rsidP="00121729">
      <w:pPr>
        <w:pStyle w:val="ListParagraph"/>
        <w:numPr>
          <w:ilvl w:val="0"/>
          <w:numId w:val="24"/>
        </w:numPr>
      </w:pPr>
      <w:r w:rsidRPr="00A729D8">
        <w:t xml:space="preserve">undertaking initial containment activities </w:t>
      </w:r>
      <w:r w:rsidR="00840ECB" w:rsidRPr="00A729D8">
        <w:t>undertaken in the Incident Definition Phase in accordance with clause 2.2.2 at Schedule 4</w:t>
      </w:r>
    </w:p>
    <w:p w14:paraId="7B84C48C" w14:textId="77777777" w:rsidR="00240C77" w:rsidRPr="00A729D8" w:rsidRDefault="00B34554" w:rsidP="00121729">
      <w:pPr>
        <w:pStyle w:val="ListParagraph"/>
        <w:numPr>
          <w:ilvl w:val="0"/>
          <w:numId w:val="24"/>
        </w:numPr>
      </w:pPr>
      <w:r w:rsidRPr="00A729D8">
        <w:t xml:space="preserve">undertaking any other activity that is part of the response as set out in </w:t>
      </w:r>
      <w:r w:rsidR="003E342C" w:rsidRPr="00A729D8">
        <w:t xml:space="preserve">a </w:t>
      </w:r>
      <w:r w:rsidR="00402008" w:rsidRPr="00A729D8">
        <w:t>R</w:t>
      </w:r>
      <w:r w:rsidRPr="00A729D8">
        <w:t xml:space="preserve">esponse </w:t>
      </w:r>
      <w:r w:rsidR="00402008" w:rsidRPr="00A729D8">
        <w:t>P</w:t>
      </w:r>
      <w:r w:rsidRPr="00A729D8">
        <w:t>lan</w:t>
      </w:r>
    </w:p>
    <w:p w14:paraId="2F752FE3" w14:textId="0FFF59B0" w:rsidR="00B34554" w:rsidRPr="00A729D8" w:rsidRDefault="00240C77" w:rsidP="00121729">
      <w:pPr>
        <w:pStyle w:val="ListParagraph"/>
        <w:numPr>
          <w:ilvl w:val="0"/>
          <w:numId w:val="24"/>
        </w:numPr>
      </w:pPr>
      <w:r w:rsidRPr="00A729D8">
        <w:t xml:space="preserve">a non-government </w:t>
      </w:r>
      <w:r w:rsidR="00454F21" w:rsidRPr="00A729D8">
        <w:t xml:space="preserve">entity </w:t>
      </w:r>
      <w:r w:rsidRPr="00A729D8">
        <w:t>that is a voting member at the NMG cannot be reimbursed for eligible costs associated with contributions provided in-kind</w:t>
      </w:r>
      <w:r w:rsidR="00B34554" w:rsidRPr="00A729D8">
        <w:t>.</w:t>
      </w:r>
    </w:p>
    <w:p w14:paraId="3DBAE936" w14:textId="77777777" w:rsidR="00B34554" w:rsidRPr="00A729D8" w:rsidRDefault="00B34554" w:rsidP="002106F9">
      <w:pPr>
        <w:pStyle w:val="Heading2"/>
        <w:keepNext w:val="0"/>
        <w:keepLines w:val="0"/>
      </w:pPr>
      <w:bookmarkStart w:id="190" w:name="_Toc7528122"/>
      <w:r w:rsidRPr="00A729D8">
        <w:t>Limit on cost-sharing obligation</w:t>
      </w:r>
      <w:bookmarkEnd w:id="190"/>
    </w:p>
    <w:p w14:paraId="46919CFA" w14:textId="77777777" w:rsidR="00F165EE" w:rsidRPr="00A729D8" w:rsidRDefault="00B34554" w:rsidP="002106F9">
      <w:r w:rsidRPr="00A729D8">
        <w:t xml:space="preserve">The obligations of affected parties, with regard to contributing to cost-sharing for a national response, will not apply beyond any caps or limits specified in the </w:t>
      </w:r>
      <w:r w:rsidR="00402008" w:rsidRPr="00A729D8">
        <w:t>R</w:t>
      </w:r>
      <w:r w:rsidRPr="00A729D8">
        <w:t xml:space="preserve">esponse </w:t>
      </w:r>
      <w:r w:rsidR="00402008" w:rsidRPr="00A729D8">
        <w:t>P</w:t>
      </w:r>
      <w:r w:rsidR="00955E21" w:rsidRPr="00A729D8">
        <w:t>lan.</w:t>
      </w:r>
    </w:p>
    <w:p w14:paraId="5B3FECEC" w14:textId="77777777" w:rsidR="00B34554" w:rsidRPr="00A729D8" w:rsidRDefault="00B34554" w:rsidP="002106F9">
      <w:pPr>
        <w:pStyle w:val="Heading2"/>
        <w:keepNext w:val="0"/>
        <w:keepLines w:val="0"/>
      </w:pPr>
      <w:bookmarkStart w:id="191" w:name="_Toc7528123"/>
      <w:r w:rsidRPr="00A729D8">
        <w:t>Initial rapid national response cost-sharing obligations</w:t>
      </w:r>
      <w:bookmarkEnd w:id="191"/>
    </w:p>
    <w:p w14:paraId="11EED587" w14:textId="77777777" w:rsidR="00B34554" w:rsidRPr="00A729D8" w:rsidRDefault="00B34554" w:rsidP="002106F9">
      <w:pPr>
        <w:pStyle w:val="Heading3"/>
        <w:keepNext w:val="0"/>
        <w:keepLines w:val="0"/>
      </w:pPr>
      <w:r w:rsidRPr="00A729D8">
        <w:t>The NMG/s may commit up to $5 million (in annual aggregate) towards the eligible costs associated with agreed national responses under this agreement.</w:t>
      </w:r>
    </w:p>
    <w:p w14:paraId="12826853" w14:textId="77777777" w:rsidR="00B34554" w:rsidRPr="00A729D8" w:rsidRDefault="00B34554" w:rsidP="002106F9">
      <w:pPr>
        <w:pStyle w:val="Heading3"/>
        <w:keepNext w:val="0"/>
        <w:keepLines w:val="0"/>
      </w:pPr>
      <w:r w:rsidRPr="00A729D8">
        <w:t xml:space="preserve">The parties must be in a position to provide their contribution to the amount in clause </w:t>
      </w:r>
      <w:r w:rsidR="00E2651B" w:rsidRPr="00A729D8">
        <w:t>7</w:t>
      </w:r>
      <w:r w:rsidR="0029552F" w:rsidRPr="00A729D8">
        <w:t>.7.1</w:t>
      </w:r>
      <w:r w:rsidRPr="00A729D8">
        <w:t>, determined in accordance with this clause.</w:t>
      </w:r>
    </w:p>
    <w:p w14:paraId="2FE8E82F" w14:textId="77777777" w:rsidR="00B34554" w:rsidRPr="00A729D8" w:rsidRDefault="00B34554" w:rsidP="002106F9">
      <w:pPr>
        <w:pStyle w:val="Heading3"/>
        <w:keepNext w:val="0"/>
        <w:keepLines w:val="0"/>
      </w:pPr>
      <w:r w:rsidRPr="00A729D8">
        <w:t>If the $5 million for eligible costs is exceeded in any one financial year, the relevant NMG (and any subsequent NMGs) must seek ministerial approval from all parties to continue activities and/or begin new emergency responses.</w:t>
      </w:r>
    </w:p>
    <w:p w14:paraId="1520171D" w14:textId="77777777" w:rsidR="00B34554" w:rsidRPr="00A729D8" w:rsidRDefault="00B34554" w:rsidP="002106F9">
      <w:pPr>
        <w:pStyle w:val="Heading3"/>
        <w:keepNext w:val="0"/>
        <w:keepLines w:val="0"/>
      </w:pPr>
      <w:r w:rsidRPr="00A729D8">
        <w:t xml:space="preserve">The </w:t>
      </w:r>
      <w:r w:rsidR="0057283D" w:rsidRPr="00A729D8">
        <w:t xml:space="preserve">Custodian </w:t>
      </w:r>
      <w:r w:rsidRPr="00A729D8">
        <w:t>will be responsible for monitoring expenditure under this delegation and will report annually to the Commonwealth, State and Territory Ministers responsible for biosecurity matters.</w:t>
      </w:r>
    </w:p>
    <w:p w14:paraId="0B236451" w14:textId="3753ACFF" w:rsidR="00B34554" w:rsidRPr="00A729D8" w:rsidRDefault="00206B0C" w:rsidP="00C4160B">
      <w:pPr>
        <w:pStyle w:val="Heading2"/>
        <w:keepLines w:val="0"/>
        <w:ind w:left="720" w:hanging="578"/>
      </w:pPr>
      <w:r w:rsidRPr="00A729D8">
        <w:t xml:space="preserve"> </w:t>
      </w:r>
      <w:bookmarkStart w:id="192" w:name="_Toc7528124"/>
      <w:r w:rsidR="00B34554" w:rsidRPr="00A729D8">
        <w:t xml:space="preserve">Contributions by </w:t>
      </w:r>
      <w:r w:rsidR="00402008" w:rsidRPr="00A729D8">
        <w:t xml:space="preserve">non-government </w:t>
      </w:r>
      <w:r w:rsidR="00454F21" w:rsidRPr="00A729D8">
        <w:t>entities</w:t>
      </w:r>
      <w:bookmarkEnd w:id="192"/>
      <w:r w:rsidR="00454F21" w:rsidRPr="00A729D8" w:rsidDel="00402008">
        <w:t xml:space="preserve"> </w:t>
      </w:r>
    </w:p>
    <w:p w14:paraId="67CC346A" w14:textId="77777777" w:rsidR="00B34554" w:rsidRPr="00A729D8" w:rsidRDefault="00B34554" w:rsidP="002106F9">
      <w:r w:rsidRPr="00A729D8">
        <w:t>In</w:t>
      </w:r>
      <w:r w:rsidR="00206B0C" w:rsidRPr="00A729D8">
        <w:t xml:space="preserve"> accordance with clause </w:t>
      </w:r>
      <w:r w:rsidR="0029552F" w:rsidRPr="00A729D8">
        <w:t>4.5</w:t>
      </w:r>
      <w:r w:rsidR="00206B0C" w:rsidRPr="00A729D8">
        <w:t>(f):</w:t>
      </w:r>
    </w:p>
    <w:p w14:paraId="2003C12B" w14:textId="6F401456" w:rsidR="00206B0C" w:rsidRPr="00A729D8" w:rsidRDefault="00B34554" w:rsidP="00121729">
      <w:pPr>
        <w:pStyle w:val="ListParagraph"/>
        <w:numPr>
          <w:ilvl w:val="0"/>
          <w:numId w:val="25"/>
        </w:numPr>
      </w:pPr>
      <w:r w:rsidRPr="00A729D8">
        <w:t xml:space="preserve">parties acknowledge the challenge of </w:t>
      </w:r>
      <w:r w:rsidR="000908BC" w:rsidRPr="00A729D8">
        <w:t xml:space="preserve">having non-government </w:t>
      </w:r>
      <w:r w:rsidR="00454F21" w:rsidRPr="00A729D8">
        <w:t xml:space="preserve">entities </w:t>
      </w:r>
      <w:r w:rsidR="00CF2744" w:rsidRPr="00A729D8">
        <w:t>involved in</w:t>
      </w:r>
      <w:r w:rsidRPr="00A729D8">
        <w:t xml:space="preserve"> national cost-sharing </w:t>
      </w:r>
      <w:r w:rsidR="003245E1" w:rsidRPr="00A729D8">
        <w:t xml:space="preserve">of </w:t>
      </w:r>
      <w:r w:rsidR="00215E25" w:rsidRPr="00A729D8">
        <w:t xml:space="preserve">national </w:t>
      </w:r>
      <w:r w:rsidR="00CF2744" w:rsidRPr="00A729D8">
        <w:t xml:space="preserve">environmental </w:t>
      </w:r>
      <w:r w:rsidR="00215E25" w:rsidRPr="00A729D8">
        <w:t xml:space="preserve">biosecurity incidents </w:t>
      </w:r>
    </w:p>
    <w:p w14:paraId="4B164F5C" w14:textId="08592C8B" w:rsidR="00206B0C" w:rsidRPr="00A729D8" w:rsidRDefault="00B34554" w:rsidP="00121729">
      <w:pPr>
        <w:pStyle w:val="ListParagraph"/>
        <w:numPr>
          <w:ilvl w:val="0"/>
          <w:numId w:val="25"/>
        </w:numPr>
      </w:pPr>
      <w:r w:rsidRPr="00A729D8">
        <w:lastRenderedPageBreak/>
        <w:t xml:space="preserve">the parties agree that, given the complexities of issues associated with species-specific emergency responses,  contributions </w:t>
      </w:r>
      <w:r w:rsidR="00CF2744" w:rsidRPr="00A729D8">
        <w:t xml:space="preserve">from non-government </w:t>
      </w:r>
      <w:r w:rsidR="00454F21" w:rsidRPr="00A729D8">
        <w:t xml:space="preserve">entities </w:t>
      </w:r>
      <w:r w:rsidRPr="00A729D8">
        <w:t xml:space="preserve">should be considered by the NMG on a </w:t>
      </w:r>
      <w:r w:rsidR="00206B0C" w:rsidRPr="00A729D8">
        <w:t>case-by-case basis</w:t>
      </w:r>
      <w:r w:rsidR="00CF2744" w:rsidRPr="00A729D8">
        <w:t>.</w:t>
      </w:r>
    </w:p>
    <w:p w14:paraId="31EF53DD" w14:textId="77777777" w:rsidR="00B34554" w:rsidRPr="00A729D8" w:rsidRDefault="00B34554" w:rsidP="002106F9">
      <w:pPr>
        <w:pStyle w:val="Heading2"/>
        <w:keepNext w:val="0"/>
        <w:keepLines w:val="0"/>
      </w:pPr>
      <w:bookmarkStart w:id="193" w:name="_Toc530410354"/>
      <w:bookmarkStart w:id="194" w:name="_Toc531359294"/>
      <w:bookmarkStart w:id="195" w:name="_Toc531359453"/>
      <w:bookmarkStart w:id="196" w:name="_Toc530410355"/>
      <w:bookmarkStart w:id="197" w:name="_Toc531359295"/>
      <w:bookmarkStart w:id="198" w:name="_Toc531359454"/>
      <w:bookmarkStart w:id="199" w:name="_Toc530410356"/>
      <w:bookmarkStart w:id="200" w:name="_Toc531359296"/>
      <w:bookmarkStart w:id="201" w:name="_Toc531359455"/>
      <w:bookmarkStart w:id="202" w:name="_Toc530410357"/>
      <w:bookmarkStart w:id="203" w:name="_Toc531359297"/>
      <w:bookmarkStart w:id="204" w:name="_Toc531359456"/>
      <w:bookmarkStart w:id="205" w:name="_Toc530410358"/>
      <w:bookmarkStart w:id="206" w:name="_Toc531359298"/>
      <w:bookmarkStart w:id="207" w:name="_Toc531359457"/>
      <w:bookmarkStart w:id="208" w:name="_Toc530410359"/>
      <w:bookmarkStart w:id="209" w:name="_Toc531359299"/>
      <w:bookmarkStart w:id="210" w:name="_Toc531359458"/>
      <w:bookmarkStart w:id="211" w:name="_Toc530410360"/>
      <w:bookmarkStart w:id="212" w:name="_Toc531359300"/>
      <w:bookmarkStart w:id="213" w:name="_Toc531359459"/>
      <w:bookmarkStart w:id="214" w:name="_Toc530410361"/>
      <w:bookmarkStart w:id="215" w:name="_Toc531359301"/>
      <w:bookmarkStart w:id="216" w:name="_Toc531359460"/>
      <w:bookmarkStart w:id="217" w:name="_Toc530410362"/>
      <w:bookmarkStart w:id="218" w:name="_Toc531359302"/>
      <w:bookmarkStart w:id="219" w:name="_Toc531359461"/>
      <w:bookmarkStart w:id="220" w:name="_Toc7528125"/>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A729D8">
        <w:t xml:space="preserve">Accounting for a </w:t>
      </w:r>
      <w:r w:rsidR="00582DF0" w:rsidRPr="00A729D8">
        <w:t>R</w:t>
      </w:r>
      <w:r w:rsidRPr="00A729D8">
        <w:t xml:space="preserve">esponse </w:t>
      </w:r>
      <w:r w:rsidR="00582DF0" w:rsidRPr="00A729D8">
        <w:t>P</w:t>
      </w:r>
      <w:r w:rsidRPr="00A729D8">
        <w:t>lan</w:t>
      </w:r>
      <w:bookmarkEnd w:id="220"/>
    </w:p>
    <w:p w14:paraId="45711E26" w14:textId="600E895D" w:rsidR="00B34554" w:rsidRPr="00A729D8" w:rsidRDefault="00B34554" w:rsidP="002106F9">
      <w:pPr>
        <w:pStyle w:val="Heading3"/>
        <w:keepNext w:val="0"/>
        <w:keepLines w:val="0"/>
      </w:pPr>
      <w:r w:rsidRPr="00A729D8">
        <w:t>All parties</w:t>
      </w:r>
      <w:r w:rsidR="00CF2744" w:rsidRPr="00A729D8">
        <w:t>,</w:t>
      </w:r>
      <w:r w:rsidR="00546338" w:rsidRPr="00A729D8">
        <w:t xml:space="preserve"> and non-government </w:t>
      </w:r>
      <w:r w:rsidR="00454F21" w:rsidRPr="00A729D8">
        <w:t xml:space="preserve">entities </w:t>
      </w:r>
      <w:r w:rsidR="00546338" w:rsidRPr="00A729D8">
        <w:t>that are voting members at NMG</w:t>
      </w:r>
      <w:r w:rsidR="00CF2744" w:rsidRPr="00A729D8">
        <w:t>,</w:t>
      </w:r>
      <w:r w:rsidRPr="00A729D8">
        <w:t xml:space="preserve"> must:</w:t>
      </w:r>
    </w:p>
    <w:p w14:paraId="1F9E81FB" w14:textId="77777777" w:rsidR="00B34554" w:rsidRPr="00A729D8" w:rsidRDefault="00B34554" w:rsidP="00121729">
      <w:pPr>
        <w:pStyle w:val="ListParagraph"/>
        <w:numPr>
          <w:ilvl w:val="0"/>
          <w:numId w:val="36"/>
        </w:numPr>
      </w:pPr>
      <w:r w:rsidRPr="00A729D8">
        <w:t>keep records, in auditable form, of eligible costs</w:t>
      </w:r>
    </w:p>
    <w:p w14:paraId="1EED3C6C" w14:textId="77777777" w:rsidR="00B34554" w:rsidRPr="00A729D8" w:rsidRDefault="00B34554" w:rsidP="00121729">
      <w:pPr>
        <w:pStyle w:val="ListParagraph"/>
        <w:numPr>
          <w:ilvl w:val="0"/>
          <w:numId w:val="36"/>
        </w:numPr>
      </w:pPr>
      <w:r w:rsidRPr="00A729D8">
        <w:t xml:space="preserve">be able to substantiate claims for reimbursement in accordance with clause </w:t>
      </w:r>
      <w:r w:rsidR="00E2651B" w:rsidRPr="00A729D8">
        <w:t>7</w:t>
      </w:r>
      <w:r w:rsidR="00FC70FB" w:rsidRPr="00A729D8">
        <w:t>.3</w:t>
      </w:r>
      <w:r w:rsidRPr="00A729D8">
        <w:t xml:space="preserve"> arising from eligible costs incurred for each national response they are involved in.</w:t>
      </w:r>
    </w:p>
    <w:p w14:paraId="0E33C498" w14:textId="503DC881" w:rsidR="00DB3741" w:rsidRPr="00A729D8" w:rsidRDefault="00DB3741" w:rsidP="00DB3741">
      <w:pPr>
        <w:pStyle w:val="Heading3"/>
      </w:pPr>
      <w:r w:rsidRPr="00A729D8">
        <w:t xml:space="preserve">All non–government </w:t>
      </w:r>
      <w:r w:rsidR="00454F21" w:rsidRPr="00A729D8">
        <w:t xml:space="preserve">entities </w:t>
      </w:r>
      <w:r w:rsidRPr="00A729D8">
        <w:t xml:space="preserve">that </w:t>
      </w:r>
      <w:r w:rsidR="00546338" w:rsidRPr="00A729D8">
        <w:t>are voting members of NMG</w:t>
      </w:r>
      <w:r w:rsidRPr="00A729D8">
        <w:t xml:space="preserve"> must keep records, in auditable form, of any in-kind activity that has been agreed at the NMG as a contribution that equates to a dollar amount.</w:t>
      </w:r>
    </w:p>
    <w:p w14:paraId="7309A806" w14:textId="6D41E60F" w:rsidR="00B34554" w:rsidRPr="00A729D8" w:rsidRDefault="00B34554" w:rsidP="002106F9">
      <w:pPr>
        <w:pStyle w:val="Heading3"/>
        <w:keepNext w:val="0"/>
        <w:keepLines w:val="0"/>
      </w:pPr>
      <w:r w:rsidRPr="00A729D8">
        <w:t>All parties</w:t>
      </w:r>
      <w:r w:rsidR="00B20F48" w:rsidRPr="00A729D8">
        <w:t xml:space="preserve"> and </w:t>
      </w:r>
      <w:r w:rsidR="00DB3741" w:rsidRPr="00A729D8">
        <w:t xml:space="preserve">non-government </w:t>
      </w:r>
      <w:r w:rsidR="00454F21" w:rsidRPr="00A729D8">
        <w:t xml:space="preserve">entities </w:t>
      </w:r>
      <w:r w:rsidR="00546338" w:rsidRPr="00A729D8">
        <w:t xml:space="preserve">that are </w:t>
      </w:r>
      <w:r w:rsidR="00B20F48" w:rsidRPr="00A729D8">
        <w:t>voting members of NMG</w:t>
      </w:r>
      <w:r w:rsidR="00DB3741" w:rsidRPr="00A729D8">
        <w:t>,</w:t>
      </w:r>
      <w:r w:rsidRPr="00A729D8">
        <w:t xml:space="preserve"> must make these records available, in accordance with clause </w:t>
      </w:r>
      <w:r w:rsidR="009949A4" w:rsidRPr="00A729D8">
        <w:t>7</w:t>
      </w:r>
      <w:r w:rsidR="00FC70FB" w:rsidRPr="00A729D8">
        <w:t>.9</w:t>
      </w:r>
      <w:r w:rsidRPr="00A729D8">
        <w:t xml:space="preserve">, when the cost- sharing arrangements are coordinated, as outlined in clause </w:t>
      </w:r>
      <w:r w:rsidR="009949A4" w:rsidRPr="00A729D8">
        <w:t>7</w:t>
      </w:r>
      <w:r w:rsidR="00FC70FB" w:rsidRPr="00A729D8">
        <w:t>.10</w:t>
      </w:r>
      <w:r w:rsidRPr="00A729D8">
        <w:t>.</w:t>
      </w:r>
    </w:p>
    <w:p w14:paraId="547FDFD8" w14:textId="77777777" w:rsidR="00B34554" w:rsidRPr="00A729D8" w:rsidRDefault="00B34554" w:rsidP="002106F9">
      <w:pPr>
        <w:pStyle w:val="Heading2"/>
        <w:keepNext w:val="0"/>
        <w:keepLines w:val="0"/>
      </w:pPr>
      <w:bookmarkStart w:id="221" w:name="_Toc7528126"/>
      <w:r w:rsidRPr="00A729D8">
        <w:t>Coordination of claims for reimbursement</w:t>
      </w:r>
      <w:bookmarkEnd w:id="221"/>
    </w:p>
    <w:p w14:paraId="48BB5070" w14:textId="77777777" w:rsidR="00206B0C" w:rsidRPr="00A729D8" w:rsidRDefault="00CC4DBB" w:rsidP="00CC4DBB">
      <w:pPr>
        <w:pStyle w:val="Heading3"/>
        <w:keepNext w:val="0"/>
        <w:keepLines w:val="0"/>
      </w:pPr>
      <w:r w:rsidRPr="00A729D8">
        <w:t>T</w:t>
      </w:r>
      <w:r w:rsidR="00B34554" w:rsidRPr="00A729D8">
        <w:t xml:space="preserve">he </w:t>
      </w:r>
      <w:r w:rsidR="009F1BEB" w:rsidRPr="00A729D8">
        <w:t>Custodian</w:t>
      </w:r>
      <w:r w:rsidR="00B34554" w:rsidRPr="00A729D8">
        <w:t xml:space="preserve"> will coordina</w:t>
      </w:r>
      <w:r w:rsidR="009F1BEB" w:rsidRPr="00A729D8">
        <w:t>te</w:t>
      </w:r>
      <w:r w:rsidR="00B34554" w:rsidRPr="00A729D8">
        <w:t xml:space="preserve"> and collat</w:t>
      </w:r>
      <w:r w:rsidR="009F1BEB" w:rsidRPr="00A729D8">
        <w:t>e</w:t>
      </w:r>
      <w:r w:rsidR="00B34554" w:rsidRPr="00A729D8">
        <w:t xml:space="preserve"> claims for reimbursement, in accordance with clause </w:t>
      </w:r>
      <w:r w:rsidR="00E2651B" w:rsidRPr="00A729D8">
        <w:t>7</w:t>
      </w:r>
      <w:r w:rsidR="00230442" w:rsidRPr="00A729D8">
        <w:t>.5</w:t>
      </w:r>
      <w:r w:rsidR="00B34554" w:rsidRPr="00A729D8">
        <w:t>, of a</w:t>
      </w:r>
      <w:r w:rsidR="00CF2744" w:rsidRPr="00A729D8">
        <w:t>n affected</w:t>
      </w:r>
      <w:r w:rsidR="00B34554" w:rsidRPr="00A729D8">
        <w:t xml:space="preserve"> party’s eligible costs arising from a national response</w:t>
      </w:r>
      <w:r w:rsidR="00CF2744" w:rsidRPr="00A729D8">
        <w:t xml:space="preserve"> and</w:t>
      </w:r>
      <w:r w:rsidR="00B34554" w:rsidRPr="00A729D8">
        <w:t xml:space="preserve"> manage:</w:t>
      </w:r>
    </w:p>
    <w:p w14:paraId="5509B2E6" w14:textId="77777777" w:rsidR="00206B0C" w:rsidRPr="00A729D8" w:rsidRDefault="00B34554" w:rsidP="00121729">
      <w:pPr>
        <w:pStyle w:val="ListParagraph"/>
        <w:numPr>
          <w:ilvl w:val="0"/>
          <w:numId w:val="26"/>
        </w:numPr>
      </w:pPr>
      <w:r w:rsidRPr="00A729D8">
        <w:t xml:space="preserve">the receipt and processing of applications from </w:t>
      </w:r>
      <w:r w:rsidR="00CF2744" w:rsidRPr="00A729D8">
        <w:t xml:space="preserve">affected </w:t>
      </w:r>
      <w:r w:rsidRPr="00A729D8">
        <w:t>parties for reimbursement of eligible costs</w:t>
      </w:r>
    </w:p>
    <w:p w14:paraId="70211611" w14:textId="77777777" w:rsidR="00206B0C" w:rsidRPr="00A729D8" w:rsidRDefault="00B34554" w:rsidP="00121729">
      <w:pPr>
        <w:pStyle w:val="ListParagraph"/>
        <w:numPr>
          <w:ilvl w:val="0"/>
          <w:numId w:val="26"/>
        </w:numPr>
      </w:pPr>
      <w:r w:rsidRPr="00A729D8">
        <w:t>verification that a</w:t>
      </w:r>
      <w:r w:rsidR="00CF2744" w:rsidRPr="00A729D8">
        <w:t>n</w:t>
      </w:r>
      <w:r w:rsidRPr="00A729D8">
        <w:t xml:space="preserve"> </w:t>
      </w:r>
      <w:r w:rsidR="00CF2744" w:rsidRPr="00A729D8">
        <w:t xml:space="preserve">affected </w:t>
      </w:r>
      <w:r w:rsidRPr="00A729D8">
        <w:t>party has provided the information required to satisfy the NMG that</w:t>
      </w:r>
    </w:p>
    <w:p w14:paraId="40587553" w14:textId="77777777" w:rsidR="00206B0C" w:rsidRPr="00A729D8" w:rsidRDefault="00B34554" w:rsidP="00121729">
      <w:pPr>
        <w:pStyle w:val="ListParagraph"/>
        <w:numPr>
          <w:ilvl w:val="1"/>
          <w:numId w:val="26"/>
        </w:numPr>
      </w:pPr>
      <w:r w:rsidRPr="00A729D8">
        <w:t>the amount of the claim constitutes eligible costs</w:t>
      </w:r>
    </w:p>
    <w:p w14:paraId="1C99C167" w14:textId="77777777" w:rsidR="00206B0C" w:rsidRPr="00A729D8" w:rsidRDefault="00B34554" w:rsidP="00121729">
      <w:pPr>
        <w:pStyle w:val="ListParagraph"/>
        <w:numPr>
          <w:ilvl w:val="1"/>
          <w:numId w:val="26"/>
        </w:numPr>
      </w:pPr>
      <w:r w:rsidRPr="00A729D8">
        <w:t>those eligible costs have been incurred by the claiming party in connection with the agreed national response</w:t>
      </w:r>
    </w:p>
    <w:p w14:paraId="519D5480" w14:textId="77777777" w:rsidR="00206B0C" w:rsidRPr="00A729D8" w:rsidRDefault="00B34554" w:rsidP="00121729">
      <w:pPr>
        <w:pStyle w:val="ListParagraph"/>
        <w:numPr>
          <w:ilvl w:val="0"/>
          <w:numId w:val="26"/>
        </w:numPr>
      </w:pPr>
      <w:r w:rsidRPr="00A729D8">
        <w:t>the referral back to the NMG for clarification on what constitutes eligible costs if this is unclear</w:t>
      </w:r>
    </w:p>
    <w:p w14:paraId="1BBF824D" w14:textId="77777777" w:rsidR="00206B0C" w:rsidRPr="00A729D8" w:rsidRDefault="00B34554" w:rsidP="00121729">
      <w:pPr>
        <w:pStyle w:val="ListParagraph"/>
        <w:numPr>
          <w:ilvl w:val="0"/>
          <w:numId w:val="26"/>
        </w:numPr>
      </w:pPr>
      <w:r w:rsidRPr="00A729D8">
        <w:t>the reimbursement of a</w:t>
      </w:r>
      <w:r w:rsidR="00CF2744" w:rsidRPr="00A729D8">
        <w:t xml:space="preserve">n affected </w:t>
      </w:r>
      <w:r w:rsidRPr="00A729D8">
        <w:t>party’s eligible costs</w:t>
      </w:r>
    </w:p>
    <w:p w14:paraId="1CF6889C" w14:textId="77777777" w:rsidR="00B34554" w:rsidRPr="00A729D8" w:rsidRDefault="00B34554" w:rsidP="00121729">
      <w:pPr>
        <w:pStyle w:val="ListParagraph"/>
        <w:numPr>
          <w:ilvl w:val="0"/>
          <w:numId w:val="26"/>
        </w:numPr>
      </w:pPr>
      <w:r w:rsidRPr="00A729D8">
        <w:t xml:space="preserve">records of claims receivable and payable by </w:t>
      </w:r>
      <w:r w:rsidR="00CF2744" w:rsidRPr="00A729D8">
        <w:t xml:space="preserve">affected </w:t>
      </w:r>
      <w:r w:rsidRPr="00A729D8">
        <w:t xml:space="preserve">parties in accordance with the cost-sharing arrangements under this agreement, including requesting that records will be kept by the </w:t>
      </w:r>
      <w:r w:rsidR="00CF2744" w:rsidRPr="00A729D8">
        <w:t xml:space="preserve">affected </w:t>
      </w:r>
      <w:r w:rsidRPr="00A729D8">
        <w:t xml:space="preserve">parties in accordance with clause </w:t>
      </w:r>
      <w:r w:rsidR="00E2651B" w:rsidRPr="00A729D8">
        <w:t>7</w:t>
      </w:r>
      <w:r w:rsidR="00230442" w:rsidRPr="00A729D8">
        <w:t>.9</w:t>
      </w:r>
    </w:p>
    <w:p w14:paraId="38E38AD6" w14:textId="72AE268D" w:rsidR="00CC4DBB" w:rsidRPr="00A729D8" w:rsidRDefault="00CC4DBB" w:rsidP="00121729">
      <w:pPr>
        <w:pStyle w:val="ListParagraph"/>
        <w:numPr>
          <w:ilvl w:val="0"/>
          <w:numId w:val="26"/>
        </w:numPr>
      </w:pPr>
      <w:r w:rsidRPr="00A729D8">
        <w:t xml:space="preserve">keep </w:t>
      </w:r>
      <w:r w:rsidR="004F47A0" w:rsidRPr="00A729D8">
        <w:t xml:space="preserve">records </w:t>
      </w:r>
      <w:r w:rsidRPr="00A729D8">
        <w:t xml:space="preserve">of </w:t>
      </w:r>
      <w:r w:rsidR="00CF2744" w:rsidRPr="00A729D8">
        <w:t xml:space="preserve">financial and in-kind contributions made by </w:t>
      </w:r>
      <w:r w:rsidRPr="00A729D8">
        <w:t xml:space="preserve">non-government </w:t>
      </w:r>
      <w:r w:rsidR="00454F21" w:rsidRPr="00A729D8">
        <w:t>entity</w:t>
      </w:r>
      <w:r w:rsidR="00CF2744" w:rsidRPr="00A729D8">
        <w:t>.</w:t>
      </w:r>
    </w:p>
    <w:p w14:paraId="0C51F622" w14:textId="77777777" w:rsidR="00B34554" w:rsidRPr="00A729D8" w:rsidRDefault="00B34554" w:rsidP="00DF5957">
      <w:pPr>
        <w:pStyle w:val="Heading2"/>
        <w:keepLines w:val="0"/>
        <w:ind w:left="720" w:hanging="578"/>
      </w:pPr>
      <w:bookmarkStart w:id="222" w:name="_Toc530410365"/>
      <w:bookmarkStart w:id="223" w:name="_Toc531359305"/>
      <w:bookmarkStart w:id="224" w:name="_Toc531359464"/>
      <w:bookmarkStart w:id="225" w:name="_Toc530410366"/>
      <w:bookmarkStart w:id="226" w:name="_Toc531359306"/>
      <w:bookmarkStart w:id="227" w:name="_Toc531359465"/>
      <w:bookmarkStart w:id="228" w:name="_Toc530410367"/>
      <w:bookmarkStart w:id="229" w:name="_Toc531359307"/>
      <w:bookmarkStart w:id="230" w:name="_Toc531359466"/>
      <w:bookmarkStart w:id="231" w:name="_Toc7528127"/>
      <w:bookmarkEnd w:id="222"/>
      <w:bookmarkEnd w:id="223"/>
      <w:bookmarkEnd w:id="224"/>
      <w:bookmarkEnd w:id="225"/>
      <w:bookmarkEnd w:id="226"/>
      <w:bookmarkEnd w:id="227"/>
      <w:bookmarkEnd w:id="228"/>
      <w:bookmarkEnd w:id="229"/>
      <w:bookmarkEnd w:id="230"/>
      <w:r w:rsidRPr="00A729D8">
        <w:t>Reporting</w:t>
      </w:r>
      <w:bookmarkEnd w:id="231"/>
    </w:p>
    <w:p w14:paraId="3F5C2748" w14:textId="77777777" w:rsidR="00B34554" w:rsidRPr="00A729D8" w:rsidRDefault="00B34554" w:rsidP="002106F9">
      <w:pPr>
        <w:pStyle w:val="Heading3"/>
        <w:keepNext w:val="0"/>
        <w:keepLines w:val="0"/>
      </w:pPr>
      <w:r w:rsidRPr="00A729D8">
        <w:t xml:space="preserve">Each affected party must provide, at meetings of the </w:t>
      </w:r>
      <w:r w:rsidR="00B20F48" w:rsidRPr="00A729D8">
        <w:t>NBMCC</w:t>
      </w:r>
      <w:r w:rsidRPr="00A729D8">
        <w:t>, or at other agreed times, a written report in the form of A</w:t>
      </w:r>
      <w:r w:rsidR="009B7D31" w:rsidRPr="00A729D8">
        <w:t>ttachment 4</w:t>
      </w:r>
      <w:r w:rsidRPr="00A729D8">
        <w:t xml:space="preserve">F to Schedule </w:t>
      </w:r>
      <w:r w:rsidR="009B7D31" w:rsidRPr="00A729D8">
        <w:t>4</w:t>
      </w:r>
      <w:r w:rsidRPr="00A729D8">
        <w:t xml:space="preserve">, setting out their budgeted, committed and actual expenditure relating to the </w:t>
      </w:r>
      <w:r w:rsidR="00E7297E" w:rsidRPr="00A729D8">
        <w:t>Response Plan</w:t>
      </w:r>
      <w:r w:rsidRPr="00A729D8">
        <w:t>.</w:t>
      </w:r>
    </w:p>
    <w:p w14:paraId="4D5BC016" w14:textId="77777777" w:rsidR="00B34554" w:rsidRPr="00A729D8" w:rsidRDefault="00B34554" w:rsidP="002106F9">
      <w:pPr>
        <w:pStyle w:val="Heading3"/>
        <w:keepNext w:val="0"/>
        <w:keepLines w:val="0"/>
      </w:pPr>
      <w:r w:rsidRPr="00A729D8">
        <w:lastRenderedPageBreak/>
        <w:t xml:space="preserve">The </w:t>
      </w:r>
      <w:r w:rsidR="00B20F48" w:rsidRPr="00A729D8">
        <w:t>NBMCC</w:t>
      </w:r>
      <w:r w:rsidRPr="00A729D8">
        <w:t xml:space="preserve"> must promptly report to the NMG on the progress of a national response and matters requiring NMG consideration.</w:t>
      </w:r>
    </w:p>
    <w:p w14:paraId="53E4D80B" w14:textId="77777777" w:rsidR="00B34554" w:rsidRPr="00A729D8" w:rsidRDefault="00B34554" w:rsidP="002106F9">
      <w:pPr>
        <w:pStyle w:val="Heading2"/>
        <w:keepNext w:val="0"/>
        <w:keepLines w:val="0"/>
      </w:pPr>
      <w:bookmarkStart w:id="232" w:name="_Toc7528128"/>
      <w:r w:rsidRPr="00A729D8">
        <w:t>Auditing</w:t>
      </w:r>
      <w:bookmarkEnd w:id="232"/>
    </w:p>
    <w:p w14:paraId="0D4105DA" w14:textId="1E09E430" w:rsidR="00B34554" w:rsidRPr="00A729D8" w:rsidRDefault="00B34554" w:rsidP="002106F9">
      <w:pPr>
        <w:pStyle w:val="Heading3"/>
        <w:keepNext w:val="0"/>
        <w:keepLines w:val="0"/>
      </w:pPr>
      <w:r w:rsidRPr="00A729D8">
        <w:t xml:space="preserve">The NMG may request, at any time, a financial or efficiency audit of the implementation of a </w:t>
      </w:r>
      <w:r w:rsidR="00E7297E" w:rsidRPr="00A729D8">
        <w:t>Response Plan</w:t>
      </w:r>
      <w:r w:rsidRPr="00A729D8">
        <w:t>.</w:t>
      </w:r>
    </w:p>
    <w:p w14:paraId="128A263C" w14:textId="77777777" w:rsidR="00B34554" w:rsidRPr="00A729D8" w:rsidRDefault="00B34554" w:rsidP="002106F9">
      <w:pPr>
        <w:pStyle w:val="Heading3"/>
        <w:keepNext w:val="0"/>
        <w:keepLines w:val="0"/>
      </w:pPr>
      <w:r w:rsidRPr="00A729D8">
        <w:t xml:space="preserve">If the NBC or the NMG requests an efficiency audit, the audit will be prepared by an external provider in accordance with item 2 of Attachment </w:t>
      </w:r>
      <w:r w:rsidR="009B7D31" w:rsidRPr="00A729D8">
        <w:t>4</w:t>
      </w:r>
      <w:r w:rsidRPr="00A729D8">
        <w:t xml:space="preserve">G to Schedule </w:t>
      </w:r>
      <w:r w:rsidR="009B7D31" w:rsidRPr="00A729D8">
        <w:t>4</w:t>
      </w:r>
      <w:r w:rsidRPr="00A729D8">
        <w:t>.</w:t>
      </w:r>
    </w:p>
    <w:p w14:paraId="58E97B73" w14:textId="77777777" w:rsidR="00206B0C" w:rsidRPr="00A729D8" w:rsidRDefault="00B34554" w:rsidP="002106F9">
      <w:pPr>
        <w:pStyle w:val="Heading3"/>
        <w:keepNext w:val="0"/>
        <w:keepLines w:val="0"/>
      </w:pPr>
      <w:r w:rsidRPr="00A729D8">
        <w:t>If the NBC or the NMG requests a financial audit an external provider will be appointed to:</w:t>
      </w:r>
    </w:p>
    <w:p w14:paraId="1031D8B3" w14:textId="77777777" w:rsidR="00206B0C" w:rsidRPr="00A729D8" w:rsidRDefault="00B34554" w:rsidP="00121729">
      <w:pPr>
        <w:pStyle w:val="ListParagraph"/>
        <w:numPr>
          <w:ilvl w:val="0"/>
          <w:numId w:val="27"/>
        </w:numPr>
      </w:pPr>
      <w:r w:rsidRPr="00A729D8">
        <w:t>provide a formal sign-off on any claims or payments made regarding the cost-sharing of eligible costs</w:t>
      </w:r>
    </w:p>
    <w:p w14:paraId="63531069" w14:textId="77777777" w:rsidR="00B34554" w:rsidRPr="00A729D8" w:rsidRDefault="00B34554" w:rsidP="00121729">
      <w:pPr>
        <w:pStyle w:val="ListParagraph"/>
        <w:numPr>
          <w:ilvl w:val="0"/>
          <w:numId w:val="27"/>
        </w:numPr>
      </w:pPr>
      <w:r w:rsidRPr="00A729D8">
        <w:t xml:space="preserve">have regard to the matters set out in item 3 of Attachment </w:t>
      </w:r>
      <w:r w:rsidR="009B7D31" w:rsidRPr="00A729D8">
        <w:t>4</w:t>
      </w:r>
      <w:r w:rsidRPr="00A729D8">
        <w:t xml:space="preserve">G to Schedule </w:t>
      </w:r>
      <w:r w:rsidR="009B7D31" w:rsidRPr="00A729D8">
        <w:t>4</w:t>
      </w:r>
      <w:r w:rsidRPr="00A729D8">
        <w:t>.</w:t>
      </w:r>
    </w:p>
    <w:p w14:paraId="04A96DA1" w14:textId="77777777" w:rsidR="00B34554" w:rsidRPr="00A729D8" w:rsidRDefault="00B34554" w:rsidP="002106F9">
      <w:pPr>
        <w:pStyle w:val="Heading3"/>
        <w:keepNext w:val="0"/>
        <w:keepLines w:val="0"/>
      </w:pPr>
      <w:r w:rsidRPr="00A729D8">
        <w:t xml:space="preserve">The costs of undertaking activities in accordance with clauses </w:t>
      </w:r>
      <w:r w:rsidR="009949A4" w:rsidRPr="00A729D8">
        <w:t>7</w:t>
      </w:r>
      <w:r w:rsidR="009B7D31" w:rsidRPr="00A729D8">
        <w:t>.12</w:t>
      </w:r>
      <w:r w:rsidR="007D27A2" w:rsidRPr="00A729D8">
        <w:t>.2</w:t>
      </w:r>
      <w:r w:rsidRPr="00A729D8">
        <w:t xml:space="preserve"> and </w:t>
      </w:r>
      <w:r w:rsidR="007D27A2" w:rsidRPr="00A729D8">
        <w:t>7.12.3 will</w:t>
      </w:r>
      <w:r w:rsidRPr="00A729D8">
        <w:t xml:space="preserve"> be classed as eligible costs in accordance with items 2 and 3.5 of Schedule </w:t>
      </w:r>
      <w:r w:rsidR="009B7D31" w:rsidRPr="00A729D8">
        <w:t>4</w:t>
      </w:r>
      <w:r w:rsidRPr="00A729D8">
        <w:t>.</w:t>
      </w:r>
    </w:p>
    <w:p w14:paraId="72DF7906" w14:textId="77777777" w:rsidR="00C6103F" w:rsidRPr="00A729D8" w:rsidRDefault="00C6103F" w:rsidP="002106F9">
      <w:pPr>
        <w:spacing w:before="0" w:after="160" w:line="252" w:lineRule="auto"/>
      </w:pPr>
      <w:r w:rsidRPr="00A729D8">
        <w:br w:type="page"/>
      </w:r>
    </w:p>
    <w:p w14:paraId="0232DC96" w14:textId="6778D6BA" w:rsidR="00B34554" w:rsidRPr="00A729D8" w:rsidRDefault="004F47A0" w:rsidP="002106F9">
      <w:pPr>
        <w:pStyle w:val="Heading1"/>
        <w:keepNext w:val="0"/>
        <w:keepLines w:val="0"/>
      </w:pPr>
      <w:bookmarkStart w:id="233" w:name="_Toc7528129"/>
      <w:r w:rsidRPr="00A729D8">
        <w:lastRenderedPageBreak/>
        <w:t>Committee arrangements</w:t>
      </w:r>
      <w:bookmarkEnd w:id="233"/>
    </w:p>
    <w:p w14:paraId="74450E47" w14:textId="77777777" w:rsidR="00B34554" w:rsidRPr="00A729D8" w:rsidRDefault="00B34554" w:rsidP="002106F9">
      <w:pPr>
        <w:pStyle w:val="Heading2"/>
        <w:keepNext w:val="0"/>
        <w:keepLines w:val="0"/>
      </w:pPr>
      <w:bookmarkStart w:id="234" w:name="_Toc7528130"/>
      <w:r w:rsidRPr="00A729D8">
        <w:t>Institutional structures to support this agreement</w:t>
      </w:r>
      <w:bookmarkEnd w:id="234"/>
    </w:p>
    <w:p w14:paraId="1841A4F2" w14:textId="77777777" w:rsidR="00C6103F" w:rsidRPr="00A729D8" w:rsidRDefault="00B34554" w:rsidP="002106F9">
      <w:pPr>
        <w:pStyle w:val="Heading3"/>
        <w:keepNext w:val="0"/>
        <w:keepLines w:val="0"/>
      </w:pPr>
      <w:r w:rsidRPr="00A729D8">
        <w:t>The parties agree that this agreement will be supported by national institutional arrangements that deliver consolidated, strategic and timely decision-making.</w:t>
      </w:r>
    </w:p>
    <w:p w14:paraId="296198BB" w14:textId="77777777" w:rsidR="00B34554" w:rsidRPr="00A729D8" w:rsidRDefault="00B34554" w:rsidP="002106F9">
      <w:pPr>
        <w:pStyle w:val="Heading3"/>
        <w:keepNext w:val="0"/>
        <w:keepLines w:val="0"/>
      </w:pPr>
      <w:r w:rsidRPr="00A729D8">
        <w:t>The parties agree to do their best to ensure that:</w:t>
      </w:r>
    </w:p>
    <w:p w14:paraId="202CF5FB" w14:textId="77777777" w:rsidR="00C6103F" w:rsidRPr="00A729D8" w:rsidRDefault="00B34554" w:rsidP="00121729">
      <w:pPr>
        <w:pStyle w:val="ListParagraph"/>
        <w:numPr>
          <w:ilvl w:val="0"/>
          <w:numId w:val="28"/>
        </w:numPr>
      </w:pPr>
      <w:r w:rsidRPr="00A729D8">
        <w:t>their appointed representatives to such bodies and</w:t>
      </w:r>
    </w:p>
    <w:p w14:paraId="77E572ED" w14:textId="77777777" w:rsidR="00C6103F" w:rsidRPr="00A729D8" w:rsidRDefault="00B34554" w:rsidP="00121729">
      <w:pPr>
        <w:pStyle w:val="ListParagraph"/>
        <w:numPr>
          <w:ilvl w:val="0"/>
          <w:numId w:val="28"/>
        </w:numPr>
      </w:pPr>
      <w:r w:rsidRPr="00A729D8">
        <w:t>any of their employees and officers who are given roles or functions under the agreement,</w:t>
      </w:r>
    </w:p>
    <w:p w14:paraId="3876D8A6" w14:textId="77777777" w:rsidR="00B34554" w:rsidRPr="00A729D8" w:rsidRDefault="00B34554" w:rsidP="00121729">
      <w:pPr>
        <w:pStyle w:val="ListParagraph"/>
        <w:numPr>
          <w:ilvl w:val="0"/>
          <w:numId w:val="28"/>
        </w:numPr>
      </w:pPr>
      <w:r w:rsidRPr="00A729D8">
        <w:t>carry out those roles and functions as though they themselves were signatories to the agreement.</w:t>
      </w:r>
    </w:p>
    <w:p w14:paraId="30C25FAF" w14:textId="77777777" w:rsidR="00B34554" w:rsidRPr="00A729D8" w:rsidRDefault="00B34554" w:rsidP="002106F9">
      <w:pPr>
        <w:pStyle w:val="Heading2"/>
        <w:keepNext w:val="0"/>
        <w:keepLines w:val="0"/>
      </w:pPr>
      <w:bookmarkStart w:id="235" w:name="_Toc7528131"/>
      <w:r w:rsidRPr="00A729D8">
        <w:t>Establishing a National Biosecurity Management Consultative Committee</w:t>
      </w:r>
      <w:bookmarkEnd w:id="235"/>
    </w:p>
    <w:p w14:paraId="2BDD8209" w14:textId="77777777" w:rsidR="00B34554" w:rsidRPr="00A729D8" w:rsidRDefault="00B34554" w:rsidP="002106F9">
      <w:pPr>
        <w:pStyle w:val="Heading3"/>
        <w:keepNext w:val="0"/>
        <w:keepLines w:val="0"/>
      </w:pPr>
      <w:r w:rsidRPr="00A729D8">
        <w:t xml:space="preserve">Upon notification of an </w:t>
      </w:r>
      <w:r w:rsidR="00747D05" w:rsidRPr="00A729D8">
        <w:t>incident</w:t>
      </w:r>
      <w:r w:rsidRPr="00A729D8">
        <w:t xml:space="preserve"> by the reporting point, the parties will establish an</w:t>
      </w:r>
      <w:r w:rsidR="0030103D" w:rsidRPr="00A729D8">
        <w:t xml:space="preserve"> incident specific</w:t>
      </w:r>
      <w:r w:rsidRPr="00A729D8">
        <w:t xml:space="preserve"> </w:t>
      </w:r>
      <w:r w:rsidR="00B20F48" w:rsidRPr="00A729D8">
        <w:t>NBMCC</w:t>
      </w:r>
      <w:r w:rsidRPr="00A729D8">
        <w:t>.</w:t>
      </w:r>
    </w:p>
    <w:p w14:paraId="6BD2555B" w14:textId="77777777" w:rsidR="00B34554" w:rsidRPr="00A729D8" w:rsidRDefault="00B34554" w:rsidP="002106F9">
      <w:pPr>
        <w:pStyle w:val="Heading3"/>
        <w:keepNext w:val="0"/>
        <w:keepLines w:val="0"/>
      </w:pPr>
      <w:r w:rsidRPr="00A729D8">
        <w:t xml:space="preserve">The </w:t>
      </w:r>
      <w:r w:rsidR="00B20F48" w:rsidRPr="00A729D8">
        <w:t>NBMCC</w:t>
      </w:r>
      <w:r w:rsidRPr="00A729D8">
        <w:t xml:space="preserve"> established for a</w:t>
      </w:r>
      <w:r w:rsidR="000444C2" w:rsidRPr="00A729D8">
        <w:t>n incident</w:t>
      </w:r>
      <w:r w:rsidRPr="00A729D8">
        <w:t xml:space="preserve"> of a pest or disease will:</w:t>
      </w:r>
    </w:p>
    <w:p w14:paraId="7F2165D6" w14:textId="77777777" w:rsidR="00C87440" w:rsidRPr="00A729D8" w:rsidRDefault="00B34554" w:rsidP="00121729">
      <w:pPr>
        <w:pStyle w:val="ListParagraph"/>
        <w:numPr>
          <w:ilvl w:val="0"/>
          <w:numId w:val="30"/>
        </w:numPr>
      </w:pPr>
      <w:r w:rsidRPr="00A729D8">
        <w:t xml:space="preserve">advise the NMG on various matters concerning the </w:t>
      </w:r>
      <w:r w:rsidR="0030103D" w:rsidRPr="00A729D8">
        <w:t>incident</w:t>
      </w:r>
      <w:r w:rsidRPr="00A729D8">
        <w:t xml:space="preserve"> and any resulting national response; and effectively and efficiently coordinate the technical aspects of that response, including the tasks identified in clause </w:t>
      </w:r>
      <w:r w:rsidR="00F85E41" w:rsidRPr="00A729D8">
        <w:t>6</w:t>
      </w:r>
    </w:p>
    <w:p w14:paraId="3F4CC498" w14:textId="77777777" w:rsidR="00C87440" w:rsidRPr="00A729D8" w:rsidRDefault="00B34554" w:rsidP="00121729">
      <w:pPr>
        <w:pStyle w:val="ListParagraph"/>
        <w:numPr>
          <w:ilvl w:val="0"/>
          <w:numId w:val="30"/>
        </w:numPr>
      </w:pPr>
      <w:r w:rsidRPr="00A729D8">
        <w:t xml:space="preserve">be constituted, have roles and objectives, and meet and conduct its affairs in the manner set out in Schedule </w:t>
      </w:r>
      <w:r w:rsidR="00866935" w:rsidRPr="00A729D8">
        <w:t>7</w:t>
      </w:r>
    </w:p>
    <w:p w14:paraId="7F1ECCD0" w14:textId="77777777" w:rsidR="00B34554" w:rsidRPr="00A729D8" w:rsidRDefault="00B34554" w:rsidP="00121729">
      <w:pPr>
        <w:pStyle w:val="ListParagraph"/>
        <w:numPr>
          <w:ilvl w:val="0"/>
          <w:numId w:val="30"/>
        </w:numPr>
      </w:pPr>
      <w:r w:rsidRPr="00A729D8">
        <w:t xml:space="preserve">perform the obligations specified in this agreement in relation to that </w:t>
      </w:r>
      <w:r w:rsidR="00747D05" w:rsidRPr="00A729D8">
        <w:t>inciden</w:t>
      </w:r>
      <w:r w:rsidR="0030103D" w:rsidRPr="00A729D8">
        <w:t>t</w:t>
      </w:r>
      <w:r w:rsidRPr="00A729D8">
        <w:t>.</w:t>
      </w:r>
    </w:p>
    <w:p w14:paraId="5BA44058" w14:textId="77777777" w:rsidR="00B34554" w:rsidRPr="00A729D8" w:rsidRDefault="00B34554" w:rsidP="002106F9">
      <w:pPr>
        <w:pStyle w:val="Heading3"/>
        <w:keepNext w:val="0"/>
        <w:keepLines w:val="0"/>
      </w:pPr>
      <w:r w:rsidRPr="00A729D8">
        <w:t xml:space="preserve">The </w:t>
      </w:r>
      <w:r w:rsidR="00B20F48" w:rsidRPr="00A729D8">
        <w:t>NBMCC</w:t>
      </w:r>
      <w:r w:rsidRPr="00A729D8">
        <w:t xml:space="preserve"> will carry out its roles in accordance with Australia’s international rights and obligations.</w:t>
      </w:r>
    </w:p>
    <w:p w14:paraId="474568AE" w14:textId="77777777" w:rsidR="00B34554" w:rsidRPr="00A729D8" w:rsidRDefault="00B34554" w:rsidP="002106F9">
      <w:pPr>
        <w:pStyle w:val="Heading2"/>
        <w:keepNext w:val="0"/>
        <w:keepLines w:val="0"/>
      </w:pPr>
      <w:bookmarkStart w:id="236" w:name="_Toc7528132"/>
      <w:r w:rsidRPr="00A729D8">
        <w:t>Establishing a National Management Group</w:t>
      </w:r>
      <w:bookmarkEnd w:id="236"/>
    </w:p>
    <w:p w14:paraId="4CCDA697" w14:textId="77777777" w:rsidR="00B34554" w:rsidRPr="00A729D8" w:rsidRDefault="0040312C" w:rsidP="002106F9">
      <w:pPr>
        <w:pStyle w:val="Heading3"/>
        <w:keepNext w:val="0"/>
        <w:keepLines w:val="0"/>
      </w:pPr>
      <w:r w:rsidRPr="00A729D8">
        <w:t xml:space="preserve">An </w:t>
      </w:r>
      <w:r w:rsidR="00747D05" w:rsidRPr="00A729D8">
        <w:t>incident</w:t>
      </w:r>
      <w:r w:rsidR="00B34554" w:rsidRPr="00A729D8">
        <w:t xml:space="preserve">-specific NMG will be convened on the request of any party or on the advice of the </w:t>
      </w:r>
      <w:r w:rsidR="00B20F48" w:rsidRPr="00A729D8">
        <w:t>NBMCC</w:t>
      </w:r>
      <w:r w:rsidR="00B34554" w:rsidRPr="00A729D8">
        <w:t>.</w:t>
      </w:r>
    </w:p>
    <w:p w14:paraId="087CBE5C" w14:textId="77777777" w:rsidR="00B34554" w:rsidRPr="00A729D8" w:rsidRDefault="00B34554" w:rsidP="002106F9">
      <w:pPr>
        <w:pStyle w:val="Heading3"/>
        <w:keepNext w:val="0"/>
        <w:keepLines w:val="0"/>
      </w:pPr>
      <w:r w:rsidRPr="00A729D8">
        <w:t xml:space="preserve">The NMG established for a pest or disease </w:t>
      </w:r>
      <w:r w:rsidR="00747D05" w:rsidRPr="00A729D8">
        <w:t>incident</w:t>
      </w:r>
      <w:r w:rsidRPr="00A729D8">
        <w:t xml:space="preserve"> will:</w:t>
      </w:r>
    </w:p>
    <w:p w14:paraId="349F782F" w14:textId="77777777" w:rsidR="00C87440" w:rsidRPr="00A729D8" w:rsidRDefault="00B34554" w:rsidP="00121729">
      <w:pPr>
        <w:pStyle w:val="ListParagraph"/>
        <w:numPr>
          <w:ilvl w:val="0"/>
          <w:numId w:val="31"/>
        </w:numPr>
      </w:pPr>
      <w:r w:rsidRPr="00A729D8">
        <w:t>be the peak national decision-making forum, through which parties will seek decisions on, but not limited to</w:t>
      </w:r>
    </w:p>
    <w:p w14:paraId="64D275B8" w14:textId="77777777" w:rsidR="00C87440" w:rsidRPr="00A729D8" w:rsidRDefault="00B34554" w:rsidP="00121729">
      <w:pPr>
        <w:pStyle w:val="ListParagraph"/>
        <w:numPr>
          <w:ilvl w:val="1"/>
          <w:numId w:val="31"/>
        </w:numPr>
      </w:pPr>
      <w:r w:rsidRPr="00A729D8">
        <w:t xml:space="preserve">whether the </w:t>
      </w:r>
      <w:r w:rsidR="00747D05" w:rsidRPr="00A729D8">
        <w:t>incident</w:t>
      </w:r>
      <w:r w:rsidRPr="00A729D8">
        <w:t xml:space="preserve"> is of national significance</w:t>
      </w:r>
    </w:p>
    <w:p w14:paraId="78FAFB17" w14:textId="77777777" w:rsidR="00C87440" w:rsidRPr="00A729D8" w:rsidRDefault="00B34554" w:rsidP="00121729">
      <w:pPr>
        <w:pStyle w:val="ListParagraph"/>
        <w:numPr>
          <w:ilvl w:val="1"/>
          <w:numId w:val="31"/>
        </w:numPr>
      </w:pPr>
      <w:r w:rsidRPr="00A729D8">
        <w:t>whether a national response is technically feasible and cost beneficial</w:t>
      </w:r>
    </w:p>
    <w:p w14:paraId="4F7FAD19" w14:textId="77777777" w:rsidR="00C87440" w:rsidRPr="00A729D8" w:rsidRDefault="00B34554" w:rsidP="00121729">
      <w:pPr>
        <w:pStyle w:val="ListParagraph"/>
        <w:numPr>
          <w:ilvl w:val="1"/>
          <w:numId w:val="31"/>
        </w:numPr>
      </w:pPr>
      <w:r w:rsidRPr="00A729D8">
        <w:t xml:space="preserve">whether the </w:t>
      </w:r>
      <w:r w:rsidR="00747D05" w:rsidRPr="00A729D8">
        <w:t>incident</w:t>
      </w:r>
      <w:r w:rsidRPr="00A729D8">
        <w:t xml:space="preserve"> requires a national response</w:t>
      </w:r>
    </w:p>
    <w:p w14:paraId="702068C7" w14:textId="77777777" w:rsidR="00C87440" w:rsidRPr="00A729D8" w:rsidRDefault="00B34554" w:rsidP="00121729">
      <w:pPr>
        <w:pStyle w:val="ListParagraph"/>
        <w:numPr>
          <w:ilvl w:val="1"/>
          <w:numId w:val="31"/>
        </w:numPr>
      </w:pPr>
      <w:r w:rsidRPr="00A729D8">
        <w:t xml:space="preserve">agreeing to the </w:t>
      </w:r>
      <w:r w:rsidR="00B77DE7" w:rsidRPr="00A729D8">
        <w:t>R</w:t>
      </w:r>
      <w:r w:rsidRPr="00A729D8">
        <w:t xml:space="preserve">esponse </w:t>
      </w:r>
      <w:r w:rsidR="00B77DE7" w:rsidRPr="00A729D8">
        <w:t>P</w:t>
      </w:r>
      <w:r w:rsidRPr="00A729D8">
        <w:t>lan</w:t>
      </w:r>
    </w:p>
    <w:p w14:paraId="26608C30" w14:textId="77777777" w:rsidR="00C87440" w:rsidRPr="00A729D8" w:rsidRDefault="00B34554" w:rsidP="00121729">
      <w:pPr>
        <w:pStyle w:val="ListParagraph"/>
        <w:numPr>
          <w:ilvl w:val="1"/>
          <w:numId w:val="31"/>
        </w:numPr>
      </w:pPr>
      <w:r w:rsidRPr="00A729D8">
        <w:t xml:space="preserve">cost-sharing in accordance with the </w:t>
      </w:r>
      <w:r w:rsidR="00E7297E" w:rsidRPr="00A729D8">
        <w:t>Response Plan</w:t>
      </w:r>
      <w:r w:rsidRPr="00A729D8">
        <w:t xml:space="preserve"> </w:t>
      </w:r>
    </w:p>
    <w:p w14:paraId="60EEC482" w14:textId="77777777" w:rsidR="00C87440" w:rsidRPr="00A729D8" w:rsidRDefault="00B34554" w:rsidP="00121729">
      <w:pPr>
        <w:pStyle w:val="ListParagraph"/>
        <w:numPr>
          <w:ilvl w:val="0"/>
          <w:numId w:val="31"/>
        </w:numPr>
      </w:pPr>
      <w:r w:rsidRPr="00A729D8">
        <w:t xml:space="preserve">be constituted, have roles and objectives, and meet and conduct its affairs in the manner set out in Schedule </w:t>
      </w:r>
      <w:r w:rsidR="00DD381A" w:rsidRPr="00A729D8">
        <w:t>6</w:t>
      </w:r>
    </w:p>
    <w:p w14:paraId="42F59C79" w14:textId="77777777" w:rsidR="00B34554" w:rsidRPr="00A729D8" w:rsidRDefault="00B34554" w:rsidP="00121729">
      <w:pPr>
        <w:pStyle w:val="ListParagraph"/>
        <w:numPr>
          <w:ilvl w:val="0"/>
          <w:numId w:val="31"/>
        </w:numPr>
      </w:pPr>
      <w:r w:rsidRPr="00A729D8">
        <w:t xml:space="preserve">perform the obligations specified in this agreement in relation to that </w:t>
      </w:r>
      <w:r w:rsidR="00747D05" w:rsidRPr="00A729D8">
        <w:t>incident</w:t>
      </w:r>
      <w:r w:rsidRPr="00A729D8">
        <w:t>.</w:t>
      </w:r>
    </w:p>
    <w:p w14:paraId="6380A15A" w14:textId="77777777" w:rsidR="00C87440" w:rsidRPr="00A729D8" w:rsidRDefault="00B34554" w:rsidP="002106F9">
      <w:pPr>
        <w:pStyle w:val="Heading3"/>
        <w:keepNext w:val="0"/>
        <w:keepLines w:val="0"/>
      </w:pPr>
      <w:r w:rsidRPr="00A729D8">
        <w:lastRenderedPageBreak/>
        <w:t>The NMG will carry out its role in accordance with Australia’s international rights and obligations.</w:t>
      </w:r>
    </w:p>
    <w:p w14:paraId="58BAD9E7" w14:textId="77777777" w:rsidR="00B34554" w:rsidRPr="00A729D8" w:rsidRDefault="00B34554" w:rsidP="002106F9">
      <w:pPr>
        <w:pStyle w:val="Heading1"/>
        <w:keepNext w:val="0"/>
        <w:keepLines w:val="0"/>
      </w:pPr>
      <w:bookmarkStart w:id="237" w:name="_Toc7528133"/>
      <w:r w:rsidRPr="00A729D8">
        <w:t>Legislative and administrative arrangements</w:t>
      </w:r>
      <w:bookmarkEnd w:id="237"/>
    </w:p>
    <w:p w14:paraId="13465574" w14:textId="77777777" w:rsidR="00B34554" w:rsidRPr="00A729D8" w:rsidRDefault="00B34554" w:rsidP="002106F9">
      <w:pPr>
        <w:pStyle w:val="Heading2"/>
        <w:keepNext w:val="0"/>
        <w:keepLines w:val="0"/>
      </w:pPr>
      <w:bookmarkStart w:id="238" w:name="_Toc7528134"/>
      <w:r w:rsidRPr="00A729D8">
        <w:t>Review of existing legislative and administrative arrangements</w:t>
      </w:r>
      <w:bookmarkEnd w:id="238"/>
    </w:p>
    <w:p w14:paraId="0C48F126" w14:textId="77777777" w:rsidR="00B34554" w:rsidRPr="00A729D8" w:rsidRDefault="00B34554" w:rsidP="002106F9">
      <w:pPr>
        <w:pStyle w:val="Heading3"/>
        <w:keepNext w:val="0"/>
        <w:keepLines w:val="0"/>
      </w:pPr>
      <w:r w:rsidRPr="00A729D8">
        <w:t xml:space="preserve">Each party will review its legislation, regulations and administrative arrangements and do their best to ensure they support the commitments in this agreement. The parties will be guided by Schedule </w:t>
      </w:r>
      <w:r w:rsidR="00DD381A" w:rsidRPr="00A729D8">
        <w:t>5</w:t>
      </w:r>
      <w:r w:rsidRPr="00A729D8">
        <w:t xml:space="preserve"> in undertaking the reviews.</w:t>
      </w:r>
    </w:p>
    <w:p w14:paraId="65580682" w14:textId="77777777" w:rsidR="00C87440" w:rsidRPr="00A729D8" w:rsidRDefault="00C87440" w:rsidP="002106F9">
      <w:pPr>
        <w:spacing w:before="0" w:after="160" w:line="252" w:lineRule="auto"/>
        <w:rPr>
          <w:rFonts w:eastAsiaTheme="majorEastAsia" w:cstheme="majorBidi"/>
          <w:b/>
          <w:bCs/>
          <w:caps/>
          <w:spacing w:val="4"/>
          <w:szCs w:val="28"/>
        </w:rPr>
      </w:pPr>
      <w:r w:rsidRPr="00A729D8">
        <w:br w:type="page"/>
      </w:r>
    </w:p>
    <w:p w14:paraId="7CFEA2E8" w14:textId="77777777" w:rsidR="009D026B" w:rsidRPr="00A729D8" w:rsidRDefault="00B34554" w:rsidP="002106F9">
      <w:pPr>
        <w:pStyle w:val="Heading1"/>
        <w:keepNext w:val="0"/>
        <w:keepLines w:val="0"/>
      </w:pPr>
      <w:bookmarkStart w:id="239" w:name="_Toc7528135"/>
      <w:r w:rsidRPr="00A729D8">
        <w:lastRenderedPageBreak/>
        <w:t>Managing the agreement</w:t>
      </w:r>
      <w:bookmarkEnd w:id="239"/>
    </w:p>
    <w:p w14:paraId="1201CDD5" w14:textId="77777777" w:rsidR="00B34554" w:rsidRPr="00A729D8" w:rsidRDefault="00B34554" w:rsidP="000A4A87">
      <w:pPr>
        <w:pStyle w:val="Heading2"/>
        <w:keepNext w:val="0"/>
        <w:keepLines w:val="0"/>
      </w:pPr>
      <w:bookmarkStart w:id="240" w:name="_Toc7528136"/>
      <w:r w:rsidRPr="00A729D8">
        <w:t>Representatives of the parties</w:t>
      </w:r>
      <w:bookmarkEnd w:id="240"/>
    </w:p>
    <w:p w14:paraId="6A4218FA" w14:textId="77777777" w:rsidR="00B34554" w:rsidRPr="00A729D8" w:rsidRDefault="00B34554" w:rsidP="002106F9">
      <w:pPr>
        <w:pStyle w:val="Heading3"/>
        <w:keepNext w:val="0"/>
        <w:keepLines w:val="0"/>
      </w:pPr>
      <w:r w:rsidRPr="00A729D8">
        <w:t>On commencement of this agreement, each party</w:t>
      </w:r>
    </w:p>
    <w:p w14:paraId="04C51C4B" w14:textId="77777777" w:rsidR="00C87440" w:rsidRPr="00A729D8" w:rsidRDefault="00B34554" w:rsidP="00121729">
      <w:pPr>
        <w:pStyle w:val="ListParagraph"/>
        <w:numPr>
          <w:ilvl w:val="0"/>
          <w:numId w:val="32"/>
        </w:numPr>
      </w:pPr>
      <w:r w:rsidRPr="00A729D8">
        <w:t>will nominate a representative who will be responsible for administering this agreement on behalf of that party</w:t>
      </w:r>
    </w:p>
    <w:p w14:paraId="18DB2B30" w14:textId="53656B23" w:rsidR="00B34554" w:rsidRPr="00A729D8" w:rsidRDefault="00B34554" w:rsidP="00121729">
      <w:pPr>
        <w:pStyle w:val="ListParagraph"/>
        <w:numPr>
          <w:ilvl w:val="0"/>
          <w:numId w:val="32"/>
        </w:numPr>
      </w:pPr>
      <w:r w:rsidRPr="00A729D8">
        <w:t>must notify the</w:t>
      </w:r>
      <w:r w:rsidR="0035395C" w:rsidRPr="00A729D8">
        <w:t xml:space="preserve"> NEBRA custodian</w:t>
      </w:r>
      <w:r w:rsidRPr="00A729D8">
        <w:t xml:space="preserve"> NBC of a change to the party’s representative within 30 days.</w:t>
      </w:r>
    </w:p>
    <w:p w14:paraId="2B147DEC" w14:textId="77777777" w:rsidR="00B34554" w:rsidRPr="00A729D8" w:rsidRDefault="00B34554" w:rsidP="002106F9">
      <w:pPr>
        <w:pStyle w:val="Heading2"/>
        <w:keepNext w:val="0"/>
        <w:keepLines w:val="0"/>
      </w:pPr>
      <w:bookmarkStart w:id="241" w:name="_Toc7528137"/>
      <w:r w:rsidRPr="00A729D8">
        <w:t>Notifications</w:t>
      </w:r>
      <w:bookmarkEnd w:id="241"/>
    </w:p>
    <w:p w14:paraId="4C2F8406" w14:textId="77777777" w:rsidR="00B34554" w:rsidRPr="00A729D8" w:rsidRDefault="00B34554" w:rsidP="002106F9">
      <w:pPr>
        <w:pStyle w:val="Heading3"/>
        <w:keepNext w:val="0"/>
        <w:keepLines w:val="0"/>
      </w:pPr>
      <w:r w:rsidRPr="00A729D8">
        <w:t>Each party will notify, through their representatives, any changes to their circumstances relating to this agreement, including, for example, withdrawing from it.</w:t>
      </w:r>
    </w:p>
    <w:p w14:paraId="0B98A457" w14:textId="1A71AF89" w:rsidR="0035395C" w:rsidRPr="00A729D8" w:rsidRDefault="0035395C" w:rsidP="0035395C">
      <w:pPr>
        <w:pStyle w:val="Heading2"/>
        <w:keepNext w:val="0"/>
        <w:keepLines w:val="0"/>
      </w:pPr>
      <w:bookmarkStart w:id="242" w:name="_Toc7528138"/>
      <w:r w:rsidRPr="00A729D8">
        <w:t>Custodian of the Agreement</w:t>
      </w:r>
      <w:bookmarkEnd w:id="242"/>
    </w:p>
    <w:p w14:paraId="1CED471F" w14:textId="55130C02" w:rsidR="0035395C" w:rsidRPr="00A729D8" w:rsidRDefault="0035395C" w:rsidP="0035395C">
      <w:pPr>
        <w:pStyle w:val="Heading3"/>
      </w:pPr>
      <w:r w:rsidRPr="00A729D8">
        <w:t xml:space="preserve">All parties will contribute to the engagement of an entity to undertake the services of custodian of the agreement in accordance with the cost sharing formula set out at Schedule. The entity engaged to act as the custodian and the level of service they provided may change from time to time. </w:t>
      </w:r>
    </w:p>
    <w:p w14:paraId="55E8CA59" w14:textId="77777777" w:rsidR="00B34554" w:rsidRPr="00A729D8" w:rsidRDefault="00B34554" w:rsidP="002106F9">
      <w:pPr>
        <w:pStyle w:val="Heading2"/>
        <w:keepNext w:val="0"/>
        <w:keepLines w:val="0"/>
      </w:pPr>
      <w:bookmarkStart w:id="243" w:name="_Toc7528139"/>
      <w:r w:rsidRPr="00A729D8">
        <w:t>Schedules to agreement</w:t>
      </w:r>
      <w:bookmarkEnd w:id="243"/>
    </w:p>
    <w:p w14:paraId="1848F453" w14:textId="3A13B977" w:rsidR="009101F9" w:rsidRPr="00A729D8" w:rsidRDefault="00B34554" w:rsidP="009101F9">
      <w:pPr>
        <w:pStyle w:val="Heading3"/>
        <w:keepNext w:val="0"/>
        <w:keepLines w:val="0"/>
      </w:pPr>
      <w:r w:rsidRPr="00A729D8">
        <w:t>The schedules to this agreement have the same status as the main part of this agreement.</w:t>
      </w:r>
    </w:p>
    <w:p w14:paraId="5D23D937" w14:textId="0BF21D5B" w:rsidR="00B34554" w:rsidRPr="00A729D8" w:rsidRDefault="00B34554" w:rsidP="002106F9">
      <w:pPr>
        <w:pStyle w:val="Heading1"/>
        <w:keepNext w:val="0"/>
        <w:keepLines w:val="0"/>
      </w:pPr>
      <w:bookmarkStart w:id="244" w:name="_Toc7528140"/>
      <w:r w:rsidRPr="00A729D8">
        <w:t>Dispute resolution</w:t>
      </w:r>
      <w:bookmarkEnd w:id="244"/>
    </w:p>
    <w:p w14:paraId="57DD4177" w14:textId="77777777" w:rsidR="00CF41DB" w:rsidRPr="00A729D8" w:rsidRDefault="00CF41DB" w:rsidP="00CF41DB">
      <w:pPr>
        <w:shd w:val="clear" w:color="auto" w:fill="D0CECE" w:themeFill="background2" w:themeFillShade="E6"/>
      </w:pPr>
      <w:r w:rsidRPr="00A729D8">
        <w:t xml:space="preserve">[DRAFTING NOTE: consider addition additional sections to the Dispute resolution clause 11 to accommodate </w:t>
      </w:r>
      <w:r w:rsidRPr="00A729D8">
        <w:rPr>
          <w:rFonts w:cs="Arial"/>
          <w:color w:val="000000"/>
        </w:rPr>
        <w:t>the greater likelihood of non-government participation in the NEBRA</w:t>
      </w:r>
      <w:r w:rsidRPr="00A729D8">
        <w:t>]</w:t>
      </w:r>
    </w:p>
    <w:p w14:paraId="23B0E3E2" w14:textId="0EA8A068" w:rsidR="00B34554" w:rsidRPr="00A729D8" w:rsidRDefault="00B34554" w:rsidP="0099790B">
      <w:pPr>
        <w:pStyle w:val="Heading2"/>
        <w:keepNext w:val="0"/>
        <w:keepLines w:val="0"/>
      </w:pPr>
      <w:bookmarkStart w:id="245" w:name="_Toc7528141"/>
      <w:r w:rsidRPr="00A729D8">
        <w:t xml:space="preserve">The </w:t>
      </w:r>
      <w:r w:rsidR="0099790B" w:rsidRPr="00A729D8">
        <w:t>P</w:t>
      </w:r>
      <w:r w:rsidRPr="00A729D8">
        <w:t>rocess for resolving disputes</w:t>
      </w:r>
      <w:bookmarkStart w:id="246" w:name="_Toc4757278"/>
      <w:bookmarkEnd w:id="246"/>
      <w:bookmarkEnd w:id="245"/>
    </w:p>
    <w:p w14:paraId="54230D5F" w14:textId="77777777" w:rsidR="00B34554" w:rsidRPr="00A729D8" w:rsidRDefault="00B34554" w:rsidP="002106F9">
      <w:pPr>
        <w:pStyle w:val="Heading3"/>
        <w:keepNext w:val="0"/>
        <w:keepLines w:val="0"/>
      </w:pPr>
      <w:r w:rsidRPr="00A729D8">
        <w:t>If a dispute arises under this agreement between any or all of the parties, those parties will work together to resolve the dispute using the following procedures:</w:t>
      </w:r>
      <w:bookmarkStart w:id="247" w:name="_Toc4757279"/>
      <w:bookmarkEnd w:id="247"/>
    </w:p>
    <w:p w14:paraId="5FC4DF29" w14:textId="77777777" w:rsidR="00C87440" w:rsidRPr="00A729D8" w:rsidRDefault="00B34554" w:rsidP="00121729">
      <w:pPr>
        <w:pStyle w:val="ListParagraph"/>
        <w:numPr>
          <w:ilvl w:val="0"/>
          <w:numId w:val="33"/>
        </w:numPr>
      </w:pPr>
      <w:r w:rsidRPr="00A729D8">
        <w:t>initial discussions will be undertaken by the relevant officials on the NMG, and will be conducted in good faith and with a view to resolving the dispute</w:t>
      </w:r>
      <w:bookmarkStart w:id="248" w:name="_Toc4757280"/>
      <w:bookmarkEnd w:id="248"/>
    </w:p>
    <w:p w14:paraId="1EB20615" w14:textId="77777777" w:rsidR="00C87440" w:rsidRPr="00A729D8" w:rsidRDefault="00B34554" w:rsidP="00121729">
      <w:pPr>
        <w:pStyle w:val="ListParagraph"/>
        <w:numPr>
          <w:ilvl w:val="0"/>
          <w:numId w:val="33"/>
        </w:numPr>
      </w:pPr>
      <w:r w:rsidRPr="00A729D8">
        <w:t>if the dispute is not resolved within 60 days an independent mediator may be employed to assist the disputing parties in resolving the dispute. When undertaking this option the parties will</w:t>
      </w:r>
      <w:bookmarkStart w:id="249" w:name="_Toc4757281"/>
      <w:bookmarkEnd w:id="249"/>
    </w:p>
    <w:p w14:paraId="2EA01378" w14:textId="77777777" w:rsidR="00C87440" w:rsidRPr="00A729D8" w:rsidRDefault="00B34554" w:rsidP="00121729">
      <w:pPr>
        <w:pStyle w:val="ListParagraph"/>
        <w:numPr>
          <w:ilvl w:val="1"/>
          <w:numId w:val="33"/>
        </w:numPr>
      </w:pPr>
      <w:r w:rsidRPr="00A729D8">
        <w:t>agree on a suitably qualified person to undertake the mediation process</w:t>
      </w:r>
      <w:bookmarkStart w:id="250" w:name="_Toc4757282"/>
      <w:bookmarkEnd w:id="250"/>
    </w:p>
    <w:p w14:paraId="4E17B324" w14:textId="77777777" w:rsidR="00C87440" w:rsidRPr="00A729D8" w:rsidRDefault="00B34554" w:rsidP="00121729">
      <w:pPr>
        <w:pStyle w:val="ListParagraph"/>
        <w:numPr>
          <w:ilvl w:val="1"/>
          <w:numId w:val="33"/>
        </w:numPr>
      </w:pPr>
      <w:r w:rsidRPr="00A729D8">
        <w:t>share any costs for the mediation equally, unless otherwise recommended by the person conducting the mediation or alternative dispute resolution process.</w:t>
      </w:r>
      <w:bookmarkStart w:id="251" w:name="_Toc4757283"/>
      <w:bookmarkEnd w:id="251"/>
    </w:p>
    <w:p w14:paraId="7E405007" w14:textId="77777777" w:rsidR="00B34554" w:rsidRPr="00A729D8" w:rsidRDefault="00B34554" w:rsidP="00121729">
      <w:pPr>
        <w:pStyle w:val="ListParagraph"/>
        <w:numPr>
          <w:ilvl w:val="0"/>
          <w:numId w:val="33"/>
        </w:numPr>
      </w:pPr>
      <w:r w:rsidRPr="00A729D8">
        <w:t>if mediation does not resolve the dispute, the matter will be referred to the ministers responsible for administering the disputing parties.</w:t>
      </w:r>
      <w:bookmarkStart w:id="252" w:name="_Toc4757284"/>
      <w:bookmarkEnd w:id="252"/>
    </w:p>
    <w:p w14:paraId="044B2897" w14:textId="77777777" w:rsidR="00B34554" w:rsidRPr="00A729D8" w:rsidRDefault="00B34554" w:rsidP="00121729">
      <w:pPr>
        <w:pStyle w:val="ListParagraph"/>
        <w:numPr>
          <w:ilvl w:val="0"/>
          <w:numId w:val="33"/>
        </w:numPr>
      </w:pPr>
      <w:r w:rsidRPr="00A729D8">
        <w:lastRenderedPageBreak/>
        <w:t>Obligation to continue to perform</w:t>
      </w:r>
      <w:bookmarkStart w:id="253" w:name="_Toc4757285"/>
      <w:bookmarkEnd w:id="253"/>
    </w:p>
    <w:p w14:paraId="66005C6F" w14:textId="018C3D5A" w:rsidR="00C87440" w:rsidRPr="00A729D8" w:rsidRDefault="00B34554" w:rsidP="00AF758A">
      <w:pPr>
        <w:pStyle w:val="ListParagraph"/>
        <w:numPr>
          <w:ilvl w:val="0"/>
          <w:numId w:val="33"/>
        </w:numPr>
      </w:pPr>
      <w:r w:rsidRPr="00A729D8">
        <w:t>Despite the existence of a dispute each party must continue to meet its obligations under this agreement.</w:t>
      </w:r>
      <w:bookmarkStart w:id="254" w:name="_Toc4757286"/>
      <w:bookmarkStart w:id="255" w:name="_Toc4757287"/>
      <w:bookmarkEnd w:id="254"/>
      <w:bookmarkEnd w:id="255"/>
    </w:p>
    <w:p w14:paraId="36E6ED42" w14:textId="77777777" w:rsidR="00B34554" w:rsidRPr="00A729D8" w:rsidRDefault="00B34554" w:rsidP="00AF758A">
      <w:pPr>
        <w:pStyle w:val="Heading1"/>
        <w:keepLines w:val="0"/>
        <w:ind w:left="431" w:hanging="431"/>
      </w:pPr>
      <w:bookmarkStart w:id="256" w:name="_Toc7528142"/>
      <w:r w:rsidRPr="00A729D8">
        <w:t>Commencement and termination</w:t>
      </w:r>
      <w:bookmarkEnd w:id="256"/>
    </w:p>
    <w:p w14:paraId="5428DC22" w14:textId="77777777" w:rsidR="00B34554" w:rsidRPr="00A729D8" w:rsidRDefault="00B34554" w:rsidP="002106F9">
      <w:pPr>
        <w:pStyle w:val="Heading2"/>
        <w:keepNext w:val="0"/>
        <w:keepLines w:val="0"/>
      </w:pPr>
      <w:bookmarkStart w:id="257" w:name="_Toc7528143"/>
      <w:r w:rsidRPr="00A729D8">
        <w:t>Commencement</w:t>
      </w:r>
      <w:bookmarkEnd w:id="257"/>
    </w:p>
    <w:p w14:paraId="3E91F86A" w14:textId="77777777" w:rsidR="00B34554" w:rsidRPr="00A729D8" w:rsidRDefault="00B34554" w:rsidP="002106F9">
      <w:pPr>
        <w:pStyle w:val="Heading3"/>
        <w:keepNext w:val="0"/>
        <w:keepLines w:val="0"/>
      </w:pPr>
      <w:r w:rsidRPr="00A729D8">
        <w:t>This agreement will commence operation on the date it is signed by the Commonwealth and at least one of the state or territory parties.</w:t>
      </w:r>
    </w:p>
    <w:p w14:paraId="00F3E236" w14:textId="77777777" w:rsidR="00B34554" w:rsidRPr="00A729D8" w:rsidRDefault="00B34554" w:rsidP="002106F9">
      <w:pPr>
        <w:pStyle w:val="Heading2"/>
        <w:keepNext w:val="0"/>
        <w:keepLines w:val="0"/>
      </w:pPr>
      <w:bookmarkStart w:id="258" w:name="_Toc7528144"/>
      <w:r w:rsidRPr="00A729D8">
        <w:t>Term</w:t>
      </w:r>
      <w:bookmarkEnd w:id="258"/>
    </w:p>
    <w:p w14:paraId="2739F415" w14:textId="77777777" w:rsidR="00B34554" w:rsidRPr="00A729D8" w:rsidRDefault="00B34554" w:rsidP="002106F9">
      <w:pPr>
        <w:pStyle w:val="Heading3"/>
        <w:keepNext w:val="0"/>
        <w:keepLines w:val="0"/>
      </w:pPr>
      <w:r w:rsidRPr="00A729D8">
        <w:t>The term of this agreement is from commencement until termination.</w:t>
      </w:r>
    </w:p>
    <w:p w14:paraId="75558186" w14:textId="77777777" w:rsidR="00B34554" w:rsidRPr="00A729D8" w:rsidRDefault="00B34554" w:rsidP="002106F9">
      <w:pPr>
        <w:pStyle w:val="Heading2"/>
        <w:keepNext w:val="0"/>
        <w:keepLines w:val="0"/>
      </w:pPr>
      <w:bookmarkStart w:id="259" w:name="_Toc7528145"/>
      <w:r w:rsidRPr="00A729D8">
        <w:t>Termination</w:t>
      </w:r>
      <w:bookmarkEnd w:id="259"/>
    </w:p>
    <w:p w14:paraId="6C56EA59" w14:textId="77777777" w:rsidR="00B34554" w:rsidRPr="00A729D8" w:rsidRDefault="00B34554" w:rsidP="002106F9">
      <w:pPr>
        <w:pStyle w:val="Heading3"/>
        <w:keepNext w:val="0"/>
        <w:keepLines w:val="0"/>
      </w:pPr>
      <w:r w:rsidRPr="00A729D8">
        <w:t>This agreement is terminated if:</w:t>
      </w:r>
    </w:p>
    <w:p w14:paraId="5D6959E2" w14:textId="77777777" w:rsidR="00C87440" w:rsidRPr="00A729D8" w:rsidRDefault="00B34554" w:rsidP="00121729">
      <w:pPr>
        <w:pStyle w:val="ListParagraph"/>
        <w:numPr>
          <w:ilvl w:val="0"/>
          <w:numId w:val="34"/>
        </w:numPr>
      </w:pPr>
      <w:r w:rsidRPr="00A729D8">
        <w:t>there are less than two parties to the agreement; or</w:t>
      </w:r>
    </w:p>
    <w:p w14:paraId="2DAA0F31" w14:textId="77777777" w:rsidR="00B34554" w:rsidRPr="00A729D8" w:rsidRDefault="00B34554" w:rsidP="00121729">
      <w:pPr>
        <w:pStyle w:val="ListParagraph"/>
        <w:numPr>
          <w:ilvl w:val="0"/>
          <w:numId w:val="34"/>
        </w:numPr>
      </w:pPr>
      <w:r w:rsidRPr="00A729D8">
        <w:t>the Commonwealth is no longer a party to the agreement.</w:t>
      </w:r>
    </w:p>
    <w:p w14:paraId="70158757" w14:textId="77777777" w:rsidR="00B34554" w:rsidRPr="00A729D8" w:rsidRDefault="00B34554" w:rsidP="002106F9">
      <w:pPr>
        <w:pStyle w:val="Heading2"/>
        <w:keepNext w:val="0"/>
        <w:keepLines w:val="0"/>
      </w:pPr>
      <w:bookmarkStart w:id="260" w:name="_Toc7528146"/>
      <w:r w:rsidRPr="00A729D8">
        <w:t>Withdrawal from this agreement</w:t>
      </w:r>
      <w:bookmarkEnd w:id="260"/>
    </w:p>
    <w:p w14:paraId="04F60BD2" w14:textId="77777777" w:rsidR="00B34554" w:rsidRPr="00A729D8" w:rsidRDefault="00B34554" w:rsidP="002106F9">
      <w:pPr>
        <w:pStyle w:val="Heading3"/>
        <w:keepNext w:val="0"/>
        <w:keepLines w:val="0"/>
      </w:pPr>
      <w:r w:rsidRPr="00A729D8">
        <w:t xml:space="preserve">If a party wishes to withdraw from this agreement it must give notice to </w:t>
      </w:r>
      <w:r w:rsidR="000A0CA3" w:rsidRPr="00A729D8">
        <w:t xml:space="preserve">all </w:t>
      </w:r>
      <w:r w:rsidRPr="00A729D8">
        <w:t>ot</w:t>
      </w:r>
      <w:r w:rsidR="00C87440" w:rsidRPr="00A729D8">
        <w:t>her part</w:t>
      </w:r>
      <w:r w:rsidR="000A0CA3" w:rsidRPr="00A729D8">
        <w:t>ies</w:t>
      </w:r>
      <w:r w:rsidR="00C87440" w:rsidRPr="00A729D8">
        <w:t xml:space="preserve"> and such notice must:</w:t>
      </w:r>
    </w:p>
    <w:p w14:paraId="6E302A76" w14:textId="77777777" w:rsidR="00C87440" w:rsidRPr="00A729D8" w:rsidRDefault="00B34554" w:rsidP="00121729">
      <w:pPr>
        <w:pStyle w:val="ListParagraph"/>
        <w:numPr>
          <w:ilvl w:val="0"/>
          <w:numId w:val="35"/>
        </w:numPr>
      </w:pPr>
      <w:r w:rsidRPr="00A729D8">
        <w:t>state the party’s intention to withdraw from the agreement</w:t>
      </w:r>
    </w:p>
    <w:p w14:paraId="48D9F364" w14:textId="77777777" w:rsidR="00C87440" w:rsidRPr="00A729D8" w:rsidRDefault="00B34554" w:rsidP="00121729">
      <w:pPr>
        <w:pStyle w:val="ListParagraph"/>
        <w:numPr>
          <w:ilvl w:val="0"/>
          <w:numId w:val="35"/>
        </w:numPr>
      </w:pPr>
      <w:r w:rsidRPr="00A729D8">
        <w:t>set out the party’s reasons for the withdrawal; and</w:t>
      </w:r>
    </w:p>
    <w:p w14:paraId="6C5B2D59" w14:textId="77777777" w:rsidR="00B34554" w:rsidRPr="00A729D8" w:rsidRDefault="00B34554" w:rsidP="00121729">
      <w:pPr>
        <w:pStyle w:val="ListParagraph"/>
        <w:numPr>
          <w:ilvl w:val="0"/>
          <w:numId w:val="35"/>
        </w:numPr>
      </w:pPr>
      <w:r w:rsidRPr="00A729D8">
        <w:t>specify the date on which the withdrawal will be effective; which must be no earlier than six</w:t>
      </w:r>
      <w:r w:rsidR="00C87440" w:rsidRPr="00A729D8">
        <w:t xml:space="preserve"> </w:t>
      </w:r>
      <w:r w:rsidRPr="00A729D8">
        <w:t>(6) months from the date of the notice.</w:t>
      </w:r>
    </w:p>
    <w:p w14:paraId="00E7B05D" w14:textId="77777777" w:rsidR="000A0CA3" w:rsidRPr="00A729D8" w:rsidRDefault="000A0CA3" w:rsidP="002179C7">
      <w:pPr>
        <w:pStyle w:val="Heading3"/>
        <w:keepNext w:val="0"/>
        <w:keepLines w:val="0"/>
      </w:pPr>
      <w:r w:rsidRPr="00A729D8">
        <w:t>Parties will remain liable for any obligations in respect of cost sharing arising pursuant to a response plan which has been adopted prior to it giving the notice.</w:t>
      </w:r>
    </w:p>
    <w:p w14:paraId="53658B2B" w14:textId="77777777" w:rsidR="00B34554" w:rsidRPr="00A729D8" w:rsidRDefault="00B34554" w:rsidP="002106F9">
      <w:pPr>
        <w:pStyle w:val="Heading1"/>
        <w:keepNext w:val="0"/>
        <w:keepLines w:val="0"/>
      </w:pPr>
      <w:bookmarkStart w:id="261" w:name="_Toc7528147"/>
      <w:r w:rsidRPr="00A729D8">
        <w:t>Amendments to this agreement</w:t>
      </w:r>
      <w:bookmarkEnd w:id="261"/>
    </w:p>
    <w:p w14:paraId="7998D0FA" w14:textId="77777777" w:rsidR="00B34554" w:rsidRPr="00A729D8" w:rsidRDefault="00B34554" w:rsidP="002106F9">
      <w:pPr>
        <w:pStyle w:val="Heading2"/>
        <w:keepNext w:val="0"/>
        <w:keepLines w:val="0"/>
      </w:pPr>
      <w:bookmarkStart w:id="262" w:name="_Toc7528148"/>
      <w:r w:rsidRPr="00A729D8">
        <w:t>Amendments to be in writing</w:t>
      </w:r>
      <w:bookmarkEnd w:id="262"/>
    </w:p>
    <w:p w14:paraId="769602C0" w14:textId="77777777" w:rsidR="00B34554" w:rsidRPr="00A729D8" w:rsidRDefault="00B34554" w:rsidP="002106F9">
      <w:pPr>
        <w:pStyle w:val="Heading3"/>
        <w:keepNext w:val="0"/>
        <w:keepLines w:val="0"/>
      </w:pPr>
      <w:r w:rsidRPr="00A729D8">
        <w:t>The parties may vary this agreement only by way of an exchange of letters between all parties through the Commonwealth, State and Territory Ministers responsible for biosecurity matters.</w:t>
      </w:r>
    </w:p>
    <w:p w14:paraId="73F46A5F" w14:textId="77777777" w:rsidR="00B34554" w:rsidRPr="00A729D8" w:rsidRDefault="00B34554" w:rsidP="002106F9">
      <w:pPr>
        <w:pStyle w:val="Heading2"/>
        <w:keepNext w:val="0"/>
        <w:keepLines w:val="0"/>
      </w:pPr>
      <w:bookmarkStart w:id="263" w:name="_Toc7528149"/>
      <w:r w:rsidRPr="00A729D8">
        <w:t>Counterparts</w:t>
      </w:r>
      <w:bookmarkEnd w:id="263"/>
    </w:p>
    <w:p w14:paraId="02A1AAA3" w14:textId="77777777" w:rsidR="00B34554" w:rsidRPr="00A729D8" w:rsidRDefault="00B34554" w:rsidP="002106F9">
      <w:pPr>
        <w:pStyle w:val="Heading3"/>
        <w:keepNext w:val="0"/>
        <w:keepLines w:val="0"/>
      </w:pPr>
      <w:r w:rsidRPr="00A729D8">
        <w:t>The written agreement required in accordance with clause 1</w:t>
      </w:r>
      <w:r w:rsidR="00DD381A" w:rsidRPr="00A729D8">
        <w:t>2</w:t>
      </w:r>
      <w:r w:rsidRPr="00A729D8">
        <w:t>.1 may be signed in counterparts, and all counterparts taken together will be deemed to form a single, valid amendment to this agreement. Note: a document is signed in counterparts when the parties each sign an identical copy of the document, but do not all sign the same copy.</w:t>
      </w:r>
    </w:p>
    <w:p w14:paraId="0F1BE6E4" w14:textId="77777777" w:rsidR="00B34554" w:rsidRPr="00A729D8" w:rsidRDefault="00B34554" w:rsidP="002106F9">
      <w:pPr>
        <w:pStyle w:val="Heading2"/>
        <w:keepNext w:val="0"/>
        <w:keepLines w:val="0"/>
      </w:pPr>
      <w:bookmarkStart w:id="264" w:name="_Toc7528150"/>
      <w:r w:rsidRPr="00A729D8">
        <w:lastRenderedPageBreak/>
        <w:t>Commencement of amendments</w:t>
      </w:r>
      <w:bookmarkEnd w:id="264"/>
    </w:p>
    <w:p w14:paraId="3C756ABC" w14:textId="77777777" w:rsidR="00B34554" w:rsidRPr="00A729D8" w:rsidRDefault="00B34554" w:rsidP="002106F9">
      <w:pPr>
        <w:pStyle w:val="Heading3"/>
        <w:keepNext w:val="0"/>
        <w:keepLines w:val="0"/>
      </w:pPr>
      <w:r w:rsidRPr="00A729D8">
        <w:t>An amendment to this agreement will, subject to this clause 1</w:t>
      </w:r>
      <w:r w:rsidR="007E2E23" w:rsidRPr="00A729D8">
        <w:t>2</w:t>
      </w:r>
      <w:r w:rsidRPr="00A729D8">
        <w:t>, commence on the date it is signed by the last of the parties.</w:t>
      </w:r>
    </w:p>
    <w:p w14:paraId="7F8C77B9" w14:textId="77777777" w:rsidR="00B34554" w:rsidRPr="00A729D8" w:rsidRDefault="00B34554" w:rsidP="00C4160B">
      <w:pPr>
        <w:pStyle w:val="Heading2"/>
        <w:keepLines w:val="0"/>
        <w:ind w:left="720" w:hanging="578"/>
      </w:pPr>
      <w:bookmarkStart w:id="265" w:name="_Toc7528151"/>
      <w:r w:rsidRPr="00A729D8">
        <w:t>Addition of other parties</w:t>
      </w:r>
      <w:bookmarkEnd w:id="265"/>
    </w:p>
    <w:p w14:paraId="4AD9F4B5" w14:textId="77777777" w:rsidR="00B34554" w:rsidRPr="00A729D8" w:rsidRDefault="00B34554" w:rsidP="002106F9">
      <w:pPr>
        <w:pStyle w:val="Heading3"/>
        <w:keepNext w:val="0"/>
        <w:keepLines w:val="0"/>
      </w:pPr>
      <w:r w:rsidRPr="00A729D8">
        <w:t>Parties may be added to this agreement after the date it commences with the consent of the Commonwealth, State and Territory Ministers responsible for biosecurity matters.</w:t>
      </w:r>
    </w:p>
    <w:p w14:paraId="268DB160" w14:textId="77777777" w:rsidR="00B34554" w:rsidRPr="00A729D8" w:rsidRDefault="00B34554" w:rsidP="002106F9">
      <w:pPr>
        <w:pStyle w:val="Heading3"/>
        <w:keepNext w:val="0"/>
        <w:keepLines w:val="0"/>
      </w:pPr>
      <w:r w:rsidRPr="00A729D8">
        <w:t>The terms of this agreement remain in effect if any other state or territory party is added after its commencement.</w:t>
      </w:r>
    </w:p>
    <w:p w14:paraId="24DA7FC0" w14:textId="77777777" w:rsidR="00B34554" w:rsidRPr="00A729D8" w:rsidRDefault="00B34554" w:rsidP="003A2061">
      <w:pPr>
        <w:pStyle w:val="Heading1"/>
        <w:keepLines w:val="0"/>
        <w:ind w:left="431" w:hanging="431"/>
      </w:pPr>
      <w:bookmarkStart w:id="266" w:name="_Toc7528152"/>
      <w:r w:rsidRPr="00A729D8">
        <w:t>Review of this agreement</w:t>
      </w:r>
      <w:bookmarkEnd w:id="266"/>
    </w:p>
    <w:p w14:paraId="6D63B45A" w14:textId="77777777" w:rsidR="00B34554" w:rsidRPr="00A729D8" w:rsidRDefault="00B34554" w:rsidP="002106F9">
      <w:pPr>
        <w:pStyle w:val="Heading2"/>
        <w:keepNext w:val="0"/>
        <w:keepLines w:val="0"/>
      </w:pPr>
      <w:bookmarkStart w:id="267" w:name="_Toc7528153"/>
      <w:r w:rsidRPr="00A729D8">
        <w:t>Review by biosecurity agencies</w:t>
      </w:r>
      <w:bookmarkEnd w:id="267"/>
    </w:p>
    <w:p w14:paraId="250AC51A" w14:textId="21BEE130" w:rsidR="00B34554" w:rsidRPr="00A729D8" w:rsidRDefault="00910B98" w:rsidP="00A63B17">
      <w:r w:rsidRPr="00A729D8">
        <w:t xml:space="preserve">The terms of this </w:t>
      </w:r>
      <w:r w:rsidR="00A64EDA" w:rsidRPr="00A729D8">
        <w:t>agreement</w:t>
      </w:r>
      <w:r w:rsidRPr="00A729D8">
        <w:t xml:space="preserve"> will be review</w:t>
      </w:r>
      <w:r w:rsidR="007E2E23" w:rsidRPr="00A729D8">
        <w:t>ed</w:t>
      </w:r>
      <w:r w:rsidRPr="00A729D8">
        <w:t xml:space="preserve"> by the Parties in light of experience of its operation. The review is to commence no more than five years from the Commencement Date and every five years thereafter.</w:t>
      </w:r>
      <w:r w:rsidRPr="00A729D8" w:rsidDel="00910B98">
        <w:t xml:space="preserve"> </w:t>
      </w:r>
    </w:p>
    <w:p w14:paraId="29383935" w14:textId="77777777" w:rsidR="00B34554" w:rsidRPr="00A729D8" w:rsidRDefault="00B34554" w:rsidP="002106F9">
      <w:pPr>
        <w:pStyle w:val="Heading2"/>
        <w:keepNext w:val="0"/>
        <w:keepLines w:val="0"/>
      </w:pPr>
      <w:bookmarkStart w:id="268" w:name="_Toc7528154"/>
      <w:r w:rsidRPr="00A729D8">
        <w:t>Report to the ministers</w:t>
      </w:r>
      <w:bookmarkEnd w:id="268"/>
    </w:p>
    <w:p w14:paraId="6CF77A05" w14:textId="77777777" w:rsidR="00A87B4F" w:rsidRPr="00A729D8" w:rsidRDefault="00B34554" w:rsidP="00A63B17">
      <w:pPr>
        <w:pStyle w:val="Heading3"/>
        <w:keepNext w:val="0"/>
        <w:keepLines w:val="0"/>
        <w:numPr>
          <w:ilvl w:val="0"/>
          <w:numId w:val="0"/>
        </w:numPr>
        <w:sectPr w:rsidR="00A87B4F" w:rsidRPr="00A729D8" w:rsidSect="005C5F1F">
          <w:headerReference w:type="default" r:id="rId8"/>
          <w:footerReference w:type="default" r:id="rId9"/>
          <w:pgSz w:w="11906" w:h="16838"/>
          <w:pgMar w:top="1440" w:right="1440" w:bottom="1440" w:left="1440" w:header="708" w:footer="708" w:gutter="0"/>
          <w:cols w:space="708"/>
          <w:titlePg/>
          <w:docGrid w:linePitch="360"/>
        </w:sectPr>
      </w:pPr>
      <w:r w:rsidRPr="00A729D8">
        <w:t>The parties must ensure that, on conducting a review in acco</w:t>
      </w:r>
      <w:r w:rsidR="00DD381A" w:rsidRPr="00A729D8">
        <w:t>rdance with clause 1</w:t>
      </w:r>
      <w:r w:rsidR="0060034F" w:rsidRPr="00A729D8">
        <w:t>4</w:t>
      </w:r>
      <w:r w:rsidRPr="00A729D8">
        <w:t>.1, that a report is prepared for the Commonwealth, State and Territory Ministers responsible for biosecurity matters that must include comments on the agreement’s implementation and effectiveness—including any recommendations for amendments.</w:t>
      </w:r>
    </w:p>
    <w:p w14:paraId="6D1114DD" w14:textId="77777777" w:rsidR="00A90F73" w:rsidRPr="00A729D8" w:rsidRDefault="00A90F73" w:rsidP="002106F9">
      <w:r w:rsidRPr="00A729D8">
        <w:br w:type="page"/>
      </w:r>
    </w:p>
    <w:p w14:paraId="435A56A6" w14:textId="77777777" w:rsidR="00A90F73" w:rsidRPr="00A729D8" w:rsidRDefault="00B34554" w:rsidP="00C4160B">
      <w:pPr>
        <w:pStyle w:val="Heading1"/>
        <w:keepNext w:val="0"/>
        <w:keepLines w:val="0"/>
        <w:numPr>
          <w:ilvl w:val="0"/>
          <w:numId w:val="0"/>
        </w:numPr>
      </w:pPr>
      <w:bookmarkStart w:id="269" w:name="_Toc7528155"/>
      <w:r w:rsidRPr="00A729D8">
        <w:lastRenderedPageBreak/>
        <w:t xml:space="preserve">Schedule 1 </w:t>
      </w:r>
      <w:r w:rsidR="00A87B4F" w:rsidRPr="00A729D8">
        <w:t xml:space="preserve">– </w:t>
      </w:r>
      <w:r w:rsidRPr="00A729D8">
        <w:t>Flow</w:t>
      </w:r>
      <w:r w:rsidR="00A87B4F" w:rsidRPr="00A729D8">
        <w:t xml:space="preserve"> </w:t>
      </w:r>
      <w:r w:rsidRPr="00A729D8">
        <w:t xml:space="preserve">chart of approach to national </w:t>
      </w:r>
      <w:r w:rsidR="00C629AC" w:rsidRPr="00A729D8">
        <w:t>e</w:t>
      </w:r>
      <w:r w:rsidR="00E85F70" w:rsidRPr="00A729D8">
        <w:t xml:space="preserve">mergency environmental pease or disease </w:t>
      </w:r>
      <w:r w:rsidRPr="00A729D8">
        <w:t>response</w:t>
      </w:r>
      <w:bookmarkEnd w:id="269"/>
      <w:r w:rsidRPr="00A729D8">
        <w:t xml:space="preserve"> </w:t>
      </w:r>
      <w:r w:rsidRPr="00A729D8">
        <w:tab/>
        <w:t xml:space="preserve"> </w:t>
      </w:r>
    </w:p>
    <w:p w14:paraId="7BBAFB96" w14:textId="4D23DB68" w:rsidR="00A87B4F" w:rsidRPr="00A729D8" w:rsidRDefault="006A08D8" w:rsidP="002106F9">
      <w:pPr>
        <w:spacing w:before="0" w:after="160" w:line="252" w:lineRule="auto"/>
      </w:pPr>
      <w:r w:rsidRPr="00A729D8">
        <w:t xml:space="preserve">To be developed </w:t>
      </w:r>
      <w:r w:rsidR="00A87B4F" w:rsidRPr="00A729D8">
        <w:br w:type="page"/>
      </w:r>
    </w:p>
    <w:p w14:paraId="4F52AF2A" w14:textId="77777777" w:rsidR="00B34554" w:rsidRPr="00A729D8" w:rsidRDefault="00B34554" w:rsidP="002106F9">
      <w:pPr>
        <w:pStyle w:val="Heading1"/>
        <w:keepNext w:val="0"/>
        <w:keepLines w:val="0"/>
        <w:numPr>
          <w:ilvl w:val="0"/>
          <w:numId w:val="0"/>
        </w:numPr>
      </w:pPr>
      <w:bookmarkStart w:id="270" w:name="_Toc7528156"/>
      <w:r w:rsidRPr="00A729D8">
        <w:lastRenderedPageBreak/>
        <w:t xml:space="preserve">Schedule </w:t>
      </w:r>
      <w:r w:rsidR="004B225C" w:rsidRPr="00A729D8">
        <w:t>2</w:t>
      </w:r>
      <w:r w:rsidRPr="00A729D8">
        <w:t xml:space="preserve"> </w:t>
      </w:r>
      <w:r w:rsidR="00A87B4F" w:rsidRPr="00A729D8">
        <w:t xml:space="preserve">– </w:t>
      </w:r>
      <w:r w:rsidRPr="00A729D8">
        <w:t>National</w:t>
      </w:r>
      <w:r w:rsidR="00A87B4F" w:rsidRPr="00A729D8">
        <w:t xml:space="preserve"> </w:t>
      </w:r>
      <w:r w:rsidRPr="00A729D8">
        <w:t>significance criteria</w:t>
      </w:r>
      <w:bookmarkEnd w:id="270"/>
      <w:r w:rsidRPr="00A729D8">
        <w:t xml:space="preserve"> </w:t>
      </w:r>
      <w:r w:rsidRPr="00A729D8">
        <w:tab/>
      </w:r>
    </w:p>
    <w:p w14:paraId="3216B9E5" w14:textId="77777777" w:rsidR="00B34554" w:rsidRPr="00A729D8" w:rsidRDefault="00B34554" w:rsidP="00121729">
      <w:pPr>
        <w:pStyle w:val="ScheduleL1"/>
        <w:numPr>
          <w:ilvl w:val="0"/>
          <w:numId w:val="38"/>
        </w:numPr>
      </w:pPr>
      <w:r w:rsidRPr="00A729D8">
        <w:t>National significance</w:t>
      </w:r>
    </w:p>
    <w:p w14:paraId="2CE665A7" w14:textId="77777777" w:rsidR="00B34554" w:rsidRPr="00A729D8" w:rsidRDefault="00B34554" w:rsidP="00121729">
      <w:pPr>
        <w:pStyle w:val="ListParagraph"/>
        <w:numPr>
          <w:ilvl w:val="0"/>
          <w:numId w:val="158"/>
        </w:numPr>
      </w:pPr>
      <w:r w:rsidRPr="00A729D8">
        <w:t>These criteria are only to be used to determine whether a particular pest or disease falls under the scope of this agreement.</w:t>
      </w:r>
    </w:p>
    <w:p w14:paraId="1DD67AE2" w14:textId="77777777" w:rsidR="00B34554" w:rsidRPr="00A729D8" w:rsidRDefault="00B34554" w:rsidP="00121729">
      <w:pPr>
        <w:pStyle w:val="ListParagraph"/>
        <w:numPr>
          <w:ilvl w:val="0"/>
          <w:numId w:val="158"/>
        </w:numPr>
      </w:pPr>
      <w:r w:rsidRPr="00A729D8">
        <w:t xml:space="preserve">These criteria can be used to assess whether a pest or disease is of national significance prior to an </w:t>
      </w:r>
      <w:r w:rsidR="00747D05" w:rsidRPr="00A729D8">
        <w:t>incident</w:t>
      </w:r>
      <w:r w:rsidRPr="00A729D8">
        <w:t xml:space="preserve"> and/or when an </w:t>
      </w:r>
      <w:r w:rsidR="00747D05" w:rsidRPr="00A729D8">
        <w:t>incident</w:t>
      </w:r>
      <w:r w:rsidRPr="00A729D8">
        <w:t xml:space="preserve"> has occurred.</w:t>
      </w:r>
    </w:p>
    <w:p w14:paraId="4834E0F4" w14:textId="77777777" w:rsidR="00B34554" w:rsidRPr="00A729D8" w:rsidRDefault="00B34554" w:rsidP="00121729">
      <w:pPr>
        <w:pStyle w:val="ListParagraph"/>
        <w:numPr>
          <w:ilvl w:val="0"/>
          <w:numId w:val="158"/>
        </w:numPr>
      </w:pPr>
      <w:r w:rsidRPr="00A729D8">
        <w:t>A pest or disease is of national significance when at least one of the following national significance criteria are established in relation to the pest or disease, being criteria relating to:</w:t>
      </w:r>
    </w:p>
    <w:p w14:paraId="2FA6DAF7" w14:textId="77777777" w:rsidR="00B34554" w:rsidRPr="00A729D8" w:rsidRDefault="00B34554" w:rsidP="00121729">
      <w:pPr>
        <w:pStyle w:val="ListParagraph"/>
        <w:numPr>
          <w:ilvl w:val="0"/>
          <w:numId w:val="159"/>
        </w:numPr>
      </w:pPr>
      <w:r w:rsidRPr="00A729D8">
        <w:t>the environment</w:t>
      </w:r>
    </w:p>
    <w:p w14:paraId="2F2B05E8" w14:textId="77777777" w:rsidR="00B34554" w:rsidRPr="00A729D8" w:rsidRDefault="00B34554" w:rsidP="00121729">
      <w:pPr>
        <w:pStyle w:val="ListParagraph"/>
        <w:numPr>
          <w:ilvl w:val="0"/>
          <w:numId w:val="159"/>
        </w:numPr>
      </w:pPr>
      <w:r w:rsidRPr="00A729D8">
        <w:t>people, including human infrastructure and social amenity</w:t>
      </w:r>
      <w:r w:rsidR="007E2E23" w:rsidRPr="00A729D8">
        <w:t>.</w:t>
      </w:r>
    </w:p>
    <w:p w14:paraId="208E5665" w14:textId="77777777" w:rsidR="00B34554" w:rsidRPr="00A729D8" w:rsidRDefault="00B34554" w:rsidP="00121729">
      <w:pPr>
        <w:pStyle w:val="ListParagraph"/>
        <w:numPr>
          <w:ilvl w:val="0"/>
          <w:numId w:val="158"/>
        </w:numPr>
      </w:pPr>
      <w:r w:rsidRPr="00A729D8">
        <w:t xml:space="preserve">Impacts on public health </w:t>
      </w:r>
      <w:r w:rsidR="00CE6266" w:rsidRPr="00A729D8">
        <w:t xml:space="preserve">and business activity </w:t>
      </w:r>
      <w:r w:rsidRPr="00A729D8">
        <w:t>may be used to support the full impact assessment of a pest or disease but do not form part of an assessment of its national significance.</w:t>
      </w:r>
    </w:p>
    <w:p w14:paraId="0F95349D" w14:textId="77777777" w:rsidR="00C673D3" w:rsidRPr="00A729D8" w:rsidRDefault="00C673D3" w:rsidP="00121729">
      <w:pPr>
        <w:pStyle w:val="ListParagraph"/>
        <w:numPr>
          <w:ilvl w:val="0"/>
          <w:numId w:val="158"/>
        </w:numPr>
      </w:pPr>
      <w:r w:rsidRPr="00A729D8">
        <w:t xml:space="preserve">To avoid any doubt, ‘impact’ </w:t>
      </w:r>
      <w:r w:rsidR="00AC5C9E" w:rsidRPr="00A729D8">
        <w:t xml:space="preserve">in this schedule </w:t>
      </w:r>
      <w:r w:rsidRPr="00A729D8">
        <w:t>is defined in accordance with clause 2.2 of this agreement (that is, ‘causing significant negative consequences’).</w:t>
      </w:r>
    </w:p>
    <w:p w14:paraId="6A102F4B" w14:textId="77777777" w:rsidR="00B34554" w:rsidRPr="00A729D8" w:rsidRDefault="00B34554" w:rsidP="002106F9">
      <w:pPr>
        <w:pStyle w:val="ScheduleL1"/>
      </w:pPr>
      <w:r w:rsidRPr="00A729D8">
        <w:t>National significance criterion: environment</w:t>
      </w:r>
    </w:p>
    <w:p w14:paraId="09F33C4C" w14:textId="77777777" w:rsidR="00B34554" w:rsidRPr="00A729D8" w:rsidRDefault="00B34554" w:rsidP="002106F9">
      <w:pPr>
        <w:pStyle w:val="ScheduleL2"/>
      </w:pPr>
      <w:r w:rsidRPr="00A729D8">
        <w:t>General</w:t>
      </w:r>
    </w:p>
    <w:p w14:paraId="535CE03D" w14:textId="77777777" w:rsidR="009C67ED" w:rsidRPr="00A729D8" w:rsidRDefault="00B34554" w:rsidP="00121729">
      <w:pPr>
        <w:pStyle w:val="ListParagraph"/>
        <w:numPr>
          <w:ilvl w:val="0"/>
          <w:numId w:val="39"/>
        </w:numPr>
      </w:pPr>
      <w:r w:rsidRPr="00A729D8">
        <w:t xml:space="preserve">The national significance criterion covers the projected impacts of a pest or disease </w:t>
      </w:r>
      <w:r w:rsidR="00747D05" w:rsidRPr="00A729D8">
        <w:t>incident</w:t>
      </w:r>
      <w:r w:rsidRPr="00A729D8">
        <w:t xml:space="preserve"> on the environment if the pest or disease was to realise its full potential range in Australia.</w:t>
      </w:r>
    </w:p>
    <w:p w14:paraId="2D135994" w14:textId="77777777" w:rsidR="009C67ED" w:rsidRPr="00A729D8" w:rsidRDefault="00B34554" w:rsidP="00121729">
      <w:pPr>
        <w:pStyle w:val="ListParagraph"/>
        <w:numPr>
          <w:ilvl w:val="0"/>
          <w:numId w:val="39"/>
        </w:numPr>
      </w:pPr>
      <w:r w:rsidRPr="00A729D8">
        <w:t>A pest or disease will meet this national significance criterion if any of the following sub- criteria are established:</w:t>
      </w:r>
    </w:p>
    <w:p w14:paraId="5A605F4D" w14:textId="77777777" w:rsidR="00B34554" w:rsidRPr="00A729D8" w:rsidRDefault="00B34554" w:rsidP="00121729">
      <w:pPr>
        <w:pStyle w:val="ListParagraph"/>
        <w:numPr>
          <w:ilvl w:val="1"/>
          <w:numId w:val="39"/>
        </w:numPr>
      </w:pPr>
      <w:r w:rsidRPr="00A729D8">
        <w:t>impacts on nationally important species</w:t>
      </w:r>
    </w:p>
    <w:p w14:paraId="3E34F353" w14:textId="77777777" w:rsidR="009C67ED" w:rsidRPr="00A729D8" w:rsidRDefault="00B34554" w:rsidP="00121729">
      <w:pPr>
        <w:pStyle w:val="ListParagraph"/>
        <w:numPr>
          <w:ilvl w:val="1"/>
          <w:numId w:val="39"/>
        </w:numPr>
      </w:pPr>
      <w:r w:rsidRPr="00A729D8">
        <w:t>impacts on ecologically valuable species</w:t>
      </w:r>
    </w:p>
    <w:p w14:paraId="106795A4" w14:textId="77777777" w:rsidR="009C67ED" w:rsidRPr="00A729D8" w:rsidRDefault="00B34554" w:rsidP="00121729">
      <w:pPr>
        <w:pStyle w:val="ListParagraph"/>
        <w:numPr>
          <w:ilvl w:val="1"/>
          <w:numId w:val="39"/>
        </w:numPr>
      </w:pPr>
      <w:r w:rsidRPr="00A729D8">
        <w:t>impacts on nationally important places</w:t>
      </w:r>
    </w:p>
    <w:p w14:paraId="70E469ED" w14:textId="77777777" w:rsidR="009C67ED" w:rsidRPr="00A729D8" w:rsidRDefault="00B34554" w:rsidP="00121729">
      <w:pPr>
        <w:pStyle w:val="ListParagraph"/>
        <w:numPr>
          <w:ilvl w:val="1"/>
          <w:numId w:val="39"/>
        </w:numPr>
      </w:pPr>
      <w:r w:rsidRPr="00A729D8">
        <w:t>impacts on ecologically important places</w:t>
      </w:r>
    </w:p>
    <w:p w14:paraId="05C08F87" w14:textId="77777777" w:rsidR="00B34554" w:rsidRPr="00A729D8" w:rsidRDefault="00B34554" w:rsidP="00121729">
      <w:pPr>
        <w:pStyle w:val="ListParagraph"/>
        <w:numPr>
          <w:ilvl w:val="1"/>
          <w:numId w:val="39"/>
        </w:numPr>
      </w:pPr>
      <w:r w:rsidRPr="00A729D8">
        <w:t>extensive impacts.</w:t>
      </w:r>
    </w:p>
    <w:p w14:paraId="474EED35" w14:textId="77777777" w:rsidR="00B34554" w:rsidRPr="00A729D8" w:rsidRDefault="00B34554" w:rsidP="002106F9">
      <w:pPr>
        <w:pStyle w:val="ScheduleL2"/>
      </w:pPr>
      <w:r w:rsidRPr="00A729D8">
        <w:t>Impacts on nationally important species</w:t>
      </w:r>
    </w:p>
    <w:p w14:paraId="39EEE8D0" w14:textId="77777777" w:rsidR="00B34554" w:rsidRPr="00A729D8" w:rsidRDefault="00B34554" w:rsidP="00121729">
      <w:pPr>
        <w:pStyle w:val="ListParagraph"/>
        <w:numPr>
          <w:ilvl w:val="0"/>
          <w:numId w:val="40"/>
        </w:numPr>
      </w:pPr>
      <w:r w:rsidRPr="00A729D8">
        <w:t>A ‘nationally important species’ is a native species that has a particular significance to the Australian community across the nation because it is:</w:t>
      </w:r>
    </w:p>
    <w:p w14:paraId="1D66563F" w14:textId="77777777" w:rsidR="00B34554" w:rsidRPr="00A729D8" w:rsidRDefault="00B34554" w:rsidP="00121729">
      <w:pPr>
        <w:pStyle w:val="ListParagraph"/>
        <w:numPr>
          <w:ilvl w:val="1"/>
          <w:numId w:val="40"/>
        </w:numPr>
      </w:pPr>
      <w:r w:rsidRPr="00A729D8">
        <w:t>relevant to the national identity; or</w:t>
      </w:r>
    </w:p>
    <w:p w14:paraId="7A076AD3" w14:textId="77777777" w:rsidR="00B34554" w:rsidRPr="00A729D8" w:rsidRDefault="00B34554" w:rsidP="00121729">
      <w:pPr>
        <w:pStyle w:val="ListParagraph"/>
        <w:numPr>
          <w:ilvl w:val="1"/>
          <w:numId w:val="40"/>
        </w:numPr>
      </w:pPr>
      <w:r w:rsidRPr="00A729D8">
        <w:t>nationally listed; or</w:t>
      </w:r>
    </w:p>
    <w:p w14:paraId="099A2CD9" w14:textId="77777777" w:rsidR="00B34554" w:rsidRPr="00A729D8" w:rsidRDefault="00B34554" w:rsidP="00121729">
      <w:pPr>
        <w:pStyle w:val="ListParagraph"/>
        <w:numPr>
          <w:ilvl w:val="1"/>
          <w:numId w:val="40"/>
        </w:numPr>
      </w:pPr>
      <w:r w:rsidRPr="00A729D8">
        <w:t>the subject of an international obligation.</w:t>
      </w:r>
    </w:p>
    <w:p w14:paraId="7AB72E9C" w14:textId="77777777" w:rsidR="00B34554" w:rsidRPr="00A729D8" w:rsidRDefault="00B34554" w:rsidP="002106F9">
      <w:pPr>
        <w:ind w:left="720"/>
      </w:pPr>
      <w:r w:rsidRPr="00A729D8">
        <w:t>For example, kangaroo species, koala, whale species and painted snipe.</w:t>
      </w:r>
    </w:p>
    <w:p w14:paraId="60841633" w14:textId="77777777" w:rsidR="00B34554" w:rsidRPr="00A729D8" w:rsidRDefault="00B34554" w:rsidP="002106F9">
      <w:r w:rsidRPr="00A729D8">
        <w:t xml:space="preserve"> </w:t>
      </w:r>
    </w:p>
    <w:p w14:paraId="4654825C" w14:textId="77777777" w:rsidR="009C67ED" w:rsidRPr="00A729D8" w:rsidRDefault="00B34554" w:rsidP="00121729">
      <w:pPr>
        <w:pStyle w:val="ListParagraph"/>
        <w:numPr>
          <w:ilvl w:val="0"/>
          <w:numId w:val="40"/>
        </w:numPr>
      </w:pPr>
      <w:r w:rsidRPr="00A729D8">
        <w:lastRenderedPageBreak/>
        <w:t>This sub-criterion is met if the pest or disease is likely to have a significant impact on the conservation status of a nationally important species.</w:t>
      </w:r>
    </w:p>
    <w:p w14:paraId="3319E97A" w14:textId="77777777" w:rsidR="009C67ED" w:rsidRPr="00A729D8" w:rsidRDefault="00B34554" w:rsidP="00121729">
      <w:pPr>
        <w:pStyle w:val="ListParagraph"/>
        <w:numPr>
          <w:ilvl w:val="0"/>
          <w:numId w:val="40"/>
        </w:numPr>
      </w:pPr>
      <w:r w:rsidRPr="00A729D8">
        <w:t>The following guideline will help with determining whether item 2.2(b) of this schedule is established:</w:t>
      </w:r>
    </w:p>
    <w:p w14:paraId="041EAFF0" w14:textId="77777777" w:rsidR="009C67ED" w:rsidRPr="00A729D8" w:rsidRDefault="00B34554" w:rsidP="00121729">
      <w:pPr>
        <w:pStyle w:val="ListParagraph"/>
        <w:numPr>
          <w:ilvl w:val="1"/>
          <w:numId w:val="40"/>
        </w:numPr>
      </w:pPr>
      <w:r w:rsidRPr="00A729D8">
        <w:t xml:space="preserve">An </w:t>
      </w:r>
      <w:r w:rsidR="00747D05" w:rsidRPr="00A729D8">
        <w:t>incident</w:t>
      </w:r>
      <w:r w:rsidRPr="00A729D8">
        <w:t xml:space="preserve"> of a pest or disease will have a significant impact on the conservation status of nationally important species where it is likely that the </w:t>
      </w:r>
      <w:r w:rsidR="00747D05" w:rsidRPr="00A729D8">
        <w:t>incident</w:t>
      </w:r>
      <w:r w:rsidRPr="00A729D8">
        <w:t xml:space="preserve"> will or would:</w:t>
      </w:r>
    </w:p>
    <w:p w14:paraId="285029A9" w14:textId="77777777" w:rsidR="009C67ED" w:rsidRPr="00A729D8" w:rsidRDefault="00B34554" w:rsidP="00121729">
      <w:pPr>
        <w:pStyle w:val="ListParagraph"/>
        <w:numPr>
          <w:ilvl w:val="2"/>
          <w:numId w:val="40"/>
        </w:numPr>
      </w:pPr>
      <w:r w:rsidRPr="00A729D8">
        <w:t>substantially modify (including by fragmenting habitats, altering fire regimes, altering nutrient cycles or altering hydrological cycles), destroy or isolate a significant proportion of the habitat for a nationally important species; or</w:t>
      </w:r>
    </w:p>
    <w:p w14:paraId="265AF6F6" w14:textId="77777777" w:rsidR="00B34554" w:rsidRPr="00A729D8" w:rsidRDefault="00B34554" w:rsidP="00121729">
      <w:pPr>
        <w:pStyle w:val="ListParagraph"/>
        <w:numPr>
          <w:ilvl w:val="2"/>
          <w:numId w:val="40"/>
        </w:numPr>
      </w:pPr>
      <w:r w:rsidRPr="00A729D8">
        <w:t>seriously disrupt the lifecycle (including reproduction, feeding/nutrient uptake, migration or resting behaviour) of an ecologically significant proportion of the population of a nationally important species.</w:t>
      </w:r>
    </w:p>
    <w:p w14:paraId="0AC1088C" w14:textId="77777777" w:rsidR="00B34554" w:rsidRPr="00A729D8" w:rsidRDefault="00B34554" w:rsidP="002106F9">
      <w:pPr>
        <w:pStyle w:val="ScheduleL2"/>
      </w:pPr>
      <w:r w:rsidRPr="00A729D8">
        <w:t>Impacts on ecologically valuable species</w:t>
      </w:r>
    </w:p>
    <w:p w14:paraId="2A7199C9" w14:textId="77777777" w:rsidR="009C67ED" w:rsidRPr="00A729D8" w:rsidRDefault="00B34554" w:rsidP="00121729">
      <w:pPr>
        <w:pStyle w:val="ListParagraph"/>
        <w:numPr>
          <w:ilvl w:val="0"/>
          <w:numId w:val="41"/>
        </w:numPr>
      </w:pPr>
      <w:r w:rsidRPr="00A729D8">
        <w:t>An ‘ecologically valuable species’ is a native species that makes a significant contribution to national biodiversity due to factors such as:</w:t>
      </w:r>
    </w:p>
    <w:p w14:paraId="63256CF7" w14:textId="77777777" w:rsidR="009C67ED" w:rsidRPr="00A729D8" w:rsidRDefault="00B34554" w:rsidP="00121729">
      <w:pPr>
        <w:pStyle w:val="ListParagraph"/>
        <w:numPr>
          <w:ilvl w:val="1"/>
          <w:numId w:val="41"/>
        </w:numPr>
      </w:pPr>
      <w:r w:rsidRPr="00A729D8">
        <w:t>it being a keystone species, meaning a species that provides an essential role in the ecosystem in which it resides. An example of a keystone species is a species of gum tree that provides an over-storey to a bush ecosystem and hence support for many animals, birds, invertebrates, soil microbes etc; or</w:t>
      </w:r>
    </w:p>
    <w:p w14:paraId="2DD21B5F" w14:textId="77777777" w:rsidR="009C67ED" w:rsidRPr="00A729D8" w:rsidRDefault="00B34554" w:rsidP="00121729">
      <w:pPr>
        <w:pStyle w:val="ListParagraph"/>
        <w:numPr>
          <w:ilvl w:val="1"/>
          <w:numId w:val="41"/>
        </w:numPr>
      </w:pPr>
      <w:r w:rsidRPr="00A729D8">
        <w:t>the phylogenetic distinctiveness of the species. For example, the cassowary, strangler fig, spinifex, Mitchell grass, the Australian salamanderfish and the Australian lung fish.</w:t>
      </w:r>
    </w:p>
    <w:p w14:paraId="7070C49B" w14:textId="77777777" w:rsidR="009C67ED" w:rsidRPr="00A729D8" w:rsidRDefault="00B34554" w:rsidP="00121729">
      <w:pPr>
        <w:pStyle w:val="ListParagraph"/>
        <w:numPr>
          <w:ilvl w:val="0"/>
          <w:numId w:val="41"/>
        </w:numPr>
      </w:pPr>
      <w:r w:rsidRPr="00A729D8">
        <w:t>This sub-criterion is met if the pest or disease would likely have a significant impact on the conservation status of an ecologically valuable species.</w:t>
      </w:r>
    </w:p>
    <w:p w14:paraId="313357E2" w14:textId="77777777" w:rsidR="009C67ED" w:rsidRPr="00A729D8" w:rsidRDefault="00B34554" w:rsidP="00121729">
      <w:pPr>
        <w:pStyle w:val="ListParagraph"/>
        <w:numPr>
          <w:ilvl w:val="0"/>
          <w:numId w:val="41"/>
        </w:numPr>
      </w:pPr>
      <w:r w:rsidRPr="00A729D8">
        <w:t>The following guideline will help with determining whether item 2.3(b) of this schedule is established:</w:t>
      </w:r>
    </w:p>
    <w:p w14:paraId="19BF5065" w14:textId="77777777" w:rsidR="009C67ED" w:rsidRPr="00A729D8" w:rsidRDefault="00B34554" w:rsidP="00121729">
      <w:pPr>
        <w:pStyle w:val="ListParagraph"/>
        <w:numPr>
          <w:ilvl w:val="1"/>
          <w:numId w:val="41"/>
        </w:numPr>
      </w:pPr>
      <w:r w:rsidRPr="00A729D8">
        <w:t xml:space="preserve">An </w:t>
      </w:r>
      <w:r w:rsidR="00747D05" w:rsidRPr="00A729D8">
        <w:t>incident</w:t>
      </w:r>
      <w:r w:rsidRPr="00A729D8">
        <w:t xml:space="preserve"> of a pest or disease will have a significant impact on the conservation status of an ecologically valuable species where it is likely that the </w:t>
      </w:r>
      <w:r w:rsidR="00747D05" w:rsidRPr="00A729D8">
        <w:t>incident</w:t>
      </w:r>
      <w:r w:rsidRPr="00A729D8">
        <w:t xml:space="preserve"> will or could:</w:t>
      </w:r>
    </w:p>
    <w:p w14:paraId="5B7BFD9E" w14:textId="77777777" w:rsidR="009C67ED" w:rsidRPr="00A729D8" w:rsidRDefault="00B34554" w:rsidP="00121729">
      <w:pPr>
        <w:pStyle w:val="ListParagraph"/>
        <w:numPr>
          <w:ilvl w:val="2"/>
          <w:numId w:val="41"/>
        </w:numPr>
      </w:pPr>
      <w:r w:rsidRPr="00A729D8">
        <w:t>substantially modify (including by fragmenting habitats, altering fire regimes, altering nutrient cycles or altering hydrological cycles), displace, destroy or isolate a significant proportion of the habitat of an ecologically valuable species; or</w:t>
      </w:r>
    </w:p>
    <w:p w14:paraId="3EBD88D0" w14:textId="77777777" w:rsidR="00B34554" w:rsidRPr="00A729D8" w:rsidRDefault="00B34554" w:rsidP="00121729">
      <w:pPr>
        <w:pStyle w:val="ListParagraph"/>
        <w:numPr>
          <w:ilvl w:val="2"/>
          <w:numId w:val="41"/>
        </w:numPr>
      </w:pPr>
      <w:r w:rsidRPr="00A729D8">
        <w:t>seriously disrupt the lifecycle (breeding, feeding, migration or resting behaviour) of an ecologically significant proportion of the population of an ecologically valuable species.</w:t>
      </w:r>
    </w:p>
    <w:p w14:paraId="08367B6B" w14:textId="77777777" w:rsidR="00B34554" w:rsidRPr="00A729D8" w:rsidRDefault="00B34554" w:rsidP="002106F9"/>
    <w:p w14:paraId="2D2961E8" w14:textId="77777777" w:rsidR="00B34554" w:rsidRPr="00A729D8" w:rsidRDefault="00B34554" w:rsidP="002106F9">
      <w:pPr>
        <w:pStyle w:val="ScheduleL2"/>
      </w:pPr>
      <w:r w:rsidRPr="00A729D8">
        <w:lastRenderedPageBreak/>
        <w:t>Impacts on nationally important places</w:t>
      </w:r>
    </w:p>
    <w:p w14:paraId="279DD74D" w14:textId="77777777" w:rsidR="009C67ED" w:rsidRPr="00A729D8" w:rsidRDefault="009C67ED" w:rsidP="00121729">
      <w:pPr>
        <w:pStyle w:val="ListParagraph"/>
        <w:numPr>
          <w:ilvl w:val="0"/>
          <w:numId w:val="42"/>
        </w:numPr>
      </w:pPr>
      <w:r w:rsidRPr="00A729D8">
        <w:t>A</w:t>
      </w:r>
      <w:r w:rsidR="00B34554" w:rsidRPr="00A729D8">
        <w:t xml:space="preserve"> ‘nationally important place’ is any place that has a particular significance to the Australian community or because it is relevant to the national identity. For example, nationally important places may include National Heritage Places included in the National</w:t>
      </w:r>
      <w:r w:rsidRPr="00A729D8">
        <w:t xml:space="preserve"> </w:t>
      </w:r>
      <w:r w:rsidR="00B34554" w:rsidRPr="00A729D8">
        <w:t>Heritage List under the Environment Protection and Biodiversity Conservation Act 1999</w:t>
      </w:r>
      <w:r w:rsidRPr="00A729D8">
        <w:t xml:space="preserve"> </w:t>
      </w:r>
      <w:r w:rsidR="00B34554" w:rsidRPr="00A729D8">
        <w:t>and Australian properties included on the World Heritage list.</w:t>
      </w:r>
    </w:p>
    <w:p w14:paraId="6D596C87" w14:textId="77777777" w:rsidR="00B34554" w:rsidRPr="00A729D8" w:rsidRDefault="00B34554" w:rsidP="00121729">
      <w:pPr>
        <w:pStyle w:val="ListParagraph"/>
        <w:numPr>
          <w:ilvl w:val="0"/>
          <w:numId w:val="42"/>
        </w:numPr>
      </w:pPr>
      <w:r w:rsidRPr="00A729D8">
        <w:t>This sub-criterion is met if the pest or disease would be likely to have a significant impact on the values that make a place nationally important.</w:t>
      </w:r>
    </w:p>
    <w:p w14:paraId="1AA562CB" w14:textId="77777777" w:rsidR="00B34554" w:rsidRPr="00A729D8" w:rsidRDefault="00B34554" w:rsidP="002106F9">
      <w:pPr>
        <w:pStyle w:val="ScheduleL2"/>
      </w:pPr>
      <w:r w:rsidRPr="00A729D8">
        <w:t>Impacts on ecologically valuable places</w:t>
      </w:r>
    </w:p>
    <w:p w14:paraId="55CBC103" w14:textId="77777777" w:rsidR="009C67ED" w:rsidRPr="00A729D8" w:rsidRDefault="00B34554" w:rsidP="00121729">
      <w:pPr>
        <w:pStyle w:val="ListParagraph"/>
        <w:numPr>
          <w:ilvl w:val="0"/>
          <w:numId w:val="43"/>
        </w:numPr>
      </w:pPr>
      <w:r w:rsidRPr="00A729D8">
        <w:t>An ‘ecologically valuable place’ is an area that:</w:t>
      </w:r>
    </w:p>
    <w:p w14:paraId="04B883EF" w14:textId="77777777" w:rsidR="009C67ED" w:rsidRPr="00A729D8" w:rsidRDefault="00B34554" w:rsidP="00121729">
      <w:pPr>
        <w:pStyle w:val="ListParagraph"/>
        <w:numPr>
          <w:ilvl w:val="1"/>
          <w:numId w:val="43"/>
        </w:numPr>
      </w:pPr>
      <w:r w:rsidRPr="00A729D8">
        <w:t>makes a significant contribution to Australia’s natural environment; or</w:t>
      </w:r>
    </w:p>
    <w:p w14:paraId="35AA1442" w14:textId="77777777" w:rsidR="009C67ED" w:rsidRPr="00A729D8" w:rsidRDefault="00B34554" w:rsidP="00121729">
      <w:pPr>
        <w:pStyle w:val="ListParagraph"/>
        <w:numPr>
          <w:ilvl w:val="1"/>
          <w:numId w:val="43"/>
        </w:numPr>
      </w:pPr>
      <w:r w:rsidRPr="00A729D8">
        <w:t>meets national heritage listing criteria, as set out in the Environment Protection and Biodiversity Conservation Act 1999 and regulations; or</w:t>
      </w:r>
    </w:p>
    <w:p w14:paraId="58D7F6CD" w14:textId="77777777" w:rsidR="009C67ED" w:rsidRPr="00A729D8" w:rsidRDefault="00B34554" w:rsidP="00121729">
      <w:pPr>
        <w:pStyle w:val="ListParagraph"/>
        <w:numPr>
          <w:ilvl w:val="1"/>
          <w:numId w:val="43"/>
        </w:numPr>
      </w:pPr>
      <w:r w:rsidRPr="00A729D8">
        <w:t>are nationally-listed, ecological communities and RAMSAR wetlands covered under the Environment Protection and Biodiversity Conservation Act 1999.</w:t>
      </w:r>
    </w:p>
    <w:p w14:paraId="7023F39B" w14:textId="77777777" w:rsidR="00B34554" w:rsidRPr="00A729D8" w:rsidRDefault="00B34554" w:rsidP="00121729">
      <w:pPr>
        <w:pStyle w:val="ListParagraph"/>
        <w:numPr>
          <w:ilvl w:val="0"/>
          <w:numId w:val="43"/>
        </w:numPr>
      </w:pPr>
      <w:r w:rsidRPr="00A729D8">
        <w:t>This sub-criterion is met if the pest or disease would be likely to have a significant impact on the national heritage values of an ecologically valuable place.</w:t>
      </w:r>
    </w:p>
    <w:p w14:paraId="2E45790C" w14:textId="77777777" w:rsidR="00B34554" w:rsidRPr="00A729D8" w:rsidRDefault="00B34554" w:rsidP="002106F9">
      <w:pPr>
        <w:pStyle w:val="ScheduleL2"/>
      </w:pPr>
      <w:r w:rsidRPr="00A729D8">
        <w:t>Extensive impacts</w:t>
      </w:r>
    </w:p>
    <w:p w14:paraId="3A417F07" w14:textId="77777777" w:rsidR="00B34554" w:rsidRPr="00A729D8" w:rsidRDefault="00B34554" w:rsidP="00121729">
      <w:pPr>
        <w:pStyle w:val="ListParagraph"/>
        <w:numPr>
          <w:ilvl w:val="0"/>
          <w:numId w:val="44"/>
        </w:numPr>
      </w:pPr>
      <w:r w:rsidRPr="00A729D8">
        <w:t>An ‘extensive impact’ means severely and/or extensively affecting one or more of the following:</w:t>
      </w:r>
    </w:p>
    <w:p w14:paraId="7DB2F5D3" w14:textId="77777777" w:rsidR="00B34554" w:rsidRPr="00A729D8" w:rsidRDefault="00B34554" w:rsidP="00121729">
      <w:pPr>
        <w:pStyle w:val="ListParagraph"/>
        <w:numPr>
          <w:ilvl w:val="1"/>
          <w:numId w:val="44"/>
        </w:numPr>
      </w:pPr>
      <w:r w:rsidRPr="00A729D8">
        <w:t>the physical environment</w:t>
      </w:r>
    </w:p>
    <w:p w14:paraId="558D8807" w14:textId="77777777" w:rsidR="00B34554" w:rsidRPr="00A729D8" w:rsidRDefault="00B34554" w:rsidP="00121729">
      <w:pPr>
        <w:pStyle w:val="ListParagraph"/>
        <w:numPr>
          <w:ilvl w:val="1"/>
          <w:numId w:val="44"/>
        </w:numPr>
      </w:pPr>
      <w:r w:rsidRPr="00A729D8">
        <w:t>Australian biodiversity</w:t>
      </w:r>
    </w:p>
    <w:p w14:paraId="31A84F6F" w14:textId="77777777" w:rsidR="00B34554" w:rsidRPr="00A729D8" w:rsidRDefault="00B34554" w:rsidP="00121729">
      <w:pPr>
        <w:pStyle w:val="ListParagraph"/>
        <w:numPr>
          <w:ilvl w:val="1"/>
          <w:numId w:val="44"/>
        </w:numPr>
      </w:pPr>
      <w:r w:rsidRPr="00A729D8">
        <w:t>the structure of ecological communities</w:t>
      </w:r>
    </w:p>
    <w:p w14:paraId="20FC1577" w14:textId="77777777" w:rsidR="00B34554" w:rsidRPr="00A729D8" w:rsidRDefault="00B34554" w:rsidP="00121729">
      <w:pPr>
        <w:pStyle w:val="ListParagraph"/>
        <w:numPr>
          <w:ilvl w:val="1"/>
          <w:numId w:val="44"/>
        </w:numPr>
      </w:pPr>
      <w:r w:rsidRPr="00A729D8">
        <w:t>ecosystem functions</w:t>
      </w:r>
    </w:p>
    <w:p w14:paraId="01D03C4B" w14:textId="77777777" w:rsidR="00B34554" w:rsidRPr="00A729D8" w:rsidRDefault="00B34554" w:rsidP="00121729">
      <w:pPr>
        <w:pStyle w:val="ListParagraph"/>
        <w:numPr>
          <w:ilvl w:val="1"/>
          <w:numId w:val="44"/>
        </w:numPr>
      </w:pPr>
      <w:r w:rsidRPr="00A729D8">
        <w:t>environmental amenity</w:t>
      </w:r>
    </w:p>
    <w:p w14:paraId="2CA5B65B" w14:textId="77777777" w:rsidR="006700ED" w:rsidRPr="00A729D8" w:rsidRDefault="00B34554" w:rsidP="00121729">
      <w:pPr>
        <w:pStyle w:val="ListParagraph"/>
        <w:numPr>
          <w:ilvl w:val="1"/>
          <w:numId w:val="44"/>
        </w:numPr>
      </w:pPr>
      <w:r w:rsidRPr="00A729D8">
        <w:t>ecosystem services.</w:t>
      </w:r>
    </w:p>
    <w:p w14:paraId="6C5181DF" w14:textId="77777777" w:rsidR="006700ED" w:rsidRPr="00A729D8" w:rsidRDefault="00B34554" w:rsidP="00121729">
      <w:pPr>
        <w:pStyle w:val="ListParagraph"/>
        <w:numPr>
          <w:ilvl w:val="0"/>
          <w:numId w:val="44"/>
        </w:numPr>
      </w:pPr>
      <w:r w:rsidRPr="00A729D8">
        <w:t>This sub-criterion is met if the pest or disease would likely have an extensive impact, regardless of whether the pest or disease also meets one of the other sub-criteria with regard to nationally important or ecologically valuable species or places. For example, the following species may meet this sub-criterion: Didymosphenia geminata (rock snot) cool water aquatic plant, fanworms (species not yet present in Australia), new weeds that are scientifically assessed as having the potential to cause significant impacts and Puccinia psidii (Eucalyptus rust). The following species would not meet this sub-criterion: benign ants and macaw wasting disease (proventricular dilation disease).</w:t>
      </w:r>
    </w:p>
    <w:p w14:paraId="0DF03D6E" w14:textId="77777777" w:rsidR="00B34554" w:rsidRPr="00A729D8" w:rsidRDefault="00B34554" w:rsidP="00121729">
      <w:pPr>
        <w:pStyle w:val="ListParagraph"/>
        <w:numPr>
          <w:ilvl w:val="0"/>
          <w:numId w:val="44"/>
        </w:numPr>
      </w:pPr>
      <w:r w:rsidRPr="00A729D8">
        <w:t>It is acknowledged that a pest or disease meeting this sub-criterion may also meet other criteria or sub-criteria.</w:t>
      </w:r>
    </w:p>
    <w:p w14:paraId="54714A59" w14:textId="77777777" w:rsidR="00B34554" w:rsidRPr="00A729D8" w:rsidRDefault="00B34554" w:rsidP="002106F9">
      <w:pPr>
        <w:pStyle w:val="ScheduleL1"/>
      </w:pPr>
      <w:r w:rsidRPr="00A729D8">
        <w:lastRenderedPageBreak/>
        <w:t>National significance criterion: people, including social amenity and human infrastructure</w:t>
      </w:r>
    </w:p>
    <w:p w14:paraId="193E2AAD" w14:textId="77777777" w:rsidR="00B34554" w:rsidRPr="00A729D8" w:rsidRDefault="00B34554" w:rsidP="002106F9">
      <w:pPr>
        <w:pStyle w:val="ScheduleL2"/>
      </w:pPr>
      <w:r w:rsidRPr="00A729D8">
        <w:t>General</w:t>
      </w:r>
    </w:p>
    <w:p w14:paraId="00F7E95F" w14:textId="77777777" w:rsidR="006700ED" w:rsidRPr="00A729D8" w:rsidRDefault="00B34554" w:rsidP="00121729">
      <w:pPr>
        <w:pStyle w:val="ListParagraph"/>
        <w:numPr>
          <w:ilvl w:val="0"/>
          <w:numId w:val="45"/>
        </w:numPr>
      </w:pPr>
      <w:r w:rsidRPr="00A729D8">
        <w:t>This national significance criterion is concerned with the impacts of pests and diseases on people, including:</w:t>
      </w:r>
    </w:p>
    <w:p w14:paraId="41C08FAB" w14:textId="77777777" w:rsidR="006700ED" w:rsidRPr="00A729D8" w:rsidRDefault="00B34554" w:rsidP="00121729">
      <w:pPr>
        <w:pStyle w:val="ListParagraph"/>
        <w:numPr>
          <w:ilvl w:val="1"/>
          <w:numId w:val="45"/>
        </w:numPr>
      </w:pPr>
      <w:r w:rsidRPr="00A729D8">
        <w:t>the inconvenience to people and society caused by the pest or disease</w:t>
      </w:r>
    </w:p>
    <w:p w14:paraId="135468C5" w14:textId="77777777" w:rsidR="006700ED" w:rsidRPr="00A729D8" w:rsidRDefault="00B34554" w:rsidP="00121729">
      <w:pPr>
        <w:pStyle w:val="ListParagraph"/>
        <w:numPr>
          <w:ilvl w:val="1"/>
          <w:numId w:val="45"/>
        </w:numPr>
      </w:pPr>
      <w:r w:rsidRPr="00A729D8">
        <w:t>the impacts on human infrastructure.</w:t>
      </w:r>
    </w:p>
    <w:p w14:paraId="2843FDBF" w14:textId="77777777" w:rsidR="00B34554" w:rsidRPr="00A729D8" w:rsidRDefault="00B34554" w:rsidP="00121729">
      <w:pPr>
        <w:pStyle w:val="ListParagraph"/>
        <w:numPr>
          <w:ilvl w:val="0"/>
          <w:numId w:val="45"/>
        </w:numPr>
      </w:pPr>
      <w:r w:rsidRPr="00A729D8">
        <w:t>A pest or disease will meet this criterion if one or more of the following sub-criteria are established:</w:t>
      </w:r>
    </w:p>
    <w:p w14:paraId="536A5A5B" w14:textId="77777777" w:rsidR="00B34554" w:rsidRPr="00A729D8" w:rsidRDefault="00B34554" w:rsidP="00121729">
      <w:pPr>
        <w:pStyle w:val="ListParagraph"/>
        <w:numPr>
          <w:ilvl w:val="1"/>
          <w:numId w:val="45"/>
        </w:numPr>
      </w:pPr>
      <w:r w:rsidRPr="00A729D8">
        <w:t>impacts on human infrastructure</w:t>
      </w:r>
    </w:p>
    <w:p w14:paraId="32194A53" w14:textId="77777777" w:rsidR="00B34554" w:rsidRPr="00A729D8" w:rsidRDefault="00B34554" w:rsidP="00121729">
      <w:pPr>
        <w:pStyle w:val="ListParagraph"/>
        <w:numPr>
          <w:ilvl w:val="1"/>
          <w:numId w:val="45"/>
        </w:numPr>
      </w:pPr>
      <w:r w:rsidRPr="00A729D8">
        <w:t>impacts on social amenity</w:t>
      </w:r>
    </w:p>
    <w:p w14:paraId="0F450FE6" w14:textId="77777777" w:rsidR="00B34554" w:rsidRPr="00A729D8" w:rsidRDefault="00B34554" w:rsidP="00121729">
      <w:pPr>
        <w:pStyle w:val="ListParagraph"/>
        <w:numPr>
          <w:ilvl w:val="1"/>
          <w:numId w:val="45"/>
        </w:numPr>
      </w:pPr>
      <w:r w:rsidRPr="00A729D8">
        <w:t>cultural impacts.</w:t>
      </w:r>
    </w:p>
    <w:p w14:paraId="677F9171" w14:textId="77777777" w:rsidR="006700ED" w:rsidRPr="00A729D8" w:rsidRDefault="00B34554" w:rsidP="00121729">
      <w:pPr>
        <w:pStyle w:val="ListParagraph"/>
        <w:numPr>
          <w:ilvl w:val="0"/>
          <w:numId w:val="45"/>
        </w:numPr>
      </w:pPr>
      <w:r w:rsidRPr="00A729D8">
        <w:t>In determining whether a pest or disease meets this national significance criterion the following matters should be considered:</w:t>
      </w:r>
    </w:p>
    <w:p w14:paraId="23FB804F" w14:textId="77777777" w:rsidR="006700ED" w:rsidRPr="00A729D8" w:rsidRDefault="00B34554" w:rsidP="00121729">
      <w:pPr>
        <w:pStyle w:val="ListParagraph"/>
        <w:numPr>
          <w:ilvl w:val="1"/>
          <w:numId w:val="45"/>
        </w:numPr>
      </w:pPr>
      <w:r w:rsidRPr="00A729D8">
        <w:t>the severity of the impact</w:t>
      </w:r>
    </w:p>
    <w:p w14:paraId="02760B87" w14:textId="77777777" w:rsidR="006700ED" w:rsidRPr="00A729D8" w:rsidRDefault="00B34554" w:rsidP="00121729">
      <w:pPr>
        <w:pStyle w:val="ListParagraph"/>
        <w:numPr>
          <w:ilvl w:val="1"/>
          <w:numId w:val="45"/>
        </w:numPr>
      </w:pPr>
      <w:r w:rsidRPr="00A729D8">
        <w:t>the extent of the impact</w:t>
      </w:r>
    </w:p>
    <w:p w14:paraId="05A4EFB2" w14:textId="77777777" w:rsidR="00B34554" w:rsidRPr="00A729D8" w:rsidRDefault="00B34554" w:rsidP="00121729">
      <w:pPr>
        <w:pStyle w:val="ListParagraph"/>
        <w:numPr>
          <w:ilvl w:val="1"/>
          <w:numId w:val="45"/>
        </w:numPr>
      </w:pPr>
      <w:r w:rsidRPr="00A729D8">
        <w:t>the significance of the resources/assets under threat.</w:t>
      </w:r>
    </w:p>
    <w:p w14:paraId="238C353E" w14:textId="6AFB054B" w:rsidR="00B34554" w:rsidRPr="00A729D8" w:rsidRDefault="00B34554" w:rsidP="002106F9">
      <w:pPr>
        <w:ind w:left="720"/>
      </w:pPr>
      <w:r w:rsidRPr="00A729D8">
        <w:t>For example, this may include either a catastrophic loss of a resource amenity for a relatively small proportion of the population, or a substantial loss of amenity for an extensive or diverse part of the population.</w:t>
      </w:r>
    </w:p>
    <w:p w14:paraId="54E3511F" w14:textId="77777777" w:rsidR="00B34554" w:rsidRPr="00A729D8" w:rsidRDefault="00B34554" w:rsidP="002106F9">
      <w:pPr>
        <w:pStyle w:val="ScheduleL2"/>
      </w:pPr>
      <w:r w:rsidRPr="00A729D8">
        <w:t>Impacts on human infrastructure</w:t>
      </w:r>
    </w:p>
    <w:p w14:paraId="2FABF967" w14:textId="77777777" w:rsidR="00B34554" w:rsidRPr="00A729D8" w:rsidRDefault="00B34554" w:rsidP="002106F9">
      <w:r w:rsidRPr="00A729D8">
        <w:t xml:space="preserve">This sub-criterion is met if a pest or disease </w:t>
      </w:r>
      <w:r w:rsidR="00747D05" w:rsidRPr="00A729D8">
        <w:t>incident</w:t>
      </w:r>
      <w:r w:rsidRPr="00A729D8">
        <w:t xml:space="preserve"> has resulted, or would likely result, in substantial damage to or deterioration of infrastructure used by a significant proportion of people over an extensive area.</w:t>
      </w:r>
    </w:p>
    <w:p w14:paraId="738BAC32" w14:textId="77777777" w:rsidR="00B34554" w:rsidRPr="00A729D8" w:rsidRDefault="006700ED" w:rsidP="002106F9">
      <w:pPr>
        <w:pStyle w:val="ScheduleL2"/>
      </w:pPr>
      <w:r w:rsidRPr="00A729D8">
        <w:t>I</w:t>
      </w:r>
      <w:r w:rsidR="00B34554" w:rsidRPr="00A729D8">
        <w:t>mpacts on social amenity</w:t>
      </w:r>
    </w:p>
    <w:p w14:paraId="5059FAD1" w14:textId="3B06EC95" w:rsidR="00B34554" w:rsidRPr="00A729D8" w:rsidRDefault="00B34554" w:rsidP="002106F9">
      <w:r w:rsidRPr="00A729D8">
        <w:t xml:space="preserve">This sub-criterion is met if an </w:t>
      </w:r>
      <w:r w:rsidR="00747D05" w:rsidRPr="00A729D8">
        <w:t>incident</w:t>
      </w:r>
      <w:r w:rsidRPr="00A729D8">
        <w:t xml:space="preserve"> has substantially degraded, or is likely to substantially degrade, amenity of resources used by a significant proportion of people over an extensive area.</w:t>
      </w:r>
    </w:p>
    <w:p w14:paraId="26F7F91F" w14:textId="77777777" w:rsidR="00B34554" w:rsidRPr="00A729D8" w:rsidRDefault="00B34554" w:rsidP="002106F9">
      <w:pPr>
        <w:pStyle w:val="ScheduleL2"/>
      </w:pPr>
      <w:r w:rsidRPr="00A729D8">
        <w:t>Cultural impacts</w:t>
      </w:r>
    </w:p>
    <w:p w14:paraId="121CE1E5" w14:textId="77777777" w:rsidR="00B34554" w:rsidRPr="00A729D8" w:rsidRDefault="00B34554" w:rsidP="002106F9">
      <w:r w:rsidRPr="00A729D8">
        <w:t xml:space="preserve">This sub-criterion is met if a pest or disease </w:t>
      </w:r>
      <w:r w:rsidR="00747D05" w:rsidRPr="00A729D8">
        <w:t>incident</w:t>
      </w:r>
      <w:r w:rsidRPr="00A729D8">
        <w:t>:</w:t>
      </w:r>
    </w:p>
    <w:p w14:paraId="7912DA8A" w14:textId="77777777" w:rsidR="00FB2C0F" w:rsidRPr="00A729D8" w:rsidRDefault="00B34554" w:rsidP="00121729">
      <w:pPr>
        <w:pStyle w:val="ListParagraph"/>
        <w:numPr>
          <w:ilvl w:val="0"/>
          <w:numId w:val="47"/>
        </w:numPr>
      </w:pPr>
      <w:r w:rsidRPr="00A729D8">
        <w:t>has substantially degraded, or is likely to substantially degrade, cultural assets valued by a significant segment of the community</w:t>
      </w:r>
    </w:p>
    <w:p w14:paraId="6356E3DB" w14:textId="77777777" w:rsidR="00FB2C0F" w:rsidRPr="00A729D8" w:rsidRDefault="00B34554" w:rsidP="00121729">
      <w:pPr>
        <w:pStyle w:val="ListParagraph"/>
        <w:numPr>
          <w:ilvl w:val="0"/>
          <w:numId w:val="47"/>
        </w:numPr>
      </w:pPr>
      <w:r w:rsidRPr="00A729D8">
        <w:t>has resulted or is likely to result in substantial change to the practices and customs of a significant segment of the community; or</w:t>
      </w:r>
    </w:p>
    <w:p w14:paraId="17702EFD" w14:textId="77777777" w:rsidR="00B34554" w:rsidRPr="00A729D8" w:rsidRDefault="00B34554" w:rsidP="00121729">
      <w:pPr>
        <w:pStyle w:val="ListParagraph"/>
        <w:numPr>
          <w:ilvl w:val="0"/>
          <w:numId w:val="47"/>
        </w:numPr>
      </w:pPr>
      <w:r w:rsidRPr="00A729D8">
        <w:t>has resulted or is likely to result in a persistent and substantial negative change in national or international perception of attributes relevant to the national image.</w:t>
      </w:r>
    </w:p>
    <w:p w14:paraId="45C75F00" w14:textId="77777777" w:rsidR="00B34554" w:rsidRPr="00A729D8" w:rsidRDefault="00B34554" w:rsidP="00790953">
      <w:pPr>
        <w:pStyle w:val="Heading1"/>
        <w:keepNext w:val="0"/>
        <w:keepLines w:val="0"/>
        <w:numPr>
          <w:ilvl w:val="0"/>
          <w:numId w:val="0"/>
        </w:numPr>
      </w:pPr>
      <w:bookmarkStart w:id="271" w:name="_Toc7528157"/>
      <w:r w:rsidRPr="00A729D8">
        <w:lastRenderedPageBreak/>
        <w:t xml:space="preserve">Schedule </w:t>
      </w:r>
      <w:r w:rsidR="006959D6" w:rsidRPr="00A729D8">
        <w:t>3</w:t>
      </w:r>
      <w:r w:rsidR="00FB2C0F" w:rsidRPr="00A729D8">
        <w:t xml:space="preserve"> – </w:t>
      </w:r>
      <w:r w:rsidR="00E7297E" w:rsidRPr="00A729D8">
        <w:t>Response Plan</w:t>
      </w:r>
      <w:r w:rsidRPr="00A729D8">
        <w:t xml:space="preserve"> – technical feasibility and benefit:cost</w:t>
      </w:r>
      <w:bookmarkEnd w:id="271"/>
      <w:r w:rsidR="00C4160B" w:rsidRPr="00A729D8">
        <w:t xml:space="preserve"> </w:t>
      </w:r>
    </w:p>
    <w:p w14:paraId="0C945A98" w14:textId="77777777" w:rsidR="00B34554" w:rsidRPr="00A729D8" w:rsidRDefault="00B34554" w:rsidP="00121729">
      <w:pPr>
        <w:pStyle w:val="ScheduleL1"/>
        <w:numPr>
          <w:ilvl w:val="0"/>
          <w:numId w:val="48"/>
        </w:numPr>
      </w:pPr>
      <w:r w:rsidRPr="00A729D8">
        <w:t>Introduction</w:t>
      </w:r>
    </w:p>
    <w:p w14:paraId="326439A9" w14:textId="77777777" w:rsidR="00B72800" w:rsidRPr="00A729D8" w:rsidRDefault="00B34554" w:rsidP="00121729">
      <w:pPr>
        <w:pStyle w:val="ListParagraph"/>
        <w:numPr>
          <w:ilvl w:val="0"/>
          <w:numId w:val="57"/>
        </w:numPr>
      </w:pPr>
      <w:r w:rsidRPr="00A729D8">
        <w:t>This schedule sets out the process to be followed by the notifying party:</w:t>
      </w:r>
    </w:p>
    <w:p w14:paraId="4A04C3F6" w14:textId="77777777" w:rsidR="00B72800" w:rsidRPr="00A729D8" w:rsidRDefault="00B34554" w:rsidP="00121729">
      <w:pPr>
        <w:pStyle w:val="ListParagraph"/>
        <w:numPr>
          <w:ilvl w:val="1"/>
          <w:numId w:val="57"/>
        </w:numPr>
      </w:pPr>
      <w:r w:rsidRPr="00A729D8">
        <w:t xml:space="preserve">preparing a </w:t>
      </w:r>
      <w:r w:rsidR="00E7297E" w:rsidRPr="00A729D8">
        <w:t>Response Plan</w:t>
      </w:r>
    </w:p>
    <w:p w14:paraId="33DE9DB8" w14:textId="77777777" w:rsidR="00B72800" w:rsidRPr="00A729D8" w:rsidRDefault="00B34554" w:rsidP="00121729">
      <w:pPr>
        <w:pStyle w:val="ListParagraph"/>
        <w:numPr>
          <w:ilvl w:val="1"/>
          <w:numId w:val="57"/>
        </w:numPr>
      </w:pPr>
      <w:r w:rsidRPr="00A729D8">
        <w:t>undertaking a technical feasibility analysis</w:t>
      </w:r>
    </w:p>
    <w:p w14:paraId="7E555E27" w14:textId="77777777" w:rsidR="00B72800" w:rsidRPr="00A729D8" w:rsidRDefault="00B34554" w:rsidP="00121729">
      <w:pPr>
        <w:pStyle w:val="ListParagraph"/>
        <w:numPr>
          <w:ilvl w:val="1"/>
          <w:numId w:val="57"/>
        </w:numPr>
      </w:pPr>
      <w:r w:rsidRPr="00A729D8">
        <w:t>undertaking a benefit:cost analysis</w:t>
      </w:r>
    </w:p>
    <w:p w14:paraId="2C09F4DB" w14:textId="77777777" w:rsidR="00B72800" w:rsidRPr="00A729D8" w:rsidRDefault="00B34554" w:rsidP="002106F9">
      <w:pPr>
        <w:pStyle w:val="ListParagraph"/>
        <w:ind w:left="1080"/>
      </w:pPr>
      <w:r w:rsidRPr="00A729D8">
        <w:t xml:space="preserve">as required under this agreement, and to be considered by the </w:t>
      </w:r>
      <w:r w:rsidR="00B20F48" w:rsidRPr="00A729D8">
        <w:t>NBMCC</w:t>
      </w:r>
      <w:r w:rsidRPr="00A729D8">
        <w:t xml:space="preserve"> when preparing advice for the NMG.</w:t>
      </w:r>
    </w:p>
    <w:p w14:paraId="1503449C" w14:textId="77777777" w:rsidR="00B34554" w:rsidRPr="00A729D8" w:rsidRDefault="00B72800" w:rsidP="00121729">
      <w:pPr>
        <w:pStyle w:val="ListParagraph"/>
        <w:numPr>
          <w:ilvl w:val="0"/>
          <w:numId w:val="57"/>
        </w:numPr>
      </w:pPr>
      <w:r w:rsidRPr="00A729D8">
        <w:t>I</w:t>
      </w:r>
      <w:r w:rsidR="00B34554" w:rsidRPr="00A729D8">
        <w:t xml:space="preserve">t also outlines the requirements for managing a </w:t>
      </w:r>
      <w:r w:rsidR="00E7297E" w:rsidRPr="00A729D8">
        <w:t>Response Plan</w:t>
      </w:r>
      <w:r w:rsidR="00B34554" w:rsidRPr="00A729D8">
        <w:t>, as required under this agreement.</w:t>
      </w:r>
    </w:p>
    <w:p w14:paraId="396BE05A" w14:textId="77777777" w:rsidR="00B34554" w:rsidRPr="00A729D8" w:rsidRDefault="00B34554" w:rsidP="002106F9">
      <w:pPr>
        <w:pStyle w:val="ScheduleL1"/>
      </w:pPr>
      <w:r w:rsidRPr="00A729D8">
        <w:t xml:space="preserve">Developing a </w:t>
      </w:r>
      <w:r w:rsidR="00E7297E" w:rsidRPr="00A729D8">
        <w:t>Response Plan</w:t>
      </w:r>
    </w:p>
    <w:p w14:paraId="7A8AA1B3" w14:textId="77777777" w:rsidR="00B34554" w:rsidRPr="00A729D8" w:rsidRDefault="00B34554" w:rsidP="002106F9">
      <w:pPr>
        <w:pStyle w:val="ScheduleL2"/>
      </w:pPr>
      <w:r w:rsidRPr="00A729D8">
        <w:t xml:space="preserve">Development of a draft </w:t>
      </w:r>
      <w:r w:rsidR="006754A3" w:rsidRPr="00A729D8">
        <w:t>R</w:t>
      </w:r>
      <w:r w:rsidRPr="00A729D8">
        <w:t xml:space="preserve">esponse </w:t>
      </w:r>
      <w:r w:rsidR="006754A3" w:rsidRPr="00A729D8">
        <w:t>P</w:t>
      </w:r>
      <w:r w:rsidRPr="00A729D8">
        <w:t>lan by the Notifying Party</w:t>
      </w:r>
    </w:p>
    <w:p w14:paraId="336A5B65" w14:textId="77777777" w:rsidR="00B34554" w:rsidRPr="00A729D8" w:rsidRDefault="00B34554" w:rsidP="002106F9">
      <w:r w:rsidRPr="00A729D8">
        <w:t xml:space="preserve">When the notifying party is required, under this agreement, to develop a draft </w:t>
      </w:r>
      <w:r w:rsidR="006754A3" w:rsidRPr="00A729D8">
        <w:t>R</w:t>
      </w:r>
      <w:r w:rsidRPr="00A729D8">
        <w:t xml:space="preserve">esponse </w:t>
      </w:r>
      <w:r w:rsidR="006754A3" w:rsidRPr="00A729D8">
        <w:t>P</w:t>
      </w:r>
      <w:r w:rsidRPr="00A729D8">
        <w:t xml:space="preserve">lan, the </w:t>
      </w:r>
      <w:r w:rsidR="006754A3" w:rsidRPr="00A729D8">
        <w:t>R</w:t>
      </w:r>
      <w:r w:rsidRPr="00A729D8">
        <w:t xml:space="preserve">esponse </w:t>
      </w:r>
      <w:r w:rsidR="006754A3" w:rsidRPr="00A729D8">
        <w:t>P</w:t>
      </w:r>
      <w:r w:rsidRPr="00A729D8">
        <w:t xml:space="preserve">lan must be prepared in consultation with the </w:t>
      </w:r>
      <w:r w:rsidR="00B20F48" w:rsidRPr="00A729D8">
        <w:t>NBMCC</w:t>
      </w:r>
      <w:r w:rsidRPr="00A729D8">
        <w:t>, and in accordance with the following principles:</w:t>
      </w:r>
    </w:p>
    <w:p w14:paraId="124105D7" w14:textId="77777777" w:rsidR="00FB2C0F" w:rsidRPr="00A729D8" w:rsidRDefault="00B34554" w:rsidP="00121729">
      <w:pPr>
        <w:pStyle w:val="ListParagraph"/>
        <w:numPr>
          <w:ilvl w:val="0"/>
          <w:numId w:val="49"/>
        </w:numPr>
      </w:pPr>
      <w:r w:rsidRPr="00A729D8">
        <w:t xml:space="preserve">The requirement to develop and approve a </w:t>
      </w:r>
      <w:r w:rsidR="006754A3" w:rsidRPr="00A729D8">
        <w:t>R</w:t>
      </w:r>
      <w:r w:rsidRPr="00A729D8">
        <w:t xml:space="preserve">esponse </w:t>
      </w:r>
      <w:r w:rsidR="006754A3" w:rsidRPr="00A729D8">
        <w:t>P</w:t>
      </w:r>
      <w:r w:rsidRPr="00A729D8">
        <w:t xml:space="preserve">lan must not impede the initiation of a rapid emergency response to an </w:t>
      </w:r>
      <w:r w:rsidR="00747D05" w:rsidRPr="00A729D8">
        <w:t>incident</w:t>
      </w:r>
      <w:r w:rsidRPr="00A729D8">
        <w:t xml:space="preserve"> of a pest or disease, by the Notifying Party or any other party, required under this agreement.</w:t>
      </w:r>
    </w:p>
    <w:p w14:paraId="6389BBE8" w14:textId="77777777" w:rsidR="00FB2C0F" w:rsidRPr="00A729D8" w:rsidRDefault="00B34554" w:rsidP="00121729">
      <w:pPr>
        <w:pStyle w:val="ListParagraph"/>
        <w:numPr>
          <w:ilvl w:val="0"/>
          <w:numId w:val="49"/>
        </w:numPr>
      </w:pPr>
      <w:r w:rsidRPr="00A729D8">
        <w:t xml:space="preserve">The response plan must reflect the nature and circumstances of the </w:t>
      </w:r>
      <w:r w:rsidR="00747D05" w:rsidRPr="00A729D8">
        <w:t>incident</w:t>
      </w:r>
      <w:r w:rsidRPr="00A729D8">
        <w:t xml:space="preserve"> and of the pest or disease.</w:t>
      </w:r>
    </w:p>
    <w:p w14:paraId="35FA92F7" w14:textId="77777777" w:rsidR="00FB2C0F" w:rsidRPr="00A729D8" w:rsidRDefault="00B34554" w:rsidP="00121729">
      <w:pPr>
        <w:pStyle w:val="ListParagraph"/>
        <w:numPr>
          <w:ilvl w:val="0"/>
          <w:numId w:val="49"/>
        </w:numPr>
      </w:pPr>
      <w:r w:rsidRPr="00A729D8">
        <w:t xml:space="preserve">While the key strategies and core operational components of the response plan must be prepared by the notifying party, some parts will be developed in accordance with a timetable agreed to by the </w:t>
      </w:r>
      <w:r w:rsidR="00B20F48" w:rsidRPr="00A729D8">
        <w:t>NBMCC</w:t>
      </w:r>
      <w:r w:rsidRPr="00A729D8">
        <w:t>.</w:t>
      </w:r>
    </w:p>
    <w:p w14:paraId="68E4E5D8" w14:textId="77777777" w:rsidR="00FB2C0F" w:rsidRPr="00A729D8" w:rsidRDefault="00B34554" w:rsidP="00121729">
      <w:pPr>
        <w:pStyle w:val="ListParagraph"/>
        <w:numPr>
          <w:ilvl w:val="0"/>
          <w:numId w:val="49"/>
        </w:numPr>
      </w:pPr>
      <w:r w:rsidRPr="00A729D8">
        <w:t>Any key strategies and core operational activities that are to be subject to cost-sharing must be clearly identified in the response plan.</w:t>
      </w:r>
    </w:p>
    <w:p w14:paraId="305280B0" w14:textId="77777777" w:rsidR="00FB2C0F" w:rsidRPr="00A729D8" w:rsidRDefault="00B34554" w:rsidP="00121729">
      <w:pPr>
        <w:pStyle w:val="ListParagraph"/>
        <w:numPr>
          <w:ilvl w:val="0"/>
          <w:numId w:val="49"/>
        </w:numPr>
      </w:pPr>
      <w:r w:rsidRPr="00A729D8">
        <w:t>The content of the response plan must be prepared in accordance with:</w:t>
      </w:r>
    </w:p>
    <w:p w14:paraId="681FA505" w14:textId="77777777" w:rsidR="00FB2C0F" w:rsidRPr="00A729D8" w:rsidRDefault="00B34554" w:rsidP="00121729">
      <w:pPr>
        <w:pStyle w:val="ListParagraph"/>
        <w:numPr>
          <w:ilvl w:val="1"/>
          <w:numId w:val="49"/>
        </w:numPr>
      </w:pPr>
      <w:r w:rsidRPr="00A729D8">
        <w:t>item 3 of this schedule</w:t>
      </w:r>
    </w:p>
    <w:p w14:paraId="210A9CCA" w14:textId="77777777" w:rsidR="00B34554" w:rsidRPr="00A729D8" w:rsidRDefault="00B34554" w:rsidP="00121729">
      <w:pPr>
        <w:pStyle w:val="ListParagraph"/>
        <w:numPr>
          <w:ilvl w:val="1"/>
          <w:numId w:val="49"/>
        </w:numPr>
      </w:pPr>
      <w:r w:rsidRPr="00A729D8">
        <w:t>Australia’s international rights and obligations, including those contained in the SPS agreement.</w:t>
      </w:r>
    </w:p>
    <w:p w14:paraId="2F2DC168" w14:textId="77777777" w:rsidR="00B34554" w:rsidRPr="00A729D8" w:rsidRDefault="00B34554" w:rsidP="002106F9">
      <w:pPr>
        <w:pStyle w:val="ScheduleL2"/>
      </w:pPr>
      <w:r w:rsidRPr="00A729D8">
        <w:t xml:space="preserve">Provision of the draft </w:t>
      </w:r>
      <w:r w:rsidR="006754A3" w:rsidRPr="00A729D8">
        <w:t>R</w:t>
      </w:r>
      <w:r w:rsidRPr="00A729D8">
        <w:t xml:space="preserve">esponse </w:t>
      </w:r>
      <w:r w:rsidR="006754A3" w:rsidRPr="00A729D8">
        <w:t>P</w:t>
      </w:r>
      <w:r w:rsidRPr="00A729D8">
        <w:t xml:space="preserve">lan to the </w:t>
      </w:r>
      <w:r w:rsidR="00B20F48" w:rsidRPr="00A729D8">
        <w:t>NBMCC</w:t>
      </w:r>
      <w:r w:rsidRPr="00A729D8">
        <w:t xml:space="preserve"> and NMG</w:t>
      </w:r>
    </w:p>
    <w:p w14:paraId="09618C53" w14:textId="77777777" w:rsidR="00FB2C0F" w:rsidRPr="00A729D8" w:rsidRDefault="00B34554" w:rsidP="00121729">
      <w:pPr>
        <w:pStyle w:val="ListParagraph"/>
        <w:numPr>
          <w:ilvl w:val="0"/>
          <w:numId w:val="50"/>
        </w:numPr>
      </w:pPr>
      <w:r w:rsidRPr="00A729D8">
        <w:t xml:space="preserve">The notifying party must provide the proposed response plan to the </w:t>
      </w:r>
      <w:r w:rsidR="00B20F48" w:rsidRPr="00A729D8">
        <w:t>NBMCC</w:t>
      </w:r>
      <w:r w:rsidRPr="00A729D8">
        <w:t xml:space="preserve"> as soon as possible.</w:t>
      </w:r>
    </w:p>
    <w:p w14:paraId="7E5101F3" w14:textId="2A4AB5DF" w:rsidR="00B34554" w:rsidRPr="00A729D8" w:rsidRDefault="00B34554" w:rsidP="00121729">
      <w:pPr>
        <w:pStyle w:val="ListParagraph"/>
        <w:numPr>
          <w:ilvl w:val="0"/>
          <w:numId w:val="50"/>
        </w:numPr>
      </w:pPr>
      <w:r w:rsidRPr="00A729D8">
        <w:t xml:space="preserve">The </w:t>
      </w:r>
      <w:r w:rsidR="00B20F48" w:rsidRPr="00A729D8">
        <w:t>NBMCC</w:t>
      </w:r>
      <w:r w:rsidRPr="00A729D8">
        <w:t xml:space="preserve">, once it agrees the proposed response plan </w:t>
      </w:r>
      <w:r w:rsidR="009E1E8D" w:rsidRPr="00A729D8">
        <w:t>is fit for purpose and meets the requirements set out in clause 2.1</w:t>
      </w:r>
      <w:r w:rsidR="001242B7" w:rsidRPr="00A729D8">
        <w:t xml:space="preserve">, </w:t>
      </w:r>
      <w:r w:rsidRPr="00A729D8">
        <w:t>must submit the plan to the NMG for consideration.</w:t>
      </w:r>
    </w:p>
    <w:p w14:paraId="04C4B128" w14:textId="77777777" w:rsidR="00B34554" w:rsidRPr="00A729D8" w:rsidRDefault="00B34554" w:rsidP="00DF5957">
      <w:pPr>
        <w:pStyle w:val="ScheduleL2"/>
        <w:keepNext/>
        <w:ind w:left="788" w:hanging="431"/>
      </w:pPr>
      <w:r w:rsidRPr="00A729D8">
        <w:lastRenderedPageBreak/>
        <w:t xml:space="preserve">Effect of approval of the draft </w:t>
      </w:r>
      <w:r w:rsidR="006754A3" w:rsidRPr="00A729D8">
        <w:t>R</w:t>
      </w:r>
      <w:r w:rsidRPr="00A729D8">
        <w:t xml:space="preserve">esponse </w:t>
      </w:r>
      <w:r w:rsidR="006754A3" w:rsidRPr="00A729D8">
        <w:t>P</w:t>
      </w:r>
      <w:r w:rsidRPr="00A729D8">
        <w:t>lan</w:t>
      </w:r>
    </w:p>
    <w:p w14:paraId="08CCF1F9" w14:textId="77777777" w:rsidR="00B34554" w:rsidRPr="00A729D8" w:rsidRDefault="00B34554" w:rsidP="002106F9">
      <w:r w:rsidRPr="00A729D8">
        <w:t xml:space="preserve">When the NMG has approved the </w:t>
      </w:r>
      <w:r w:rsidR="006754A3" w:rsidRPr="00A729D8">
        <w:t>R</w:t>
      </w:r>
      <w:r w:rsidRPr="00A729D8">
        <w:t xml:space="preserve">esponse </w:t>
      </w:r>
      <w:r w:rsidR="006754A3" w:rsidRPr="00A729D8">
        <w:t>P</w:t>
      </w:r>
      <w:r w:rsidRPr="00A729D8">
        <w:t>lan:</w:t>
      </w:r>
    </w:p>
    <w:p w14:paraId="396B97E7" w14:textId="32D1AD3B" w:rsidR="00FB2C0F" w:rsidRPr="00A729D8" w:rsidRDefault="00FB2C0F" w:rsidP="00121729">
      <w:pPr>
        <w:pStyle w:val="ListParagraph"/>
        <w:numPr>
          <w:ilvl w:val="0"/>
          <w:numId w:val="51"/>
        </w:numPr>
      </w:pPr>
      <w:r w:rsidRPr="00A729D8">
        <w:t>t</w:t>
      </w:r>
      <w:r w:rsidR="00B34554" w:rsidRPr="00A729D8">
        <w:t>he parties</w:t>
      </w:r>
      <w:r w:rsidR="0061444A" w:rsidRPr="00A729D8">
        <w:t xml:space="preserve">, and non-government </w:t>
      </w:r>
      <w:r w:rsidR="005A4D74" w:rsidRPr="00A729D8">
        <w:t xml:space="preserve">entities </w:t>
      </w:r>
      <w:r w:rsidR="0061444A" w:rsidRPr="00A729D8">
        <w:t>that are voting members at NMG,</w:t>
      </w:r>
      <w:r w:rsidR="00B34554" w:rsidRPr="00A729D8">
        <w:t xml:space="preserve"> become committed to the obligations and activities outlined in the plan, and must implement the plan</w:t>
      </w:r>
    </w:p>
    <w:p w14:paraId="322F435C" w14:textId="27858557" w:rsidR="00B34554" w:rsidRPr="00A729D8" w:rsidRDefault="00B34554" w:rsidP="00121729">
      <w:pPr>
        <w:pStyle w:val="ListParagraph"/>
        <w:numPr>
          <w:ilvl w:val="0"/>
          <w:numId w:val="51"/>
        </w:numPr>
      </w:pPr>
      <w:r w:rsidRPr="00A729D8">
        <w:t xml:space="preserve">any variations or proposed variations </w:t>
      </w:r>
      <w:r w:rsidR="00FC116A" w:rsidRPr="00A729D8">
        <w:t xml:space="preserve">to the plan or budget </w:t>
      </w:r>
      <w:r w:rsidRPr="00A729D8">
        <w:t xml:space="preserve">must be approved by the NMG before it can come into effect. For example, the </w:t>
      </w:r>
      <w:r w:rsidR="00B20F48" w:rsidRPr="00A729D8">
        <w:t>NBMCC</w:t>
      </w:r>
      <w:r w:rsidRPr="00A729D8">
        <w:t xml:space="preserve"> may propose a variation to the plan, or a variation may be required because a party’s legislation limits their ability to undertake the required activities</w:t>
      </w:r>
      <w:r w:rsidR="00FC116A" w:rsidRPr="00A729D8">
        <w:t xml:space="preserve"> or the NMG may approve the expenditure of underspent funds from one year be spent in the following year</w:t>
      </w:r>
      <w:r w:rsidRPr="00A729D8">
        <w:t>.</w:t>
      </w:r>
    </w:p>
    <w:p w14:paraId="5A37EB46" w14:textId="77777777" w:rsidR="00B34554" w:rsidRPr="00A729D8" w:rsidRDefault="006754A3" w:rsidP="002106F9">
      <w:pPr>
        <w:pStyle w:val="ScheduleL1"/>
      </w:pPr>
      <w:r w:rsidRPr="00A729D8">
        <w:t>R</w:t>
      </w:r>
      <w:r w:rsidR="00B34554" w:rsidRPr="00A729D8">
        <w:t xml:space="preserve">esponse </w:t>
      </w:r>
      <w:r w:rsidRPr="00A729D8">
        <w:t>P</w:t>
      </w:r>
      <w:r w:rsidR="00B34554" w:rsidRPr="00A729D8">
        <w:t>lan protocol</w:t>
      </w:r>
    </w:p>
    <w:p w14:paraId="2E49C7E1" w14:textId="77777777" w:rsidR="00B34554" w:rsidRPr="00A729D8" w:rsidRDefault="00B34554" w:rsidP="002106F9">
      <w:r w:rsidRPr="00A729D8">
        <w:t xml:space="preserve">In addition to the requirements in item 2 of this schedule, a </w:t>
      </w:r>
      <w:r w:rsidR="004B4832" w:rsidRPr="00A729D8">
        <w:t>R</w:t>
      </w:r>
      <w:r w:rsidRPr="00A729D8">
        <w:t xml:space="preserve">esponse </w:t>
      </w:r>
      <w:r w:rsidR="004B4832" w:rsidRPr="00A729D8">
        <w:t xml:space="preserve">Plan </w:t>
      </w:r>
      <w:r w:rsidRPr="00A729D8">
        <w:t>must detail all the following matters:</w:t>
      </w:r>
    </w:p>
    <w:p w14:paraId="5F85C858" w14:textId="77777777" w:rsidR="00FB2C0F" w:rsidRPr="00A729D8" w:rsidRDefault="00FB2C0F" w:rsidP="00121729">
      <w:pPr>
        <w:pStyle w:val="ListParagraph"/>
        <w:numPr>
          <w:ilvl w:val="0"/>
          <w:numId w:val="52"/>
        </w:numPr>
      </w:pPr>
      <w:r w:rsidRPr="00A729D8">
        <w:t>t</w:t>
      </w:r>
      <w:r w:rsidR="00B34554" w:rsidRPr="00A729D8">
        <w:t xml:space="preserve">he results of the assessment of the pest or disease </w:t>
      </w:r>
      <w:r w:rsidR="00747D05" w:rsidRPr="00A729D8">
        <w:t>incident</w:t>
      </w:r>
      <w:r w:rsidR="008022F4" w:rsidRPr="00A729D8">
        <w:t xml:space="preserve"> </w:t>
      </w:r>
      <w:r w:rsidR="00B34554" w:rsidRPr="00A729D8">
        <w:t xml:space="preserve">against the national significance criteria, in accordance with Schedule </w:t>
      </w:r>
      <w:r w:rsidR="0008523A" w:rsidRPr="00A729D8">
        <w:t>2</w:t>
      </w:r>
    </w:p>
    <w:p w14:paraId="2A63CE5B" w14:textId="77777777" w:rsidR="00FB2C0F" w:rsidRPr="00A729D8" w:rsidRDefault="00B34554" w:rsidP="00121729">
      <w:pPr>
        <w:pStyle w:val="ListParagraph"/>
        <w:numPr>
          <w:ilvl w:val="0"/>
          <w:numId w:val="52"/>
        </w:numPr>
      </w:pPr>
      <w:r w:rsidRPr="00A729D8">
        <w:t>the results of the technical feasibility analysis carried out in accordance with item 4 of this schedule</w:t>
      </w:r>
      <w:r w:rsidR="004B4832" w:rsidRPr="00A729D8">
        <w:t xml:space="preserve">, or, the preliminary results of the technical feasibility analysis and a schedule for delivery of the final results  </w:t>
      </w:r>
    </w:p>
    <w:p w14:paraId="51F05299" w14:textId="77777777" w:rsidR="00FB2C0F" w:rsidRPr="00A729D8" w:rsidRDefault="00B34554" w:rsidP="00121729">
      <w:pPr>
        <w:pStyle w:val="ListParagraph"/>
        <w:numPr>
          <w:ilvl w:val="0"/>
          <w:numId w:val="52"/>
        </w:numPr>
      </w:pPr>
      <w:r w:rsidRPr="00A729D8">
        <w:t>the results of the benefit:cost analysis carried out in accordance with item 5 of this schedule</w:t>
      </w:r>
      <w:r w:rsidR="004B4832" w:rsidRPr="00A729D8">
        <w:t xml:space="preserve">, or, the preliminary results of the benefit:cost analysis and a schedule for delivery of the final results  </w:t>
      </w:r>
    </w:p>
    <w:p w14:paraId="0B9D93BF" w14:textId="77777777" w:rsidR="00FB2C0F" w:rsidRPr="00A729D8" w:rsidRDefault="00B34554" w:rsidP="00121729">
      <w:pPr>
        <w:pStyle w:val="ListParagraph"/>
        <w:numPr>
          <w:ilvl w:val="0"/>
          <w:numId w:val="52"/>
        </w:numPr>
      </w:pPr>
      <w:r w:rsidRPr="00A729D8">
        <w:t>the detail of the actions to be undertaken as part of the response, including identifying the parties that will undertake those actions</w:t>
      </w:r>
    </w:p>
    <w:p w14:paraId="3739C9E6" w14:textId="77777777" w:rsidR="00FB2C0F" w:rsidRPr="00A729D8" w:rsidRDefault="00B34554" w:rsidP="00121729">
      <w:pPr>
        <w:pStyle w:val="ListParagraph"/>
        <w:numPr>
          <w:ilvl w:val="0"/>
          <w:numId w:val="52"/>
        </w:numPr>
      </w:pPr>
      <w:r w:rsidRPr="00A729D8">
        <w:t>recommended approaches for determining proof-of-freedom, including surveillance</w:t>
      </w:r>
    </w:p>
    <w:p w14:paraId="3F034948" w14:textId="77777777" w:rsidR="00FB2C0F" w:rsidRPr="00A729D8" w:rsidRDefault="00B34554" w:rsidP="00121729">
      <w:pPr>
        <w:pStyle w:val="ListParagraph"/>
        <w:numPr>
          <w:ilvl w:val="0"/>
          <w:numId w:val="52"/>
        </w:numPr>
      </w:pPr>
      <w:r w:rsidRPr="00A729D8">
        <w:t>the projected budgets and indicative costs</w:t>
      </w:r>
      <w:r w:rsidR="00674C69" w:rsidRPr="00A729D8">
        <w:t>, showing both cost shareable and normal commitment components</w:t>
      </w:r>
    </w:p>
    <w:p w14:paraId="7C1F28FE" w14:textId="77777777" w:rsidR="00B34554" w:rsidRPr="00A729D8" w:rsidRDefault="00B34554" w:rsidP="00121729">
      <w:pPr>
        <w:pStyle w:val="ListParagraph"/>
        <w:numPr>
          <w:ilvl w:val="0"/>
          <w:numId w:val="52"/>
        </w:numPr>
      </w:pPr>
      <w:r w:rsidRPr="00A729D8">
        <w:t xml:space="preserve">review points or ‘caps’ relating to the extent of cost-sharing. A review point may include the occurrence of a new </w:t>
      </w:r>
      <w:r w:rsidR="00747D05" w:rsidRPr="00A729D8">
        <w:t>incident</w:t>
      </w:r>
      <w:r w:rsidRPr="00A729D8">
        <w:t xml:space="preserve"> of the pest or disease in a different location, the point where an agreed limit of funding has been expended, as well as other indicators of the effectiveness of the response arrangements to date.</w:t>
      </w:r>
    </w:p>
    <w:p w14:paraId="5274904F" w14:textId="77777777" w:rsidR="00B34554" w:rsidRPr="00A729D8" w:rsidRDefault="00B34554" w:rsidP="002106F9">
      <w:pPr>
        <w:pStyle w:val="ScheduleL1"/>
      </w:pPr>
      <w:r w:rsidRPr="00A729D8">
        <w:t>Technical feasibility</w:t>
      </w:r>
    </w:p>
    <w:p w14:paraId="59030052" w14:textId="77777777" w:rsidR="00B34554" w:rsidRPr="00A729D8" w:rsidRDefault="00B34554" w:rsidP="002106F9">
      <w:pPr>
        <w:pStyle w:val="ScheduleL2"/>
      </w:pPr>
      <w:r w:rsidRPr="00A729D8">
        <w:t>The objective of the technical feasibility analysis</w:t>
      </w:r>
    </w:p>
    <w:p w14:paraId="633033A9" w14:textId="77777777" w:rsidR="00B34554" w:rsidRPr="00A729D8" w:rsidRDefault="00B34554" w:rsidP="002106F9">
      <w:r w:rsidRPr="00A729D8">
        <w:t>The objective of the technical feasibility analysis is to determine the technical feasibility of the proposed national response in eradicating the pest or disease.</w:t>
      </w:r>
    </w:p>
    <w:p w14:paraId="4B3ACD7C" w14:textId="77777777" w:rsidR="00B34554" w:rsidRPr="00A729D8" w:rsidRDefault="00B34554" w:rsidP="002106F9">
      <w:pPr>
        <w:pStyle w:val="ScheduleL2"/>
      </w:pPr>
      <w:r w:rsidRPr="00A729D8">
        <w:t>Technical feasibility criteria</w:t>
      </w:r>
    </w:p>
    <w:p w14:paraId="29E9E7E3" w14:textId="77777777" w:rsidR="00B34554" w:rsidRPr="00A729D8" w:rsidRDefault="00B34554" w:rsidP="002106F9">
      <w:r w:rsidRPr="00A729D8">
        <w:t>In undertaking a technical feasibility analysis, all the following criteria must be considered and advice provided:</w:t>
      </w:r>
    </w:p>
    <w:p w14:paraId="0D71C124" w14:textId="77777777" w:rsidR="00FB2C0F" w:rsidRPr="00A729D8" w:rsidRDefault="00B34554" w:rsidP="00121729">
      <w:pPr>
        <w:pStyle w:val="ListParagraph"/>
        <w:numPr>
          <w:ilvl w:val="0"/>
          <w:numId w:val="53"/>
        </w:numPr>
      </w:pPr>
      <w:r w:rsidRPr="00A729D8">
        <w:t>the capability to accurately diagnose or identify the pest or disease</w:t>
      </w:r>
    </w:p>
    <w:p w14:paraId="600B351A" w14:textId="77777777" w:rsidR="00FB2C0F" w:rsidRPr="00A729D8" w:rsidRDefault="00B34554" w:rsidP="00121729">
      <w:pPr>
        <w:pStyle w:val="ListParagraph"/>
        <w:numPr>
          <w:ilvl w:val="0"/>
          <w:numId w:val="53"/>
        </w:numPr>
      </w:pPr>
      <w:r w:rsidRPr="00A729D8">
        <w:lastRenderedPageBreak/>
        <w:t>the effectiveness of the control technique options, including a recommendation on the control technique</w:t>
      </w:r>
      <w:r w:rsidR="000D5829" w:rsidRPr="00A729D8">
        <w:t>(s)</w:t>
      </w:r>
      <w:r w:rsidRPr="00A729D8">
        <w:t xml:space="preserve"> likely to be the most cost-effective in eradicating the pest or disease</w:t>
      </w:r>
    </w:p>
    <w:p w14:paraId="29011B09" w14:textId="77777777" w:rsidR="00FB2C0F" w:rsidRPr="00A729D8" w:rsidRDefault="00B34554" w:rsidP="00121729">
      <w:pPr>
        <w:pStyle w:val="ListParagraph"/>
        <w:numPr>
          <w:ilvl w:val="0"/>
          <w:numId w:val="53"/>
        </w:numPr>
      </w:pPr>
      <w:r w:rsidRPr="00A729D8">
        <w:t>the level of confidence that all individual pest/disease organisms present (including at all life stages) can be removed/destroyed by the recommended control technique</w:t>
      </w:r>
      <w:r w:rsidR="000D5829" w:rsidRPr="00A729D8">
        <w:t>(</w:t>
      </w:r>
      <w:r w:rsidRPr="00A729D8">
        <w:t>s</w:t>
      </w:r>
      <w:r w:rsidR="000D5829" w:rsidRPr="00A729D8">
        <w:t>)</w:t>
      </w:r>
    </w:p>
    <w:p w14:paraId="2A76F406" w14:textId="77777777" w:rsidR="00FB2C0F" w:rsidRPr="00A729D8" w:rsidRDefault="00B34554" w:rsidP="00121729">
      <w:pPr>
        <w:pStyle w:val="ListParagraph"/>
        <w:numPr>
          <w:ilvl w:val="0"/>
          <w:numId w:val="53"/>
        </w:numPr>
      </w:pPr>
      <w:r w:rsidRPr="00A729D8">
        <w:t>the level of confidence that it is possible to remove the organisms at a faster rate than they can propagate until the population is reduced to a non-viable density</w:t>
      </w:r>
    </w:p>
    <w:p w14:paraId="307C5629" w14:textId="77777777" w:rsidR="00B34554" w:rsidRPr="00A729D8" w:rsidRDefault="00B34554" w:rsidP="00121729">
      <w:pPr>
        <w:pStyle w:val="ListParagraph"/>
        <w:numPr>
          <w:ilvl w:val="0"/>
          <w:numId w:val="53"/>
        </w:numPr>
      </w:pPr>
      <w:r w:rsidRPr="00A729D8">
        <w:t>confirmation that the recommended control technique</w:t>
      </w:r>
      <w:r w:rsidR="000D5829" w:rsidRPr="00A729D8">
        <w:t>(</w:t>
      </w:r>
      <w:r w:rsidRPr="00A729D8">
        <w:t>s</w:t>
      </w:r>
      <w:r w:rsidR="000D5829" w:rsidRPr="00A729D8">
        <w:t>)</w:t>
      </w:r>
      <w:r w:rsidRPr="00A729D8">
        <w:t xml:space="preserve"> are publicly acceptable (taking into consideration cultural and social values, humaneness, public health impacts, non-target impacts and environmental impacts)</w:t>
      </w:r>
    </w:p>
    <w:p w14:paraId="2D021D6A" w14:textId="77777777" w:rsidR="00B34554" w:rsidRPr="00A729D8" w:rsidRDefault="000D5829" w:rsidP="00121729">
      <w:pPr>
        <w:pStyle w:val="ListParagraph"/>
        <w:numPr>
          <w:ilvl w:val="0"/>
          <w:numId w:val="53"/>
        </w:numPr>
      </w:pPr>
      <w:r w:rsidRPr="00A729D8">
        <w:t xml:space="preserve">any </w:t>
      </w:r>
      <w:r w:rsidR="00B34554" w:rsidRPr="00A729D8">
        <w:t>interim control measures that have been put in place by the notifying party</w:t>
      </w:r>
    </w:p>
    <w:p w14:paraId="452F4007" w14:textId="77777777" w:rsidR="00B34554" w:rsidRPr="00A729D8" w:rsidRDefault="00FB2C0F" w:rsidP="00121729">
      <w:pPr>
        <w:pStyle w:val="ListParagraph"/>
        <w:numPr>
          <w:ilvl w:val="0"/>
          <w:numId w:val="53"/>
        </w:numPr>
      </w:pPr>
      <w:r w:rsidRPr="00A729D8">
        <w:t>en</w:t>
      </w:r>
      <w:r w:rsidR="00B34554" w:rsidRPr="00A729D8">
        <w:t>demic pest or disease controls that may limit or prevent establishment</w:t>
      </w:r>
    </w:p>
    <w:p w14:paraId="40B82230" w14:textId="77777777" w:rsidR="00B34554" w:rsidRPr="00A729D8" w:rsidRDefault="00B34554" w:rsidP="00121729">
      <w:pPr>
        <w:pStyle w:val="ListParagraph"/>
        <w:numPr>
          <w:ilvl w:val="0"/>
          <w:numId w:val="53"/>
        </w:numPr>
      </w:pPr>
      <w:r w:rsidRPr="00A729D8">
        <w:t>any legislative impediments to undertaking an emergency response</w:t>
      </w:r>
    </w:p>
    <w:p w14:paraId="73045683" w14:textId="77777777" w:rsidR="00B34554" w:rsidRPr="00A729D8" w:rsidRDefault="00B34554" w:rsidP="00121729">
      <w:pPr>
        <w:pStyle w:val="ListParagraph"/>
        <w:numPr>
          <w:ilvl w:val="0"/>
          <w:numId w:val="53"/>
        </w:numPr>
      </w:pPr>
      <w:r w:rsidRPr="00A729D8">
        <w:t>resources required to undertake an emergency response</w:t>
      </w:r>
    </w:p>
    <w:p w14:paraId="0877DFF2" w14:textId="77777777" w:rsidR="00B34554" w:rsidRPr="00A729D8" w:rsidRDefault="00B34554" w:rsidP="00121729">
      <w:pPr>
        <w:pStyle w:val="ListParagraph"/>
        <w:numPr>
          <w:ilvl w:val="0"/>
          <w:numId w:val="53"/>
        </w:numPr>
      </w:pPr>
      <w:r w:rsidRPr="00A729D8">
        <w:t>the known area of infestation</w:t>
      </w:r>
    </w:p>
    <w:p w14:paraId="79D7003B" w14:textId="6C14E517" w:rsidR="00B34554" w:rsidRPr="00A729D8" w:rsidRDefault="00B34554" w:rsidP="00121729">
      <w:pPr>
        <w:pStyle w:val="ListParagraph"/>
        <w:numPr>
          <w:ilvl w:val="0"/>
          <w:numId w:val="53"/>
        </w:numPr>
      </w:pPr>
      <w:r w:rsidRPr="00A729D8">
        <w:t xml:space="preserve">the likely distribution of the pest or disease, in accordance with </w:t>
      </w:r>
      <w:r w:rsidR="000D5829" w:rsidRPr="00A729D8">
        <w:t>the relevant section of Schedule 4</w:t>
      </w:r>
      <w:r w:rsidRPr="00A729D8">
        <w:t xml:space="preserve">, in relation to a terrestrial pest/disease, an inland waters pest, an inland waters disease, a marine pest </w:t>
      </w:r>
      <w:r w:rsidR="00D10E1D" w:rsidRPr="00A729D8">
        <w:t xml:space="preserve">or </w:t>
      </w:r>
      <w:r w:rsidRPr="00A729D8">
        <w:t xml:space="preserve">a marine disease </w:t>
      </w:r>
    </w:p>
    <w:p w14:paraId="4830D5EA" w14:textId="77777777" w:rsidR="00B34554" w:rsidRPr="00A729D8" w:rsidRDefault="00B34554" w:rsidP="00121729">
      <w:pPr>
        <w:pStyle w:val="ListParagraph"/>
        <w:numPr>
          <w:ilvl w:val="0"/>
          <w:numId w:val="53"/>
        </w:numPr>
      </w:pPr>
      <w:r w:rsidRPr="00A729D8">
        <w:t>identification of the pathways for the entry into and spread within Australia of the pest or disease</w:t>
      </w:r>
    </w:p>
    <w:p w14:paraId="148B3CDD" w14:textId="77777777" w:rsidR="00B34554" w:rsidRPr="00A729D8" w:rsidRDefault="00B34554" w:rsidP="00121729">
      <w:pPr>
        <w:pStyle w:val="ListParagraph"/>
        <w:numPr>
          <w:ilvl w:val="0"/>
          <w:numId w:val="53"/>
        </w:numPr>
      </w:pPr>
      <w:r w:rsidRPr="00A729D8">
        <w:t>the level of confidence that further introductions are sufficiently low</w:t>
      </w:r>
    </w:p>
    <w:p w14:paraId="3CAAAF5F" w14:textId="77777777" w:rsidR="00B34554" w:rsidRPr="00A729D8" w:rsidRDefault="00B34554" w:rsidP="00121729">
      <w:pPr>
        <w:pStyle w:val="ListParagraph"/>
        <w:numPr>
          <w:ilvl w:val="0"/>
          <w:numId w:val="53"/>
        </w:numPr>
      </w:pPr>
      <w:r w:rsidRPr="00A729D8">
        <w:t>the dispersal ability of the organism (that is, whether the organism is capable of rapid spread over large distances)</w:t>
      </w:r>
    </w:p>
    <w:p w14:paraId="7B16951E" w14:textId="77777777" w:rsidR="00B34554" w:rsidRPr="00A729D8" w:rsidRDefault="00B34554" w:rsidP="00121729">
      <w:pPr>
        <w:pStyle w:val="ListParagraph"/>
        <w:numPr>
          <w:ilvl w:val="0"/>
          <w:numId w:val="53"/>
        </w:numPr>
      </w:pPr>
      <w:r w:rsidRPr="00A729D8">
        <w:t xml:space="preserve">the level of confidence that the organism is detectable at very low densities (to help determine if eradication has been achieved), and that all sites affected by the </w:t>
      </w:r>
      <w:r w:rsidR="00747D05" w:rsidRPr="00A729D8">
        <w:t>incident</w:t>
      </w:r>
      <w:r w:rsidRPr="00A729D8">
        <w:t xml:space="preserve"> have or can be found</w:t>
      </w:r>
    </w:p>
    <w:p w14:paraId="2C639649" w14:textId="77777777" w:rsidR="00B34554" w:rsidRPr="00A729D8" w:rsidRDefault="00B34554" w:rsidP="00121729">
      <w:pPr>
        <w:pStyle w:val="ListParagraph"/>
        <w:numPr>
          <w:ilvl w:val="0"/>
          <w:numId w:val="53"/>
        </w:numPr>
      </w:pPr>
      <w:r w:rsidRPr="00A729D8">
        <w:t>surveillance activities that are in place or could be put in place to confirm proof-of- freedom for sites possibly infested by the pest or disease</w:t>
      </w:r>
    </w:p>
    <w:p w14:paraId="03894810" w14:textId="77777777" w:rsidR="00B34554" w:rsidRPr="00A729D8" w:rsidRDefault="00402827" w:rsidP="00121729">
      <w:pPr>
        <w:pStyle w:val="ListParagraph"/>
        <w:numPr>
          <w:ilvl w:val="0"/>
          <w:numId w:val="53"/>
        </w:numPr>
      </w:pPr>
      <w:r w:rsidRPr="00A729D8">
        <w:t xml:space="preserve">any </w:t>
      </w:r>
      <w:r w:rsidR="00B34554" w:rsidRPr="00A729D8">
        <w:t>community consultation activities undertaken.</w:t>
      </w:r>
    </w:p>
    <w:p w14:paraId="449E439C" w14:textId="77777777" w:rsidR="00B34554" w:rsidRPr="00A729D8" w:rsidRDefault="00B34554" w:rsidP="00790953">
      <w:pPr>
        <w:pStyle w:val="ScheduleL1"/>
        <w:keepNext/>
        <w:ind w:left="357" w:hanging="357"/>
      </w:pPr>
      <w:r w:rsidRPr="00A729D8">
        <w:t>Benefit:cost analysis</w:t>
      </w:r>
    </w:p>
    <w:p w14:paraId="0694A18D" w14:textId="77777777" w:rsidR="00B34554" w:rsidRPr="00A729D8" w:rsidRDefault="00B34554" w:rsidP="002106F9">
      <w:pPr>
        <w:pStyle w:val="ScheduleL2"/>
      </w:pPr>
      <w:r w:rsidRPr="00A729D8">
        <w:t>The objective of the benefit:cost analysis</w:t>
      </w:r>
    </w:p>
    <w:p w14:paraId="0F064497" w14:textId="77777777" w:rsidR="00B72800" w:rsidRPr="00A729D8" w:rsidRDefault="00B34554" w:rsidP="00121729">
      <w:pPr>
        <w:pStyle w:val="ListParagraph"/>
        <w:numPr>
          <w:ilvl w:val="0"/>
          <w:numId w:val="58"/>
        </w:numPr>
      </w:pPr>
      <w:r w:rsidRPr="00A729D8">
        <w:t>The benefit:cost analysis is an important factor in determining:</w:t>
      </w:r>
    </w:p>
    <w:p w14:paraId="7E820854" w14:textId="77777777" w:rsidR="00B72800" w:rsidRPr="00A729D8" w:rsidRDefault="00B34554" w:rsidP="00121729">
      <w:pPr>
        <w:pStyle w:val="ListParagraph"/>
        <w:numPr>
          <w:ilvl w:val="1"/>
          <w:numId w:val="58"/>
        </w:numPr>
      </w:pPr>
      <w:r w:rsidRPr="00A729D8">
        <w:t>whether to implement a national response, and</w:t>
      </w:r>
    </w:p>
    <w:p w14:paraId="5D86768D" w14:textId="77777777" w:rsidR="00B72800" w:rsidRPr="00A729D8" w:rsidRDefault="00B34554" w:rsidP="00121729">
      <w:pPr>
        <w:pStyle w:val="ListParagraph"/>
        <w:numPr>
          <w:ilvl w:val="1"/>
          <w:numId w:val="58"/>
        </w:numPr>
      </w:pPr>
      <w:r w:rsidRPr="00A729D8">
        <w:t>the form of that response.</w:t>
      </w:r>
    </w:p>
    <w:p w14:paraId="0A7ED8C4" w14:textId="78A583C9" w:rsidR="00B72800" w:rsidRPr="00A729D8" w:rsidRDefault="00B34554" w:rsidP="00121729">
      <w:pPr>
        <w:pStyle w:val="ListParagraph"/>
        <w:numPr>
          <w:ilvl w:val="0"/>
          <w:numId w:val="58"/>
        </w:numPr>
      </w:pPr>
      <w:r w:rsidRPr="00A729D8">
        <w:t xml:space="preserve">The objective of the benefit:cost analysis is to determine whether the costs of a national response would be outweighed by the benefits and </w:t>
      </w:r>
      <w:r w:rsidR="00D0718F" w:rsidRPr="00A729D8">
        <w:t>how the</w:t>
      </w:r>
      <w:r w:rsidRPr="00A729D8">
        <w:t xml:space="preserve"> benefits would </w:t>
      </w:r>
      <w:r w:rsidR="00D0718F" w:rsidRPr="00A729D8">
        <w:t>manifest</w:t>
      </w:r>
      <w:r w:rsidRPr="00A729D8">
        <w:t>.</w:t>
      </w:r>
    </w:p>
    <w:p w14:paraId="3F4E8D01" w14:textId="77777777" w:rsidR="00B34554" w:rsidRPr="00A729D8" w:rsidRDefault="00675752" w:rsidP="002106F9">
      <w:pPr>
        <w:pStyle w:val="ScheduleL2"/>
      </w:pPr>
      <w:r w:rsidRPr="00A729D8">
        <w:lastRenderedPageBreak/>
        <w:t>Conducting a benefit:cost analysis</w:t>
      </w:r>
    </w:p>
    <w:p w14:paraId="438422E0" w14:textId="77777777" w:rsidR="00B34554" w:rsidRPr="00A729D8" w:rsidRDefault="0008523A" w:rsidP="002106F9">
      <w:r w:rsidRPr="00A729D8">
        <w:t>T</w:t>
      </w:r>
      <w:r w:rsidR="00B34554" w:rsidRPr="00A729D8">
        <w:t>he benefit:cost analysis should compare all the expected costs of an impact (the benefits of responding) with all the expected costs of responding, including the following matters:</w:t>
      </w:r>
    </w:p>
    <w:p w14:paraId="3F3AB81A" w14:textId="77777777" w:rsidR="00B72800" w:rsidRPr="00A729D8" w:rsidRDefault="00B34554" w:rsidP="00121729">
      <w:pPr>
        <w:pStyle w:val="ListParagraph"/>
        <w:numPr>
          <w:ilvl w:val="0"/>
          <w:numId w:val="59"/>
        </w:numPr>
      </w:pPr>
      <w:r w:rsidRPr="00A729D8">
        <w:t>the direct and indirect costs arising from the impact of the pest or disease, such as</w:t>
      </w:r>
    </w:p>
    <w:p w14:paraId="4AB59749" w14:textId="77777777" w:rsidR="00B72800" w:rsidRPr="00A729D8" w:rsidRDefault="00B34554" w:rsidP="00121729">
      <w:pPr>
        <w:pStyle w:val="ListParagraph"/>
        <w:numPr>
          <w:ilvl w:val="1"/>
          <w:numId w:val="59"/>
        </w:numPr>
      </w:pPr>
      <w:r w:rsidRPr="00A729D8">
        <w:t>increased expenses or reduced returns</w:t>
      </w:r>
    </w:p>
    <w:p w14:paraId="33799D31" w14:textId="77777777" w:rsidR="00B72800" w:rsidRPr="00A729D8" w:rsidRDefault="00B34554" w:rsidP="00121729">
      <w:pPr>
        <w:pStyle w:val="ListParagraph"/>
        <w:numPr>
          <w:ilvl w:val="1"/>
          <w:numId w:val="59"/>
        </w:numPr>
      </w:pPr>
      <w:r w:rsidRPr="00A729D8">
        <w:t>impacts on the economic, environmental and social values of natural assets</w:t>
      </w:r>
    </w:p>
    <w:p w14:paraId="5B903A30" w14:textId="77777777" w:rsidR="00B72800" w:rsidRPr="00A729D8" w:rsidRDefault="00B34554" w:rsidP="00121729">
      <w:pPr>
        <w:pStyle w:val="ListParagraph"/>
        <w:numPr>
          <w:ilvl w:val="1"/>
          <w:numId w:val="59"/>
        </w:numPr>
      </w:pPr>
      <w:r w:rsidRPr="00A729D8">
        <w:t>impacts relating to the values affected under the relevant national significance criteria and the potential costs of mitigating those impacts in the absence of a national response</w:t>
      </w:r>
    </w:p>
    <w:p w14:paraId="47153807" w14:textId="77777777" w:rsidR="00B72800" w:rsidRPr="00A729D8" w:rsidRDefault="00B34554" w:rsidP="00121729">
      <w:pPr>
        <w:pStyle w:val="ListParagraph"/>
        <w:numPr>
          <w:ilvl w:val="1"/>
          <w:numId w:val="59"/>
        </w:numPr>
      </w:pPr>
      <w:r w:rsidRPr="00A729D8">
        <w:t>costs identified through an assessment of the human health implications</w:t>
      </w:r>
    </w:p>
    <w:p w14:paraId="1413304C" w14:textId="77777777" w:rsidR="00B72800" w:rsidRPr="00A729D8" w:rsidRDefault="00B34554" w:rsidP="00121729">
      <w:pPr>
        <w:pStyle w:val="ListParagraph"/>
        <w:numPr>
          <w:ilvl w:val="0"/>
          <w:numId w:val="59"/>
        </w:numPr>
      </w:pPr>
      <w:r w:rsidRPr="00A729D8">
        <w:t>identification of the industries, businesses or other sectors of society that would benefit from a national response</w:t>
      </w:r>
    </w:p>
    <w:p w14:paraId="3F309F96" w14:textId="77777777" w:rsidR="00B72800" w:rsidRPr="00A729D8" w:rsidRDefault="00B34554" w:rsidP="00121729">
      <w:pPr>
        <w:pStyle w:val="ListParagraph"/>
        <w:numPr>
          <w:ilvl w:val="0"/>
          <w:numId w:val="59"/>
        </w:numPr>
      </w:pPr>
      <w:r w:rsidRPr="00A729D8">
        <w:t>the costs and impacts of the response plan’s actions, including the opportunity cost of any alternative uses of the funds required to implement the response plan</w:t>
      </w:r>
    </w:p>
    <w:p w14:paraId="47671E60" w14:textId="77777777" w:rsidR="00B34554" w:rsidRPr="00A729D8" w:rsidRDefault="00B34554" w:rsidP="00121729">
      <w:pPr>
        <w:pStyle w:val="ListParagraph"/>
        <w:numPr>
          <w:ilvl w:val="0"/>
          <w:numId w:val="59"/>
        </w:numPr>
      </w:pPr>
      <w:r w:rsidRPr="00A729D8">
        <w:t>the relative cost effectiveness of alternative a</w:t>
      </w:r>
      <w:r w:rsidR="007E2E23" w:rsidRPr="00A729D8">
        <w:t>pproaches to limiting the risks</w:t>
      </w:r>
    </w:p>
    <w:p w14:paraId="307D772C" w14:textId="01E2176A" w:rsidR="006A08D8" w:rsidRPr="00A729D8" w:rsidRDefault="007E2E23" w:rsidP="006A08D8">
      <w:pPr>
        <w:pStyle w:val="ListParagraph"/>
        <w:numPr>
          <w:ilvl w:val="0"/>
          <w:numId w:val="59"/>
        </w:numPr>
      </w:pPr>
      <w:r w:rsidRPr="00A729D8">
        <w:t>t</w:t>
      </w:r>
      <w:r w:rsidR="00402827" w:rsidRPr="00A729D8">
        <w:t>he parties recognise that d</w:t>
      </w:r>
      <w:r w:rsidR="00B34554" w:rsidRPr="00A729D8">
        <w:t xml:space="preserve">etermining the costs and/or benefits (in a dollar sense) of the impacts of a pest or disease </w:t>
      </w:r>
      <w:r w:rsidR="00747D05" w:rsidRPr="00A729D8">
        <w:t>incident</w:t>
      </w:r>
      <w:r w:rsidR="00B34554" w:rsidRPr="00A729D8">
        <w:t xml:space="preserve"> on the natural environment, and otherwise, can be problematic.</w:t>
      </w:r>
      <w:r w:rsidRPr="00A729D8">
        <w:t xml:space="preserve"> </w:t>
      </w:r>
      <w:r w:rsidR="00402827" w:rsidRPr="00A729D8">
        <w:t xml:space="preserve">As such, where limited (or no) data is </w:t>
      </w:r>
      <w:r w:rsidR="00675752" w:rsidRPr="00A729D8">
        <w:t>available</w:t>
      </w:r>
      <w:r w:rsidR="00402827" w:rsidRPr="00A729D8">
        <w:t xml:space="preserve"> to support quantitative assessments of impacts, </w:t>
      </w:r>
      <w:r w:rsidR="00B34554" w:rsidRPr="00A729D8">
        <w:t>qualitative assessments should be used in the benefit:cost analysis.</w:t>
      </w:r>
    </w:p>
    <w:p w14:paraId="11458156" w14:textId="77777777" w:rsidR="00B34554" w:rsidRPr="00A729D8" w:rsidRDefault="00B34554" w:rsidP="002106F9">
      <w:pPr>
        <w:pStyle w:val="ScheduleL1"/>
      </w:pPr>
      <w:r w:rsidRPr="00A729D8">
        <w:t xml:space="preserve">Management of a </w:t>
      </w:r>
      <w:r w:rsidR="00E7297E" w:rsidRPr="00A729D8">
        <w:t>Response Plan</w:t>
      </w:r>
    </w:p>
    <w:p w14:paraId="327F8B52" w14:textId="77777777" w:rsidR="00B34554" w:rsidRPr="00A729D8" w:rsidRDefault="00B34554" w:rsidP="002106F9">
      <w:r w:rsidRPr="00A729D8">
        <w:t xml:space="preserve">A </w:t>
      </w:r>
      <w:r w:rsidR="00E7297E" w:rsidRPr="00A729D8">
        <w:t>Response Plan</w:t>
      </w:r>
      <w:r w:rsidRPr="00A729D8">
        <w:t xml:space="preserve"> must be implemented by the affected parties in accordance with:</w:t>
      </w:r>
    </w:p>
    <w:p w14:paraId="6210A2C7" w14:textId="77777777" w:rsidR="00B72800" w:rsidRPr="00A729D8" w:rsidRDefault="00B34554" w:rsidP="00121729">
      <w:pPr>
        <w:pStyle w:val="ListParagraph"/>
        <w:numPr>
          <w:ilvl w:val="0"/>
          <w:numId w:val="60"/>
        </w:numPr>
      </w:pPr>
      <w:r w:rsidRPr="00A729D8">
        <w:t>the applicable legislation</w:t>
      </w:r>
    </w:p>
    <w:p w14:paraId="33418BE7" w14:textId="77777777" w:rsidR="00B72800" w:rsidRPr="00A729D8" w:rsidRDefault="00B34554" w:rsidP="00121729">
      <w:pPr>
        <w:pStyle w:val="ListParagraph"/>
        <w:numPr>
          <w:ilvl w:val="0"/>
          <w:numId w:val="60"/>
        </w:numPr>
      </w:pPr>
      <w:r w:rsidRPr="00A729D8">
        <w:t>the terms of the plan, ensuring the actions are not inconsistent with the applicable legislation</w:t>
      </w:r>
    </w:p>
    <w:p w14:paraId="74A0EE10" w14:textId="77777777" w:rsidR="00B34554" w:rsidRPr="00A729D8" w:rsidRDefault="00B34554" w:rsidP="00121729">
      <w:pPr>
        <w:pStyle w:val="ListParagraph"/>
        <w:numPr>
          <w:ilvl w:val="0"/>
          <w:numId w:val="60"/>
        </w:numPr>
      </w:pPr>
      <w:r w:rsidRPr="00A729D8">
        <w:t>Australia’s international rights and obligations, including those contained in the SPS agreement.</w:t>
      </w:r>
    </w:p>
    <w:p w14:paraId="5CD9D126" w14:textId="77777777" w:rsidR="00B34554" w:rsidRPr="00A729D8" w:rsidRDefault="00B34554" w:rsidP="00790953">
      <w:pPr>
        <w:pStyle w:val="Heading1"/>
        <w:keepNext w:val="0"/>
        <w:keepLines w:val="0"/>
        <w:numPr>
          <w:ilvl w:val="0"/>
          <w:numId w:val="0"/>
        </w:numPr>
      </w:pPr>
      <w:r w:rsidRPr="00A729D8">
        <w:t xml:space="preserve"> </w:t>
      </w:r>
      <w:bookmarkStart w:id="272" w:name="_Toc7528158"/>
      <w:r w:rsidR="009B6E64" w:rsidRPr="00A729D8">
        <w:t>Schedule 4</w:t>
      </w:r>
      <w:r w:rsidR="006700ED" w:rsidRPr="00A729D8">
        <w:t xml:space="preserve"> – </w:t>
      </w:r>
      <w:r w:rsidRPr="00A729D8">
        <w:t>Arrangements</w:t>
      </w:r>
      <w:r w:rsidR="006700ED" w:rsidRPr="00A729D8">
        <w:t xml:space="preserve"> </w:t>
      </w:r>
      <w:r w:rsidRPr="00A729D8">
        <w:t>for cost-sharing of eligible costs</w:t>
      </w:r>
      <w:bookmarkEnd w:id="272"/>
      <w:r w:rsidRPr="00A729D8">
        <w:t xml:space="preserve"> </w:t>
      </w:r>
      <w:r w:rsidRPr="00A729D8">
        <w:tab/>
        <w:t xml:space="preserve"> </w:t>
      </w:r>
    </w:p>
    <w:p w14:paraId="2B398A07" w14:textId="77777777" w:rsidR="00B34554" w:rsidRPr="00A729D8" w:rsidRDefault="00B34554" w:rsidP="00121729">
      <w:pPr>
        <w:pStyle w:val="ScheduleL1"/>
        <w:numPr>
          <w:ilvl w:val="0"/>
          <w:numId w:val="46"/>
        </w:numPr>
      </w:pPr>
      <w:r w:rsidRPr="00A729D8">
        <w:t>Introduction</w:t>
      </w:r>
    </w:p>
    <w:p w14:paraId="5971059C" w14:textId="77777777" w:rsidR="00B34554" w:rsidRPr="00A729D8" w:rsidRDefault="00B34554" w:rsidP="002106F9">
      <w:r w:rsidRPr="00A729D8">
        <w:t>This schedule sets out the agreement’s eligible costs and cost-sharing arrangements.</w:t>
      </w:r>
    </w:p>
    <w:p w14:paraId="5FF10E0F" w14:textId="77777777" w:rsidR="00B34554" w:rsidRPr="00A729D8" w:rsidRDefault="00B34554" w:rsidP="00DF5957">
      <w:pPr>
        <w:pStyle w:val="ScheduleL1"/>
        <w:keepNext/>
        <w:ind w:left="357" w:hanging="357"/>
      </w:pPr>
      <w:r w:rsidRPr="00A729D8">
        <w:t>Principles of cost-sharing</w:t>
      </w:r>
    </w:p>
    <w:p w14:paraId="3DB52DDD" w14:textId="77777777" w:rsidR="00B34554" w:rsidRPr="00A729D8" w:rsidRDefault="00B34554" w:rsidP="002106F9">
      <w:pPr>
        <w:pStyle w:val="ScheduleL2"/>
      </w:pPr>
      <w:r w:rsidRPr="00A729D8">
        <w:t xml:space="preserve">Assessments prepared for the </w:t>
      </w:r>
      <w:r w:rsidR="00B20F48" w:rsidRPr="00A729D8">
        <w:t>NBMCC</w:t>
      </w:r>
      <w:r w:rsidRPr="00A729D8">
        <w:t xml:space="preserve"> and NMG</w:t>
      </w:r>
    </w:p>
    <w:p w14:paraId="6AAD5E02" w14:textId="07B70976" w:rsidR="004D7700" w:rsidRPr="00A729D8" w:rsidRDefault="00B34554" w:rsidP="002106F9">
      <w:r w:rsidRPr="00A729D8">
        <w:t xml:space="preserve">The notifying party must meet the costs of preparing the assessments to be provided to the </w:t>
      </w:r>
      <w:r w:rsidR="00B20F48" w:rsidRPr="00A729D8">
        <w:t>NBMCC</w:t>
      </w:r>
      <w:r w:rsidRPr="00A729D8">
        <w:t xml:space="preserve"> and the NMG for their consideration as to whether a national </w:t>
      </w:r>
      <w:r w:rsidR="00683E1A" w:rsidRPr="00A729D8">
        <w:t>response is required</w:t>
      </w:r>
      <w:r w:rsidR="004D7700" w:rsidRPr="00A729D8">
        <w:t xml:space="preserve">. </w:t>
      </w:r>
    </w:p>
    <w:p w14:paraId="17FC740E" w14:textId="77777777" w:rsidR="00B34554" w:rsidRPr="00A729D8" w:rsidRDefault="00B34554" w:rsidP="002106F9">
      <w:pPr>
        <w:pStyle w:val="ScheduleL2"/>
      </w:pPr>
      <w:r w:rsidRPr="00A729D8">
        <w:lastRenderedPageBreak/>
        <w:t xml:space="preserve">Costs of </w:t>
      </w:r>
      <w:r w:rsidR="00E05CEB" w:rsidRPr="00A729D8">
        <w:t xml:space="preserve">emergency </w:t>
      </w:r>
      <w:r w:rsidRPr="00A729D8">
        <w:t>containment work</w:t>
      </w:r>
    </w:p>
    <w:p w14:paraId="4AFD0431" w14:textId="5AAB9694" w:rsidR="00B34554" w:rsidRPr="00A729D8" w:rsidRDefault="00840ECB" w:rsidP="00840ECB">
      <w:pPr>
        <w:ind w:left="720" w:hanging="720"/>
      </w:pPr>
      <w:r w:rsidRPr="00A729D8">
        <w:t>2.2.1</w:t>
      </w:r>
      <w:r w:rsidRPr="00A729D8">
        <w:tab/>
      </w:r>
      <w:r w:rsidR="00B34554" w:rsidRPr="00A729D8">
        <w:t xml:space="preserve">The notifying party, and any other state or territory party </w:t>
      </w:r>
      <w:r w:rsidR="005105E7" w:rsidRPr="00A729D8">
        <w:t xml:space="preserve">that becomes aware of an </w:t>
      </w:r>
      <w:r w:rsidR="00747D05" w:rsidRPr="00A729D8">
        <w:t>incident</w:t>
      </w:r>
      <w:r w:rsidR="005105E7" w:rsidRPr="00A729D8">
        <w:t>, or has reasonable suspicion of an incident of</w:t>
      </w:r>
      <w:r w:rsidR="006228D1" w:rsidRPr="00A729D8">
        <w:t xml:space="preserve"> a</w:t>
      </w:r>
      <w:r w:rsidR="005105E7" w:rsidRPr="00A729D8">
        <w:t xml:space="preserve"> potentially nationally significant pest or disease</w:t>
      </w:r>
      <w:r w:rsidR="00B34554" w:rsidRPr="00A729D8">
        <w:t xml:space="preserve">, will meet the costs of the </w:t>
      </w:r>
      <w:r w:rsidR="00E05CEB" w:rsidRPr="00A729D8">
        <w:t xml:space="preserve">emergency </w:t>
      </w:r>
      <w:r w:rsidR="00B34554" w:rsidRPr="00A729D8">
        <w:t>containment and control work.</w:t>
      </w:r>
    </w:p>
    <w:p w14:paraId="39BBE41C" w14:textId="0C690D11" w:rsidR="000E40DA" w:rsidRPr="00A729D8" w:rsidRDefault="00840ECB" w:rsidP="00840ECB">
      <w:pPr>
        <w:ind w:left="720" w:hanging="720"/>
      </w:pPr>
      <w:r w:rsidRPr="00A729D8">
        <w:t>2.2.2</w:t>
      </w:r>
      <w:r w:rsidRPr="00A729D8">
        <w:tab/>
      </w:r>
      <w:r w:rsidR="000E40DA" w:rsidRPr="00A729D8">
        <w:t>The NMG may determine an exception to this approach where containment activity undertaken in the Incident Definition Phase is eligible for cost sharing if:</w:t>
      </w:r>
    </w:p>
    <w:p w14:paraId="4EF1F77C" w14:textId="7105F8DA" w:rsidR="000E40DA" w:rsidRPr="00A729D8" w:rsidRDefault="000E40DA" w:rsidP="000E40DA">
      <w:pPr>
        <w:pStyle w:val="ListParagraph"/>
        <w:numPr>
          <w:ilvl w:val="0"/>
          <w:numId w:val="54"/>
        </w:numPr>
      </w:pPr>
      <w:r w:rsidRPr="00A729D8">
        <w:t xml:space="preserve">a pest or disease is nationally significant (in accordance with Schedule 2), and  </w:t>
      </w:r>
    </w:p>
    <w:p w14:paraId="18EF88FD" w14:textId="77777777" w:rsidR="000E40DA" w:rsidRPr="00A729D8" w:rsidRDefault="000E40DA" w:rsidP="000E40DA">
      <w:pPr>
        <w:pStyle w:val="ListParagraph"/>
        <w:numPr>
          <w:ilvl w:val="0"/>
          <w:numId w:val="54"/>
        </w:numPr>
      </w:pPr>
      <w:r w:rsidRPr="00A729D8">
        <w:t>there is a genuine presumption of it being technically feasible to eradicate, and</w:t>
      </w:r>
    </w:p>
    <w:p w14:paraId="79252427" w14:textId="77777777" w:rsidR="000E40DA" w:rsidRPr="00A729D8" w:rsidRDefault="000E40DA" w:rsidP="000E40DA">
      <w:pPr>
        <w:pStyle w:val="ListParagraph"/>
        <w:numPr>
          <w:ilvl w:val="0"/>
          <w:numId w:val="54"/>
        </w:numPr>
      </w:pPr>
      <w:r w:rsidRPr="00A729D8">
        <w:t xml:space="preserve">work is underway to confirm this feasibility. </w:t>
      </w:r>
    </w:p>
    <w:p w14:paraId="6796B419" w14:textId="563E08C5" w:rsidR="00DE4303" w:rsidRPr="00A729D8" w:rsidRDefault="00DE4303" w:rsidP="000E40DA"/>
    <w:p w14:paraId="1B881D4B" w14:textId="77777777" w:rsidR="00B34554" w:rsidRPr="00A729D8" w:rsidRDefault="00B34554" w:rsidP="002106F9">
      <w:pPr>
        <w:pStyle w:val="ScheduleL2"/>
      </w:pPr>
      <w:r w:rsidRPr="00A729D8">
        <w:t xml:space="preserve">Cost-sharing once a </w:t>
      </w:r>
      <w:r w:rsidR="00E7297E" w:rsidRPr="00A729D8">
        <w:t>Response Plan</w:t>
      </w:r>
      <w:r w:rsidRPr="00A729D8">
        <w:t xml:space="preserve"> is approved</w:t>
      </w:r>
    </w:p>
    <w:p w14:paraId="4FD88389" w14:textId="77777777" w:rsidR="00B34554" w:rsidRPr="00A729D8" w:rsidRDefault="00B34554" w:rsidP="002106F9">
      <w:r w:rsidRPr="00A729D8">
        <w:t xml:space="preserve">When the NMG has approved a </w:t>
      </w:r>
      <w:r w:rsidR="005105E7" w:rsidRPr="00A729D8">
        <w:t>R</w:t>
      </w:r>
      <w:r w:rsidRPr="00A729D8">
        <w:t xml:space="preserve">esponse </w:t>
      </w:r>
      <w:r w:rsidR="005105E7" w:rsidRPr="00A729D8">
        <w:t>P</w:t>
      </w:r>
      <w:r w:rsidRPr="00A729D8">
        <w:t>lan, cost-sharing principles will apply in respect of:</w:t>
      </w:r>
    </w:p>
    <w:p w14:paraId="403B0EF0" w14:textId="24E34649" w:rsidR="00297590" w:rsidRPr="00A729D8" w:rsidRDefault="00B34554" w:rsidP="000E40DA">
      <w:pPr>
        <w:pStyle w:val="ListParagraph"/>
        <w:numPr>
          <w:ilvl w:val="0"/>
          <w:numId w:val="179"/>
        </w:numPr>
      </w:pPr>
      <w:r w:rsidRPr="00A729D8">
        <w:t>eligible costs met by the parties</w:t>
      </w:r>
      <w:r w:rsidR="0061444A" w:rsidRPr="00A729D8">
        <w:t xml:space="preserve">, and non-government </w:t>
      </w:r>
      <w:r w:rsidR="005A4D74" w:rsidRPr="00A729D8">
        <w:t xml:space="preserve">entities </w:t>
      </w:r>
      <w:r w:rsidR="0061444A" w:rsidRPr="00A729D8">
        <w:t>that are voting members at NMG,</w:t>
      </w:r>
      <w:r w:rsidRPr="00A729D8">
        <w:t xml:space="preserve"> in accordance with items 2.1 and 2.2 of this schedule, by way of reimbursement in accordance with clause </w:t>
      </w:r>
      <w:r w:rsidR="00E2651B" w:rsidRPr="00A729D8">
        <w:t>7</w:t>
      </w:r>
      <w:r w:rsidR="008515ED" w:rsidRPr="00A729D8">
        <w:t>.5</w:t>
      </w:r>
      <w:r w:rsidRPr="00A729D8">
        <w:t xml:space="preserve"> of this agreement</w:t>
      </w:r>
    </w:p>
    <w:p w14:paraId="34B8E3CE" w14:textId="77777777" w:rsidR="00297590" w:rsidRPr="00A729D8" w:rsidRDefault="00B34554" w:rsidP="000E40DA">
      <w:pPr>
        <w:pStyle w:val="ListParagraph"/>
        <w:numPr>
          <w:ilvl w:val="0"/>
          <w:numId w:val="179"/>
        </w:numPr>
      </w:pPr>
      <w:r w:rsidRPr="00A729D8">
        <w:t>eligible costs arising from implementing the plan</w:t>
      </w:r>
    </w:p>
    <w:p w14:paraId="34082EC7" w14:textId="77777777" w:rsidR="00297590" w:rsidRPr="00A729D8" w:rsidRDefault="00B34554" w:rsidP="000E40DA">
      <w:pPr>
        <w:pStyle w:val="ListParagraph"/>
        <w:numPr>
          <w:ilvl w:val="0"/>
          <w:numId w:val="179"/>
        </w:numPr>
      </w:pPr>
      <w:r w:rsidRPr="00A729D8">
        <w:t>owner reimbursement costs, specified in item 3.4 of this schedule, from</w:t>
      </w:r>
    </w:p>
    <w:p w14:paraId="38F75312" w14:textId="77777777" w:rsidR="00297590" w:rsidRPr="00A729D8" w:rsidRDefault="00B34554" w:rsidP="000E40DA">
      <w:pPr>
        <w:pStyle w:val="ListParagraph"/>
        <w:numPr>
          <w:ilvl w:val="1"/>
          <w:numId w:val="179"/>
        </w:numPr>
      </w:pPr>
      <w:r w:rsidRPr="00A729D8">
        <w:t xml:space="preserve">the date of first notification of the </w:t>
      </w:r>
      <w:r w:rsidR="00747D05" w:rsidRPr="00A729D8">
        <w:t>incident</w:t>
      </w:r>
      <w:r w:rsidRPr="00A729D8">
        <w:t xml:space="preserve"> to the relevant state(s), territory(s) or the Commonwealth; or</w:t>
      </w:r>
    </w:p>
    <w:p w14:paraId="033ABE06" w14:textId="77777777" w:rsidR="00297590" w:rsidRPr="00A729D8" w:rsidRDefault="00B34554" w:rsidP="000E40DA">
      <w:pPr>
        <w:pStyle w:val="ListParagraph"/>
        <w:numPr>
          <w:ilvl w:val="1"/>
          <w:numId w:val="179"/>
        </w:numPr>
      </w:pPr>
      <w:r w:rsidRPr="00A729D8">
        <w:t xml:space="preserve">an earlier date as may be determined by the NMG on advice from the </w:t>
      </w:r>
      <w:r w:rsidR="00B20F48" w:rsidRPr="00A729D8">
        <w:t>NBMCC</w:t>
      </w:r>
    </w:p>
    <w:p w14:paraId="7F988F8B" w14:textId="474BD875" w:rsidR="00B34554" w:rsidRPr="00A729D8" w:rsidRDefault="00B34554" w:rsidP="000E40DA">
      <w:pPr>
        <w:pStyle w:val="ListParagraph"/>
        <w:numPr>
          <w:ilvl w:val="0"/>
          <w:numId w:val="179"/>
        </w:numPr>
      </w:pPr>
      <w:r w:rsidRPr="00A729D8">
        <w:t xml:space="preserve">investigation and diagnostic costs, </w:t>
      </w:r>
      <w:r w:rsidR="00D33995" w:rsidRPr="00A729D8">
        <w:t xml:space="preserve">that occur in the Incident Definition Phase, </w:t>
      </w:r>
      <w:r w:rsidRPr="00A729D8">
        <w:t>if approved by the NMG as being relevant and reasonable.</w:t>
      </w:r>
    </w:p>
    <w:p w14:paraId="1AC7BD83" w14:textId="77777777" w:rsidR="00B34554" w:rsidRPr="00A729D8" w:rsidRDefault="00B34554" w:rsidP="002106F9">
      <w:pPr>
        <w:pStyle w:val="ScheduleL1"/>
      </w:pPr>
      <w:r w:rsidRPr="00A729D8">
        <w:t>Eligible costs</w:t>
      </w:r>
    </w:p>
    <w:p w14:paraId="7BBE184A" w14:textId="77777777" w:rsidR="00B34554" w:rsidRPr="00A729D8" w:rsidRDefault="00B34554" w:rsidP="002106F9">
      <w:r w:rsidRPr="00A729D8">
        <w:t>Eligible costs are as set out in this item 3, provided they are above a party’s normal commitment, as determined by the NMG.</w:t>
      </w:r>
    </w:p>
    <w:p w14:paraId="46B6B695" w14:textId="77777777" w:rsidR="00B34554" w:rsidRPr="00A729D8" w:rsidRDefault="00B34554" w:rsidP="002106F9">
      <w:pPr>
        <w:pStyle w:val="ScheduleL2"/>
      </w:pPr>
      <w:r w:rsidRPr="00A729D8">
        <w:t>Salaries and wages</w:t>
      </w:r>
    </w:p>
    <w:p w14:paraId="6A875AF4" w14:textId="77777777" w:rsidR="00297590" w:rsidRPr="00A729D8" w:rsidRDefault="00B34554" w:rsidP="00121729">
      <w:pPr>
        <w:pStyle w:val="ListParagraph"/>
        <w:numPr>
          <w:ilvl w:val="0"/>
          <w:numId w:val="55"/>
        </w:numPr>
      </w:pPr>
      <w:r w:rsidRPr="00A729D8">
        <w:t>The following are eligible costs:</w:t>
      </w:r>
    </w:p>
    <w:p w14:paraId="65B920E6" w14:textId="77777777" w:rsidR="00297590" w:rsidRPr="00A729D8" w:rsidRDefault="00B34554" w:rsidP="00121729">
      <w:pPr>
        <w:pStyle w:val="ListParagraph"/>
        <w:numPr>
          <w:ilvl w:val="1"/>
          <w:numId w:val="55"/>
        </w:numPr>
      </w:pPr>
      <w:r w:rsidRPr="00A729D8">
        <w:t>subject to item 3.1(b) of this schedule, salaries, wages or fees for staff, consultants, contractors or externally funded staff engaged by a party to assist directly with a response, and for staff, consultants, contractors, or externally funded staff engaged to backfill positions of existing permanent staff who are assisting directly with a response</w:t>
      </w:r>
    </w:p>
    <w:p w14:paraId="0A3004BB" w14:textId="77777777" w:rsidR="00297590" w:rsidRPr="00A729D8" w:rsidRDefault="00B34554" w:rsidP="00121729">
      <w:pPr>
        <w:pStyle w:val="ListParagraph"/>
        <w:numPr>
          <w:ilvl w:val="1"/>
          <w:numId w:val="55"/>
        </w:numPr>
      </w:pPr>
      <w:r w:rsidRPr="00A729D8">
        <w:t xml:space="preserve">subject to item 3.1(b) of this schedule, allowances for staff, consultants, contractors or externally funded staff engaged in implementing a </w:t>
      </w:r>
      <w:r w:rsidR="00E7297E" w:rsidRPr="00A729D8">
        <w:t>Response Plan</w:t>
      </w:r>
      <w:r w:rsidRPr="00A729D8">
        <w:t>, including</w:t>
      </w:r>
    </w:p>
    <w:p w14:paraId="6F321FFF" w14:textId="77777777" w:rsidR="00297590" w:rsidRPr="00A729D8" w:rsidRDefault="00B34554" w:rsidP="00121729">
      <w:pPr>
        <w:pStyle w:val="ListParagraph"/>
        <w:numPr>
          <w:ilvl w:val="2"/>
          <w:numId w:val="55"/>
        </w:numPr>
      </w:pPr>
      <w:r w:rsidRPr="00A729D8">
        <w:lastRenderedPageBreak/>
        <w:t>meal allowances</w:t>
      </w:r>
    </w:p>
    <w:p w14:paraId="71025DF7" w14:textId="77777777" w:rsidR="00297590" w:rsidRPr="00A729D8" w:rsidRDefault="00B34554" w:rsidP="00121729">
      <w:pPr>
        <w:pStyle w:val="ListParagraph"/>
        <w:numPr>
          <w:ilvl w:val="2"/>
          <w:numId w:val="55"/>
        </w:numPr>
      </w:pPr>
      <w:r w:rsidRPr="00A729D8">
        <w:t>district allowances</w:t>
      </w:r>
    </w:p>
    <w:p w14:paraId="02DBAEF7" w14:textId="77777777" w:rsidR="00297590" w:rsidRPr="00A729D8" w:rsidRDefault="00B34554" w:rsidP="00121729">
      <w:pPr>
        <w:pStyle w:val="ListParagraph"/>
        <w:numPr>
          <w:ilvl w:val="2"/>
          <w:numId w:val="55"/>
        </w:numPr>
      </w:pPr>
      <w:r w:rsidRPr="00A729D8">
        <w:t>penalty rates</w:t>
      </w:r>
    </w:p>
    <w:p w14:paraId="40D3F24D" w14:textId="77777777" w:rsidR="00297590" w:rsidRPr="00A729D8" w:rsidRDefault="00B34554" w:rsidP="00121729">
      <w:pPr>
        <w:pStyle w:val="ListParagraph"/>
        <w:numPr>
          <w:ilvl w:val="2"/>
          <w:numId w:val="55"/>
        </w:numPr>
      </w:pPr>
      <w:r w:rsidRPr="00A729D8">
        <w:t>accommodation assistance</w:t>
      </w:r>
    </w:p>
    <w:p w14:paraId="1E035323" w14:textId="77777777" w:rsidR="00297590" w:rsidRPr="00A729D8" w:rsidRDefault="00B34554" w:rsidP="00121729">
      <w:pPr>
        <w:pStyle w:val="ListParagraph"/>
        <w:numPr>
          <w:ilvl w:val="1"/>
          <w:numId w:val="55"/>
        </w:numPr>
      </w:pPr>
      <w:r w:rsidRPr="00A729D8">
        <w:t>payroll tax, workers’ compensation, superannuation and leave for staff engaged directly for, or as a result of, implementing a response plan</w:t>
      </w:r>
    </w:p>
    <w:p w14:paraId="0099240F" w14:textId="77777777" w:rsidR="00297590" w:rsidRPr="00A729D8" w:rsidRDefault="00B34554" w:rsidP="00121729">
      <w:pPr>
        <w:pStyle w:val="ListParagraph"/>
        <w:numPr>
          <w:ilvl w:val="1"/>
          <w:numId w:val="55"/>
        </w:numPr>
      </w:pPr>
      <w:r w:rsidRPr="00A729D8">
        <w:t>overtime incurred directly as a result of implementing a response plan</w:t>
      </w:r>
    </w:p>
    <w:p w14:paraId="0E090BB9" w14:textId="77777777" w:rsidR="00297590" w:rsidRPr="00A729D8" w:rsidRDefault="00B34554" w:rsidP="00121729">
      <w:pPr>
        <w:pStyle w:val="ListParagraph"/>
        <w:numPr>
          <w:ilvl w:val="1"/>
          <w:numId w:val="55"/>
        </w:numPr>
      </w:pPr>
      <w:r w:rsidRPr="00A729D8">
        <w:t>reimbursements to volunteer emergency service personnel by negotiation with the service provider, but generally limited to out-of-pocket or incidental expenses.</w:t>
      </w:r>
    </w:p>
    <w:p w14:paraId="0C137B7F" w14:textId="77777777" w:rsidR="00297590" w:rsidRPr="00A729D8" w:rsidRDefault="00B34554" w:rsidP="00121729">
      <w:pPr>
        <w:pStyle w:val="ListParagraph"/>
        <w:numPr>
          <w:ilvl w:val="0"/>
          <w:numId w:val="55"/>
        </w:numPr>
      </w:pPr>
      <w:r w:rsidRPr="00A729D8">
        <w:t>Where the eligible costs are costs arising in accordance with items 3.1(a)(i) and (a)(ii) of this schedule in relation to contractors engaged by the parties to implement a national response those costs will only be eligible costs up to the fees and allowances level approved by the NMG, or such other relevant fee structure.</w:t>
      </w:r>
    </w:p>
    <w:p w14:paraId="62757A75" w14:textId="77777777" w:rsidR="00297590" w:rsidRPr="00A729D8" w:rsidRDefault="00B34554" w:rsidP="00121729">
      <w:pPr>
        <w:pStyle w:val="ListParagraph"/>
        <w:numPr>
          <w:ilvl w:val="0"/>
          <w:numId w:val="55"/>
        </w:numPr>
      </w:pPr>
      <w:r w:rsidRPr="00A729D8">
        <w:t>The following are not eligible costs:</w:t>
      </w:r>
    </w:p>
    <w:p w14:paraId="4FE7CF5B" w14:textId="77777777" w:rsidR="00B34554" w:rsidRPr="00A729D8" w:rsidRDefault="00B34554" w:rsidP="00121729">
      <w:pPr>
        <w:pStyle w:val="ListParagraph"/>
        <w:numPr>
          <w:ilvl w:val="1"/>
          <w:numId w:val="55"/>
        </w:numPr>
      </w:pPr>
      <w:r w:rsidRPr="00A729D8">
        <w:t>salaries, wages or fees for staff, consultants, contractors, or externally funded staff who are, or who would be, engaged by a party irrespective of a response plan being implemented. However where the use of consultants or contractors, adds materially to the cost of the response to the jurisdiction, then these additional costs are eligible costs. The use of externally funded staff should also be acceptable provided the funds associated with those staff prior to the implementation of the response plan are suspended, withheld or refunded to the original funding party during the secondment of those staff to the response.</w:t>
      </w:r>
    </w:p>
    <w:p w14:paraId="0B0AA6FC" w14:textId="77777777" w:rsidR="00B34554" w:rsidRPr="00A729D8" w:rsidRDefault="00B34554" w:rsidP="002106F9">
      <w:pPr>
        <w:pStyle w:val="ScheduleL2"/>
      </w:pPr>
      <w:r w:rsidRPr="00A729D8">
        <w:t>Operating expenses</w:t>
      </w:r>
    </w:p>
    <w:p w14:paraId="32B4CB9E" w14:textId="77777777" w:rsidR="00B34554" w:rsidRPr="00A729D8" w:rsidRDefault="00B34554" w:rsidP="002106F9">
      <w:r w:rsidRPr="00A729D8">
        <w:t>Operating expenses incurred directly by a party when undertaking activities required by a response plan will be classed as eligible costs, subject to any conditions specified below:</w:t>
      </w:r>
    </w:p>
    <w:p w14:paraId="5CF43D78" w14:textId="77777777" w:rsidR="00021571" w:rsidRPr="00A729D8" w:rsidRDefault="00B34554" w:rsidP="00121729">
      <w:pPr>
        <w:pStyle w:val="ListParagraph"/>
        <w:numPr>
          <w:ilvl w:val="0"/>
          <w:numId w:val="56"/>
        </w:numPr>
      </w:pPr>
      <w:r w:rsidRPr="00A729D8">
        <w:t>the cost of additional staff and operating costs incurred as a result of activities</w:t>
      </w:r>
    </w:p>
    <w:p w14:paraId="20E712F7" w14:textId="77777777" w:rsidR="00021571" w:rsidRPr="00A729D8" w:rsidRDefault="00B34554" w:rsidP="00121729">
      <w:pPr>
        <w:pStyle w:val="ListParagraph"/>
        <w:numPr>
          <w:ilvl w:val="1"/>
          <w:numId w:val="56"/>
        </w:numPr>
      </w:pPr>
      <w:r w:rsidRPr="00A729D8">
        <w:t xml:space="preserve">required by a </w:t>
      </w:r>
      <w:r w:rsidR="00D546BE" w:rsidRPr="00A729D8">
        <w:t>R</w:t>
      </w:r>
      <w:r w:rsidRPr="00A729D8">
        <w:t xml:space="preserve">esponse </w:t>
      </w:r>
      <w:r w:rsidR="00D546BE" w:rsidRPr="00A729D8">
        <w:t>P</w:t>
      </w:r>
      <w:r w:rsidRPr="00A729D8">
        <w:t>lan</w:t>
      </w:r>
    </w:p>
    <w:p w14:paraId="5BCF568F" w14:textId="77777777" w:rsidR="00021571" w:rsidRPr="00A729D8" w:rsidRDefault="00B34554" w:rsidP="00121729">
      <w:pPr>
        <w:pStyle w:val="ListParagraph"/>
        <w:numPr>
          <w:ilvl w:val="1"/>
          <w:numId w:val="56"/>
        </w:numPr>
      </w:pPr>
      <w:r w:rsidRPr="00A729D8">
        <w:t>provided internally by an agency of a state or territory party</w:t>
      </w:r>
    </w:p>
    <w:p w14:paraId="3C389B12" w14:textId="77777777" w:rsidR="00021571" w:rsidRPr="00A729D8" w:rsidRDefault="00B34554" w:rsidP="00121729">
      <w:pPr>
        <w:pStyle w:val="ListParagraph"/>
        <w:numPr>
          <w:ilvl w:val="0"/>
          <w:numId w:val="56"/>
        </w:numPr>
      </w:pPr>
      <w:r w:rsidRPr="00A729D8">
        <w:t xml:space="preserve">costs incurred by a state or territory party in obtaining laboratory services or the services of taxonomic experts from an external source to assist in the implementation of a </w:t>
      </w:r>
      <w:r w:rsidR="00E7297E" w:rsidRPr="00A729D8">
        <w:t>Response Plan</w:t>
      </w:r>
      <w:r w:rsidRPr="00A729D8">
        <w:t xml:space="preserve">. The </w:t>
      </w:r>
      <w:r w:rsidR="00021571" w:rsidRPr="00A729D8">
        <w:t>amount of eligible costs will be</w:t>
      </w:r>
    </w:p>
    <w:p w14:paraId="62A1C353" w14:textId="77777777" w:rsidR="00021571" w:rsidRPr="00A729D8" w:rsidRDefault="00B34554" w:rsidP="00121729">
      <w:pPr>
        <w:pStyle w:val="ListParagraph"/>
        <w:numPr>
          <w:ilvl w:val="1"/>
          <w:numId w:val="56"/>
        </w:numPr>
      </w:pPr>
      <w:r w:rsidRPr="00A729D8">
        <w:t>where the specified contracted level of services is exceeded, an amount equivalent to the marginal cost in accordance with item 3.2(a) of this schedule that would be charged by a comparable government laboratory for that additional service</w:t>
      </w:r>
    </w:p>
    <w:p w14:paraId="72CF336C" w14:textId="77777777" w:rsidR="00021571" w:rsidRPr="00A729D8" w:rsidRDefault="00B34554" w:rsidP="00121729">
      <w:pPr>
        <w:pStyle w:val="ListParagraph"/>
        <w:numPr>
          <w:ilvl w:val="1"/>
          <w:numId w:val="56"/>
        </w:numPr>
      </w:pPr>
      <w:r w:rsidRPr="00A729D8">
        <w:lastRenderedPageBreak/>
        <w:t>where there is no specified contracted service level, an amount not exceeding the full price that would be charged by a comparable government laboratory for those services</w:t>
      </w:r>
    </w:p>
    <w:p w14:paraId="11F4A222" w14:textId="77777777" w:rsidR="00021571" w:rsidRPr="00A729D8" w:rsidRDefault="00B34554" w:rsidP="00121729">
      <w:pPr>
        <w:pStyle w:val="ListParagraph"/>
        <w:numPr>
          <w:ilvl w:val="0"/>
          <w:numId w:val="56"/>
        </w:numPr>
      </w:pPr>
      <w:r w:rsidRPr="00A729D8">
        <w:t xml:space="preserve">costs arising from the purchase of stores and equipment for the implementation of a </w:t>
      </w:r>
      <w:r w:rsidR="00D546BE" w:rsidRPr="00A729D8">
        <w:t>R</w:t>
      </w:r>
      <w:r w:rsidRPr="00A729D8">
        <w:t xml:space="preserve">esponse </w:t>
      </w:r>
      <w:r w:rsidR="00D546BE" w:rsidRPr="00A729D8">
        <w:t>P</w:t>
      </w:r>
      <w:r w:rsidRPr="00A729D8">
        <w:t>lan. The eligible costs will be as valued</w:t>
      </w:r>
    </w:p>
    <w:p w14:paraId="70FCBB67" w14:textId="77777777" w:rsidR="00021571" w:rsidRPr="00A729D8" w:rsidRDefault="00B34554" w:rsidP="00121729">
      <w:pPr>
        <w:pStyle w:val="ListParagraph"/>
        <w:numPr>
          <w:ilvl w:val="1"/>
          <w:numId w:val="56"/>
        </w:numPr>
      </w:pPr>
      <w:r w:rsidRPr="00A729D8">
        <w:t>at the time of the proof-of-freedom or upon a determination by the NMG that the national response will not continue, in accordance with</w:t>
      </w:r>
      <w:r w:rsidR="00021571" w:rsidRPr="00A729D8">
        <w:t xml:space="preserve"> </w:t>
      </w:r>
      <w:r w:rsidRPr="00A729D8">
        <w:t xml:space="preserve">clause </w:t>
      </w:r>
      <w:r w:rsidR="00E2651B" w:rsidRPr="00A729D8">
        <w:t>7</w:t>
      </w:r>
      <w:r w:rsidR="00DD0988" w:rsidRPr="00A729D8">
        <w:t>.4</w:t>
      </w:r>
      <w:r w:rsidR="00D131D2" w:rsidRPr="00A729D8">
        <w:t>.7</w:t>
      </w:r>
      <w:r w:rsidRPr="00A729D8">
        <w:t xml:space="preserve"> of this agreement, in which case the stores or equipment will be sold within 60 days; or</w:t>
      </w:r>
    </w:p>
    <w:p w14:paraId="2AAE6271" w14:textId="77777777" w:rsidR="00B34554" w:rsidRPr="00A729D8" w:rsidRDefault="00B34554" w:rsidP="00121729">
      <w:pPr>
        <w:pStyle w:val="ListParagraph"/>
        <w:numPr>
          <w:ilvl w:val="1"/>
          <w:numId w:val="56"/>
        </w:numPr>
      </w:pPr>
      <w:r w:rsidRPr="00A729D8">
        <w:t>if disposed of prior to the time referred to in item 3.2(c)(i) of this schedule, at the time of disposal.</w:t>
      </w:r>
    </w:p>
    <w:p w14:paraId="7F0364FC" w14:textId="77777777" w:rsidR="00021571" w:rsidRPr="00A729D8" w:rsidRDefault="00B34554" w:rsidP="002106F9">
      <w:pPr>
        <w:ind w:left="1800"/>
      </w:pPr>
      <w:r w:rsidRPr="00A729D8">
        <w:t>The proceeds from any sale of stores or equipment, or equivalent value, will be distributed to the parties in the same proportions as their contribution in accordance with the cost- sharing arrangement, unless the parties approve otherwise</w:t>
      </w:r>
    </w:p>
    <w:p w14:paraId="404612E1" w14:textId="77777777" w:rsidR="00B34554" w:rsidRPr="00A729D8" w:rsidRDefault="00B34554" w:rsidP="00121729">
      <w:pPr>
        <w:pStyle w:val="ListParagraph"/>
        <w:numPr>
          <w:ilvl w:val="0"/>
          <w:numId w:val="56"/>
        </w:numPr>
      </w:pPr>
      <w:r w:rsidRPr="00A729D8">
        <w:t xml:space="preserve">other essential operating costs will be eligible costs if so determined by the NMG and specified in a </w:t>
      </w:r>
      <w:r w:rsidR="00E7297E" w:rsidRPr="00A729D8">
        <w:t>Response Plan</w:t>
      </w:r>
      <w:r w:rsidRPr="00A729D8">
        <w:t>.</w:t>
      </w:r>
    </w:p>
    <w:p w14:paraId="5B4F1AFA" w14:textId="77777777" w:rsidR="00B34554" w:rsidRPr="00A729D8" w:rsidRDefault="00B34554" w:rsidP="002106F9">
      <w:pPr>
        <w:pStyle w:val="ScheduleL2"/>
      </w:pPr>
      <w:r w:rsidRPr="00A729D8">
        <w:t>Capital costs</w:t>
      </w:r>
    </w:p>
    <w:p w14:paraId="04CACF7A" w14:textId="77777777" w:rsidR="00BA55E0" w:rsidRPr="00A729D8" w:rsidRDefault="00B34554" w:rsidP="002106F9">
      <w:r w:rsidRPr="00A729D8">
        <w:t>Regardless of whether capital equipment has already been purchased or will be purchased by a party:</w:t>
      </w:r>
    </w:p>
    <w:p w14:paraId="738628F3" w14:textId="77777777" w:rsidR="00BA55E0" w:rsidRPr="00A729D8" w:rsidRDefault="00B34554" w:rsidP="00121729">
      <w:pPr>
        <w:pStyle w:val="ListParagraph"/>
        <w:numPr>
          <w:ilvl w:val="0"/>
          <w:numId w:val="63"/>
        </w:numPr>
      </w:pPr>
      <w:r w:rsidRPr="00A729D8">
        <w:t>eligible costs include the costs arising from obtaining (or obtaining the use of) essential equipment for the immediate servicing needs of a response plan; but</w:t>
      </w:r>
    </w:p>
    <w:p w14:paraId="7CDDE3DE" w14:textId="77777777" w:rsidR="00BA55E0" w:rsidRPr="00A729D8" w:rsidRDefault="00B34554" w:rsidP="00121729">
      <w:pPr>
        <w:pStyle w:val="ListParagraph"/>
        <w:numPr>
          <w:ilvl w:val="0"/>
          <w:numId w:val="63"/>
        </w:numPr>
      </w:pPr>
      <w:r w:rsidRPr="00A729D8">
        <w:t>eligible costs will not include capital expenditure on major items, such as motor vehicles or buildings, unless</w:t>
      </w:r>
    </w:p>
    <w:p w14:paraId="677BA392" w14:textId="77777777" w:rsidR="00BA55E0" w:rsidRPr="00A729D8" w:rsidRDefault="00B34554" w:rsidP="00121729">
      <w:pPr>
        <w:pStyle w:val="ListParagraph"/>
        <w:numPr>
          <w:ilvl w:val="1"/>
          <w:numId w:val="63"/>
        </w:numPr>
      </w:pPr>
      <w:r w:rsidRPr="00A729D8">
        <w:t>the response plan specifies that the costs are to be eligible costs</w:t>
      </w:r>
    </w:p>
    <w:p w14:paraId="0D3F15D9" w14:textId="77777777" w:rsidR="00BA55E0" w:rsidRPr="00A729D8" w:rsidRDefault="00B34554" w:rsidP="00121729">
      <w:pPr>
        <w:pStyle w:val="ListParagraph"/>
        <w:numPr>
          <w:ilvl w:val="1"/>
          <w:numId w:val="63"/>
        </w:numPr>
      </w:pPr>
      <w:r w:rsidRPr="00A729D8">
        <w:t>the capital items are essential for, and specific to, activities under the response.</w:t>
      </w:r>
    </w:p>
    <w:p w14:paraId="4835D855" w14:textId="77777777" w:rsidR="00B34554" w:rsidRPr="00A729D8" w:rsidRDefault="00B34554" w:rsidP="002106F9">
      <w:pPr>
        <w:pStyle w:val="ListParagraph"/>
        <w:ind w:left="1800"/>
      </w:pPr>
      <w:r w:rsidRPr="00A729D8">
        <w:t>Note that the working life of such capital items would normally be expected to extend beyond the response and may be utilised in other ongoing programs. Accordingly, the cost of such items is a party’s responsibility</w:t>
      </w:r>
    </w:p>
    <w:p w14:paraId="54B91F0D" w14:textId="77777777" w:rsidR="00B34554" w:rsidRPr="00A729D8" w:rsidRDefault="00B34554" w:rsidP="00121729">
      <w:pPr>
        <w:pStyle w:val="ListParagraph"/>
        <w:numPr>
          <w:ilvl w:val="0"/>
          <w:numId w:val="63"/>
        </w:numPr>
      </w:pPr>
      <w:r w:rsidRPr="00A729D8">
        <w:t>such equipment will be valued and dealt with in accordance with item 3.2(c) of this schedule.</w:t>
      </w:r>
    </w:p>
    <w:p w14:paraId="5CE91E52" w14:textId="77777777" w:rsidR="00B34554" w:rsidRPr="00A729D8" w:rsidRDefault="00B34554" w:rsidP="002106F9">
      <w:pPr>
        <w:pStyle w:val="ScheduleL2"/>
      </w:pPr>
      <w:r w:rsidRPr="00A729D8">
        <w:t>Owner reimbursement costs</w:t>
      </w:r>
    </w:p>
    <w:p w14:paraId="763D1F81" w14:textId="77777777" w:rsidR="007D6F13" w:rsidRPr="00A729D8" w:rsidRDefault="00B34554" w:rsidP="00121729">
      <w:pPr>
        <w:pStyle w:val="ListParagraph"/>
        <w:numPr>
          <w:ilvl w:val="0"/>
          <w:numId w:val="64"/>
        </w:numPr>
      </w:pPr>
      <w:r w:rsidRPr="00A729D8">
        <w:t>Subject to the conditions and restrictions set out in this item 3.4, owner reimbursements are eligible costs.</w:t>
      </w:r>
    </w:p>
    <w:p w14:paraId="21EE9166" w14:textId="77777777" w:rsidR="007D6F13" w:rsidRPr="00A729D8" w:rsidRDefault="00B34554" w:rsidP="00121729">
      <w:pPr>
        <w:pStyle w:val="ListParagraph"/>
        <w:numPr>
          <w:ilvl w:val="0"/>
          <w:numId w:val="64"/>
        </w:numPr>
      </w:pPr>
      <w:r w:rsidRPr="00A729D8">
        <w:t xml:space="preserve">Subject to the conditions set out in item 3.4(d) of this schedule, owner reimbursements are costs (including costs of damage) arising from actions approved by the NMG for the implementation of a </w:t>
      </w:r>
      <w:r w:rsidR="00E7297E" w:rsidRPr="00A729D8">
        <w:t>Response Plan</w:t>
      </w:r>
      <w:r w:rsidRPr="00A729D8">
        <w:t>.</w:t>
      </w:r>
    </w:p>
    <w:p w14:paraId="584CC182" w14:textId="77777777" w:rsidR="007D6F13" w:rsidRPr="00A729D8" w:rsidRDefault="00B34554" w:rsidP="00121729">
      <w:pPr>
        <w:pStyle w:val="ListParagraph"/>
        <w:numPr>
          <w:ilvl w:val="0"/>
          <w:numId w:val="64"/>
        </w:numPr>
      </w:pPr>
      <w:r w:rsidRPr="00A729D8">
        <w:t>Owner reimbursement costs could include:</w:t>
      </w:r>
    </w:p>
    <w:p w14:paraId="13A86EB2" w14:textId="77777777" w:rsidR="007D6F13" w:rsidRPr="00A729D8" w:rsidRDefault="00B34554" w:rsidP="00121729">
      <w:pPr>
        <w:pStyle w:val="ListParagraph"/>
        <w:numPr>
          <w:ilvl w:val="1"/>
          <w:numId w:val="64"/>
        </w:numPr>
      </w:pPr>
      <w:r w:rsidRPr="00A729D8">
        <w:lastRenderedPageBreak/>
        <w:t>direct eradication costs arising from actions undertaken as part of a national response to a pest or disease</w:t>
      </w:r>
    </w:p>
    <w:p w14:paraId="3FAB6DAB" w14:textId="77777777" w:rsidR="007D6F13" w:rsidRPr="00A729D8" w:rsidRDefault="00B34554" w:rsidP="00121729">
      <w:pPr>
        <w:pStyle w:val="ListParagraph"/>
        <w:numPr>
          <w:ilvl w:val="1"/>
          <w:numId w:val="64"/>
        </w:numPr>
      </w:pPr>
      <w:r w:rsidRPr="00A729D8">
        <w:t>direct costs arising from actions to prevent the spread of a pest or disease where the resulting impacts are predominantly relating to the environment</w:t>
      </w:r>
    </w:p>
    <w:p w14:paraId="2E9B0C25" w14:textId="77777777" w:rsidR="007D6F13" w:rsidRPr="00A729D8" w:rsidRDefault="00B34554" w:rsidP="00121729">
      <w:pPr>
        <w:pStyle w:val="ListParagraph"/>
        <w:numPr>
          <w:ilvl w:val="1"/>
          <w:numId w:val="64"/>
        </w:numPr>
      </w:pPr>
      <w:r w:rsidRPr="00A729D8">
        <w:t xml:space="preserve">the costs of property that has been destroyed as a result of actions undertaken as part of a response to an </w:t>
      </w:r>
      <w:r w:rsidR="00747D05" w:rsidRPr="00A729D8">
        <w:t>incident</w:t>
      </w:r>
      <w:r w:rsidRPr="00A729D8">
        <w:t xml:space="preserve"> of a pest or disease that predominantly affects the environment</w:t>
      </w:r>
    </w:p>
    <w:p w14:paraId="0D2DA4D0" w14:textId="77777777" w:rsidR="007D6F13" w:rsidRPr="00A729D8" w:rsidRDefault="00B34554" w:rsidP="00121729">
      <w:pPr>
        <w:pStyle w:val="ListParagraph"/>
        <w:numPr>
          <w:ilvl w:val="1"/>
          <w:numId w:val="64"/>
        </w:numPr>
      </w:pPr>
      <w:r w:rsidRPr="00A729D8">
        <w:t>costs arising from actions undertaken as part of a response, for example, additional pest control measures, special cleaning of machinery or equipment, slipway costs</w:t>
      </w:r>
    </w:p>
    <w:p w14:paraId="2B1869F9" w14:textId="77777777" w:rsidR="007D6F13" w:rsidRPr="00A729D8" w:rsidRDefault="00B34554" w:rsidP="00121729">
      <w:pPr>
        <w:pStyle w:val="ListParagraph"/>
        <w:numPr>
          <w:ilvl w:val="1"/>
          <w:numId w:val="64"/>
        </w:numPr>
      </w:pPr>
      <w:r w:rsidRPr="00A729D8">
        <w:t>direct costs arising, in relation to a native species that is</w:t>
      </w:r>
    </w:p>
    <w:p w14:paraId="62A647F4" w14:textId="77777777" w:rsidR="007D6F13" w:rsidRPr="00A729D8" w:rsidRDefault="00B34554" w:rsidP="00121729">
      <w:pPr>
        <w:pStyle w:val="ListParagraph"/>
        <w:numPr>
          <w:ilvl w:val="2"/>
          <w:numId w:val="64"/>
        </w:numPr>
      </w:pPr>
      <w:r w:rsidRPr="00A729D8">
        <w:t>directly threatened by the pest or disease subject to the national response; or</w:t>
      </w:r>
    </w:p>
    <w:p w14:paraId="202334F5" w14:textId="77777777" w:rsidR="007D6F13" w:rsidRPr="00A729D8" w:rsidRDefault="00B34554" w:rsidP="00121729">
      <w:pPr>
        <w:pStyle w:val="ListParagraph"/>
        <w:numPr>
          <w:ilvl w:val="2"/>
          <w:numId w:val="64"/>
        </w:numPr>
      </w:pPr>
      <w:r w:rsidRPr="00A729D8">
        <w:t>directly threatened as a result of actions undertaken as part of the response from:</w:t>
      </w:r>
    </w:p>
    <w:p w14:paraId="01B36244" w14:textId="77777777" w:rsidR="007D6F13" w:rsidRPr="00A729D8" w:rsidRDefault="007D6F13" w:rsidP="00840ECB">
      <w:pPr>
        <w:pStyle w:val="ListParagraph"/>
        <w:numPr>
          <w:ilvl w:val="3"/>
          <w:numId w:val="64"/>
        </w:numPr>
      </w:pPr>
      <w:r w:rsidRPr="00A729D8">
        <w:t>relocation</w:t>
      </w:r>
    </w:p>
    <w:p w14:paraId="59CD7436" w14:textId="77777777" w:rsidR="007D6F13" w:rsidRPr="00A729D8" w:rsidRDefault="00B34554" w:rsidP="00840ECB">
      <w:pPr>
        <w:pStyle w:val="ListParagraph"/>
        <w:numPr>
          <w:ilvl w:val="3"/>
          <w:numId w:val="64"/>
        </w:numPr>
      </w:pPr>
      <w:r w:rsidRPr="00A729D8">
        <w:t>housing</w:t>
      </w:r>
    </w:p>
    <w:p w14:paraId="39F02D96" w14:textId="77777777" w:rsidR="007D6F13" w:rsidRPr="00A729D8" w:rsidRDefault="00B34554" w:rsidP="00840ECB">
      <w:pPr>
        <w:pStyle w:val="ListParagraph"/>
        <w:numPr>
          <w:ilvl w:val="3"/>
          <w:numId w:val="64"/>
        </w:numPr>
      </w:pPr>
      <w:r w:rsidRPr="00A729D8">
        <w:t>breeding</w:t>
      </w:r>
    </w:p>
    <w:p w14:paraId="4E11A889" w14:textId="77777777" w:rsidR="007D6F13" w:rsidRPr="00A729D8" w:rsidRDefault="00B34554" w:rsidP="00840ECB">
      <w:pPr>
        <w:pStyle w:val="ListParagraph"/>
        <w:numPr>
          <w:ilvl w:val="3"/>
          <w:numId w:val="64"/>
        </w:numPr>
      </w:pPr>
      <w:r w:rsidRPr="00A729D8">
        <w:t>rehabilitation; or</w:t>
      </w:r>
    </w:p>
    <w:p w14:paraId="167B6FD5" w14:textId="77777777" w:rsidR="007D6F13" w:rsidRPr="00A729D8" w:rsidRDefault="00B34554" w:rsidP="00121729">
      <w:pPr>
        <w:pStyle w:val="ListParagraph"/>
        <w:numPr>
          <w:ilvl w:val="2"/>
          <w:numId w:val="64"/>
        </w:numPr>
      </w:pPr>
      <w:r w:rsidRPr="00A729D8">
        <w:t>other related actions</w:t>
      </w:r>
    </w:p>
    <w:p w14:paraId="187DEC9D" w14:textId="77777777" w:rsidR="00B34554" w:rsidRPr="00A729D8" w:rsidRDefault="00B34554" w:rsidP="002106F9">
      <w:pPr>
        <w:pStyle w:val="ListParagraph"/>
        <w:ind w:left="2520"/>
      </w:pPr>
      <w:r w:rsidRPr="00A729D8">
        <w:t xml:space="preserve">undertaken in relation to the native species, provided that the threat to the native species referred to in item 3.4(c)(v)(A) or (B) of this schedule was (wholly or partly) a justification for the NMG to regard the </w:t>
      </w:r>
      <w:r w:rsidR="00747D05" w:rsidRPr="00A729D8">
        <w:t>incident</w:t>
      </w:r>
      <w:r w:rsidRPr="00A729D8">
        <w:t xml:space="preserve"> of the pest or disease as being of national significance.</w:t>
      </w:r>
    </w:p>
    <w:p w14:paraId="31EAF949" w14:textId="77777777" w:rsidR="007D6F13" w:rsidRPr="00A729D8" w:rsidRDefault="00B34554" w:rsidP="00121729">
      <w:pPr>
        <w:pStyle w:val="ListParagraph"/>
        <w:numPr>
          <w:ilvl w:val="0"/>
          <w:numId w:val="64"/>
        </w:numPr>
      </w:pPr>
      <w:r w:rsidRPr="00A729D8">
        <w:t>Owner reimbursement costs will not include:</w:t>
      </w:r>
    </w:p>
    <w:p w14:paraId="1E6A2C7B" w14:textId="77777777" w:rsidR="007D6F13" w:rsidRPr="00A729D8" w:rsidRDefault="00B34554" w:rsidP="00121729">
      <w:pPr>
        <w:pStyle w:val="ListParagraph"/>
        <w:numPr>
          <w:ilvl w:val="1"/>
          <w:numId w:val="64"/>
        </w:numPr>
      </w:pPr>
      <w:r w:rsidRPr="00A729D8">
        <w:t>the actual cost of replacing species not included in item 3.4(c) of this schedule that have been destroyed for the purposes of actions undertaken as part of a national response to a pest or disease</w:t>
      </w:r>
    </w:p>
    <w:p w14:paraId="6A391EAE" w14:textId="77777777" w:rsidR="007D6F13" w:rsidRPr="00A729D8" w:rsidRDefault="00B34554" w:rsidP="00121729">
      <w:pPr>
        <w:pStyle w:val="ListParagraph"/>
        <w:numPr>
          <w:ilvl w:val="1"/>
          <w:numId w:val="64"/>
        </w:numPr>
      </w:pPr>
      <w:r w:rsidRPr="00A729D8">
        <w:t>costs (or any part of costs) where the owner, who would otherwise be entitled to owner reimbursements in accordance with this item 3.4, has been convicted of any offence which was or is directly related to actions undertaken as part of a national response</w:t>
      </w:r>
    </w:p>
    <w:p w14:paraId="2C5AFBAA" w14:textId="77777777" w:rsidR="00B34554" w:rsidRPr="00A729D8" w:rsidRDefault="00B34554" w:rsidP="00121729">
      <w:pPr>
        <w:pStyle w:val="ListParagraph"/>
        <w:numPr>
          <w:ilvl w:val="1"/>
          <w:numId w:val="64"/>
        </w:numPr>
      </w:pPr>
      <w:r w:rsidRPr="00A729D8">
        <w:t>costs that are attributable to</w:t>
      </w:r>
    </w:p>
    <w:p w14:paraId="3975654D" w14:textId="77777777" w:rsidR="00B34554" w:rsidRPr="00A729D8" w:rsidRDefault="00B34554" w:rsidP="00121729">
      <w:pPr>
        <w:pStyle w:val="ListParagraph"/>
        <w:numPr>
          <w:ilvl w:val="2"/>
          <w:numId w:val="64"/>
        </w:numPr>
      </w:pPr>
      <w:r w:rsidRPr="00A729D8">
        <w:t>loss of profits</w:t>
      </w:r>
    </w:p>
    <w:p w14:paraId="67BC0BD1" w14:textId="77777777" w:rsidR="00B34554" w:rsidRPr="00A729D8" w:rsidRDefault="00B34554" w:rsidP="00121729">
      <w:pPr>
        <w:pStyle w:val="ListParagraph"/>
        <w:numPr>
          <w:ilvl w:val="2"/>
          <w:numId w:val="64"/>
        </w:numPr>
      </w:pPr>
      <w:r w:rsidRPr="00A729D8">
        <w:t>loss occasioned by a breach of contract</w:t>
      </w:r>
    </w:p>
    <w:p w14:paraId="341E50C1" w14:textId="77777777" w:rsidR="00B34554" w:rsidRPr="00A729D8" w:rsidRDefault="00B34554" w:rsidP="00121729">
      <w:pPr>
        <w:pStyle w:val="ListParagraph"/>
        <w:numPr>
          <w:ilvl w:val="2"/>
          <w:numId w:val="64"/>
        </w:numPr>
      </w:pPr>
      <w:r w:rsidRPr="00A729D8">
        <w:t>loss of production; or</w:t>
      </w:r>
    </w:p>
    <w:p w14:paraId="0A0CD14F" w14:textId="3E0C1465" w:rsidR="007D6F13" w:rsidRPr="00A729D8" w:rsidRDefault="00B34554" w:rsidP="00121729">
      <w:pPr>
        <w:pStyle w:val="ListParagraph"/>
        <w:numPr>
          <w:ilvl w:val="2"/>
          <w:numId w:val="64"/>
        </w:numPr>
      </w:pPr>
      <w:r w:rsidRPr="00A729D8">
        <w:t>any other consequential loss whatsoever</w:t>
      </w:r>
    </w:p>
    <w:p w14:paraId="28C68B55" w14:textId="77777777" w:rsidR="00B34554" w:rsidRPr="00A729D8" w:rsidRDefault="00B34554" w:rsidP="00DF5957">
      <w:pPr>
        <w:pStyle w:val="ScheduleL2"/>
        <w:keepNext/>
        <w:ind w:left="788" w:hanging="431"/>
      </w:pPr>
      <w:r w:rsidRPr="00A729D8">
        <w:lastRenderedPageBreak/>
        <w:t>Audited statements of eligible costs</w:t>
      </w:r>
    </w:p>
    <w:p w14:paraId="63DC083B" w14:textId="77777777" w:rsidR="007D6F13" w:rsidRPr="00A729D8" w:rsidRDefault="00B34554" w:rsidP="00121729">
      <w:pPr>
        <w:pStyle w:val="ListParagraph"/>
        <w:numPr>
          <w:ilvl w:val="0"/>
          <w:numId w:val="65"/>
        </w:numPr>
      </w:pPr>
      <w:r w:rsidRPr="00A729D8">
        <w:t xml:space="preserve">To help it determine the </w:t>
      </w:r>
      <w:r w:rsidR="0061444A" w:rsidRPr="00A729D8">
        <w:t xml:space="preserve">affected </w:t>
      </w:r>
      <w:r w:rsidRPr="00A729D8">
        <w:t>parties’ respective contributions to eligible costs, the NMG may seek an audited statement of expenditure from any party at any time during, or on completion of, a national response.</w:t>
      </w:r>
    </w:p>
    <w:p w14:paraId="0B349CCC" w14:textId="77777777" w:rsidR="007D6F13" w:rsidRPr="00A729D8" w:rsidRDefault="00B34554" w:rsidP="00121729">
      <w:pPr>
        <w:pStyle w:val="ListParagraph"/>
        <w:numPr>
          <w:ilvl w:val="0"/>
          <w:numId w:val="65"/>
        </w:numPr>
      </w:pPr>
      <w:r w:rsidRPr="00A729D8">
        <w:t xml:space="preserve">Parties are required to maintain auditable records of eligible costs in accordance with clause </w:t>
      </w:r>
      <w:r w:rsidR="00E2651B" w:rsidRPr="00A729D8">
        <w:t>7</w:t>
      </w:r>
      <w:r w:rsidR="008D3F96" w:rsidRPr="00A729D8">
        <w:t>.</w:t>
      </w:r>
      <w:r w:rsidR="00E2651B" w:rsidRPr="00A729D8">
        <w:t>1</w:t>
      </w:r>
      <w:r w:rsidR="006733E2" w:rsidRPr="00A729D8">
        <w:t>.9</w:t>
      </w:r>
      <w:r w:rsidRPr="00A729D8">
        <w:t xml:space="preserve"> of this agreement.</w:t>
      </w:r>
    </w:p>
    <w:p w14:paraId="7C6FFE05" w14:textId="77777777" w:rsidR="007D6F13" w:rsidRPr="00A729D8" w:rsidRDefault="00B34554" w:rsidP="00121729">
      <w:pPr>
        <w:pStyle w:val="ListParagraph"/>
        <w:numPr>
          <w:ilvl w:val="0"/>
          <w:numId w:val="65"/>
        </w:numPr>
      </w:pPr>
      <w:r w:rsidRPr="00A729D8">
        <w:t>The reasonable costs incurred by:</w:t>
      </w:r>
    </w:p>
    <w:p w14:paraId="6F7103B2" w14:textId="77777777" w:rsidR="007D6F13" w:rsidRPr="00A729D8" w:rsidRDefault="00B34554" w:rsidP="00121729">
      <w:pPr>
        <w:pStyle w:val="ListParagraph"/>
        <w:numPr>
          <w:ilvl w:val="1"/>
          <w:numId w:val="65"/>
        </w:numPr>
      </w:pPr>
      <w:r w:rsidRPr="00A729D8">
        <w:t xml:space="preserve">the NMG in obtaining efficiency audits in accordance with clause </w:t>
      </w:r>
      <w:r w:rsidR="009949A4" w:rsidRPr="00A729D8">
        <w:t>7</w:t>
      </w:r>
      <w:r w:rsidR="006733E2" w:rsidRPr="00A729D8">
        <w:t>.12</w:t>
      </w:r>
      <w:r w:rsidRPr="00A729D8">
        <w:t xml:space="preserve"> of this agreement, and</w:t>
      </w:r>
      <w:r w:rsidR="006733E2" w:rsidRPr="00A729D8">
        <w:t xml:space="preserve"> in accordance with Attachment 4</w:t>
      </w:r>
      <w:r w:rsidRPr="00A729D8">
        <w:t>G to this schedule</w:t>
      </w:r>
    </w:p>
    <w:p w14:paraId="5DA7A37F" w14:textId="77777777" w:rsidR="007D6F13" w:rsidRPr="00A729D8" w:rsidRDefault="00B34554" w:rsidP="00121729">
      <w:pPr>
        <w:pStyle w:val="ListParagraph"/>
        <w:numPr>
          <w:ilvl w:val="1"/>
          <w:numId w:val="65"/>
        </w:numPr>
      </w:pPr>
      <w:r w:rsidRPr="00A729D8">
        <w:t>all affected parties in maintaining accounts and records as required in accordance wi</w:t>
      </w:r>
      <w:r w:rsidR="007D6F13" w:rsidRPr="00A729D8">
        <w:t xml:space="preserve">th clause </w:t>
      </w:r>
      <w:r w:rsidR="00E2651B" w:rsidRPr="00A729D8">
        <w:t>7</w:t>
      </w:r>
      <w:r w:rsidR="006733E2" w:rsidRPr="00A729D8">
        <w:t>.9</w:t>
      </w:r>
      <w:r w:rsidR="007D6F13" w:rsidRPr="00A729D8">
        <w:t xml:space="preserve"> of this agreement</w:t>
      </w:r>
    </w:p>
    <w:p w14:paraId="03382545" w14:textId="77777777" w:rsidR="007D6F13" w:rsidRPr="00A729D8" w:rsidRDefault="00B34554" w:rsidP="00121729">
      <w:pPr>
        <w:pStyle w:val="ListParagraph"/>
        <w:numPr>
          <w:ilvl w:val="1"/>
          <w:numId w:val="65"/>
        </w:numPr>
      </w:pPr>
      <w:r w:rsidRPr="00A729D8">
        <w:t>the notifying party when</w:t>
      </w:r>
    </w:p>
    <w:p w14:paraId="1BFA6B49" w14:textId="77777777" w:rsidR="007D6F13" w:rsidRPr="00A729D8" w:rsidRDefault="00B34554" w:rsidP="00121729">
      <w:pPr>
        <w:pStyle w:val="ListParagraph"/>
        <w:numPr>
          <w:ilvl w:val="2"/>
          <w:numId w:val="65"/>
        </w:numPr>
      </w:pPr>
      <w:r w:rsidRPr="00A729D8">
        <w:t xml:space="preserve">preparing the reports required in accordance with clause </w:t>
      </w:r>
      <w:r w:rsidR="009949A4" w:rsidRPr="00A729D8">
        <w:t>7</w:t>
      </w:r>
      <w:r w:rsidR="006733E2" w:rsidRPr="00A729D8">
        <w:t>.11</w:t>
      </w:r>
      <w:r w:rsidRPr="00A729D8">
        <w:t xml:space="preserve"> of this agreement, and</w:t>
      </w:r>
      <w:r w:rsidR="006733E2" w:rsidRPr="00A729D8">
        <w:t xml:space="preserve"> in accordance with Attachment 4</w:t>
      </w:r>
      <w:r w:rsidRPr="00A729D8">
        <w:t>G to this schedule</w:t>
      </w:r>
    </w:p>
    <w:p w14:paraId="70F2913B" w14:textId="77777777" w:rsidR="00B34554" w:rsidRPr="00A729D8" w:rsidRDefault="00B34554" w:rsidP="00121729">
      <w:pPr>
        <w:pStyle w:val="ListParagraph"/>
        <w:numPr>
          <w:ilvl w:val="2"/>
          <w:numId w:val="65"/>
        </w:numPr>
      </w:pPr>
      <w:r w:rsidRPr="00A729D8">
        <w:t>obtaining financial audits required in accordance with clause</w:t>
      </w:r>
      <w:r w:rsidR="009949A4" w:rsidRPr="00A729D8">
        <w:t xml:space="preserve"> 7</w:t>
      </w:r>
      <w:r w:rsidR="00327395" w:rsidRPr="00A729D8">
        <w:t>.12</w:t>
      </w:r>
      <w:r w:rsidRPr="00A729D8">
        <w:t xml:space="preserve"> of this agreement, and</w:t>
      </w:r>
      <w:r w:rsidR="00327395" w:rsidRPr="00A729D8">
        <w:t xml:space="preserve"> in accordance with Attachment 4</w:t>
      </w:r>
      <w:r w:rsidRPr="00A729D8">
        <w:t>G to this schedule are eligible costs.</w:t>
      </w:r>
    </w:p>
    <w:p w14:paraId="24BA80BE" w14:textId="77777777" w:rsidR="007D6F13" w:rsidRPr="00A729D8" w:rsidRDefault="007D6F13" w:rsidP="002106F9">
      <w:pPr>
        <w:spacing w:before="0" w:after="160" w:line="252" w:lineRule="auto"/>
        <w:rPr>
          <w:b/>
        </w:rPr>
      </w:pPr>
      <w:r w:rsidRPr="00A729D8">
        <w:br w:type="page"/>
      </w:r>
    </w:p>
    <w:p w14:paraId="21E9B9B0" w14:textId="77777777" w:rsidR="00B34554" w:rsidRPr="00A729D8" w:rsidRDefault="00F80AFF" w:rsidP="002106F9">
      <w:pPr>
        <w:pStyle w:val="Heading2"/>
        <w:keepNext w:val="0"/>
        <w:keepLines w:val="0"/>
        <w:numPr>
          <w:ilvl w:val="0"/>
          <w:numId w:val="0"/>
        </w:numPr>
      </w:pPr>
      <w:bookmarkStart w:id="273" w:name="_Toc7528159"/>
      <w:r w:rsidRPr="00A729D8">
        <w:lastRenderedPageBreak/>
        <w:t>Attachment 4</w:t>
      </w:r>
      <w:r w:rsidR="00B34554" w:rsidRPr="00A729D8">
        <w:t>A</w:t>
      </w:r>
      <w:r w:rsidR="00B34554" w:rsidRPr="00A729D8">
        <w:tab/>
        <w:t>Potential distribution of terrestrial pests and diseases</w:t>
      </w:r>
      <w:bookmarkEnd w:id="273"/>
    </w:p>
    <w:p w14:paraId="1E85656A" w14:textId="77777777" w:rsidR="00B34554" w:rsidRPr="00A729D8" w:rsidRDefault="00B34554" w:rsidP="00121729">
      <w:pPr>
        <w:pStyle w:val="ScheduleL1"/>
        <w:numPr>
          <w:ilvl w:val="0"/>
          <w:numId w:val="66"/>
        </w:numPr>
      </w:pPr>
      <w:r w:rsidRPr="00A729D8">
        <w:t>Introduction</w:t>
      </w:r>
    </w:p>
    <w:p w14:paraId="7E904A21" w14:textId="77777777" w:rsidR="00B34554" w:rsidRPr="00A729D8" w:rsidRDefault="00B34554" w:rsidP="00121729">
      <w:pPr>
        <w:pStyle w:val="ListParagraph"/>
        <w:numPr>
          <w:ilvl w:val="0"/>
          <w:numId w:val="67"/>
        </w:numPr>
      </w:pPr>
      <w:r w:rsidRPr="00A729D8">
        <w:t>This attachment provides guidance on the process to be undertaken in determining the total potential distribution of a terrestrial pest or disease.</w:t>
      </w:r>
    </w:p>
    <w:p w14:paraId="0078BDCB" w14:textId="77777777" w:rsidR="00B34554" w:rsidRPr="00A729D8" w:rsidRDefault="00B34554" w:rsidP="00121729">
      <w:pPr>
        <w:pStyle w:val="ListParagraph"/>
        <w:numPr>
          <w:ilvl w:val="0"/>
          <w:numId w:val="67"/>
        </w:numPr>
      </w:pPr>
      <w:r w:rsidRPr="00A729D8">
        <w:t>The potential distribution of a pest or disease represents the potentially affected area by that pest or disease.</w:t>
      </w:r>
    </w:p>
    <w:p w14:paraId="3315B424" w14:textId="77777777" w:rsidR="00B34554" w:rsidRPr="00A729D8" w:rsidRDefault="00B34554" w:rsidP="00121729">
      <w:pPr>
        <w:pStyle w:val="ListParagraph"/>
        <w:numPr>
          <w:ilvl w:val="0"/>
          <w:numId w:val="67"/>
        </w:numPr>
      </w:pPr>
      <w:r w:rsidRPr="00A729D8">
        <w:t>This determination relates to calculating, in accordance with clause 7.2(d) of the agreement, what percentage of the total potentially affected area is represented by a party’s jurisdiction which, in turn, leads to a determination of that party’s percentage of risk and, subsequently, the number of people affected.</w:t>
      </w:r>
    </w:p>
    <w:p w14:paraId="62ACA70A" w14:textId="77777777" w:rsidR="00B34554" w:rsidRPr="00A729D8" w:rsidRDefault="00B34554" w:rsidP="00121729">
      <w:pPr>
        <w:pStyle w:val="ListParagraph"/>
        <w:numPr>
          <w:ilvl w:val="0"/>
          <w:numId w:val="67"/>
        </w:numPr>
      </w:pPr>
      <w:r w:rsidRPr="00A729D8">
        <w:t>This process does not include analysis of potential impacts, as these are considered during the technical feasibility and benefit:cost analyses.</w:t>
      </w:r>
    </w:p>
    <w:p w14:paraId="1491076F" w14:textId="77777777" w:rsidR="00B34554" w:rsidRPr="00A729D8" w:rsidRDefault="00B34554" w:rsidP="002106F9">
      <w:pPr>
        <w:pStyle w:val="ScheduleL1"/>
      </w:pPr>
      <w:r w:rsidRPr="00A729D8">
        <w:t>Fundamental assumptions for determining the potential distribution of terrestrial pests and diseases</w:t>
      </w:r>
    </w:p>
    <w:p w14:paraId="1AD6F290" w14:textId="77777777" w:rsidR="00B34554" w:rsidRPr="00A729D8" w:rsidRDefault="00B34554" w:rsidP="002106F9">
      <w:r w:rsidRPr="00A729D8">
        <w:t>In modelling the potential distribution of a terrestrial pest or disease, the following</w:t>
      </w:r>
      <w:r w:rsidR="007D6F13" w:rsidRPr="00A729D8">
        <w:t xml:space="preserve"> fundamental assumptions apply:</w:t>
      </w:r>
    </w:p>
    <w:p w14:paraId="43242B7F" w14:textId="77777777" w:rsidR="00B34554" w:rsidRPr="00A729D8" w:rsidRDefault="00B34554" w:rsidP="00121729">
      <w:pPr>
        <w:pStyle w:val="ListParagraph"/>
        <w:numPr>
          <w:ilvl w:val="0"/>
          <w:numId w:val="68"/>
        </w:numPr>
      </w:pPr>
      <w:r w:rsidRPr="00A729D8">
        <w:t>The contemporary situation will continue. The analysis will not include a consideration of possible future factors affecting the projected potential distribution, for example, climate change or changes in management actions, such a</w:t>
      </w:r>
      <w:r w:rsidR="007D6F13" w:rsidRPr="00A729D8">
        <w:t>s an increase in land clearing.</w:t>
      </w:r>
    </w:p>
    <w:p w14:paraId="5DA56EEB" w14:textId="77777777" w:rsidR="00B34554" w:rsidRPr="00A729D8" w:rsidRDefault="00B34554" w:rsidP="00121729">
      <w:pPr>
        <w:pStyle w:val="ListParagraph"/>
        <w:numPr>
          <w:ilvl w:val="0"/>
          <w:numId w:val="68"/>
        </w:numPr>
      </w:pPr>
      <w:r w:rsidRPr="00A729D8">
        <w:t>The pest or disease has been evenly, aerially spread across the country. The analysis will not be concerned with the pathway by which a pest or disease might enter or has entered the country, nor with the potential rate of its spread, but will be concerned with the areas in which the pest or disease could survive and/or become e</w:t>
      </w:r>
      <w:r w:rsidR="007D6F13" w:rsidRPr="00A729D8">
        <w:t>stablished.</w:t>
      </w:r>
    </w:p>
    <w:p w14:paraId="2E9D07A9" w14:textId="77777777" w:rsidR="00B34554" w:rsidRPr="00A729D8" w:rsidRDefault="00B34554" w:rsidP="00121729">
      <w:pPr>
        <w:pStyle w:val="ListParagraph"/>
        <w:numPr>
          <w:ilvl w:val="0"/>
          <w:numId w:val="68"/>
        </w:numPr>
      </w:pPr>
      <w:r w:rsidRPr="00A729D8">
        <w:t>There are no physiological or biological barriers to reproduction (i.e. the model assesses the area of climate match suitability where the species could establish if it</w:t>
      </w:r>
      <w:r w:rsidR="007D6F13" w:rsidRPr="00A729D8">
        <w:t xml:space="preserve"> could successfully reproduce).</w:t>
      </w:r>
    </w:p>
    <w:p w14:paraId="593BB383" w14:textId="77777777" w:rsidR="00B34554" w:rsidRPr="00A729D8" w:rsidRDefault="00B34554" w:rsidP="00121729">
      <w:pPr>
        <w:pStyle w:val="ListParagraph"/>
        <w:numPr>
          <w:ilvl w:val="0"/>
          <w:numId w:val="68"/>
        </w:numPr>
      </w:pPr>
      <w:r w:rsidRPr="00A729D8">
        <w:t>A general situation is to be relied on. While discussion of exceptions is important, the advice to be provided would be for the general situation.</w:t>
      </w:r>
    </w:p>
    <w:p w14:paraId="62628F9D" w14:textId="77777777" w:rsidR="00B34554" w:rsidRPr="00A729D8" w:rsidRDefault="00B34554" w:rsidP="002106F9"/>
    <w:p w14:paraId="7A2C70DE" w14:textId="77777777" w:rsidR="00B34554" w:rsidRPr="00A729D8" w:rsidRDefault="00B34554" w:rsidP="002106F9">
      <w:pPr>
        <w:pStyle w:val="ScheduleL1"/>
      </w:pPr>
      <w:r w:rsidRPr="00A729D8">
        <w:t>Data requirements for determining the potential distribution of terrestrial pests and diseases</w:t>
      </w:r>
    </w:p>
    <w:p w14:paraId="15F2F800" w14:textId="77777777" w:rsidR="00B34554" w:rsidRPr="00A729D8" w:rsidRDefault="00B34554" w:rsidP="002106F9">
      <w:pPr>
        <w:pStyle w:val="ScheduleL2"/>
      </w:pPr>
      <w:r w:rsidRPr="00A729D8">
        <w:t>Introduction</w:t>
      </w:r>
    </w:p>
    <w:p w14:paraId="2520DB83" w14:textId="77777777" w:rsidR="00B34554" w:rsidRPr="00A729D8" w:rsidRDefault="00B34554" w:rsidP="002106F9">
      <w:r w:rsidRPr="00A729D8">
        <w:t>The information required, or which would be useful, for determining the potential distribution of terrestri</w:t>
      </w:r>
      <w:r w:rsidR="007D6F13" w:rsidRPr="00A729D8">
        <w:t>al pests and diseases includes:</w:t>
      </w:r>
    </w:p>
    <w:p w14:paraId="7891FD50" w14:textId="77777777" w:rsidR="00B34554" w:rsidRPr="00A729D8" w:rsidRDefault="00B34554" w:rsidP="00121729">
      <w:pPr>
        <w:pStyle w:val="ListParagraph"/>
        <w:numPr>
          <w:ilvl w:val="0"/>
          <w:numId w:val="69"/>
        </w:numPr>
      </w:pPr>
      <w:r w:rsidRPr="00A729D8">
        <w:t>essential data—a p</w:t>
      </w:r>
      <w:r w:rsidR="007D6F13" w:rsidRPr="00A729D8">
        <w:t>rerequisite for a determination</w:t>
      </w:r>
    </w:p>
    <w:p w14:paraId="13AFE645" w14:textId="77777777" w:rsidR="00B34554" w:rsidRPr="00A729D8" w:rsidRDefault="00B34554" w:rsidP="00121729">
      <w:pPr>
        <w:pStyle w:val="ListParagraph"/>
        <w:numPr>
          <w:ilvl w:val="0"/>
          <w:numId w:val="69"/>
        </w:numPr>
      </w:pPr>
      <w:r w:rsidRPr="00A729D8">
        <w:t>valuable data—which will assist with a determination</w:t>
      </w:r>
    </w:p>
    <w:p w14:paraId="5E219073" w14:textId="77777777" w:rsidR="00B34554" w:rsidRPr="00A729D8" w:rsidRDefault="00B34554" w:rsidP="00121729">
      <w:pPr>
        <w:pStyle w:val="ListParagraph"/>
        <w:numPr>
          <w:ilvl w:val="0"/>
          <w:numId w:val="69"/>
        </w:numPr>
      </w:pPr>
      <w:r w:rsidRPr="00A729D8">
        <w:t>secondary data—which will al</w:t>
      </w:r>
      <w:r w:rsidR="007D6F13" w:rsidRPr="00A729D8">
        <w:t>so assist with a determination.</w:t>
      </w:r>
    </w:p>
    <w:p w14:paraId="48AF6C23" w14:textId="77777777" w:rsidR="00B34554" w:rsidRPr="00A729D8" w:rsidRDefault="00B34554" w:rsidP="002106F9">
      <w:pPr>
        <w:pStyle w:val="ScheduleL2"/>
      </w:pPr>
      <w:r w:rsidRPr="00A729D8">
        <w:lastRenderedPageBreak/>
        <w:t>Essential data</w:t>
      </w:r>
    </w:p>
    <w:p w14:paraId="0CD444D3" w14:textId="77777777" w:rsidR="00B34554" w:rsidRPr="00A729D8" w:rsidRDefault="00B34554" w:rsidP="002106F9">
      <w:r w:rsidRPr="00A729D8">
        <w:t>At a minimum, a determination of the potential distribution of a terrestrial pest or disease requir</w:t>
      </w:r>
      <w:r w:rsidR="007D6F13" w:rsidRPr="00A729D8">
        <w:t>es the following types of data:</w:t>
      </w:r>
    </w:p>
    <w:p w14:paraId="4660F86B" w14:textId="77777777" w:rsidR="00B34554" w:rsidRPr="00A729D8" w:rsidRDefault="00B34554" w:rsidP="00121729">
      <w:pPr>
        <w:pStyle w:val="ListParagraph"/>
        <w:numPr>
          <w:ilvl w:val="0"/>
          <w:numId w:val="70"/>
        </w:numPr>
      </w:pPr>
      <w:r w:rsidRPr="00A729D8">
        <w:t>information to underpin a correct diagnosis/taxonomic identific</w:t>
      </w:r>
      <w:r w:rsidR="007D6F13" w:rsidRPr="00A729D8">
        <w:t>ation</w:t>
      </w:r>
    </w:p>
    <w:p w14:paraId="1126E954" w14:textId="77777777" w:rsidR="00B34554" w:rsidRPr="00A729D8" w:rsidRDefault="007D6F13" w:rsidP="00121729">
      <w:pPr>
        <w:pStyle w:val="ListParagraph"/>
        <w:numPr>
          <w:ilvl w:val="0"/>
          <w:numId w:val="70"/>
        </w:numPr>
      </w:pPr>
      <w:r w:rsidRPr="00A729D8">
        <w:t>climate data</w:t>
      </w:r>
    </w:p>
    <w:p w14:paraId="1CD207CC" w14:textId="77777777" w:rsidR="00B34554" w:rsidRPr="00A729D8" w:rsidRDefault="00B34554" w:rsidP="00121729">
      <w:pPr>
        <w:pStyle w:val="ListParagraph"/>
        <w:numPr>
          <w:ilvl w:val="0"/>
          <w:numId w:val="70"/>
        </w:numPr>
      </w:pPr>
      <w:r w:rsidRPr="00A729D8">
        <w:t>knowledge of overseas range, including native and invaded ranges.</w:t>
      </w:r>
    </w:p>
    <w:p w14:paraId="4081CD24" w14:textId="77777777" w:rsidR="00B34554" w:rsidRPr="00A729D8" w:rsidRDefault="00B34554" w:rsidP="002106F9">
      <w:pPr>
        <w:pStyle w:val="ScheduleL2"/>
      </w:pPr>
      <w:r w:rsidRPr="00A729D8">
        <w:t>Valuable data</w:t>
      </w:r>
    </w:p>
    <w:p w14:paraId="4EA7A21D" w14:textId="77777777" w:rsidR="00B34554" w:rsidRPr="00A729D8" w:rsidRDefault="00B34554" w:rsidP="002106F9">
      <w:r w:rsidRPr="00A729D8">
        <w:t xml:space="preserve">Data on the types and range of obligate hosts or habitats is valuable for determining the potential distribution of terrestrial pests and diseases, provided it is </w:t>
      </w:r>
      <w:r w:rsidR="007D6F13" w:rsidRPr="00A729D8">
        <w:t>available and incontrovertible.</w:t>
      </w:r>
    </w:p>
    <w:p w14:paraId="100309AE" w14:textId="77777777" w:rsidR="00B34554" w:rsidRPr="00A729D8" w:rsidRDefault="00B34554" w:rsidP="002106F9">
      <w:pPr>
        <w:pStyle w:val="ScheduleL2"/>
      </w:pPr>
      <w:r w:rsidRPr="00A729D8">
        <w:t>Secondary data</w:t>
      </w:r>
    </w:p>
    <w:p w14:paraId="5F971533" w14:textId="77777777" w:rsidR="00B34554" w:rsidRPr="00A729D8" w:rsidRDefault="00B34554" w:rsidP="00121729">
      <w:pPr>
        <w:pStyle w:val="ListParagraph"/>
        <w:numPr>
          <w:ilvl w:val="0"/>
          <w:numId w:val="71"/>
        </w:numPr>
      </w:pPr>
      <w:r w:rsidRPr="00A729D8">
        <w:t xml:space="preserve">Secondary data that directly affect the potential distribution of a pest or disease can be used to determine the potential area of infestation. Secondary data will only be used if all parties on the </w:t>
      </w:r>
      <w:r w:rsidR="00B20F48" w:rsidRPr="00A729D8">
        <w:t>NBMCC</w:t>
      </w:r>
      <w:r w:rsidRPr="00A729D8">
        <w:t xml:space="preserve"> agree and only if it is available, highly</w:t>
      </w:r>
      <w:r w:rsidR="007D6F13" w:rsidRPr="00A729D8">
        <w:t xml:space="preserve"> relevant and incontrovertible.</w:t>
      </w:r>
    </w:p>
    <w:p w14:paraId="4215402F" w14:textId="77777777" w:rsidR="00B34554" w:rsidRPr="00A729D8" w:rsidRDefault="00B34554" w:rsidP="00121729">
      <w:pPr>
        <w:pStyle w:val="ListParagraph"/>
        <w:numPr>
          <w:ilvl w:val="0"/>
          <w:numId w:val="71"/>
        </w:numPr>
      </w:pPr>
      <w:r w:rsidRPr="00A729D8">
        <w:t>Secondary data includes:</w:t>
      </w:r>
    </w:p>
    <w:p w14:paraId="444C322D" w14:textId="77777777" w:rsidR="00B34554" w:rsidRPr="00A729D8" w:rsidRDefault="00B34554" w:rsidP="00121729">
      <w:pPr>
        <w:pStyle w:val="ListParagraph"/>
        <w:numPr>
          <w:ilvl w:val="1"/>
          <w:numId w:val="71"/>
        </w:numPr>
      </w:pPr>
      <w:r w:rsidRPr="00A729D8">
        <w:t>insolation</w:t>
      </w:r>
    </w:p>
    <w:p w14:paraId="3A2DBFCA" w14:textId="77777777" w:rsidR="00B34554" w:rsidRPr="00A729D8" w:rsidRDefault="00B34554" w:rsidP="00121729">
      <w:pPr>
        <w:pStyle w:val="ListParagraph"/>
        <w:numPr>
          <w:ilvl w:val="1"/>
          <w:numId w:val="71"/>
        </w:numPr>
      </w:pPr>
      <w:r w:rsidRPr="00A729D8">
        <w:t>humidity</w:t>
      </w:r>
    </w:p>
    <w:p w14:paraId="08238140" w14:textId="77777777" w:rsidR="00B34554" w:rsidRPr="00A729D8" w:rsidRDefault="00B34554" w:rsidP="00121729">
      <w:pPr>
        <w:pStyle w:val="ListParagraph"/>
        <w:numPr>
          <w:ilvl w:val="1"/>
          <w:numId w:val="71"/>
        </w:numPr>
      </w:pPr>
      <w:r w:rsidRPr="00A729D8">
        <w:t>land use</w:t>
      </w:r>
    </w:p>
    <w:p w14:paraId="5522380F" w14:textId="77777777" w:rsidR="00B34554" w:rsidRPr="00A729D8" w:rsidRDefault="00B34554" w:rsidP="00121729">
      <w:pPr>
        <w:pStyle w:val="ListParagraph"/>
        <w:numPr>
          <w:ilvl w:val="1"/>
          <w:numId w:val="71"/>
        </w:numPr>
      </w:pPr>
      <w:r w:rsidRPr="00A729D8">
        <w:t>vegetation cover</w:t>
      </w:r>
    </w:p>
    <w:p w14:paraId="1CCD800D" w14:textId="77777777" w:rsidR="007D6F13" w:rsidRPr="00A729D8" w:rsidRDefault="00B34554" w:rsidP="00121729">
      <w:pPr>
        <w:pStyle w:val="ListParagraph"/>
        <w:numPr>
          <w:ilvl w:val="1"/>
          <w:numId w:val="71"/>
        </w:numPr>
      </w:pPr>
      <w:r w:rsidRPr="00A729D8">
        <w:t>soil type.</w:t>
      </w:r>
    </w:p>
    <w:p w14:paraId="12B63C15" w14:textId="77777777" w:rsidR="007D6F13" w:rsidRPr="00A729D8" w:rsidRDefault="00B34554" w:rsidP="00121729">
      <w:pPr>
        <w:pStyle w:val="ListParagraph"/>
        <w:numPr>
          <w:ilvl w:val="0"/>
          <w:numId w:val="71"/>
        </w:numPr>
      </w:pPr>
      <w:r w:rsidRPr="00A729D8">
        <w:t>If the secondary data are known to limit the extent of potential distribution they should be combined with the modelling output to increase the robustness of the conclusions on potential distribution.</w:t>
      </w:r>
    </w:p>
    <w:p w14:paraId="742B9E6F" w14:textId="77777777" w:rsidR="00B34554" w:rsidRPr="00A729D8" w:rsidRDefault="00B34554" w:rsidP="00121729">
      <w:pPr>
        <w:pStyle w:val="ListParagraph"/>
        <w:numPr>
          <w:ilvl w:val="0"/>
          <w:numId w:val="71"/>
        </w:numPr>
      </w:pPr>
      <w:r w:rsidRPr="00A729D8">
        <w:t xml:space="preserve">It may also be useful to analyse a number of factors to establish the timing of management actions and response arrangements (for example: it is important to undertake action within days for an </w:t>
      </w:r>
      <w:r w:rsidR="00747D05" w:rsidRPr="00A729D8">
        <w:t>incident</w:t>
      </w:r>
      <w:r w:rsidRPr="00A729D8">
        <w:t xml:space="preserve"> of eucalyptus rust, while action may be delayed for up to 18 months with the European house borer). Such factors may include:</w:t>
      </w:r>
    </w:p>
    <w:p w14:paraId="4869F9FE" w14:textId="77777777" w:rsidR="00B34554" w:rsidRPr="00A729D8" w:rsidRDefault="00B34554" w:rsidP="00121729">
      <w:pPr>
        <w:pStyle w:val="ListParagraph"/>
        <w:numPr>
          <w:ilvl w:val="1"/>
          <w:numId w:val="71"/>
        </w:numPr>
      </w:pPr>
      <w:r w:rsidRPr="00A729D8">
        <w:t>reproductive rates</w:t>
      </w:r>
    </w:p>
    <w:p w14:paraId="24A84DE2" w14:textId="77777777" w:rsidR="00B34554" w:rsidRPr="00A729D8" w:rsidRDefault="00B34554" w:rsidP="00121729">
      <w:pPr>
        <w:pStyle w:val="ListParagraph"/>
        <w:numPr>
          <w:ilvl w:val="1"/>
          <w:numId w:val="71"/>
        </w:numPr>
      </w:pPr>
      <w:r w:rsidRPr="00A729D8">
        <w:t>dispersal capacity/dispersal pathways</w:t>
      </w:r>
    </w:p>
    <w:p w14:paraId="67C08AF3" w14:textId="77777777" w:rsidR="00B34554" w:rsidRPr="00A729D8" w:rsidRDefault="00B34554" w:rsidP="00121729">
      <w:pPr>
        <w:pStyle w:val="ListParagraph"/>
        <w:numPr>
          <w:ilvl w:val="1"/>
          <w:numId w:val="71"/>
        </w:numPr>
      </w:pPr>
      <w:r w:rsidRPr="00A729D8">
        <w:t>vector dispersal</w:t>
      </w:r>
    </w:p>
    <w:p w14:paraId="609F80CA" w14:textId="77777777" w:rsidR="00B34554" w:rsidRPr="00A729D8" w:rsidRDefault="00B34554" w:rsidP="00121729">
      <w:pPr>
        <w:pStyle w:val="ListParagraph"/>
        <w:numPr>
          <w:ilvl w:val="1"/>
          <w:numId w:val="71"/>
        </w:numPr>
      </w:pPr>
      <w:r w:rsidRPr="00A729D8">
        <w:t>natural barriers</w:t>
      </w:r>
    </w:p>
    <w:p w14:paraId="621CB087" w14:textId="77777777" w:rsidR="00B34554" w:rsidRPr="00A729D8" w:rsidRDefault="00B34554" w:rsidP="00121729">
      <w:pPr>
        <w:pStyle w:val="ListParagraph"/>
        <w:numPr>
          <w:ilvl w:val="1"/>
          <w:numId w:val="71"/>
        </w:numPr>
      </w:pPr>
      <w:r w:rsidRPr="00A729D8">
        <w:t>the presence of natural enemies</w:t>
      </w:r>
      <w:r w:rsidR="007D6F13" w:rsidRPr="00A729D8">
        <w:t xml:space="preserve"> (</w:t>
      </w:r>
      <w:r w:rsidRPr="00A729D8">
        <w:t>predators/competitors/diseases/parasites) in Australia.</w:t>
      </w:r>
    </w:p>
    <w:p w14:paraId="01AD2182" w14:textId="77777777" w:rsidR="00B34554" w:rsidRPr="00A729D8" w:rsidRDefault="00B34554" w:rsidP="002106F9"/>
    <w:p w14:paraId="69EB325E" w14:textId="77777777" w:rsidR="00B34554" w:rsidRPr="00A729D8" w:rsidRDefault="00B34554" w:rsidP="0059788E">
      <w:pPr>
        <w:pStyle w:val="ScheduleL2"/>
        <w:keepNext/>
        <w:ind w:left="788" w:hanging="431"/>
      </w:pPr>
      <w:r w:rsidRPr="00A729D8">
        <w:lastRenderedPageBreak/>
        <w:t>Level of confidence in the essential data</w:t>
      </w:r>
    </w:p>
    <w:p w14:paraId="7EF83E8D" w14:textId="77777777" w:rsidR="005500D9" w:rsidRPr="00A729D8" w:rsidRDefault="00B34554" w:rsidP="00121729">
      <w:pPr>
        <w:pStyle w:val="ListParagraph"/>
        <w:numPr>
          <w:ilvl w:val="0"/>
          <w:numId w:val="72"/>
        </w:numPr>
      </w:pPr>
      <w:r w:rsidRPr="00A729D8">
        <w:t xml:space="preserve">When providing advice to the NMG, the </w:t>
      </w:r>
      <w:r w:rsidR="00B20F48" w:rsidRPr="00A729D8">
        <w:t>NBMCC</w:t>
      </w:r>
      <w:r w:rsidRPr="00A729D8">
        <w:t xml:space="preserve"> will need to advise on the level of confidence it has in the information that underpins the climate suitability map for the pest or disease species.</w:t>
      </w:r>
    </w:p>
    <w:p w14:paraId="1484A87A" w14:textId="77777777" w:rsidR="005500D9" w:rsidRPr="00A729D8" w:rsidRDefault="00B34554" w:rsidP="00121729">
      <w:pPr>
        <w:pStyle w:val="ListParagraph"/>
        <w:numPr>
          <w:ilvl w:val="0"/>
          <w:numId w:val="72"/>
        </w:numPr>
      </w:pPr>
      <w:r w:rsidRPr="00A729D8">
        <w:t>The most accurate data available should be used.</w:t>
      </w:r>
    </w:p>
    <w:p w14:paraId="40401089" w14:textId="77777777" w:rsidR="005500D9" w:rsidRPr="00A729D8" w:rsidRDefault="00B34554" w:rsidP="00121729">
      <w:pPr>
        <w:pStyle w:val="ListParagraph"/>
        <w:numPr>
          <w:ilvl w:val="0"/>
          <w:numId w:val="72"/>
        </w:numPr>
      </w:pPr>
      <w:r w:rsidRPr="00A729D8">
        <w:t>The best sources of data are:</w:t>
      </w:r>
    </w:p>
    <w:p w14:paraId="74C724CB" w14:textId="77777777" w:rsidR="0014448A" w:rsidRPr="00A729D8" w:rsidRDefault="00B34554" w:rsidP="00121729">
      <w:pPr>
        <w:pStyle w:val="ListParagraph"/>
        <w:numPr>
          <w:ilvl w:val="1"/>
          <w:numId w:val="72"/>
        </w:numPr>
      </w:pPr>
      <w:r w:rsidRPr="00A729D8">
        <w:t>published, peer-reviewed data</w:t>
      </w:r>
    </w:p>
    <w:p w14:paraId="16DB7576" w14:textId="77777777" w:rsidR="0014448A" w:rsidRPr="00A729D8" w:rsidRDefault="00B34554" w:rsidP="00121729">
      <w:pPr>
        <w:pStyle w:val="ListParagraph"/>
        <w:numPr>
          <w:ilvl w:val="1"/>
          <w:numId w:val="72"/>
        </w:numPr>
      </w:pPr>
      <w:r w:rsidRPr="00A729D8">
        <w:t>museum/herbarium/collection records and</w:t>
      </w:r>
    </w:p>
    <w:p w14:paraId="7C35F120" w14:textId="77777777" w:rsidR="0014448A" w:rsidRPr="00A729D8" w:rsidRDefault="00B34554" w:rsidP="00121729">
      <w:pPr>
        <w:pStyle w:val="ListParagraph"/>
        <w:numPr>
          <w:ilvl w:val="1"/>
          <w:numId w:val="72"/>
        </w:numPr>
      </w:pPr>
      <w:r w:rsidRPr="00A729D8">
        <w:t>expert advice, properly elicited.</w:t>
      </w:r>
    </w:p>
    <w:p w14:paraId="3C7060D8" w14:textId="77777777" w:rsidR="0014448A" w:rsidRPr="00A729D8" w:rsidRDefault="00B34554" w:rsidP="00121729">
      <w:pPr>
        <w:pStyle w:val="ListParagraph"/>
        <w:numPr>
          <w:ilvl w:val="0"/>
          <w:numId w:val="72"/>
        </w:numPr>
      </w:pPr>
      <w:r w:rsidRPr="00A729D8">
        <w:t>Other sources of data that may be available are:</w:t>
      </w:r>
    </w:p>
    <w:p w14:paraId="3E402100" w14:textId="77777777" w:rsidR="0014448A" w:rsidRPr="00A729D8" w:rsidRDefault="0014448A" w:rsidP="00121729">
      <w:pPr>
        <w:pStyle w:val="ListParagraph"/>
        <w:numPr>
          <w:ilvl w:val="1"/>
          <w:numId w:val="72"/>
        </w:numPr>
      </w:pPr>
      <w:r w:rsidRPr="00A729D8">
        <w:t>f</w:t>
      </w:r>
      <w:r w:rsidR="00B34554" w:rsidRPr="00A729D8">
        <w:t>ree databases (such as ECO, GBIF, PaDIL) and</w:t>
      </w:r>
    </w:p>
    <w:p w14:paraId="3D3ED15F" w14:textId="77777777" w:rsidR="0014448A" w:rsidRPr="00A729D8" w:rsidRDefault="00B34554" w:rsidP="00121729">
      <w:pPr>
        <w:pStyle w:val="ListParagraph"/>
        <w:numPr>
          <w:ilvl w:val="1"/>
          <w:numId w:val="72"/>
        </w:numPr>
      </w:pPr>
      <w:r w:rsidRPr="00A729D8">
        <w:t>internet sources, where the level of confidence ranks (highest to lowest):</w:t>
      </w:r>
    </w:p>
    <w:p w14:paraId="2DF2F138" w14:textId="77777777" w:rsidR="0014448A" w:rsidRPr="00A729D8" w:rsidRDefault="00B34554" w:rsidP="00121729">
      <w:pPr>
        <w:pStyle w:val="ListParagraph"/>
        <w:numPr>
          <w:ilvl w:val="2"/>
          <w:numId w:val="72"/>
        </w:numPr>
      </w:pPr>
      <w:r w:rsidRPr="00A729D8">
        <w:t>validated data sources with open access</w:t>
      </w:r>
    </w:p>
    <w:p w14:paraId="5C1CC4AA" w14:textId="77777777" w:rsidR="0014448A" w:rsidRPr="00A729D8" w:rsidRDefault="00B34554" w:rsidP="00121729">
      <w:pPr>
        <w:pStyle w:val="ListParagraph"/>
        <w:numPr>
          <w:ilvl w:val="2"/>
          <w:numId w:val="72"/>
        </w:numPr>
      </w:pPr>
      <w:r w:rsidRPr="00A729D8">
        <w:t>validated data sources without open access</w:t>
      </w:r>
    </w:p>
    <w:p w14:paraId="56B186FF" w14:textId="77777777" w:rsidR="0014448A" w:rsidRPr="00A729D8" w:rsidRDefault="00B34554" w:rsidP="00121729">
      <w:pPr>
        <w:pStyle w:val="ListParagraph"/>
        <w:numPr>
          <w:ilvl w:val="2"/>
          <w:numId w:val="72"/>
        </w:numPr>
      </w:pPr>
      <w:r w:rsidRPr="00A729D8">
        <w:t>survey data and</w:t>
      </w:r>
    </w:p>
    <w:p w14:paraId="7394CB49" w14:textId="77777777" w:rsidR="0014448A" w:rsidRPr="00A729D8" w:rsidRDefault="00B34554" w:rsidP="00121729">
      <w:pPr>
        <w:pStyle w:val="ListParagraph"/>
        <w:numPr>
          <w:ilvl w:val="2"/>
          <w:numId w:val="72"/>
        </w:numPr>
      </w:pPr>
      <w:r w:rsidRPr="00A729D8">
        <w:t>open access (e.g. a google search).</w:t>
      </w:r>
    </w:p>
    <w:p w14:paraId="2E47A9E1" w14:textId="77777777" w:rsidR="0014448A" w:rsidRPr="00A729D8" w:rsidRDefault="00B34554" w:rsidP="00121729">
      <w:pPr>
        <w:pStyle w:val="ListParagraph"/>
        <w:numPr>
          <w:ilvl w:val="0"/>
          <w:numId w:val="72"/>
        </w:numPr>
      </w:pPr>
      <w:r w:rsidRPr="00A729D8">
        <w:t>Where data are not validated, these sources should be checked and validated where possible. The data sources listed in item 3.5(d) of this attachment should be assessed according to their confidence ratings (see table in item 3.5(h) of this attachment). Assessments of survey data should consider the methodology used. If the methodology is not available, a low confidence rating should be assigned to these data. Surveys that follow international standards, such as those outlined in ISPM-6 (for plant pests and diseases) or OIE reporting standards (for animal Pests and diseases) should be assigned a higher confidence rating.</w:t>
      </w:r>
    </w:p>
    <w:p w14:paraId="0E4CE80B" w14:textId="7077312B" w:rsidR="0014448A" w:rsidRPr="00A729D8" w:rsidRDefault="00B34554" w:rsidP="00121729">
      <w:pPr>
        <w:pStyle w:val="ListParagraph"/>
        <w:numPr>
          <w:ilvl w:val="0"/>
          <w:numId w:val="72"/>
        </w:numPr>
      </w:pPr>
      <w:r w:rsidRPr="00A729D8">
        <w:t xml:space="preserve">Surrogate species (closely related species) information should not be used </w:t>
      </w:r>
      <w:r w:rsidR="00C34774" w:rsidRPr="00A729D8">
        <w:t xml:space="preserve">where </w:t>
      </w:r>
      <w:r w:rsidRPr="00A729D8">
        <w:t>there is no direct correlation between surrogates and the actual pest/disease species.</w:t>
      </w:r>
    </w:p>
    <w:p w14:paraId="376EB687" w14:textId="38FFA2AB" w:rsidR="0014448A" w:rsidRPr="00A729D8" w:rsidRDefault="00B34554" w:rsidP="00121729">
      <w:pPr>
        <w:pStyle w:val="ListParagraph"/>
        <w:numPr>
          <w:ilvl w:val="0"/>
          <w:numId w:val="72"/>
        </w:numPr>
      </w:pPr>
      <w:r w:rsidRPr="00A729D8">
        <w:t xml:space="preserve">Formal and informal networks of experts are an essential source of information and data. These networks should be encouraged and communicated </w:t>
      </w:r>
      <w:r w:rsidR="005862C0" w:rsidRPr="00A729D8">
        <w:t xml:space="preserve">with </w:t>
      </w:r>
      <w:r w:rsidRPr="00A729D8">
        <w:t>to ensure timely and effective decision-making.</w:t>
      </w:r>
    </w:p>
    <w:p w14:paraId="2D5D2C4A" w14:textId="77777777" w:rsidR="00B34554" w:rsidRPr="00A729D8" w:rsidRDefault="00B34554" w:rsidP="00121729">
      <w:pPr>
        <w:pStyle w:val="ListParagraph"/>
        <w:numPr>
          <w:ilvl w:val="0"/>
          <w:numId w:val="72"/>
        </w:numPr>
      </w:pPr>
      <w:r w:rsidRPr="00A729D8">
        <w:t>A table outlining the confidence rating of different data sources is provided below.</w:t>
      </w:r>
    </w:p>
    <w:p w14:paraId="6A78E527" w14:textId="77777777" w:rsidR="0014448A" w:rsidRPr="00A729D8" w:rsidRDefault="0014448A" w:rsidP="002106F9"/>
    <w:tbl>
      <w:tblPr>
        <w:tblStyle w:val="TableGrid"/>
        <w:tblW w:w="0" w:type="auto"/>
        <w:tblInd w:w="1129" w:type="dxa"/>
        <w:tblLook w:val="04A0" w:firstRow="1" w:lastRow="0" w:firstColumn="1" w:lastColumn="0" w:noHBand="0" w:noVBand="1"/>
      </w:tblPr>
      <w:tblGrid>
        <w:gridCol w:w="5812"/>
        <w:gridCol w:w="2075"/>
      </w:tblGrid>
      <w:tr w:rsidR="0014448A" w:rsidRPr="00A729D8" w14:paraId="5ED9BEBC" w14:textId="77777777" w:rsidTr="0014448A">
        <w:trPr>
          <w:trHeight w:val="283"/>
        </w:trPr>
        <w:tc>
          <w:tcPr>
            <w:tcW w:w="5812" w:type="dxa"/>
          </w:tcPr>
          <w:p w14:paraId="3AFBF3F1" w14:textId="77777777" w:rsidR="0014448A" w:rsidRPr="00A729D8" w:rsidRDefault="0014448A" w:rsidP="002106F9">
            <w:pPr>
              <w:spacing w:before="0" w:after="0"/>
              <w:rPr>
                <w:b/>
              </w:rPr>
            </w:pPr>
            <w:r w:rsidRPr="00A729D8">
              <w:rPr>
                <w:b/>
              </w:rPr>
              <w:t>Document Type or Information Source</w:t>
            </w:r>
          </w:p>
        </w:tc>
        <w:tc>
          <w:tcPr>
            <w:tcW w:w="2075" w:type="dxa"/>
          </w:tcPr>
          <w:p w14:paraId="6ECA382B" w14:textId="77777777" w:rsidR="0014448A" w:rsidRPr="00A729D8" w:rsidRDefault="0014448A" w:rsidP="002106F9">
            <w:pPr>
              <w:spacing w:before="0" w:after="0"/>
              <w:rPr>
                <w:b/>
              </w:rPr>
            </w:pPr>
            <w:r w:rsidRPr="00A729D8">
              <w:rPr>
                <w:b/>
              </w:rPr>
              <w:t>Confidence Rating</w:t>
            </w:r>
          </w:p>
        </w:tc>
      </w:tr>
      <w:tr w:rsidR="0014448A" w:rsidRPr="00A729D8" w14:paraId="192C109B" w14:textId="77777777" w:rsidTr="0014448A">
        <w:trPr>
          <w:trHeight w:val="283"/>
        </w:trPr>
        <w:tc>
          <w:tcPr>
            <w:tcW w:w="5812" w:type="dxa"/>
          </w:tcPr>
          <w:p w14:paraId="6277088A" w14:textId="77777777" w:rsidR="0014448A" w:rsidRPr="00A729D8" w:rsidRDefault="0014448A" w:rsidP="00121729">
            <w:pPr>
              <w:pStyle w:val="ListParagraph"/>
              <w:numPr>
                <w:ilvl w:val="0"/>
                <w:numId w:val="74"/>
              </w:numPr>
              <w:spacing w:before="0" w:after="0"/>
            </w:pPr>
            <w:r w:rsidRPr="00A729D8">
              <w:t>Peer-reviewed scientific paper</w:t>
            </w:r>
          </w:p>
        </w:tc>
        <w:tc>
          <w:tcPr>
            <w:tcW w:w="2075" w:type="dxa"/>
          </w:tcPr>
          <w:p w14:paraId="0B8F7299" w14:textId="77777777" w:rsidR="0014448A" w:rsidRPr="00A729D8" w:rsidRDefault="0014448A" w:rsidP="002106F9">
            <w:pPr>
              <w:spacing w:before="0" w:after="0"/>
            </w:pPr>
            <w:r w:rsidRPr="00A729D8">
              <w:t>High</w:t>
            </w:r>
          </w:p>
        </w:tc>
      </w:tr>
      <w:tr w:rsidR="0014448A" w:rsidRPr="00A729D8" w14:paraId="5E94CA54" w14:textId="77777777" w:rsidTr="0014448A">
        <w:trPr>
          <w:trHeight w:val="283"/>
        </w:trPr>
        <w:tc>
          <w:tcPr>
            <w:tcW w:w="5812" w:type="dxa"/>
          </w:tcPr>
          <w:p w14:paraId="4A85C68D" w14:textId="77777777" w:rsidR="0014448A" w:rsidRPr="00A729D8" w:rsidRDefault="0014448A" w:rsidP="00121729">
            <w:pPr>
              <w:pStyle w:val="ListParagraph"/>
              <w:numPr>
                <w:ilvl w:val="0"/>
                <w:numId w:val="73"/>
              </w:numPr>
            </w:pPr>
            <w:r w:rsidRPr="00A729D8">
              <w:t>High quality science or plant specific books (e.g. floras), non-peer reviewed scientific paper (e.g. conference proceedings),</w:t>
            </w:r>
          </w:p>
          <w:p w14:paraId="091EEA90" w14:textId="77777777" w:rsidR="0014448A" w:rsidRPr="00A729D8" w:rsidRDefault="0014448A" w:rsidP="00121729">
            <w:pPr>
              <w:pStyle w:val="ListParagraph"/>
              <w:numPr>
                <w:ilvl w:val="0"/>
                <w:numId w:val="73"/>
              </w:numPr>
            </w:pPr>
            <w:r w:rsidRPr="00A729D8">
              <w:lastRenderedPageBreak/>
              <w:t>Personal communications from experts (e.g. PhD, or higher degree on species being assessed),</w:t>
            </w:r>
          </w:p>
          <w:p w14:paraId="021959E7" w14:textId="77777777" w:rsidR="0014448A" w:rsidRPr="00A729D8" w:rsidRDefault="0014448A" w:rsidP="00121729">
            <w:pPr>
              <w:pStyle w:val="ListParagraph"/>
              <w:numPr>
                <w:ilvl w:val="0"/>
                <w:numId w:val="73"/>
              </w:numPr>
            </w:pPr>
            <w:r w:rsidRPr="00A729D8">
              <w:t>Unpublished reports from highly reliable sources (e.g. commercial reports or honours theses, etc.),</w:t>
            </w:r>
          </w:p>
          <w:p w14:paraId="219AA040" w14:textId="77777777" w:rsidR="0014448A" w:rsidRPr="00A729D8" w:rsidRDefault="0014448A" w:rsidP="00121729">
            <w:pPr>
              <w:pStyle w:val="ListParagraph"/>
              <w:numPr>
                <w:ilvl w:val="0"/>
                <w:numId w:val="73"/>
              </w:numPr>
            </w:pPr>
            <w:r w:rsidRPr="00A729D8">
              <w:t>Internet information from Herbaria data, or</w:t>
            </w:r>
          </w:p>
          <w:p w14:paraId="44028CF8" w14:textId="77777777" w:rsidR="0014448A" w:rsidRPr="00A729D8" w:rsidRDefault="0014448A" w:rsidP="00121729">
            <w:pPr>
              <w:pStyle w:val="ListParagraph"/>
              <w:numPr>
                <w:ilvl w:val="0"/>
                <w:numId w:val="73"/>
              </w:numPr>
            </w:pPr>
            <w:r w:rsidRPr="00A729D8">
              <w:t>Internet information that cites sources from the ‘Medium/High’ category above.</w:t>
            </w:r>
            <w:r w:rsidRPr="00A729D8">
              <w:tab/>
            </w:r>
          </w:p>
          <w:p w14:paraId="30E6EF25" w14:textId="77777777" w:rsidR="0014448A" w:rsidRPr="00A729D8" w:rsidRDefault="0014448A" w:rsidP="002106F9">
            <w:pPr>
              <w:spacing w:before="0" w:after="0"/>
            </w:pPr>
          </w:p>
        </w:tc>
        <w:tc>
          <w:tcPr>
            <w:tcW w:w="2075" w:type="dxa"/>
          </w:tcPr>
          <w:p w14:paraId="26712B3F" w14:textId="77777777" w:rsidR="0014448A" w:rsidRPr="00A729D8" w:rsidRDefault="0014448A" w:rsidP="002106F9">
            <w:pPr>
              <w:spacing w:before="0" w:after="0"/>
            </w:pPr>
            <w:r w:rsidRPr="00A729D8">
              <w:lastRenderedPageBreak/>
              <w:t>Medium/ High</w:t>
            </w:r>
          </w:p>
        </w:tc>
      </w:tr>
      <w:tr w:rsidR="0014448A" w:rsidRPr="00A729D8" w14:paraId="5CA298C1" w14:textId="77777777" w:rsidTr="0014448A">
        <w:trPr>
          <w:trHeight w:val="283"/>
        </w:trPr>
        <w:tc>
          <w:tcPr>
            <w:tcW w:w="5812" w:type="dxa"/>
          </w:tcPr>
          <w:p w14:paraId="0D22EC6F" w14:textId="77777777" w:rsidR="0014448A" w:rsidRPr="00A729D8" w:rsidRDefault="0014448A" w:rsidP="00121729">
            <w:pPr>
              <w:pStyle w:val="ListParagraph"/>
              <w:numPr>
                <w:ilvl w:val="0"/>
                <w:numId w:val="75"/>
              </w:numPr>
            </w:pPr>
            <w:r w:rsidRPr="00A729D8">
              <w:t>Personal communications from people with experience with the species under assessment,</w:t>
            </w:r>
          </w:p>
          <w:p w14:paraId="0FD511BA" w14:textId="77777777" w:rsidR="0014448A" w:rsidRPr="00A729D8" w:rsidRDefault="0014448A" w:rsidP="00121729">
            <w:pPr>
              <w:pStyle w:val="ListParagraph"/>
              <w:numPr>
                <w:ilvl w:val="0"/>
                <w:numId w:val="75"/>
              </w:numPr>
            </w:pPr>
            <w:r w:rsidRPr="00A729D8">
              <w:t>Information from general plant books (e.g. Encyclopaedia Botanica, Gardening Flora, etc.),</w:t>
            </w:r>
          </w:p>
          <w:p w14:paraId="7C15D745" w14:textId="77777777" w:rsidR="0014448A" w:rsidRPr="00A729D8" w:rsidRDefault="0014448A" w:rsidP="00121729">
            <w:pPr>
              <w:pStyle w:val="ListParagraph"/>
              <w:numPr>
                <w:ilvl w:val="0"/>
                <w:numId w:val="75"/>
              </w:numPr>
            </w:pPr>
            <w:r w:rsidRPr="00A729D8">
              <w:t>Unpublished reports from uncertain sources,</w:t>
            </w:r>
          </w:p>
          <w:p w14:paraId="6CF075F0" w14:textId="77777777" w:rsidR="0014448A" w:rsidRPr="00A729D8" w:rsidRDefault="0014448A" w:rsidP="00121729">
            <w:pPr>
              <w:pStyle w:val="ListParagraph"/>
              <w:numPr>
                <w:ilvl w:val="0"/>
                <w:numId w:val="75"/>
              </w:numPr>
            </w:pPr>
            <w:r w:rsidRPr="00A729D8">
              <w:t>Internet information that cites sources from the ‘Medium’ category, or</w:t>
            </w:r>
          </w:p>
          <w:p w14:paraId="5FE96C66" w14:textId="77777777" w:rsidR="0014448A" w:rsidRPr="00A729D8" w:rsidRDefault="0014448A" w:rsidP="00121729">
            <w:pPr>
              <w:pStyle w:val="ListParagraph"/>
              <w:numPr>
                <w:ilvl w:val="0"/>
                <w:numId w:val="75"/>
              </w:numPr>
            </w:pPr>
            <w:r w:rsidRPr="00A729D8">
              <w:t>Internet information from government or university websites (e.g. Australian state governments, or the USDA)</w:t>
            </w:r>
          </w:p>
        </w:tc>
        <w:tc>
          <w:tcPr>
            <w:tcW w:w="2075" w:type="dxa"/>
          </w:tcPr>
          <w:p w14:paraId="18F07AC5" w14:textId="77777777" w:rsidR="0014448A" w:rsidRPr="00A729D8" w:rsidRDefault="0014448A" w:rsidP="002106F9">
            <w:pPr>
              <w:spacing w:before="0" w:after="0"/>
            </w:pPr>
            <w:r w:rsidRPr="00A729D8">
              <w:t>Medium</w:t>
            </w:r>
          </w:p>
        </w:tc>
      </w:tr>
      <w:tr w:rsidR="0014448A" w:rsidRPr="00A729D8" w14:paraId="4537E896" w14:textId="77777777" w:rsidTr="0014448A">
        <w:trPr>
          <w:trHeight w:val="283"/>
        </w:trPr>
        <w:tc>
          <w:tcPr>
            <w:tcW w:w="5812" w:type="dxa"/>
          </w:tcPr>
          <w:p w14:paraId="64CAFF00" w14:textId="77777777" w:rsidR="0014448A" w:rsidRPr="00A729D8" w:rsidRDefault="0014448A" w:rsidP="00121729">
            <w:pPr>
              <w:pStyle w:val="ListParagraph"/>
              <w:numPr>
                <w:ilvl w:val="0"/>
                <w:numId w:val="76"/>
              </w:numPr>
            </w:pPr>
            <w:r w:rsidRPr="00A729D8">
              <w:t>Anecdotal data from non-experts,</w:t>
            </w:r>
          </w:p>
          <w:p w14:paraId="5AA58980" w14:textId="77777777" w:rsidR="0014448A" w:rsidRPr="00A729D8" w:rsidRDefault="0014448A" w:rsidP="00121729">
            <w:pPr>
              <w:pStyle w:val="ListParagraph"/>
              <w:numPr>
                <w:ilvl w:val="0"/>
                <w:numId w:val="76"/>
              </w:numPr>
            </w:pPr>
            <w:r w:rsidRPr="00A729D8">
              <w:t>Internet information that cites anecdotal, non-expert sources,</w:t>
            </w:r>
          </w:p>
          <w:p w14:paraId="1B98DFEC" w14:textId="77777777" w:rsidR="0014448A" w:rsidRPr="00A729D8" w:rsidRDefault="0014448A" w:rsidP="00121729">
            <w:pPr>
              <w:pStyle w:val="ListParagraph"/>
              <w:numPr>
                <w:ilvl w:val="0"/>
                <w:numId w:val="76"/>
              </w:numPr>
            </w:pPr>
            <w:r w:rsidRPr="00A729D8">
              <w:t>Internet information from uncertain/uncited sources,</w:t>
            </w:r>
          </w:p>
          <w:p w14:paraId="52D33434" w14:textId="77777777" w:rsidR="0014448A" w:rsidRPr="00A729D8" w:rsidRDefault="0014448A" w:rsidP="00121729">
            <w:pPr>
              <w:pStyle w:val="ListParagraph"/>
              <w:numPr>
                <w:ilvl w:val="0"/>
                <w:numId w:val="76"/>
              </w:numPr>
            </w:pPr>
            <w:r w:rsidRPr="00A729D8">
              <w:t>Horticultural, nursery notes or general web pages.</w:t>
            </w:r>
            <w:r w:rsidRPr="00A729D8">
              <w:tab/>
            </w:r>
          </w:p>
        </w:tc>
        <w:tc>
          <w:tcPr>
            <w:tcW w:w="2075" w:type="dxa"/>
          </w:tcPr>
          <w:p w14:paraId="0B869612" w14:textId="77777777" w:rsidR="0014448A" w:rsidRPr="00A729D8" w:rsidRDefault="0014448A" w:rsidP="002106F9">
            <w:pPr>
              <w:spacing w:before="0" w:after="0"/>
            </w:pPr>
            <w:r w:rsidRPr="00A729D8">
              <w:t>Medium/ Low</w:t>
            </w:r>
          </w:p>
        </w:tc>
      </w:tr>
      <w:tr w:rsidR="0014448A" w:rsidRPr="00A729D8" w14:paraId="1686638D" w14:textId="77777777" w:rsidTr="0014448A">
        <w:trPr>
          <w:trHeight w:val="283"/>
        </w:trPr>
        <w:tc>
          <w:tcPr>
            <w:tcW w:w="5812" w:type="dxa"/>
          </w:tcPr>
          <w:p w14:paraId="0CE2973D" w14:textId="77777777" w:rsidR="0014448A" w:rsidRPr="00A729D8" w:rsidRDefault="0014448A" w:rsidP="00121729">
            <w:pPr>
              <w:pStyle w:val="ListParagraph"/>
              <w:numPr>
                <w:ilvl w:val="0"/>
                <w:numId w:val="76"/>
              </w:numPr>
            </w:pPr>
            <w:r w:rsidRPr="00A729D8">
              <w:t>No data or reference material available.</w:t>
            </w:r>
            <w:r w:rsidRPr="00A729D8">
              <w:tab/>
            </w:r>
          </w:p>
        </w:tc>
        <w:tc>
          <w:tcPr>
            <w:tcW w:w="2075" w:type="dxa"/>
          </w:tcPr>
          <w:p w14:paraId="6BD0C358" w14:textId="77777777" w:rsidR="0014448A" w:rsidRPr="00A729D8" w:rsidRDefault="0014448A" w:rsidP="002106F9">
            <w:r w:rsidRPr="00A729D8">
              <w:t>Low</w:t>
            </w:r>
          </w:p>
          <w:p w14:paraId="42E2EC0C" w14:textId="77777777" w:rsidR="0014448A" w:rsidRPr="00A729D8" w:rsidRDefault="0014448A" w:rsidP="002106F9">
            <w:pPr>
              <w:spacing w:before="0" w:after="0"/>
            </w:pPr>
          </w:p>
        </w:tc>
      </w:tr>
    </w:tbl>
    <w:p w14:paraId="3CA5CDDF" w14:textId="77777777" w:rsidR="00B34554" w:rsidRPr="00A729D8" w:rsidRDefault="00B34554" w:rsidP="002106F9">
      <w:pPr>
        <w:ind w:left="1440"/>
        <w:rPr>
          <w:i/>
        </w:rPr>
      </w:pPr>
      <w:r w:rsidRPr="00A729D8">
        <w:rPr>
          <w:i/>
        </w:rPr>
        <w:t>Source: Department of Primary Industries, Victoria.</w:t>
      </w:r>
    </w:p>
    <w:p w14:paraId="3FD7BFF3" w14:textId="77777777" w:rsidR="00B34554" w:rsidRPr="00A729D8" w:rsidRDefault="00B34554" w:rsidP="00121729">
      <w:pPr>
        <w:pStyle w:val="ListParagraph"/>
        <w:numPr>
          <w:ilvl w:val="0"/>
          <w:numId w:val="72"/>
        </w:numPr>
      </w:pPr>
      <w:r w:rsidRPr="00A729D8">
        <w:t>There is a risk that increasing the acceptable level of confidence in the quality of the data will reduce the quality of a prediction by reducing representativeness. Sensitivity analysis is needed to determine the influence of poor quality data. Effort can then be directed to verifying influential, poor quality data.</w:t>
      </w:r>
    </w:p>
    <w:p w14:paraId="52EBA23F" w14:textId="77777777" w:rsidR="00B34554" w:rsidRPr="00A729D8" w:rsidRDefault="00B34554" w:rsidP="002106F9">
      <w:pPr>
        <w:pStyle w:val="ScheduleL2"/>
      </w:pPr>
      <w:r w:rsidRPr="00A729D8">
        <w:t>Insufficient data</w:t>
      </w:r>
    </w:p>
    <w:p w14:paraId="34BC23FA" w14:textId="77777777" w:rsidR="00B34554" w:rsidRPr="00A729D8" w:rsidRDefault="00B34554" w:rsidP="002106F9">
      <w:r w:rsidRPr="00A729D8">
        <w:t xml:space="preserve">In the event that there is insufficient data on a particular pest or disease to model the potential range, the </w:t>
      </w:r>
      <w:r w:rsidR="00B20F48" w:rsidRPr="00A729D8">
        <w:t>NBMCC</w:t>
      </w:r>
      <w:r w:rsidRPr="00A729D8">
        <w:t xml:space="preserve"> should provide advice to the NMG on its best estimate.</w:t>
      </w:r>
    </w:p>
    <w:p w14:paraId="30BD0689" w14:textId="77777777" w:rsidR="00B34554" w:rsidRPr="00A729D8" w:rsidRDefault="00B34554" w:rsidP="00790953">
      <w:pPr>
        <w:pStyle w:val="ScheduleL2"/>
        <w:keepNext/>
        <w:ind w:left="788" w:hanging="431"/>
      </w:pPr>
      <w:r w:rsidRPr="00A729D8">
        <w:lastRenderedPageBreak/>
        <w:t>Preferred environmental datasets</w:t>
      </w:r>
    </w:p>
    <w:p w14:paraId="5EB09201" w14:textId="77777777" w:rsidR="00E52F1C" w:rsidRPr="00A729D8" w:rsidRDefault="00B34554" w:rsidP="00121729">
      <w:pPr>
        <w:pStyle w:val="ListParagraph"/>
        <w:numPr>
          <w:ilvl w:val="0"/>
          <w:numId w:val="77"/>
        </w:numPr>
      </w:pPr>
      <w:r w:rsidRPr="00A729D8">
        <w:t>For consistency across all situations, the ‘Worldclim Data’ dataset is recommended. This addresses situations where species have a restricted range and there are no, or very few, meteorological stations in the ‘World Stations’ dataset. These interpolated computer generated points have a scatter of points across locations which have few meteorological stations. Use of this dataset also minimises concerns that the closest meteorological stations to a given location may not actually reflect the immediate location and climatic conditions. This may occur where disparate climatic conditions exist within a region, such as the mountainous areas bordering a coastline, like the Andes.</w:t>
      </w:r>
    </w:p>
    <w:p w14:paraId="36DE2135" w14:textId="77777777" w:rsidR="00E52F1C" w:rsidRPr="00A729D8" w:rsidRDefault="00B34554" w:rsidP="00121729">
      <w:pPr>
        <w:pStyle w:val="ListParagraph"/>
        <w:numPr>
          <w:ilvl w:val="0"/>
          <w:numId w:val="77"/>
        </w:numPr>
      </w:pPr>
      <w:r w:rsidRPr="00A729D8">
        <w:t>The ‘World Stations’ climate data set for comparing the climatic range of a pest/disease species overseas with the potential area of climatic suitability in Australia is also possible if there are known meteorological stations truly representative of the recorded locations.</w:t>
      </w:r>
    </w:p>
    <w:p w14:paraId="02ACB6DD" w14:textId="77777777" w:rsidR="00E52F1C" w:rsidRPr="00A729D8" w:rsidRDefault="00B34554" w:rsidP="00121729">
      <w:pPr>
        <w:pStyle w:val="ListParagraph"/>
        <w:numPr>
          <w:ilvl w:val="0"/>
          <w:numId w:val="77"/>
        </w:numPr>
      </w:pPr>
      <w:r w:rsidRPr="00A729D8">
        <w:t>Additional data sets that may be used for the secondary data are:</w:t>
      </w:r>
    </w:p>
    <w:p w14:paraId="36EFF023" w14:textId="77777777" w:rsidR="00E52F1C" w:rsidRPr="00A729D8" w:rsidRDefault="00B34554" w:rsidP="00121729">
      <w:pPr>
        <w:pStyle w:val="ListParagraph"/>
        <w:numPr>
          <w:ilvl w:val="1"/>
          <w:numId w:val="77"/>
        </w:numPr>
      </w:pPr>
      <w:r w:rsidRPr="00A729D8">
        <w:t>Bureau of Rural Sciences (BRS) land use/cover;</w:t>
      </w:r>
    </w:p>
    <w:p w14:paraId="2DDC3CDE" w14:textId="77777777" w:rsidR="00E52F1C" w:rsidRPr="00A729D8" w:rsidRDefault="00B34554" w:rsidP="00121729">
      <w:pPr>
        <w:pStyle w:val="ListParagraph"/>
        <w:numPr>
          <w:ilvl w:val="1"/>
          <w:numId w:val="77"/>
        </w:numPr>
      </w:pPr>
      <w:r w:rsidRPr="00A729D8">
        <w:t>AGO forest change; and</w:t>
      </w:r>
    </w:p>
    <w:p w14:paraId="7517EC6F" w14:textId="77777777" w:rsidR="00E52F1C" w:rsidRPr="00A729D8" w:rsidRDefault="00B34554" w:rsidP="00121729">
      <w:pPr>
        <w:pStyle w:val="ListParagraph"/>
        <w:numPr>
          <w:ilvl w:val="1"/>
          <w:numId w:val="77"/>
        </w:numPr>
      </w:pPr>
      <w:r w:rsidRPr="00A729D8">
        <w:t>NVIS data sets for native vegetation.</w:t>
      </w:r>
    </w:p>
    <w:p w14:paraId="31D64BB9" w14:textId="77777777" w:rsidR="00E52F1C" w:rsidRPr="00A729D8" w:rsidRDefault="00B34554" w:rsidP="00121729">
      <w:pPr>
        <w:pStyle w:val="ListParagraph"/>
        <w:numPr>
          <w:ilvl w:val="0"/>
          <w:numId w:val="77"/>
        </w:numPr>
      </w:pPr>
      <w:r w:rsidRPr="00A729D8">
        <w:t>The resolution for analysing data should be a 10 km x 10 km grid.</w:t>
      </w:r>
    </w:p>
    <w:p w14:paraId="0523B32E" w14:textId="77777777" w:rsidR="00B34554" w:rsidRPr="00A729D8" w:rsidRDefault="00B34554" w:rsidP="00121729">
      <w:pPr>
        <w:pStyle w:val="ListParagraph"/>
        <w:numPr>
          <w:ilvl w:val="0"/>
          <w:numId w:val="77"/>
        </w:numPr>
      </w:pPr>
      <w:r w:rsidRPr="00A729D8">
        <w:t xml:space="preserve">Relevant and incontrovertible additional data from sources not listed here may be used following consultation and agreement by all members of the </w:t>
      </w:r>
      <w:r w:rsidR="00B20F48" w:rsidRPr="00A729D8">
        <w:t>NBMCC</w:t>
      </w:r>
      <w:r w:rsidRPr="00A729D8">
        <w:t>.</w:t>
      </w:r>
    </w:p>
    <w:p w14:paraId="459D9D50" w14:textId="77777777" w:rsidR="00B34554" w:rsidRPr="00A729D8" w:rsidRDefault="00B34554" w:rsidP="002106F9">
      <w:pPr>
        <w:pStyle w:val="ScheduleL1"/>
      </w:pPr>
      <w:r w:rsidRPr="00A729D8">
        <w:t>Modelling software</w:t>
      </w:r>
    </w:p>
    <w:p w14:paraId="14B2636D" w14:textId="059CC669" w:rsidR="00CB79CB" w:rsidRPr="00A729D8" w:rsidRDefault="00CB79CB" w:rsidP="00CB79CB">
      <w:pPr>
        <w:pStyle w:val="ScheduleL1"/>
        <w:numPr>
          <w:ilvl w:val="0"/>
          <w:numId w:val="0"/>
        </w:numPr>
        <w:shd w:val="clear" w:color="auto" w:fill="D9D9D9" w:themeFill="background1" w:themeFillShade="D9"/>
        <w:rPr>
          <w:b w:val="0"/>
        </w:rPr>
      </w:pPr>
      <w:r w:rsidRPr="00A729D8">
        <w:rPr>
          <w:b w:val="0"/>
        </w:rPr>
        <w:t xml:space="preserve">[DRAFTING NOTE: </w:t>
      </w:r>
      <w:r w:rsidR="00FE435B" w:rsidRPr="00A729D8">
        <w:rPr>
          <w:b w:val="0"/>
        </w:rPr>
        <w:t>consider if</w:t>
      </w:r>
      <w:r w:rsidRPr="00A729D8">
        <w:rPr>
          <w:b w:val="0"/>
        </w:rPr>
        <w:t xml:space="preserve"> Climatch remains the preferred model]</w:t>
      </w:r>
    </w:p>
    <w:p w14:paraId="4AA8E958" w14:textId="77777777" w:rsidR="00E52F1C" w:rsidRPr="00A729D8" w:rsidRDefault="00B34554" w:rsidP="00121729">
      <w:pPr>
        <w:pStyle w:val="ListParagraph"/>
        <w:numPr>
          <w:ilvl w:val="0"/>
          <w:numId w:val="78"/>
        </w:numPr>
      </w:pPr>
      <w:r w:rsidRPr="00A729D8">
        <w:t>‘Climatch’ (with Euclidian matching implemented by BRS—part of the Department of Agriculture, Fisheries and Forestry) is the preferred climate modelling software.</w:t>
      </w:r>
    </w:p>
    <w:p w14:paraId="4D0CA24B" w14:textId="77777777" w:rsidR="00E52F1C" w:rsidRPr="00A729D8" w:rsidRDefault="00B34554" w:rsidP="00121729">
      <w:pPr>
        <w:pStyle w:val="ListParagraph"/>
        <w:numPr>
          <w:ilvl w:val="0"/>
          <w:numId w:val="78"/>
        </w:numPr>
      </w:pPr>
      <w:r w:rsidRPr="00A729D8">
        <w:t>While Climatch, like all models, has limitations, its overall logic is sound and it has the advantage of producing a single, reproducible climate match output from a set of agreed inputs. While it is acknowledged that the predictions have uncertainty attached to them, there will be no systematic errors that consistently disadvantage a particular jurisdiction.</w:t>
      </w:r>
    </w:p>
    <w:p w14:paraId="78BB0277" w14:textId="77777777" w:rsidR="00B34554" w:rsidRPr="00A729D8" w:rsidRDefault="00B34554" w:rsidP="00121729">
      <w:pPr>
        <w:pStyle w:val="ListParagraph"/>
        <w:numPr>
          <w:ilvl w:val="0"/>
          <w:numId w:val="78"/>
        </w:numPr>
      </w:pPr>
      <w:r w:rsidRPr="00A729D8">
        <w:t>Climatch uses a number of data parameters, such as temperature and rainfall, to match regions of Australia with areas overseas where a pest or disease is already established.</w:t>
      </w:r>
    </w:p>
    <w:p w14:paraId="395A8CA9" w14:textId="77777777" w:rsidR="00E52F1C" w:rsidRPr="00A729D8" w:rsidRDefault="00B34554" w:rsidP="002106F9">
      <w:pPr>
        <w:ind w:left="1080"/>
      </w:pPr>
      <w:r w:rsidRPr="00A729D8">
        <w:t>This is then a prediction of where it may be possible for the pest or disease to live if able and allowed to spread to all areas if species-specific resources were present.</w:t>
      </w:r>
    </w:p>
    <w:p w14:paraId="61D30BEE" w14:textId="77777777" w:rsidR="00B34554" w:rsidRPr="00A729D8" w:rsidRDefault="00E52F1C" w:rsidP="002106F9">
      <w:pPr>
        <w:ind w:left="1080"/>
      </w:pPr>
      <w:r w:rsidRPr="00A729D8">
        <w:t>F</w:t>
      </w:r>
      <w:r w:rsidR="00B34554" w:rsidRPr="00A729D8">
        <w:t>or cost-sharing purposes a threshold of climate match level 5 and higher will be used for Climatch modelling.</w:t>
      </w:r>
    </w:p>
    <w:p w14:paraId="787D8FCF" w14:textId="77777777" w:rsidR="00B34554" w:rsidRPr="00A729D8" w:rsidRDefault="00B34554" w:rsidP="002106F9">
      <w:pPr>
        <w:pStyle w:val="ScheduleL1"/>
      </w:pPr>
      <w:r w:rsidRPr="00A729D8">
        <w:t>Processes and procedures for modelling the likely area of infestation of a terrestrial pest or disease</w:t>
      </w:r>
    </w:p>
    <w:p w14:paraId="0402FD0D" w14:textId="77777777" w:rsidR="00B34554" w:rsidRPr="00A729D8" w:rsidRDefault="00B34554" w:rsidP="002106F9">
      <w:r w:rsidRPr="00A729D8">
        <w:lastRenderedPageBreak/>
        <w:t>The following process is recommended for modelling the likely area of infestation:</w:t>
      </w:r>
    </w:p>
    <w:p w14:paraId="01B29127" w14:textId="77777777" w:rsidR="00E52F1C" w:rsidRPr="00A729D8" w:rsidRDefault="00B34554" w:rsidP="00121729">
      <w:pPr>
        <w:pStyle w:val="ListParagraph"/>
        <w:numPr>
          <w:ilvl w:val="0"/>
          <w:numId w:val="79"/>
        </w:numPr>
      </w:pPr>
      <w:r w:rsidRPr="00A729D8">
        <w:t>Identify the pest or disease.</w:t>
      </w:r>
    </w:p>
    <w:p w14:paraId="3A7725D6" w14:textId="77777777" w:rsidR="00E52F1C" w:rsidRPr="00A729D8" w:rsidRDefault="00B34554" w:rsidP="00121729">
      <w:pPr>
        <w:pStyle w:val="ListParagraph"/>
        <w:numPr>
          <w:ilvl w:val="0"/>
          <w:numId w:val="79"/>
        </w:numPr>
      </w:pPr>
      <w:r w:rsidRPr="00A729D8">
        <w:t>Undertake an internet search and contact libraries/herbaria for information on the pest/disease species (accessing both high quality and lesser quality information), particularly on its distribution;</w:t>
      </w:r>
    </w:p>
    <w:p w14:paraId="07F36415" w14:textId="77777777" w:rsidR="00E52F1C" w:rsidRPr="00A729D8" w:rsidRDefault="00B34554" w:rsidP="00121729">
      <w:pPr>
        <w:pStyle w:val="ListParagraph"/>
        <w:numPr>
          <w:ilvl w:val="0"/>
          <w:numId w:val="79"/>
        </w:numPr>
      </w:pPr>
      <w:r w:rsidRPr="00A729D8">
        <w:t xml:space="preserve">Collect overseas and Australian distributional data (both validated and anecdotal), noting that this is for new </w:t>
      </w:r>
      <w:r w:rsidR="00747D05" w:rsidRPr="00A729D8">
        <w:t>incident</w:t>
      </w:r>
      <w:r w:rsidRPr="00A729D8">
        <w:t>s in Australia.</w:t>
      </w:r>
    </w:p>
    <w:p w14:paraId="1F531BE0" w14:textId="77777777" w:rsidR="00E52F1C" w:rsidRPr="00A729D8" w:rsidRDefault="00B34554" w:rsidP="00121729">
      <w:pPr>
        <w:pStyle w:val="ListParagraph"/>
        <w:numPr>
          <w:ilvl w:val="0"/>
          <w:numId w:val="79"/>
        </w:numPr>
      </w:pPr>
      <w:r w:rsidRPr="00A729D8">
        <w:t>Undertake Climatch modelling of validated data using:</w:t>
      </w:r>
    </w:p>
    <w:p w14:paraId="52611439" w14:textId="77777777" w:rsidR="00E52F1C" w:rsidRPr="00A729D8" w:rsidRDefault="00B34554" w:rsidP="00121729">
      <w:pPr>
        <w:pStyle w:val="ListParagraph"/>
        <w:numPr>
          <w:ilvl w:val="1"/>
          <w:numId w:val="79"/>
        </w:numPr>
      </w:pPr>
      <w:r w:rsidRPr="00A729D8">
        <w:t>validated location data points for the species</w:t>
      </w:r>
    </w:p>
    <w:p w14:paraId="7151C338" w14:textId="77777777" w:rsidR="00E52F1C" w:rsidRPr="00A729D8" w:rsidRDefault="00B34554" w:rsidP="00121729">
      <w:pPr>
        <w:pStyle w:val="ListParagraph"/>
        <w:numPr>
          <w:ilvl w:val="1"/>
          <w:numId w:val="79"/>
        </w:numPr>
      </w:pPr>
      <w:r w:rsidRPr="00A729D8">
        <w:t>the ‘Worldclim Data’ dataset</w:t>
      </w:r>
    </w:p>
    <w:p w14:paraId="68BB267D" w14:textId="77777777" w:rsidR="00E52F1C" w:rsidRPr="00A729D8" w:rsidRDefault="00B34554" w:rsidP="00121729">
      <w:pPr>
        <w:pStyle w:val="ListParagraph"/>
        <w:numPr>
          <w:ilvl w:val="1"/>
          <w:numId w:val="79"/>
        </w:numPr>
      </w:pPr>
      <w:r w:rsidRPr="00A729D8">
        <w:t>Euclidian match.</w:t>
      </w:r>
    </w:p>
    <w:p w14:paraId="6EC08005" w14:textId="77777777" w:rsidR="00E52F1C" w:rsidRPr="00A729D8" w:rsidRDefault="00B34554" w:rsidP="00121729">
      <w:pPr>
        <w:pStyle w:val="ListParagraph"/>
        <w:numPr>
          <w:ilvl w:val="0"/>
          <w:numId w:val="79"/>
        </w:numPr>
      </w:pPr>
      <w:r w:rsidRPr="00A729D8">
        <w:t>Undertake Climatch modelling of anecdotal data using the methodology set out in item 5(d) of this attachment.</w:t>
      </w:r>
    </w:p>
    <w:p w14:paraId="69FC2E42" w14:textId="77777777" w:rsidR="00E52F1C" w:rsidRPr="00A729D8" w:rsidRDefault="00B34554" w:rsidP="00121729">
      <w:pPr>
        <w:pStyle w:val="ListParagraph"/>
        <w:numPr>
          <w:ilvl w:val="0"/>
          <w:numId w:val="79"/>
        </w:numPr>
      </w:pPr>
      <w:r w:rsidRPr="00A729D8">
        <w:t>Check the data to ensure there are no fundamental errors and validate the outliers, excluding (with an explanation) any errors and anomalies (e.g, non-viable populations and garden plants).</w:t>
      </w:r>
    </w:p>
    <w:p w14:paraId="0A87904B" w14:textId="77777777" w:rsidR="00E52F1C" w:rsidRPr="00A729D8" w:rsidRDefault="00B34554" w:rsidP="00121729">
      <w:pPr>
        <w:pStyle w:val="ListParagraph"/>
        <w:numPr>
          <w:ilvl w:val="0"/>
          <w:numId w:val="79"/>
        </w:numPr>
      </w:pPr>
      <w:r w:rsidRPr="00A729D8">
        <w:t>Check the results with other experts.</w:t>
      </w:r>
    </w:p>
    <w:p w14:paraId="0DB73975" w14:textId="77777777" w:rsidR="00E52F1C" w:rsidRPr="00A729D8" w:rsidRDefault="00B34554" w:rsidP="00121729">
      <w:pPr>
        <w:pStyle w:val="ListParagraph"/>
        <w:numPr>
          <w:ilvl w:val="0"/>
          <w:numId w:val="79"/>
        </w:numPr>
      </w:pPr>
      <w:r w:rsidRPr="00A729D8">
        <w:t>Undertake any further analyses with additional layers of data, if they are to be used (e.g, vegetation groups, agroecological regions etc). The recommended software for this is ARC-GIS or MCAS (available from BRS). Any modifiers that are used must be incontrovertible and fully documented.</w:t>
      </w:r>
    </w:p>
    <w:p w14:paraId="4923F76C" w14:textId="77777777" w:rsidR="00E52F1C" w:rsidRPr="00A729D8" w:rsidRDefault="00B34554" w:rsidP="00121729">
      <w:pPr>
        <w:pStyle w:val="ListParagraph"/>
        <w:numPr>
          <w:ilvl w:val="0"/>
          <w:numId w:val="79"/>
        </w:numPr>
      </w:pPr>
      <w:r w:rsidRPr="00A729D8">
        <w:t>Produce a map of the potential distribution based on climate suitability and any additional data:</w:t>
      </w:r>
    </w:p>
    <w:p w14:paraId="03D7D3BD" w14:textId="77777777" w:rsidR="00E52F1C" w:rsidRPr="00A729D8" w:rsidRDefault="00B34554" w:rsidP="00121729">
      <w:pPr>
        <w:pStyle w:val="ListParagraph"/>
        <w:numPr>
          <w:ilvl w:val="1"/>
          <w:numId w:val="79"/>
        </w:numPr>
      </w:pPr>
      <w:r w:rsidRPr="00A729D8">
        <w:t>threshold match of level 5 (Bomford modelling)</w:t>
      </w:r>
    </w:p>
    <w:p w14:paraId="09E2A38C" w14:textId="77777777" w:rsidR="00B34554" w:rsidRPr="00A729D8" w:rsidRDefault="00B34554" w:rsidP="00121729">
      <w:pPr>
        <w:pStyle w:val="ListParagraph"/>
        <w:numPr>
          <w:ilvl w:val="1"/>
          <w:numId w:val="79"/>
        </w:numPr>
      </w:pPr>
      <w:r w:rsidRPr="00A729D8">
        <w:t>include a confidence statement on the quality of the data.</w:t>
      </w:r>
    </w:p>
    <w:p w14:paraId="56A8F9F0" w14:textId="77777777" w:rsidR="00E52F1C" w:rsidRPr="00A729D8" w:rsidRDefault="00E52F1C" w:rsidP="002106F9">
      <w:pPr>
        <w:spacing w:before="0" w:after="160" w:line="252" w:lineRule="auto"/>
      </w:pPr>
      <w:r w:rsidRPr="00A729D8">
        <w:br w:type="page"/>
      </w:r>
    </w:p>
    <w:p w14:paraId="2B89625A" w14:textId="77777777" w:rsidR="00B34554" w:rsidRPr="00A729D8" w:rsidRDefault="00F80AFF" w:rsidP="002106F9">
      <w:pPr>
        <w:pStyle w:val="Heading2"/>
        <w:keepNext w:val="0"/>
        <w:keepLines w:val="0"/>
        <w:numPr>
          <w:ilvl w:val="0"/>
          <w:numId w:val="0"/>
        </w:numPr>
      </w:pPr>
      <w:bookmarkStart w:id="274" w:name="_Toc7528160"/>
      <w:r w:rsidRPr="00A729D8">
        <w:lastRenderedPageBreak/>
        <w:t>Attachment 4</w:t>
      </w:r>
      <w:r w:rsidR="00B34554" w:rsidRPr="00A729D8">
        <w:t>B</w:t>
      </w:r>
      <w:r w:rsidR="00B34554" w:rsidRPr="00A729D8">
        <w:tab/>
        <w:t>Potential distribution of inland water pests</w:t>
      </w:r>
      <w:bookmarkEnd w:id="274"/>
    </w:p>
    <w:p w14:paraId="508EDB54" w14:textId="77777777" w:rsidR="00B34554" w:rsidRPr="00A729D8" w:rsidRDefault="00B34554" w:rsidP="00121729">
      <w:pPr>
        <w:pStyle w:val="ScheduleL1"/>
        <w:numPr>
          <w:ilvl w:val="0"/>
          <w:numId w:val="80"/>
        </w:numPr>
      </w:pPr>
      <w:r w:rsidRPr="00A729D8">
        <w:t>Introduction</w:t>
      </w:r>
    </w:p>
    <w:p w14:paraId="13810E0B" w14:textId="77777777" w:rsidR="00E52F1C" w:rsidRPr="00A729D8" w:rsidRDefault="00B34554" w:rsidP="00121729">
      <w:pPr>
        <w:pStyle w:val="ListParagraph"/>
        <w:numPr>
          <w:ilvl w:val="0"/>
          <w:numId w:val="81"/>
        </w:numPr>
      </w:pPr>
      <w:r w:rsidRPr="00A729D8">
        <w:t>This attachment provides guidance on the process to be undertaken in determining the total potential distribution of an inland water pest.</w:t>
      </w:r>
    </w:p>
    <w:p w14:paraId="59047E62" w14:textId="77777777" w:rsidR="00E52F1C" w:rsidRPr="00A729D8" w:rsidRDefault="00B34554" w:rsidP="00121729">
      <w:pPr>
        <w:pStyle w:val="ListParagraph"/>
        <w:numPr>
          <w:ilvl w:val="0"/>
          <w:numId w:val="81"/>
        </w:numPr>
      </w:pPr>
      <w:r w:rsidRPr="00A729D8">
        <w:t>The potential distribution of an inland water pest represents the area it could potentially affect.</w:t>
      </w:r>
    </w:p>
    <w:p w14:paraId="1C714CE5" w14:textId="77777777" w:rsidR="00E52F1C" w:rsidRPr="00A729D8" w:rsidRDefault="00B34554" w:rsidP="00121729">
      <w:pPr>
        <w:pStyle w:val="ListParagraph"/>
        <w:numPr>
          <w:ilvl w:val="0"/>
          <w:numId w:val="81"/>
        </w:numPr>
      </w:pPr>
      <w:r w:rsidRPr="00A729D8">
        <w:t>This determination relates to calculating, in accordance with clause 7.2(d) of the agreement, what percentage of the total, potentially affected area is represented by a party’s jurisdiction which, in turn leads to a determination of the party’s percentage of risk and, subsequently, the number of people in that jurisdiction affected by a pest or disease.</w:t>
      </w:r>
    </w:p>
    <w:p w14:paraId="419FB81F" w14:textId="77777777" w:rsidR="00B34554" w:rsidRPr="00A729D8" w:rsidRDefault="00B34554" w:rsidP="00121729">
      <w:pPr>
        <w:pStyle w:val="ListParagraph"/>
        <w:numPr>
          <w:ilvl w:val="0"/>
          <w:numId w:val="81"/>
        </w:numPr>
      </w:pPr>
      <w:r w:rsidRPr="00A729D8">
        <w:t>This process does not include analysis of potential impacts as these would be considered in the technical feasibility and benefit:cost analyses.</w:t>
      </w:r>
    </w:p>
    <w:p w14:paraId="27674951" w14:textId="77777777" w:rsidR="00B34554" w:rsidRPr="00A729D8" w:rsidRDefault="00B34554" w:rsidP="002106F9">
      <w:pPr>
        <w:pStyle w:val="ScheduleL1"/>
      </w:pPr>
      <w:r w:rsidRPr="00A729D8">
        <w:t>Fundamental assumptions for determining the potential distribution of inland water pests</w:t>
      </w:r>
    </w:p>
    <w:p w14:paraId="407469EA" w14:textId="77777777" w:rsidR="00E52F1C" w:rsidRPr="00A729D8" w:rsidRDefault="00B34554" w:rsidP="002106F9">
      <w:r w:rsidRPr="00A729D8">
        <w:t>In modelling the potential distribution of an inland water pest, the following</w:t>
      </w:r>
      <w:r w:rsidR="00E52F1C" w:rsidRPr="00A729D8">
        <w:t xml:space="preserve"> fundamental assumptions apply:</w:t>
      </w:r>
    </w:p>
    <w:p w14:paraId="4D100668" w14:textId="77777777" w:rsidR="00E52F1C" w:rsidRPr="00A729D8" w:rsidRDefault="00B34554" w:rsidP="00121729">
      <w:pPr>
        <w:pStyle w:val="ListParagraph"/>
        <w:numPr>
          <w:ilvl w:val="0"/>
          <w:numId w:val="82"/>
        </w:numPr>
      </w:pPr>
      <w:r w:rsidRPr="00A729D8">
        <w:t>The contemporary situation will continue. The analysis will not include a consideration of possible future factors affecting the projected potential distribution, for example, climate change or changes in management actions, such as an increase in land clearing.</w:t>
      </w:r>
    </w:p>
    <w:p w14:paraId="7AD299CC" w14:textId="77777777" w:rsidR="00E52F1C" w:rsidRPr="00A729D8" w:rsidRDefault="00B34554" w:rsidP="00121729">
      <w:pPr>
        <w:pStyle w:val="ListParagraph"/>
        <w:numPr>
          <w:ilvl w:val="0"/>
          <w:numId w:val="82"/>
        </w:numPr>
      </w:pPr>
      <w:r w:rsidRPr="00A729D8">
        <w:t>The pest has been evenly spread across inland waters in Australia. The analysis will not be concerned with the pathway by which a pest might enter or has entered the country, nor with the potential rate of its spread, but, rather, with the areas in which the pest could survive and/or become established.</w:t>
      </w:r>
    </w:p>
    <w:p w14:paraId="7C631507" w14:textId="77777777" w:rsidR="00E52F1C" w:rsidRPr="00A729D8" w:rsidRDefault="00B34554" w:rsidP="00121729">
      <w:pPr>
        <w:pStyle w:val="ListParagraph"/>
        <w:numPr>
          <w:ilvl w:val="0"/>
          <w:numId w:val="82"/>
        </w:numPr>
      </w:pPr>
      <w:r w:rsidRPr="00A729D8">
        <w:t>There are no physiological or biological barriers to reproduction (i.e. the model assesses the area of climate match suitability where the species could establish if it could successfully reproduce).</w:t>
      </w:r>
    </w:p>
    <w:p w14:paraId="002A995E" w14:textId="77777777" w:rsidR="00B34554" w:rsidRPr="00A729D8" w:rsidRDefault="00B34554" w:rsidP="00121729">
      <w:pPr>
        <w:pStyle w:val="ListParagraph"/>
        <w:numPr>
          <w:ilvl w:val="0"/>
          <w:numId w:val="82"/>
        </w:numPr>
      </w:pPr>
      <w:r w:rsidRPr="00A729D8">
        <w:t>A general situation is to be relied on. While discussion of exceptions is important, the advice to be provided would be for the general situation.</w:t>
      </w:r>
    </w:p>
    <w:p w14:paraId="7D4A6D4F" w14:textId="77777777" w:rsidR="00B34554" w:rsidRPr="00A729D8" w:rsidRDefault="00B34554" w:rsidP="002106F9">
      <w:pPr>
        <w:pStyle w:val="ScheduleL1"/>
      </w:pPr>
      <w:r w:rsidRPr="00A729D8">
        <w:t>Data requirements for determining the potential distribution of inland water pests</w:t>
      </w:r>
    </w:p>
    <w:p w14:paraId="2B505874" w14:textId="77777777" w:rsidR="00B34554" w:rsidRPr="00A729D8" w:rsidRDefault="00B34554" w:rsidP="002106F9">
      <w:pPr>
        <w:pStyle w:val="ScheduleL2"/>
      </w:pPr>
      <w:r w:rsidRPr="00A729D8">
        <w:t>Introduction</w:t>
      </w:r>
    </w:p>
    <w:p w14:paraId="445E1975" w14:textId="77777777" w:rsidR="00B34554" w:rsidRPr="00A729D8" w:rsidRDefault="00B34554" w:rsidP="002106F9">
      <w:r w:rsidRPr="00A729D8">
        <w:t>The information required, or which would be useful, for determining the potential distribution of inland water pests includes:</w:t>
      </w:r>
    </w:p>
    <w:p w14:paraId="690363A2" w14:textId="77777777" w:rsidR="00E52F1C" w:rsidRPr="00A729D8" w:rsidRDefault="00B34554" w:rsidP="00121729">
      <w:pPr>
        <w:pStyle w:val="ListParagraph"/>
        <w:numPr>
          <w:ilvl w:val="0"/>
          <w:numId w:val="83"/>
        </w:numPr>
      </w:pPr>
      <w:r w:rsidRPr="00A729D8">
        <w:t>essential data—a prerequisite for a determination</w:t>
      </w:r>
    </w:p>
    <w:p w14:paraId="42123EA7" w14:textId="77777777" w:rsidR="00E52F1C" w:rsidRPr="00A729D8" w:rsidRDefault="00B34554" w:rsidP="00121729">
      <w:pPr>
        <w:pStyle w:val="ListParagraph"/>
        <w:numPr>
          <w:ilvl w:val="0"/>
          <w:numId w:val="83"/>
        </w:numPr>
      </w:pPr>
      <w:r w:rsidRPr="00A729D8">
        <w:t>valuable data—which will assist with a determination</w:t>
      </w:r>
    </w:p>
    <w:p w14:paraId="50FA6FB9" w14:textId="77777777" w:rsidR="00B34554" w:rsidRPr="00A729D8" w:rsidRDefault="00B34554" w:rsidP="00121729">
      <w:pPr>
        <w:pStyle w:val="ListParagraph"/>
        <w:numPr>
          <w:ilvl w:val="0"/>
          <w:numId w:val="83"/>
        </w:numPr>
      </w:pPr>
      <w:r w:rsidRPr="00A729D8">
        <w:t>secondary data—which will also assist with a determination</w:t>
      </w:r>
    </w:p>
    <w:p w14:paraId="329CEAFE" w14:textId="77777777" w:rsidR="00B34554" w:rsidRPr="00A729D8" w:rsidRDefault="00B34554" w:rsidP="00790953">
      <w:pPr>
        <w:pStyle w:val="ScheduleL2"/>
        <w:keepNext/>
        <w:ind w:left="788" w:hanging="431"/>
      </w:pPr>
      <w:r w:rsidRPr="00A729D8">
        <w:lastRenderedPageBreak/>
        <w:t xml:space="preserve"> Essential data</w:t>
      </w:r>
    </w:p>
    <w:p w14:paraId="48EFE37F" w14:textId="77777777" w:rsidR="00B34554" w:rsidRPr="00A729D8" w:rsidRDefault="00B34554" w:rsidP="002106F9">
      <w:r w:rsidRPr="00A729D8">
        <w:t>At a minimum, a determination of potential distribution of an inland water pest requires the following types of data:</w:t>
      </w:r>
    </w:p>
    <w:p w14:paraId="35F75515" w14:textId="77777777" w:rsidR="00E52F1C" w:rsidRPr="00A729D8" w:rsidRDefault="00B34554" w:rsidP="00121729">
      <w:pPr>
        <w:pStyle w:val="ListParagraph"/>
        <w:numPr>
          <w:ilvl w:val="0"/>
          <w:numId w:val="84"/>
        </w:numPr>
      </w:pPr>
      <w:r w:rsidRPr="00A729D8">
        <w:t>information underpinning correct diagnosis/taxonomic identification</w:t>
      </w:r>
    </w:p>
    <w:p w14:paraId="6C87C737" w14:textId="77777777" w:rsidR="00E52F1C" w:rsidRPr="00A729D8" w:rsidRDefault="00B34554" w:rsidP="00121729">
      <w:pPr>
        <w:pStyle w:val="ListParagraph"/>
        <w:numPr>
          <w:ilvl w:val="0"/>
          <w:numId w:val="84"/>
        </w:numPr>
      </w:pPr>
      <w:r w:rsidRPr="00A729D8">
        <w:t>climate data</w:t>
      </w:r>
    </w:p>
    <w:p w14:paraId="2FF278DA" w14:textId="77777777" w:rsidR="00E52F1C" w:rsidRPr="00A729D8" w:rsidRDefault="00B34554" w:rsidP="00121729">
      <w:pPr>
        <w:pStyle w:val="ListParagraph"/>
        <w:numPr>
          <w:ilvl w:val="0"/>
          <w:numId w:val="84"/>
        </w:numPr>
      </w:pPr>
      <w:r w:rsidRPr="00A729D8">
        <w:t xml:space="preserve">surface area of the inland water, using the following features, as defined by the GEODATA TOPO 250k dataset (available from Geoscience Australia at </w:t>
      </w:r>
      <w:hyperlink r:id="rId10" w:history="1">
        <w:r w:rsidR="00E52F1C" w:rsidRPr="00A729D8">
          <w:rPr>
            <w:rStyle w:val="Hyperlink"/>
          </w:rPr>
          <w:t>www.ga.gov.au</w:t>
        </w:r>
      </w:hyperlink>
      <w:r w:rsidRPr="00A729D8">
        <w:t>)</w:t>
      </w:r>
    </w:p>
    <w:p w14:paraId="0412FE05" w14:textId="77777777" w:rsidR="00E52F1C" w:rsidRPr="00A729D8" w:rsidRDefault="00B34554" w:rsidP="00121729">
      <w:pPr>
        <w:pStyle w:val="ListParagraph"/>
        <w:numPr>
          <w:ilvl w:val="1"/>
          <w:numId w:val="84"/>
        </w:numPr>
      </w:pPr>
      <w:r w:rsidRPr="00A729D8">
        <w:t>lakes</w:t>
      </w:r>
    </w:p>
    <w:p w14:paraId="67A7A97B" w14:textId="77777777" w:rsidR="00E52F1C" w:rsidRPr="00A729D8" w:rsidRDefault="00B34554" w:rsidP="00121729">
      <w:pPr>
        <w:pStyle w:val="ListParagraph"/>
        <w:numPr>
          <w:ilvl w:val="1"/>
          <w:numId w:val="84"/>
        </w:numPr>
      </w:pPr>
      <w:r w:rsidRPr="00A729D8">
        <w:t>reservoirs</w:t>
      </w:r>
    </w:p>
    <w:p w14:paraId="261DBF35" w14:textId="77777777" w:rsidR="00E52F1C" w:rsidRPr="00A729D8" w:rsidRDefault="00B34554" w:rsidP="00121729">
      <w:pPr>
        <w:pStyle w:val="ListParagraph"/>
        <w:numPr>
          <w:ilvl w:val="1"/>
          <w:numId w:val="84"/>
        </w:numPr>
      </w:pPr>
      <w:r w:rsidRPr="00A729D8">
        <w:t>rivers—perennial, noting that, in some situations, non-perennial sections of rivers may need to be incorporated into the data to be used for modelling</w:t>
      </w:r>
    </w:p>
    <w:p w14:paraId="5E3D20D4" w14:textId="77777777" w:rsidR="00E52F1C" w:rsidRPr="00A729D8" w:rsidRDefault="00B34554" w:rsidP="00121729">
      <w:pPr>
        <w:pStyle w:val="ListParagraph"/>
        <w:numPr>
          <w:ilvl w:val="1"/>
          <w:numId w:val="84"/>
        </w:numPr>
      </w:pPr>
      <w:r w:rsidRPr="00A729D8">
        <w:t>canals and irrigation channels</w:t>
      </w:r>
    </w:p>
    <w:p w14:paraId="6A215747" w14:textId="13D696A7" w:rsidR="00E52F1C" w:rsidRPr="00A729D8" w:rsidRDefault="00B34554" w:rsidP="00121729">
      <w:pPr>
        <w:pStyle w:val="ListParagraph"/>
        <w:numPr>
          <w:ilvl w:val="1"/>
          <w:numId w:val="84"/>
        </w:numPr>
      </w:pPr>
      <w:r w:rsidRPr="00A729D8">
        <w:t>wetlands (equivalent to ‘swa</w:t>
      </w:r>
      <w:r w:rsidR="001313FD" w:rsidRPr="00A729D8">
        <w:t>m</w:t>
      </w:r>
      <w:r w:rsidRPr="00A729D8">
        <w:t>ps’ in the GEODATA TOPO 250k dataset)</w:t>
      </w:r>
    </w:p>
    <w:p w14:paraId="1C1E3F13" w14:textId="77777777" w:rsidR="00B34554" w:rsidRPr="00A729D8" w:rsidRDefault="00B34554" w:rsidP="00121729">
      <w:pPr>
        <w:pStyle w:val="ListParagraph"/>
        <w:numPr>
          <w:ilvl w:val="0"/>
          <w:numId w:val="84"/>
        </w:numPr>
      </w:pPr>
      <w:r w:rsidRPr="00A729D8">
        <w:t>knowledge of overseas range, including native and invaded ranges.</w:t>
      </w:r>
    </w:p>
    <w:p w14:paraId="4F666E2E" w14:textId="77777777" w:rsidR="00B34554" w:rsidRPr="00A729D8" w:rsidRDefault="00B34554" w:rsidP="002106F9">
      <w:pPr>
        <w:pStyle w:val="ScheduleL2"/>
      </w:pPr>
      <w:r w:rsidRPr="00A729D8">
        <w:t>Valuable data</w:t>
      </w:r>
    </w:p>
    <w:p w14:paraId="279DAFFB" w14:textId="77777777" w:rsidR="00B34554" w:rsidRPr="00A729D8" w:rsidRDefault="00B34554" w:rsidP="002106F9">
      <w:r w:rsidRPr="00A729D8">
        <w:t>Data on the types and range of obligate hosts or habitats is valuable for determining the potential distribution of inland water pests, provided it is available and incontrovertible.</w:t>
      </w:r>
    </w:p>
    <w:p w14:paraId="6774FEC8" w14:textId="77777777" w:rsidR="00B34554" w:rsidRPr="00A729D8" w:rsidRDefault="00B34554" w:rsidP="002106F9">
      <w:pPr>
        <w:pStyle w:val="ScheduleL2"/>
      </w:pPr>
      <w:r w:rsidRPr="00A729D8">
        <w:t>Secondary data</w:t>
      </w:r>
    </w:p>
    <w:p w14:paraId="0E5F2D41" w14:textId="77777777" w:rsidR="00E52F1C" w:rsidRPr="00A729D8" w:rsidRDefault="00B34554" w:rsidP="00121729">
      <w:pPr>
        <w:pStyle w:val="ListParagraph"/>
        <w:numPr>
          <w:ilvl w:val="0"/>
          <w:numId w:val="85"/>
        </w:numPr>
      </w:pPr>
      <w:r w:rsidRPr="00A729D8">
        <w:t xml:space="preserve">Secondary data that directly affect the potential distribution of a pest can be used to determine the potential area of infestation. Secondary data will only be used if all parties on the </w:t>
      </w:r>
      <w:r w:rsidR="00B20F48" w:rsidRPr="00A729D8">
        <w:t>NBMCC</w:t>
      </w:r>
      <w:r w:rsidRPr="00A729D8">
        <w:t xml:space="preserve"> agree and only if it is available, highly relevant and incontrovertible.</w:t>
      </w:r>
    </w:p>
    <w:p w14:paraId="7457CDFC" w14:textId="77777777" w:rsidR="00E52F1C" w:rsidRPr="00A729D8" w:rsidRDefault="00B34554" w:rsidP="00121729">
      <w:pPr>
        <w:pStyle w:val="ListParagraph"/>
        <w:numPr>
          <w:ilvl w:val="0"/>
          <w:numId w:val="85"/>
        </w:numPr>
      </w:pPr>
      <w:r w:rsidRPr="00A729D8">
        <w:t>Secondary data includes:</w:t>
      </w:r>
    </w:p>
    <w:p w14:paraId="67861F4D" w14:textId="77777777" w:rsidR="00E52F1C" w:rsidRPr="00A729D8" w:rsidRDefault="00E52F1C" w:rsidP="00121729">
      <w:pPr>
        <w:pStyle w:val="ListParagraph"/>
        <w:numPr>
          <w:ilvl w:val="1"/>
          <w:numId w:val="85"/>
        </w:numPr>
      </w:pPr>
      <w:r w:rsidRPr="00A729D8">
        <w:t>spatial information on dams</w:t>
      </w:r>
    </w:p>
    <w:p w14:paraId="1F6BB666" w14:textId="77777777" w:rsidR="00E52F1C" w:rsidRPr="00A729D8" w:rsidRDefault="00B34554" w:rsidP="00121729">
      <w:pPr>
        <w:pStyle w:val="ListParagraph"/>
        <w:numPr>
          <w:ilvl w:val="1"/>
          <w:numId w:val="85"/>
        </w:numPr>
      </w:pPr>
      <w:r w:rsidRPr="00A729D8">
        <w:t>water temperatures for survival and/or spawning</w:t>
      </w:r>
    </w:p>
    <w:p w14:paraId="02413057" w14:textId="77777777" w:rsidR="00E52F1C" w:rsidRPr="00A729D8" w:rsidRDefault="00B34554" w:rsidP="00121729">
      <w:pPr>
        <w:pStyle w:val="ListParagraph"/>
        <w:numPr>
          <w:ilvl w:val="1"/>
          <w:numId w:val="85"/>
        </w:numPr>
      </w:pPr>
      <w:r w:rsidRPr="00A729D8">
        <w:t>the hydrologic regime (water levels, flow, turbidity etc)</w:t>
      </w:r>
    </w:p>
    <w:p w14:paraId="19E81F72" w14:textId="77777777" w:rsidR="00E52F1C" w:rsidRPr="00A729D8" w:rsidRDefault="00B34554" w:rsidP="00121729">
      <w:pPr>
        <w:pStyle w:val="ListParagraph"/>
        <w:numPr>
          <w:ilvl w:val="1"/>
          <w:numId w:val="85"/>
        </w:numPr>
      </w:pPr>
      <w:r w:rsidRPr="00A729D8">
        <w:t>water chemistry (oxygen levels, salinity, hardness, acidity, pollution etc)</w:t>
      </w:r>
    </w:p>
    <w:p w14:paraId="790B27D6" w14:textId="77777777" w:rsidR="00E52F1C" w:rsidRPr="00A729D8" w:rsidRDefault="00B34554" w:rsidP="00121729">
      <w:pPr>
        <w:pStyle w:val="ListParagraph"/>
        <w:numPr>
          <w:ilvl w:val="1"/>
          <w:numId w:val="85"/>
        </w:numPr>
      </w:pPr>
      <w:r w:rsidRPr="00A729D8">
        <w:t>the substrate required for survival and/or spawning (rocks, sand, mud, weed beds etc).</w:t>
      </w:r>
    </w:p>
    <w:p w14:paraId="3C044244" w14:textId="77777777" w:rsidR="00E52F1C" w:rsidRPr="00A729D8" w:rsidRDefault="00B34554" w:rsidP="00121729">
      <w:pPr>
        <w:pStyle w:val="ListParagraph"/>
        <w:numPr>
          <w:ilvl w:val="0"/>
          <w:numId w:val="85"/>
        </w:numPr>
      </w:pPr>
      <w:r w:rsidRPr="00A729D8">
        <w:t>If the secondary data are known to limit the extent of potential distribution they should be combined with the modelling output to increase the robustness of the conclusions on potential distribution.</w:t>
      </w:r>
    </w:p>
    <w:p w14:paraId="0A6EF88F" w14:textId="77777777" w:rsidR="00E52F1C" w:rsidRPr="00A729D8" w:rsidRDefault="00B34554" w:rsidP="00121729">
      <w:pPr>
        <w:pStyle w:val="ListParagraph"/>
        <w:numPr>
          <w:ilvl w:val="0"/>
          <w:numId w:val="85"/>
        </w:numPr>
      </w:pPr>
      <w:r w:rsidRPr="00A729D8">
        <w:t>It may also be useful to analyse a number of factors to establish the timing of management actions and response arrangements. Such factors may include:</w:t>
      </w:r>
    </w:p>
    <w:p w14:paraId="5E422EDC" w14:textId="77777777" w:rsidR="00E52F1C" w:rsidRPr="00A729D8" w:rsidRDefault="00B34554" w:rsidP="00121729">
      <w:pPr>
        <w:pStyle w:val="ListParagraph"/>
        <w:numPr>
          <w:ilvl w:val="1"/>
          <w:numId w:val="85"/>
        </w:numPr>
      </w:pPr>
      <w:r w:rsidRPr="00A729D8">
        <w:t>reproductive rates</w:t>
      </w:r>
    </w:p>
    <w:p w14:paraId="2C0C8E82" w14:textId="77777777" w:rsidR="00E52F1C" w:rsidRPr="00A729D8" w:rsidRDefault="00B34554" w:rsidP="00121729">
      <w:pPr>
        <w:pStyle w:val="ListParagraph"/>
        <w:numPr>
          <w:ilvl w:val="1"/>
          <w:numId w:val="85"/>
        </w:numPr>
      </w:pPr>
      <w:r w:rsidRPr="00A729D8">
        <w:lastRenderedPageBreak/>
        <w:t>dispersal capacity/dispersal pathways</w:t>
      </w:r>
    </w:p>
    <w:p w14:paraId="78C3C9DF" w14:textId="77777777" w:rsidR="00E52F1C" w:rsidRPr="00A729D8" w:rsidRDefault="00B34554" w:rsidP="00121729">
      <w:pPr>
        <w:pStyle w:val="ListParagraph"/>
        <w:numPr>
          <w:ilvl w:val="1"/>
          <w:numId w:val="85"/>
        </w:numPr>
      </w:pPr>
      <w:r w:rsidRPr="00A729D8">
        <w:t>vector dispersal</w:t>
      </w:r>
    </w:p>
    <w:p w14:paraId="0A245625" w14:textId="77777777" w:rsidR="00E52F1C" w:rsidRPr="00A729D8" w:rsidRDefault="00B34554" w:rsidP="00121729">
      <w:pPr>
        <w:pStyle w:val="ListParagraph"/>
        <w:numPr>
          <w:ilvl w:val="1"/>
          <w:numId w:val="85"/>
        </w:numPr>
      </w:pPr>
      <w:r w:rsidRPr="00A729D8">
        <w:t>natural barriers</w:t>
      </w:r>
    </w:p>
    <w:p w14:paraId="2F096CBC" w14:textId="77777777" w:rsidR="00B34554" w:rsidRPr="00A729D8" w:rsidRDefault="00B34554" w:rsidP="00121729">
      <w:pPr>
        <w:pStyle w:val="ListParagraph"/>
        <w:numPr>
          <w:ilvl w:val="1"/>
          <w:numId w:val="85"/>
        </w:numPr>
      </w:pPr>
      <w:r w:rsidRPr="00A729D8">
        <w:t>the presence of natural enemies (predators/competitors/diseases/parasites) in Australia.</w:t>
      </w:r>
    </w:p>
    <w:p w14:paraId="179D30FB" w14:textId="77777777" w:rsidR="00B34554" w:rsidRPr="00A729D8" w:rsidRDefault="00B34554" w:rsidP="002106F9">
      <w:pPr>
        <w:pStyle w:val="ScheduleL2"/>
      </w:pPr>
      <w:r w:rsidRPr="00A729D8">
        <w:t>Level of confidence in the essential data</w:t>
      </w:r>
    </w:p>
    <w:p w14:paraId="046CC802" w14:textId="77777777" w:rsidR="00B34554" w:rsidRPr="00A729D8" w:rsidRDefault="00B34554" w:rsidP="00121729">
      <w:pPr>
        <w:pStyle w:val="ListParagraph"/>
        <w:numPr>
          <w:ilvl w:val="0"/>
          <w:numId w:val="86"/>
        </w:numPr>
      </w:pPr>
      <w:r w:rsidRPr="00A729D8">
        <w:t xml:space="preserve">When providing advice to the NMG, the </w:t>
      </w:r>
      <w:r w:rsidR="00B20F48" w:rsidRPr="00A729D8">
        <w:t>NBMCC</w:t>
      </w:r>
      <w:r w:rsidRPr="00A729D8">
        <w:t xml:space="preserve"> will need to advise on the level of confidence it has in the information that underpins the potential distribution of a pest species.</w:t>
      </w:r>
    </w:p>
    <w:p w14:paraId="5C419864" w14:textId="77777777" w:rsidR="00B34554" w:rsidRPr="00A729D8" w:rsidRDefault="00B34554" w:rsidP="00121729">
      <w:pPr>
        <w:pStyle w:val="ListParagraph"/>
        <w:numPr>
          <w:ilvl w:val="0"/>
          <w:numId w:val="86"/>
        </w:numPr>
      </w:pPr>
      <w:r w:rsidRPr="00A729D8">
        <w:t>The most accurate data available should be used.</w:t>
      </w:r>
    </w:p>
    <w:p w14:paraId="5B801FD9" w14:textId="77777777" w:rsidR="00E52F1C" w:rsidRPr="00A729D8" w:rsidRDefault="00B34554" w:rsidP="00121729">
      <w:pPr>
        <w:pStyle w:val="ListParagraph"/>
        <w:numPr>
          <w:ilvl w:val="0"/>
          <w:numId w:val="86"/>
        </w:numPr>
      </w:pPr>
      <w:r w:rsidRPr="00A729D8">
        <w:t>The best sources of data are:</w:t>
      </w:r>
    </w:p>
    <w:p w14:paraId="5D52BAC5" w14:textId="77777777" w:rsidR="00E52F1C" w:rsidRPr="00A729D8" w:rsidRDefault="00B34554" w:rsidP="00121729">
      <w:pPr>
        <w:pStyle w:val="ListParagraph"/>
        <w:numPr>
          <w:ilvl w:val="1"/>
          <w:numId w:val="86"/>
        </w:numPr>
      </w:pPr>
      <w:r w:rsidRPr="00A729D8">
        <w:t>published, peer-reviewed data</w:t>
      </w:r>
    </w:p>
    <w:p w14:paraId="49D409D5" w14:textId="77777777" w:rsidR="00E52F1C" w:rsidRPr="00A729D8" w:rsidRDefault="00B34554" w:rsidP="00121729">
      <w:pPr>
        <w:pStyle w:val="ListParagraph"/>
        <w:numPr>
          <w:ilvl w:val="1"/>
          <w:numId w:val="86"/>
        </w:numPr>
      </w:pPr>
      <w:r w:rsidRPr="00A729D8">
        <w:t>museum/herbarium/collection records and</w:t>
      </w:r>
    </w:p>
    <w:p w14:paraId="668A0A4A" w14:textId="77777777" w:rsidR="00E52F1C" w:rsidRPr="00A729D8" w:rsidRDefault="00B34554" w:rsidP="00121729">
      <w:pPr>
        <w:pStyle w:val="ListParagraph"/>
        <w:numPr>
          <w:ilvl w:val="1"/>
          <w:numId w:val="86"/>
        </w:numPr>
      </w:pPr>
      <w:r w:rsidRPr="00A729D8">
        <w:t>expert advice, properly elicited.</w:t>
      </w:r>
    </w:p>
    <w:p w14:paraId="58B9B7E3" w14:textId="77777777" w:rsidR="00E52F1C" w:rsidRPr="00A729D8" w:rsidRDefault="00B34554" w:rsidP="00121729">
      <w:pPr>
        <w:pStyle w:val="ListParagraph"/>
        <w:numPr>
          <w:ilvl w:val="0"/>
          <w:numId w:val="86"/>
        </w:numPr>
      </w:pPr>
      <w:r w:rsidRPr="00A729D8">
        <w:t>Other sources of data that may be available are:</w:t>
      </w:r>
    </w:p>
    <w:p w14:paraId="67D054BB" w14:textId="77777777" w:rsidR="00E52F1C" w:rsidRPr="00A729D8" w:rsidRDefault="00B34554" w:rsidP="00121729">
      <w:pPr>
        <w:pStyle w:val="ListParagraph"/>
        <w:numPr>
          <w:ilvl w:val="1"/>
          <w:numId w:val="86"/>
        </w:numPr>
      </w:pPr>
      <w:r w:rsidRPr="00A729D8">
        <w:t>free databases (such as ECO, GBIF, PaDIL) and</w:t>
      </w:r>
    </w:p>
    <w:p w14:paraId="3E4F7EE6" w14:textId="77777777" w:rsidR="00E52F1C" w:rsidRPr="00A729D8" w:rsidRDefault="00B34554" w:rsidP="00121729">
      <w:pPr>
        <w:pStyle w:val="ListParagraph"/>
        <w:numPr>
          <w:ilvl w:val="1"/>
          <w:numId w:val="86"/>
        </w:numPr>
      </w:pPr>
      <w:r w:rsidRPr="00A729D8">
        <w:t>internet sources where the level of confidence ranks (highest to lowest):</w:t>
      </w:r>
    </w:p>
    <w:p w14:paraId="0AC405CA" w14:textId="77777777" w:rsidR="00E52F1C" w:rsidRPr="00A729D8" w:rsidRDefault="00B34554" w:rsidP="00121729">
      <w:pPr>
        <w:pStyle w:val="ListParagraph"/>
        <w:numPr>
          <w:ilvl w:val="2"/>
          <w:numId w:val="86"/>
        </w:numPr>
      </w:pPr>
      <w:r w:rsidRPr="00A729D8">
        <w:t>validated data sources with open access</w:t>
      </w:r>
    </w:p>
    <w:p w14:paraId="1D1ECDC2" w14:textId="77777777" w:rsidR="00E52F1C" w:rsidRPr="00A729D8" w:rsidRDefault="00B34554" w:rsidP="00121729">
      <w:pPr>
        <w:pStyle w:val="ListParagraph"/>
        <w:numPr>
          <w:ilvl w:val="2"/>
          <w:numId w:val="86"/>
        </w:numPr>
      </w:pPr>
      <w:r w:rsidRPr="00A729D8">
        <w:t>validated data sources without open access</w:t>
      </w:r>
    </w:p>
    <w:p w14:paraId="41C847DE" w14:textId="77777777" w:rsidR="00E52F1C" w:rsidRPr="00A729D8" w:rsidRDefault="00B34554" w:rsidP="00121729">
      <w:pPr>
        <w:pStyle w:val="ListParagraph"/>
        <w:numPr>
          <w:ilvl w:val="2"/>
          <w:numId w:val="86"/>
        </w:numPr>
      </w:pPr>
      <w:r w:rsidRPr="00A729D8">
        <w:t>survey data and</w:t>
      </w:r>
    </w:p>
    <w:p w14:paraId="3B79F8EC" w14:textId="77777777" w:rsidR="00E52F1C" w:rsidRPr="00A729D8" w:rsidRDefault="00B34554" w:rsidP="00121729">
      <w:pPr>
        <w:pStyle w:val="ListParagraph"/>
        <w:numPr>
          <w:ilvl w:val="2"/>
          <w:numId w:val="86"/>
        </w:numPr>
      </w:pPr>
      <w:r w:rsidRPr="00A729D8">
        <w:t>open access (e.g. google searches).</w:t>
      </w:r>
    </w:p>
    <w:p w14:paraId="514F5771" w14:textId="77777777" w:rsidR="00E52F1C" w:rsidRPr="00A729D8" w:rsidRDefault="00B34554" w:rsidP="00121729">
      <w:pPr>
        <w:pStyle w:val="ListParagraph"/>
        <w:numPr>
          <w:ilvl w:val="0"/>
          <w:numId w:val="86"/>
        </w:numPr>
      </w:pPr>
      <w:r w:rsidRPr="00A729D8">
        <w:t>Where data are not validated, these sources should be checked and validated where possible. The data sources listed in item 3.5(d) of this attachment should be assessed according to their confidence rating (see table in item 3.5(h) of this attachment). Assessment of survey data should consider the methodology used in the survey. Where survey methodology is not available, a low confidence rating should be assigned to these data. Surveys which follow international standards, such as those outlined in ISPM-6 (for plant pests and diseases) or OIE reporting standards (for animal pests and diseases) should be assigned a higher confidence rating.</w:t>
      </w:r>
    </w:p>
    <w:p w14:paraId="6BDA5E7E" w14:textId="77777777" w:rsidR="00E52F1C" w:rsidRPr="00A729D8" w:rsidRDefault="00B34554" w:rsidP="00121729">
      <w:pPr>
        <w:pStyle w:val="ListParagraph"/>
        <w:numPr>
          <w:ilvl w:val="0"/>
          <w:numId w:val="86"/>
        </w:numPr>
      </w:pPr>
      <w:r w:rsidRPr="00A729D8">
        <w:t>Surrogate species (closely related species) information should not be used as there is no direct correlation between surrogates and pest species.</w:t>
      </w:r>
    </w:p>
    <w:p w14:paraId="3367FCD0" w14:textId="42105802" w:rsidR="00E52F1C" w:rsidRPr="00A729D8" w:rsidRDefault="00B34554" w:rsidP="00121729">
      <w:pPr>
        <w:pStyle w:val="ListParagraph"/>
        <w:numPr>
          <w:ilvl w:val="0"/>
          <w:numId w:val="86"/>
        </w:numPr>
      </w:pPr>
      <w:r w:rsidRPr="00A729D8">
        <w:t xml:space="preserve">Formal and informal networks of experts are an essential source of information and data. These networks should be encouraged and communicated </w:t>
      </w:r>
      <w:r w:rsidR="005862C0" w:rsidRPr="00A729D8">
        <w:t xml:space="preserve">with </w:t>
      </w:r>
      <w:r w:rsidRPr="00A729D8">
        <w:t>to ensure timely and effective decision-making.</w:t>
      </w:r>
    </w:p>
    <w:p w14:paraId="375A86EA" w14:textId="77777777" w:rsidR="00B34554" w:rsidRPr="00A729D8" w:rsidRDefault="00B34554" w:rsidP="00121729">
      <w:pPr>
        <w:pStyle w:val="ListParagraph"/>
        <w:numPr>
          <w:ilvl w:val="0"/>
          <w:numId w:val="86"/>
        </w:numPr>
      </w:pPr>
      <w:r w:rsidRPr="00A729D8">
        <w:t>A table outlining the confidence rating of different data sources is provided below.</w:t>
      </w:r>
    </w:p>
    <w:p w14:paraId="26F68033" w14:textId="77777777" w:rsidR="00B34554" w:rsidRPr="00A729D8" w:rsidRDefault="00B34554" w:rsidP="002106F9"/>
    <w:tbl>
      <w:tblPr>
        <w:tblStyle w:val="TableGrid"/>
        <w:tblW w:w="0" w:type="auto"/>
        <w:tblInd w:w="1129" w:type="dxa"/>
        <w:tblLook w:val="04A0" w:firstRow="1" w:lastRow="0" w:firstColumn="1" w:lastColumn="0" w:noHBand="0" w:noVBand="1"/>
      </w:tblPr>
      <w:tblGrid>
        <w:gridCol w:w="5812"/>
        <w:gridCol w:w="2075"/>
      </w:tblGrid>
      <w:tr w:rsidR="00E52F1C" w:rsidRPr="00A729D8" w14:paraId="2A2FAD21" w14:textId="77777777" w:rsidTr="00014CBC">
        <w:trPr>
          <w:trHeight w:val="283"/>
        </w:trPr>
        <w:tc>
          <w:tcPr>
            <w:tcW w:w="5812" w:type="dxa"/>
          </w:tcPr>
          <w:p w14:paraId="59A0D90D" w14:textId="77777777" w:rsidR="00E52F1C" w:rsidRPr="00A729D8" w:rsidRDefault="00E52F1C" w:rsidP="002106F9">
            <w:pPr>
              <w:rPr>
                <w:b/>
              </w:rPr>
            </w:pPr>
            <w:r w:rsidRPr="00A729D8">
              <w:rPr>
                <w:b/>
              </w:rPr>
              <w:lastRenderedPageBreak/>
              <w:t>Document Type or Information Source</w:t>
            </w:r>
          </w:p>
        </w:tc>
        <w:tc>
          <w:tcPr>
            <w:tcW w:w="2075" w:type="dxa"/>
          </w:tcPr>
          <w:p w14:paraId="0AB3AE3A" w14:textId="77777777" w:rsidR="00E52F1C" w:rsidRPr="00A729D8" w:rsidRDefault="00E52F1C" w:rsidP="002106F9">
            <w:pPr>
              <w:rPr>
                <w:b/>
              </w:rPr>
            </w:pPr>
            <w:r w:rsidRPr="00A729D8">
              <w:rPr>
                <w:b/>
              </w:rPr>
              <w:t>Confidence Rating</w:t>
            </w:r>
          </w:p>
        </w:tc>
      </w:tr>
      <w:tr w:rsidR="00E52F1C" w:rsidRPr="00A729D8" w14:paraId="7D2A529F" w14:textId="77777777" w:rsidTr="00014CBC">
        <w:trPr>
          <w:trHeight w:val="283"/>
        </w:trPr>
        <w:tc>
          <w:tcPr>
            <w:tcW w:w="5812" w:type="dxa"/>
          </w:tcPr>
          <w:p w14:paraId="02119E76" w14:textId="77777777" w:rsidR="0014448A" w:rsidRPr="00A729D8" w:rsidRDefault="0014448A" w:rsidP="00121729">
            <w:pPr>
              <w:numPr>
                <w:ilvl w:val="0"/>
                <w:numId w:val="74"/>
              </w:numPr>
            </w:pPr>
            <w:r w:rsidRPr="00A729D8">
              <w:t>Peer-reviewed scientific paper</w:t>
            </w:r>
          </w:p>
        </w:tc>
        <w:tc>
          <w:tcPr>
            <w:tcW w:w="2075" w:type="dxa"/>
          </w:tcPr>
          <w:p w14:paraId="78F8D5AD" w14:textId="77777777" w:rsidR="00E52F1C" w:rsidRPr="00A729D8" w:rsidRDefault="00E52F1C" w:rsidP="002106F9">
            <w:r w:rsidRPr="00A729D8">
              <w:t>High</w:t>
            </w:r>
          </w:p>
        </w:tc>
      </w:tr>
      <w:tr w:rsidR="00E52F1C" w:rsidRPr="00A729D8" w14:paraId="08183E44" w14:textId="77777777" w:rsidTr="00014CBC">
        <w:trPr>
          <w:trHeight w:val="283"/>
        </w:trPr>
        <w:tc>
          <w:tcPr>
            <w:tcW w:w="5812" w:type="dxa"/>
          </w:tcPr>
          <w:p w14:paraId="5BB08995" w14:textId="77777777" w:rsidR="00E52F1C" w:rsidRPr="00A729D8" w:rsidRDefault="0014448A" w:rsidP="00121729">
            <w:pPr>
              <w:numPr>
                <w:ilvl w:val="0"/>
                <w:numId w:val="73"/>
              </w:numPr>
            </w:pPr>
            <w:r w:rsidRPr="00A729D8">
              <w:t>High quality science or plant specific books (e.g. floras), non-peer reviewed scientific paper (e.g. conference proceedings),</w:t>
            </w:r>
          </w:p>
          <w:p w14:paraId="1E9B01A8" w14:textId="77777777" w:rsidR="00E52F1C" w:rsidRPr="00A729D8" w:rsidRDefault="0014448A" w:rsidP="00121729">
            <w:pPr>
              <w:numPr>
                <w:ilvl w:val="0"/>
                <w:numId w:val="73"/>
              </w:numPr>
            </w:pPr>
            <w:r w:rsidRPr="00A729D8">
              <w:t>Personal communications from experts</w:t>
            </w:r>
            <w:r w:rsidR="00E52F1C" w:rsidRPr="00A729D8">
              <w:t xml:space="preserve"> </w:t>
            </w:r>
            <w:r w:rsidRPr="00A729D8">
              <w:t>(e.g. PhD, or higher degree on species being assessed),</w:t>
            </w:r>
          </w:p>
          <w:p w14:paraId="3B9B4C6B" w14:textId="77777777" w:rsidR="00E52F1C" w:rsidRPr="00A729D8" w:rsidRDefault="0014448A" w:rsidP="00121729">
            <w:pPr>
              <w:numPr>
                <w:ilvl w:val="0"/>
                <w:numId w:val="73"/>
              </w:numPr>
            </w:pPr>
            <w:r w:rsidRPr="00A729D8">
              <w:t>Unpublished reports from highly reliable sources (e.g. commercial reports or honours theses, etc.),</w:t>
            </w:r>
          </w:p>
          <w:p w14:paraId="4FCF7C29" w14:textId="77777777" w:rsidR="00E52F1C" w:rsidRPr="00A729D8" w:rsidRDefault="0014448A" w:rsidP="00121729">
            <w:pPr>
              <w:numPr>
                <w:ilvl w:val="0"/>
                <w:numId w:val="73"/>
              </w:numPr>
            </w:pPr>
            <w:r w:rsidRPr="00A729D8">
              <w:t>Internet information from Herbaria data, or</w:t>
            </w:r>
          </w:p>
          <w:p w14:paraId="65DB222F" w14:textId="77777777" w:rsidR="00E52F1C" w:rsidRPr="00A729D8" w:rsidRDefault="0014448A" w:rsidP="00121729">
            <w:pPr>
              <w:numPr>
                <w:ilvl w:val="0"/>
                <w:numId w:val="73"/>
              </w:numPr>
            </w:pPr>
            <w:r w:rsidRPr="00A729D8">
              <w:t>Internet information that cites sources from the ‘Medium/High’ category above.</w:t>
            </w:r>
            <w:r w:rsidRPr="00A729D8">
              <w:tab/>
            </w:r>
          </w:p>
        </w:tc>
        <w:tc>
          <w:tcPr>
            <w:tcW w:w="2075" w:type="dxa"/>
          </w:tcPr>
          <w:p w14:paraId="22BB577E" w14:textId="77777777" w:rsidR="00E52F1C" w:rsidRPr="00A729D8" w:rsidRDefault="00E52F1C" w:rsidP="002106F9">
            <w:r w:rsidRPr="00A729D8">
              <w:t>Medium/ High</w:t>
            </w:r>
          </w:p>
        </w:tc>
      </w:tr>
      <w:tr w:rsidR="00E52F1C" w:rsidRPr="00A729D8" w14:paraId="2F461326" w14:textId="77777777" w:rsidTr="00014CBC">
        <w:trPr>
          <w:trHeight w:val="283"/>
        </w:trPr>
        <w:tc>
          <w:tcPr>
            <w:tcW w:w="5812" w:type="dxa"/>
          </w:tcPr>
          <w:p w14:paraId="251960BD" w14:textId="77777777" w:rsidR="00E52F1C" w:rsidRPr="00A729D8" w:rsidRDefault="0014448A" w:rsidP="00121729">
            <w:pPr>
              <w:numPr>
                <w:ilvl w:val="0"/>
                <w:numId w:val="75"/>
              </w:numPr>
            </w:pPr>
            <w:r w:rsidRPr="00A729D8">
              <w:t>Personal communications from people with experience with the species under assessment,</w:t>
            </w:r>
          </w:p>
          <w:p w14:paraId="59A108AD" w14:textId="77777777" w:rsidR="00E52F1C" w:rsidRPr="00A729D8" w:rsidRDefault="0014448A" w:rsidP="00121729">
            <w:pPr>
              <w:numPr>
                <w:ilvl w:val="0"/>
                <w:numId w:val="75"/>
              </w:numPr>
            </w:pPr>
            <w:r w:rsidRPr="00A729D8">
              <w:t>Information from general plant books</w:t>
            </w:r>
            <w:r w:rsidR="00E52F1C" w:rsidRPr="00A729D8">
              <w:t xml:space="preserve"> (e.g. Encyclopaedia Botanica, Gardening Flora, etc.),</w:t>
            </w:r>
          </w:p>
          <w:p w14:paraId="11D6C2C5" w14:textId="77777777" w:rsidR="00E52F1C" w:rsidRPr="00A729D8" w:rsidRDefault="0014448A" w:rsidP="00121729">
            <w:pPr>
              <w:numPr>
                <w:ilvl w:val="0"/>
                <w:numId w:val="75"/>
              </w:numPr>
            </w:pPr>
            <w:r w:rsidRPr="00A729D8">
              <w:t>Unpublished reports from uncertain sources,</w:t>
            </w:r>
          </w:p>
          <w:p w14:paraId="76FAC4F2" w14:textId="77777777" w:rsidR="00E52F1C" w:rsidRPr="00A729D8" w:rsidRDefault="0014448A" w:rsidP="00121729">
            <w:pPr>
              <w:numPr>
                <w:ilvl w:val="0"/>
                <w:numId w:val="75"/>
              </w:numPr>
            </w:pPr>
            <w:r w:rsidRPr="00A729D8">
              <w:t>Internet information that cites sources from the ‘Medium’ category, or</w:t>
            </w:r>
          </w:p>
          <w:p w14:paraId="0D627FC3" w14:textId="77777777" w:rsidR="00E52F1C" w:rsidRPr="00A729D8" w:rsidRDefault="0014448A" w:rsidP="00121729">
            <w:pPr>
              <w:numPr>
                <w:ilvl w:val="0"/>
                <w:numId w:val="75"/>
              </w:numPr>
            </w:pPr>
            <w:r w:rsidRPr="00A729D8">
              <w:t>Internet information from government or university websites (e.g. Australian state governments, or the USDA)</w:t>
            </w:r>
          </w:p>
        </w:tc>
        <w:tc>
          <w:tcPr>
            <w:tcW w:w="2075" w:type="dxa"/>
          </w:tcPr>
          <w:p w14:paraId="16CC1B75" w14:textId="77777777" w:rsidR="00E52F1C" w:rsidRPr="00A729D8" w:rsidRDefault="0014448A" w:rsidP="002106F9">
            <w:r w:rsidRPr="00A729D8">
              <w:t>Medium</w:t>
            </w:r>
          </w:p>
        </w:tc>
      </w:tr>
      <w:tr w:rsidR="00E52F1C" w:rsidRPr="00A729D8" w14:paraId="52D2DB98" w14:textId="77777777" w:rsidTr="00014CBC">
        <w:trPr>
          <w:trHeight w:val="283"/>
        </w:trPr>
        <w:tc>
          <w:tcPr>
            <w:tcW w:w="5812" w:type="dxa"/>
          </w:tcPr>
          <w:p w14:paraId="2E5962C3" w14:textId="77777777" w:rsidR="00E52F1C" w:rsidRPr="00A729D8" w:rsidRDefault="0014448A" w:rsidP="00121729">
            <w:pPr>
              <w:numPr>
                <w:ilvl w:val="0"/>
                <w:numId w:val="76"/>
              </w:numPr>
            </w:pPr>
            <w:r w:rsidRPr="00A729D8">
              <w:t>Anecdotal data from non-experts,</w:t>
            </w:r>
          </w:p>
          <w:p w14:paraId="362E9108" w14:textId="77777777" w:rsidR="00E52F1C" w:rsidRPr="00A729D8" w:rsidRDefault="0014448A" w:rsidP="00121729">
            <w:pPr>
              <w:numPr>
                <w:ilvl w:val="0"/>
                <w:numId w:val="76"/>
              </w:numPr>
            </w:pPr>
            <w:r w:rsidRPr="00A729D8">
              <w:t>Internet information that cites anecdotal, non-expert sources,</w:t>
            </w:r>
          </w:p>
          <w:p w14:paraId="337EB09B" w14:textId="77777777" w:rsidR="00E52F1C" w:rsidRPr="00A729D8" w:rsidRDefault="0014448A" w:rsidP="00121729">
            <w:pPr>
              <w:numPr>
                <w:ilvl w:val="0"/>
                <w:numId w:val="76"/>
              </w:numPr>
            </w:pPr>
            <w:r w:rsidRPr="00A729D8">
              <w:t>Internet information from uncertain/uncited sources,</w:t>
            </w:r>
          </w:p>
          <w:p w14:paraId="1E49F5D7" w14:textId="77777777" w:rsidR="0014448A" w:rsidRPr="00A729D8" w:rsidRDefault="0014448A" w:rsidP="00121729">
            <w:pPr>
              <w:numPr>
                <w:ilvl w:val="0"/>
                <w:numId w:val="76"/>
              </w:numPr>
            </w:pPr>
            <w:r w:rsidRPr="00A729D8">
              <w:t>Horticultural, nurs</w:t>
            </w:r>
            <w:r w:rsidR="00E52F1C" w:rsidRPr="00A729D8">
              <w:t>ery notes or general web pages.</w:t>
            </w:r>
          </w:p>
        </w:tc>
        <w:tc>
          <w:tcPr>
            <w:tcW w:w="2075" w:type="dxa"/>
          </w:tcPr>
          <w:p w14:paraId="1668F02E" w14:textId="77777777" w:rsidR="00E52F1C" w:rsidRPr="00A729D8" w:rsidRDefault="0014448A" w:rsidP="002106F9">
            <w:r w:rsidRPr="00A729D8">
              <w:t>Medium/ Low</w:t>
            </w:r>
          </w:p>
        </w:tc>
      </w:tr>
      <w:tr w:rsidR="00E52F1C" w:rsidRPr="00A729D8" w14:paraId="3675C90E" w14:textId="77777777" w:rsidTr="00014CBC">
        <w:trPr>
          <w:trHeight w:val="283"/>
        </w:trPr>
        <w:tc>
          <w:tcPr>
            <w:tcW w:w="5812" w:type="dxa"/>
          </w:tcPr>
          <w:p w14:paraId="7E3F299C" w14:textId="77777777" w:rsidR="00E52F1C" w:rsidRPr="00A729D8" w:rsidRDefault="00E52F1C" w:rsidP="00121729">
            <w:pPr>
              <w:numPr>
                <w:ilvl w:val="0"/>
                <w:numId w:val="76"/>
              </w:numPr>
            </w:pPr>
            <w:r w:rsidRPr="00A729D8">
              <w:t>No data or reference material available.</w:t>
            </w:r>
            <w:r w:rsidRPr="00A729D8">
              <w:tab/>
            </w:r>
          </w:p>
        </w:tc>
        <w:tc>
          <w:tcPr>
            <w:tcW w:w="2075" w:type="dxa"/>
          </w:tcPr>
          <w:p w14:paraId="582C4C3E" w14:textId="77777777" w:rsidR="00E52F1C" w:rsidRPr="00A729D8" w:rsidRDefault="00E52F1C" w:rsidP="002106F9">
            <w:r w:rsidRPr="00A729D8">
              <w:t>Low</w:t>
            </w:r>
          </w:p>
        </w:tc>
      </w:tr>
    </w:tbl>
    <w:p w14:paraId="5FAEF274" w14:textId="77777777" w:rsidR="00AD2C4F" w:rsidRPr="00A729D8" w:rsidRDefault="00AD2C4F" w:rsidP="002106F9">
      <w:pPr>
        <w:ind w:left="1440"/>
        <w:rPr>
          <w:i/>
        </w:rPr>
      </w:pPr>
      <w:r w:rsidRPr="00A729D8">
        <w:rPr>
          <w:i/>
        </w:rPr>
        <w:t>Source: Department of Primary Industries, Victoria.</w:t>
      </w:r>
    </w:p>
    <w:p w14:paraId="55983A36" w14:textId="77777777" w:rsidR="00B34554" w:rsidRPr="00A729D8" w:rsidRDefault="00B34554" w:rsidP="00121729">
      <w:pPr>
        <w:pStyle w:val="ListParagraph"/>
        <w:numPr>
          <w:ilvl w:val="0"/>
          <w:numId w:val="86"/>
        </w:numPr>
      </w:pPr>
      <w:r w:rsidRPr="00A729D8">
        <w:t>There is a risk that increasing the acceptable level of confidence in the quality of the data will reduce the quality of a prediction by reducing representativeness. Sensitivity analysis is needed to determine the influence of poor quality data. Effort can then be directed to verifying influential, poor quality data.</w:t>
      </w:r>
    </w:p>
    <w:p w14:paraId="4BFDFCF0" w14:textId="77777777" w:rsidR="00B34554" w:rsidRPr="00A729D8" w:rsidRDefault="00B34554" w:rsidP="002106F9"/>
    <w:p w14:paraId="69DD5C6D" w14:textId="77777777" w:rsidR="00B34554" w:rsidRPr="00A729D8" w:rsidRDefault="00B34554" w:rsidP="002106F9">
      <w:pPr>
        <w:pStyle w:val="ScheduleL2"/>
      </w:pPr>
      <w:r w:rsidRPr="00A729D8">
        <w:lastRenderedPageBreak/>
        <w:t>Insufficient data</w:t>
      </w:r>
    </w:p>
    <w:p w14:paraId="6C2FA83F" w14:textId="6C3329FD" w:rsidR="00B34554" w:rsidRPr="00A729D8" w:rsidRDefault="00B34554" w:rsidP="002106F9">
      <w:r w:rsidRPr="00A729D8">
        <w:t xml:space="preserve">If there is insufficient data on a particular pest to model the potential range, the </w:t>
      </w:r>
      <w:r w:rsidR="00B20F48" w:rsidRPr="00A729D8">
        <w:t>N</w:t>
      </w:r>
      <w:r w:rsidR="00B70DCF" w:rsidRPr="00A729D8">
        <w:t>B</w:t>
      </w:r>
      <w:r w:rsidR="00B20F48" w:rsidRPr="00A729D8">
        <w:t>MCC</w:t>
      </w:r>
      <w:r w:rsidRPr="00A729D8">
        <w:t xml:space="preserve"> should provide advice to the NMG on its best estimate.</w:t>
      </w:r>
    </w:p>
    <w:p w14:paraId="7B56733E" w14:textId="77777777" w:rsidR="00B34554" w:rsidRPr="00A729D8" w:rsidRDefault="00B34554" w:rsidP="002106F9">
      <w:pPr>
        <w:pStyle w:val="ScheduleL2"/>
      </w:pPr>
      <w:r w:rsidRPr="00A729D8">
        <w:t>Preferred datasets</w:t>
      </w:r>
    </w:p>
    <w:p w14:paraId="3E900331" w14:textId="77777777" w:rsidR="00B34554" w:rsidRPr="00A729D8" w:rsidRDefault="00B34554" w:rsidP="00121729">
      <w:pPr>
        <w:pStyle w:val="ListParagraph"/>
        <w:numPr>
          <w:ilvl w:val="0"/>
          <w:numId w:val="87"/>
        </w:numPr>
      </w:pPr>
      <w:r w:rsidRPr="00A729D8">
        <w:t>Climate data from the Bureau of Meteorology can be used for actual climate variables—as opposed to WorldClim, which tends to be based on averages.</w:t>
      </w:r>
    </w:p>
    <w:p w14:paraId="35D73768" w14:textId="77777777" w:rsidR="00B34554" w:rsidRPr="00A729D8" w:rsidRDefault="00B34554" w:rsidP="00121729">
      <w:pPr>
        <w:pStyle w:val="ListParagraph"/>
        <w:numPr>
          <w:ilvl w:val="0"/>
          <w:numId w:val="87"/>
        </w:numPr>
      </w:pPr>
      <w:r w:rsidRPr="00A729D8">
        <w:t>Since many incursions originate from ports and airports—a distance to ports and airports is very useful.</w:t>
      </w:r>
    </w:p>
    <w:p w14:paraId="1C756AFF" w14:textId="77777777" w:rsidR="00D15D2F" w:rsidRPr="00A729D8" w:rsidRDefault="00B34554" w:rsidP="00121729">
      <w:pPr>
        <w:pStyle w:val="ListParagraph"/>
        <w:numPr>
          <w:ilvl w:val="0"/>
          <w:numId w:val="87"/>
        </w:numPr>
      </w:pPr>
      <w:r w:rsidRPr="00A729D8">
        <w:t>Similarly, water feature data can be analysed based on, for example, the distance to perennial or ephemeral rivers or lakes.</w:t>
      </w:r>
    </w:p>
    <w:p w14:paraId="5F9686C9" w14:textId="77777777" w:rsidR="00D15D2F" w:rsidRPr="00A729D8" w:rsidRDefault="00B34554" w:rsidP="00121729">
      <w:pPr>
        <w:pStyle w:val="ListParagraph"/>
        <w:numPr>
          <w:ilvl w:val="0"/>
          <w:numId w:val="87"/>
        </w:numPr>
      </w:pPr>
      <w:r w:rsidRPr="00A729D8">
        <w:t>Additional data sets that may be used as secondary data are:</w:t>
      </w:r>
    </w:p>
    <w:p w14:paraId="2CBDB82B" w14:textId="77777777" w:rsidR="00D15D2F" w:rsidRPr="00A729D8" w:rsidRDefault="00B34554" w:rsidP="00121729">
      <w:pPr>
        <w:pStyle w:val="ListParagraph"/>
        <w:numPr>
          <w:ilvl w:val="1"/>
          <w:numId w:val="87"/>
        </w:numPr>
      </w:pPr>
      <w:r w:rsidRPr="00A729D8">
        <w:t>Bureau of Rural Sciences (BRS) land use/cover;</w:t>
      </w:r>
    </w:p>
    <w:p w14:paraId="054F19B9" w14:textId="77777777" w:rsidR="00D15D2F" w:rsidRPr="00A729D8" w:rsidRDefault="00B34554" w:rsidP="00121729">
      <w:pPr>
        <w:pStyle w:val="ListParagraph"/>
        <w:numPr>
          <w:ilvl w:val="1"/>
          <w:numId w:val="87"/>
        </w:numPr>
      </w:pPr>
      <w:r w:rsidRPr="00A729D8">
        <w:t>Heritage features, such protected sites, World Heritage Areas and the national estate; and</w:t>
      </w:r>
    </w:p>
    <w:p w14:paraId="469A885A" w14:textId="77777777" w:rsidR="00D15D2F" w:rsidRPr="00A729D8" w:rsidRDefault="00B34554" w:rsidP="00121729">
      <w:pPr>
        <w:pStyle w:val="ListParagraph"/>
        <w:numPr>
          <w:ilvl w:val="1"/>
          <w:numId w:val="87"/>
        </w:numPr>
      </w:pPr>
      <w:r w:rsidRPr="00A729D8">
        <w:t>NVIS data sets for native vegetation; and VAST data to indicate vegetation condition.</w:t>
      </w:r>
    </w:p>
    <w:p w14:paraId="316DBCBD" w14:textId="77777777" w:rsidR="00B34554" w:rsidRPr="00A729D8" w:rsidRDefault="00B34554" w:rsidP="00121729">
      <w:pPr>
        <w:pStyle w:val="ListParagraph"/>
        <w:numPr>
          <w:ilvl w:val="0"/>
          <w:numId w:val="87"/>
        </w:numPr>
      </w:pPr>
      <w:r w:rsidRPr="00A729D8">
        <w:t>Due to the scale of the input data, the analysis should be made at the native resolution level and presented as a 10 km x 10 km grid.</w:t>
      </w:r>
    </w:p>
    <w:p w14:paraId="59EE628B" w14:textId="77777777" w:rsidR="00B34554" w:rsidRPr="00A729D8" w:rsidRDefault="00B34554" w:rsidP="002106F9">
      <w:pPr>
        <w:pStyle w:val="ScheduleL1"/>
      </w:pPr>
      <w:r w:rsidRPr="00A729D8">
        <w:t>Modelling software</w:t>
      </w:r>
    </w:p>
    <w:p w14:paraId="67606AA0" w14:textId="0AE28956" w:rsidR="00CB79CB" w:rsidRPr="00A729D8" w:rsidRDefault="00CB79CB" w:rsidP="00CB79CB">
      <w:pPr>
        <w:pStyle w:val="ScheduleL1"/>
        <w:numPr>
          <w:ilvl w:val="0"/>
          <w:numId w:val="0"/>
        </w:numPr>
        <w:shd w:val="clear" w:color="auto" w:fill="D9D9D9" w:themeFill="background1" w:themeFillShade="D9"/>
        <w:rPr>
          <w:b w:val="0"/>
        </w:rPr>
      </w:pPr>
      <w:r w:rsidRPr="00A729D8">
        <w:rPr>
          <w:b w:val="0"/>
        </w:rPr>
        <w:t xml:space="preserve">[DRAFTING NOTE: </w:t>
      </w:r>
      <w:r w:rsidR="00FE435B" w:rsidRPr="00A729D8">
        <w:rPr>
          <w:b w:val="0"/>
        </w:rPr>
        <w:t>consider if</w:t>
      </w:r>
      <w:r w:rsidRPr="00A729D8">
        <w:rPr>
          <w:b w:val="0"/>
        </w:rPr>
        <w:t xml:space="preserve"> Climatch remains the preferred model]</w:t>
      </w:r>
    </w:p>
    <w:p w14:paraId="29475E11" w14:textId="77777777" w:rsidR="00B34554" w:rsidRPr="00A729D8" w:rsidRDefault="00B34554" w:rsidP="00121729">
      <w:pPr>
        <w:pStyle w:val="ListParagraph"/>
        <w:numPr>
          <w:ilvl w:val="0"/>
          <w:numId w:val="88"/>
        </w:numPr>
      </w:pPr>
      <w:r w:rsidRPr="00A729D8">
        <w:t>Climatch (Euclidian matching as implemented by BRS) is the prefer</w:t>
      </w:r>
      <w:r w:rsidR="00D15D2F" w:rsidRPr="00A729D8">
        <w:t>red climate modelling software.</w:t>
      </w:r>
    </w:p>
    <w:p w14:paraId="31F07769" w14:textId="77777777" w:rsidR="00B34554" w:rsidRPr="00A729D8" w:rsidRDefault="00B34554" w:rsidP="00121729">
      <w:pPr>
        <w:pStyle w:val="ListParagraph"/>
        <w:numPr>
          <w:ilvl w:val="0"/>
          <w:numId w:val="88"/>
        </w:numPr>
      </w:pPr>
      <w:r w:rsidRPr="00A729D8">
        <w:t>While Climatch, like all models, has limitations, its overall logic is sound and it has the advantage of producing a single, reproducible climate match output from a set of agreed inputs. While it is acknowledged that the predictions have uncertainty attached to them, there will be no systematic errors that consistently disadvantage a particular jurisdiction.</w:t>
      </w:r>
    </w:p>
    <w:p w14:paraId="7121CAB0" w14:textId="77777777" w:rsidR="00B34554" w:rsidRPr="00A729D8" w:rsidRDefault="00B34554" w:rsidP="00121729">
      <w:pPr>
        <w:pStyle w:val="ListParagraph"/>
        <w:numPr>
          <w:ilvl w:val="0"/>
          <w:numId w:val="88"/>
        </w:numPr>
      </w:pPr>
      <w:r w:rsidRPr="00A729D8">
        <w:t>Climatch uses a number of data parameters, such as temperature and rainfall, to match regions of Australia with areas overseas where a pest is already established. This is then a prediction of where it may be possible for the pest to live if able and allowed to spread to all areas.</w:t>
      </w:r>
    </w:p>
    <w:p w14:paraId="3869B015" w14:textId="77777777" w:rsidR="00B34554" w:rsidRPr="00A729D8" w:rsidRDefault="00B34554" w:rsidP="00121729">
      <w:pPr>
        <w:pStyle w:val="ListParagraph"/>
        <w:numPr>
          <w:ilvl w:val="0"/>
          <w:numId w:val="88"/>
        </w:numPr>
      </w:pPr>
      <w:r w:rsidRPr="00A729D8">
        <w:t>An additional data layer for surface water will also be used for inland water pests. Suitable habitat will be wherever surface water occurs in an area of suitable climate.</w:t>
      </w:r>
    </w:p>
    <w:p w14:paraId="4994F011" w14:textId="77777777" w:rsidR="00B34554" w:rsidRPr="00A729D8" w:rsidRDefault="00B34554" w:rsidP="00121729">
      <w:pPr>
        <w:pStyle w:val="ListParagraph"/>
        <w:numPr>
          <w:ilvl w:val="0"/>
          <w:numId w:val="88"/>
        </w:numPr>
      </w:pPr>
      <w:r w:rsidRPr="00A729D8">
        <w:t>For cost-sharing purposes a threshold of climate match level 5 and higher will be used for Climatch modelling.</w:t>
      </w:r>
    </w:p>
    <w:p w14:paraId="71CA9F3A" w14:textId="77777777" w:rsidR="00B34554" w:rsidRPr="00A729D8" w:rsidRDefault="00B34554" w:rsidP="002106F9">
      <w:pPr>
        <w:pStyle w:val="ScheduleL1"/>
      </w:pPr>
      <w:r w:rsidRPr="00A729D8">
        <w:t>Processes and procedures for modelling the likely area of infestation of an inland water pest</w:t>
      </w:r>
    </w:p>
    <w:p w14:paraId="054B7939" w14:textId="77777777" w:rsidR="00B34554" w:rsidRPr="00A729D8" w:rsidRDefault="00B34554" w:rsidP="002106F9">
      <w:r w:rsidRPr="00A729D8">
        <w:lastRenderedPageBreak/>
        <w:t xml:space="preserve">The following process is recommended for modelling </w:t>
      </w:r>
      <w:r w:rsidR="00D15D2F" w:rsidRPr="00A729D8">
        <w:t>the likely area of infestation:</w:t>
      </w:r>
    </w:p>
    <w:p w14:paraId="3B762AA4" w14:textId="77777777" w:rsidR="00B34554" w:rsidRPr="00A729D8" w:rsidRDefault="00B34554" w:rsidP="002106F9">
      <w:r w:rsidRPr="00A729D8">
        <w:t>Identify the pest.</w:t>
      </w:r>
    </w:p>
    <w:p w14:paraId="3F4EB27D" w14:textId="77777777" w:rsidR="00B34554" w:rsidRPr="00A729D8" w:rsidRDefault="00B34554" w:rsidP="00121729">
      <w:pPr>
        <w:pStyle w:val="ListParagraph"/>
        <w:numPr>
          <w:ilvl w:val="0"/>
          <w:numId w:val="89"/>
        </w:numPr>
      </w:pPr>
      <w:r w:rsidRPr="00A729D8">
        <w:t>Undertake an internet search for information on the pest (accessing both high and lesser quality information), particularly on distribution.</w:t>
      </w:r>
    </w:p>
    <w:p w14:paraId="4922483E" w14:textId="77777777" w:rsidR="00B34554" w:rsidRPr="00A729D8" w:rsidRDefault="00B34554" w:rsidP="00121729">
      <w:pPr>
        <w:pStyle w:val="ListParagraph"/>
        <w:numPr>
          <w:ilvl w:val="0"/>
          <w:numId w:val="89"/>
        </w:numPr>
      </w:pPr>
      <w:r w:rsidRPr="00A729D8">
        <w:t xml:space="preserve">Collect overseas and Australian distributional data (both validated and anecdotal, noting that this is for new </w:t>
      </w:r>
      <w:r w:rsidR="00747D05" w:rsidRPr="00A729D8">
        <w:t>incident</w:t>
      </w:r>
      <w:r w:rsidRPr="00A729D8">
        <w:t>s).</w:t>
      </w:r>
    </w:p>
    <w:p w14:paraId="433A3C67" w14:textId="77777777" w:rsidR="00B34554" w:rsidRPr="00A729D8" w:rsidRDefault="00B34554" w:rsidP="00121729">
      <w:pPr>
        <w:pStyle w:val="ListParagraph"/>
        <w:numPr>
          <w:ilvl w:val="0"/>
          <w:numId w:val="89"/>
        </w:numPr>
      </w:pPr>
      <w:r w:rsidRPr="00A729D8">
        <w:t>Undertake Climatch modelling of validated data using:</w:t>
      </w:r>
    </w:p>
    <w:p w14:paraId="2C2C1901" w14:textId="77777777" w:rsidR="00B34554" w:rsidRPr="00A729D8" w:rsidRDefault="00B34554" w:rsidP="00121729">
      <w:pPr>
        <w:pStyle w:val="ListParagraph"/>
        <w:numPr>
          <w:ilvl w:val="1"/>
          <w:numId w:val="89"/>
        </w:numPr>
      </w:pPr>
      <w:r w:rsidRPr="00A729D8">
        <w:t>all 16 parameters for rainfall and temperature</w:t>
      </w:r>
    </w:p>
    <w:p w14:paraId="32C8102F" w14:textId="77777777" w:rsidR="00B34554" w:rsidRPr="00A729D8" w:rsidRDefault="00B34554" w:rsidP="00121729">
      <w:pPr>
        <w:pStyle w:val="ListParagraph"/>
        <w:numPr>
          <w:ilvl w:val="1"/>
          <w:numId w:val="89"/>
        </w:numPr>
      </w:pPr>
      <w:r w:rsidRPr="00A729D8">
        <w:t>the agreed, current shapefile</w:t>
      </w:r>
    </w:p>
    <w:p w14:paraId="4021A63A" w14:textId="77777777" w:rsidR="00B34554" w:rsidRPr="00A729D8" w:rsidRDefault="00B34554" w:rsidP="00121729">
      <w:pPr>
        <w:pStyle w:val="ListParagraph"/>
        <w:numPr>
          <w:ilvl w:val="1"/>
          <w:numId w:val="89"/>
        </w:numPr>
      </w:pPr>
      <w:r w:rsidRPr="00A729D8">
        <w:t>worlddata all.txt (or, if necessary, newwrldclm.txt)</w:t>
      </w:r>
    </w:p>
    <w:p w14:paraId="65F2E007" w14:textId="77777777" w:rsidR="00B34554" w:rsidRPr="00A729D8" w:rsidRDefault="00B34554" w:rsidP="00121729">
      <w:pPr>
        <w:pStyle w:val="ListParagraph"/>
        <w:numPr>
          <w:ilvl w:val="1"/>
          <w:numId w:val="89"/>
        </w:numPr>
      </w:pPr>
      <w:r w:rsidRPr="00A729D8">
        <w:t>Euclidian match.</w:t>
      </w:r>
    </w:p>
    <w:p w14:paraId="31894808" w14:textId="77777777" w:rsidR="00B34554" w:rsidRPr="00A729D8" w:rsidRDefault="00B34554" w:rsidP="00121729">
      <w:pPr>
        <w:pStyle w:val="ListParagraph"/>
        <w:numPr>
          <w:ilvl w:val="0"/>
          <w:numId w:val="89"/>
        </w:numPr>
      </w:pPr>
      <w:r w:rsidRPr="00A729D8">
        <w:t>Undertake Climatch modelling of anecdotal data using methodology as for item 5(d) of this attachment.</w:t>
      </w:r>
    </w:p>
    <w:p w14:paraId="7A9D2C6D" w14:textId="77777777" w:rsidR="00B34554" w:rsidRPr="00A729D8" w:rsidRDefault="00B34554" w:rsidP="00121729">
      <w:pPr>
        <w:pStyle w:val="ListParagraph"/>
        <w:numPr>
          <w:ilvl w:val="0"/>
          <w:numId w:val="89"/>
        </w:numPr>
      </w:pPr>
      <w:r w:rsidRPr="00A729D8">
        <w:t>Check the data to ensure there are no fundamental errors and validate the outliers, excluding (with an explanation) any errors and anomalies (e.g. non-viable populations).</w:t>
      </w:r>
    </w:p>
    <w:p w14:paraId="7ABE4369" w14:textId="77777777" w:rsidR="00B34554" w:rsidRPr="00A729D8" w:rsidRDefault="00B34554" w:rsidP="00121729">
      <w:pPr>
        <w:pStyle w:val="ListParagraph"/>
        <w:numPr>
          <w:ilvl w:val="0"/>
          <w:numId w:val="89"/>
        </w:numPr>
      </w:pPr>
      <w:r w:rsidRPr="00A729D8">
        <w:t>Overlay with surface water data/maps.</w:t>
      </w:r>
    </w:p>
    <w:p w14:paraId="702D100C" w14:textId="77777777" w:rsidR="00B34554" w:rsidRPr="00A729D8" w:rsidRDefault="00B34554" w:rsidP="00121729">
      <w:pPr>
        <w:pStyle w:val="ListParagraph"/>
        <w:numPr>
          <w:ilvl w:val="0"/>
          <w:numId w:val="89"/>
        </w:numPr>
      </w:pPr>
      <w:r w:rsidRPr="00A729D8">
        <w:t>Check the results with other experts.</w:t>
      </w:r>
    </w:p>
    <w:p w14:paraId="0BCD94C6" w14:textId="77777777" w:rsidR="00B34554" w:rsidRPr="00A729D8" w:rsidRDefault="00B34554" w:rsidP="00121729">
      <w:pPr>
        <w:pStyle w:val="ListParagraph"/>
        <w:numPr>
          <w:ilvl w:val="0"/>
          <w:numId w:val="89"/>
        </w:numPr>
      </w:pPr>
      <w:r w:rsidRPr="00A729D8">
        <w:t>Include additional layers of data, when they are to be used in the analysis (such as the host species range to give the potential distribution of inland water pathogens, as it is assumed that they would generally require the presence of a suitable host species to survive). Any modifiers that are used must be incontrovertible and fully documented.</w:t>
      </w:r>
    </w:p>
    <w:p w14:paraId="68D11F82" w14:textId="77777777" w:rsidR="00B34554" w:rsidRPr="00A729D8" w:rsidRDefault="00B34554" w:rsidP="00121729">
      <w:pPr>
        <w:pStyle w:val="ListParagraph"/>
        <w:numPr>
          <w:ilvl w:val="0"/>
          <w:numId w:val="89"/>
        </w:numPr>
      </w:pPr>
      <w:r w:rsidRPr="00A729D8">
        <w:t>Produce potential distribution map:</w:t>
      </w:r>
    </w:p>
    <w:p w14:paraId="39B2A52E" w14:textId="77777777" w:rsidR="00B34554" w:rsidRPr="00A729D8" w:rsidRDefault="00B34554" w:rsidP="00121729">
      <w:pPr>
        <w:pStyle w:val="ListParagraph"/>
        <w:numPr>
          <w:ilvl w:val="1"/>
          <w:numId w:val="89"/>
        </w:numPr>
      </w:pPr>
      <w:r w:rsidRPr="00A729D8">
        <w:t>‘clip’ Climatch map in GIS to the overlay of the surface water</w:t>
      </w:r>
    </w:p>
    <w:p w14:paraId="15779F38" w14:textId="77777777" w:rsidR="00B34554" w:rsidRPr="00A729D8" w:rsidRDefault="00B34554" w:rsidP="00121729">
      <w:pPr>
        <w:pStyle w:val="ListParagraph"/>
        <w:numPr>
          <w:ilvl w:val="1"/>
          <w:numId w:val="89"/>
        </w:numPr>
      </w:pPr>
      <w:r w:rsidRPr="00A729D8">
        <w:t>threshold match of level 5 (Bomford modelling)</w:t>
      </w:r>
    </w:p>
    <w:p w14:paraId="2923E217" w14:textId="77777777" w:rsidR="00B34554" w:rsidRPr="00A729D8" w:rsidRDefault="00B34554" w:rsidP="00121729">
      <w:pPr>
        <w:pStyle w:val="ListParagraph"/>
        <w:numPr>
          <w:ilvl w:val="1"/>
          <w:numId w:val="89"/>
        </w:numPr>
      </w:pPr>
      <w:r w:rsidRPr="00A729D8">
        <w:t>include a confidence statement on the quality of the data.</w:t>
      </w:r>
    </w:p>
    <w:p w14:paraId="60A54F6A" w14:textId="77777777" w:rsidR="00B34554" w:rsidRPr="00A729D8" w:rsidRDefault="00B34554" w:rsidP="002106F9">
      <w:r w:rsidRPr="00A729D8">
        <w:t xml:space="preserve"> </w:t>
      </w:r>
    </w:p>
    <w:p w14:paraId="40E48527" w14:textId="77777777" w:rsidR="00D15D2F" w:rsidRPr="00A729D8" w:rsidRDefault="00D15D2F" w:rsidP="002106F9">
      <w:pPr>
        <w:spacing w:before="0" w:after="160" w:line="252" w:lineRule="auto"/>
      </w:pPr>
      <w:r w:rsidRPr="00A729D8">
        <w:br w:type="page"/>
      </w:r>
    </w:p>
    <w:p w14:paraId="19D4F55F" w14:textId="77777777" w:rsidR="00B34554" w:rsidRPr="00A729D8" w:rsidRDefault="00C02F9A" w:rsidP="002106F9">
      <w:pPr>
        <w:pStyle w:val="Heading2"/>
        <w:keepNext w:val="0"/>
        <w:keepLines w:val="0"/>
        <w:numPr>
          <w:ilvl w:val="0"/>
          <w:numId w:val="0"/>
        </w:numPr>
      </w:pPr>
      <w:bookmarkStart w:id="275" w:name="_Toc7528161"/>
      <w:r w:rsidRPr="00A729D8">
        <w:lastRenderedPageBreak/>
        <w:t>Attachment 4</w:t>
      </w:r>
      <w:r w:rsidR="00B34554" w:rsidRPr="00A729D8">
        <w:t>C</w:t>
      </w:r>
      <w:r w:rsidR="00B34554" w:rsidRPr="00A729D8">
        <w:tab/>
        <w:t>Potential distribution of inland water diseases</w:t>
      </w:r>
      <w:bookmarkEnd w:id="275"/>
    </w:p>
    <w:p w14:paraId="19D60CF0" w14:textId="77777777" w:rsidR="00B34554" w:rsidRPr="00A729D8" w:rsidRDefault="00B34554" w:rsidP="00121729">
      <w:pPr>
        <w:pStyle w:val="ScheduleL1"/>
        <w:numPr>
          <w:ilvl w:val="0"/>
          <w:numId w:val="90"/>
        </w:numPr>
      </w:pPr>
      <w:r w:rsidRPr="00A729D8">
        <w:t>Introduction</w:t>
      </w:r>
    </w:p>
    <w:p w14:paraId="43BB1B58" w14:textId="77777777" w:rsidR="00B34554" w:rsidRPr="00A729D8" w:rsidRDefault="00B34554" w:rsidP="00121729">
      <w:pPr>
        <w:pStyle w:val="ListParagraph"/>
        <w:numPr>
          <w:ilvl w:val="0"/>
          <w:numId w:val="91"/>
        </w:numPr>
      </w:pPr>
      <w:r w:rsidRPr="00A729D8">
        <w:t>This attachment provides guidance on the process to be undertaken in determining the total potential distribution of an inland water disease and the potential percentage of the host population(s) that could be affected.</w:t>
      </w:r>
    </w:p>
    <w:p w14:paraId="7C14D5BB" w14:textId="77777777" w:rsidR="00B34554" w:rsidRPr="00A729D8" w:rsidRDefault="00B34554" w:rsidP="00121729">
      <w:pPr>
        <w:pStyle w:val="ListParagraph"/>
        <w:numPr>
          <w:ilvl w:val="0"/>
          <w:numId w:val="91"/>
        </w:numPr>
      </w:pPr>
      <w:r w:rsidRPr="00A729D8">
        <w:t>The potential distribution of an inland water disease represents the distribution of any and all host species it can infect.</w:t>
      </w:r>
    </w:p>
    <w:p w14:paraId="4658742C" w14:textId="77777777" w:rsidR="00B34554" w:rsidRPr="00A729D8" w:rsidRDefault="00B34554" w:rsidP="00121729">
      <w:pPr>
        <w:pStyle w:val="ListParagraph"/>
        <w:numPr>
          <w:ilvl w:val="0"/>
          <w:numId w:val="91"/>
        </w:numPr>
      </w:pPr>
      <w:r w:rsidRPr="00A729D8">
        <w:t>This determination relates to calculating, in accordance with clause 7.2(d) of the agreement, what percentage of the total, potentially affected area is represented by a party’s jurisdiction which, in turn leads to a determination of the party’s percentage of risk and, subsequently, the number of people in that jurisdiction affected by a disease occurrence.</w:t>
      </w:r>
    </w:p>
    <w:p w14:paraId="4A6DA4F5" w14:textId="77777777" w:rsidR="00B34554" w:rsidRPr="00A729D8" w:rsidRDefault="00B34554" w:rsidP="00121729">
      <w:pPr>
        <w:pStyle w:val="ListParagraph"/>
        <w:numPr>
          <w:ilvl w:val="0"/>
          <w:numId w:val="91"/>
        </w:numPr>
      </w:pPr>
      <w:r w:rsidRPr="00A729D8">
        <w:t>This process does not include analysis of potential impacts as these would be considered in the technical feasibility and benefit:cost analyses.</w:t>
      </w:r>
    </w:p>
    <w:p w14:paraId="6B5E3733" w14:textId="77777777" w:rsidR="00B34554" w:rsidRPr="00A729D8" w:rsidRDefault="00B34554" w:rsidP="002106F9">
      <w:pPr>
        <w:pStyle w:val="ScheduleL1"/>
      </w:pPr>
      <w:r w:rsidRPr="00A729D8">
        <w:t>Fundamental assumptions for determining the potential distribution of inland water diseases</w:t>
      </w:r>
    </w:p>
    <w:p w14:paraId="18788475" w14:textId="77777777" w:rsidR="00B34554" w:rsidRPr="00A729D8" w:rsidRDefault="00B34554" w:rsidP="002106F9">
      <w:r w:rsidRPr="00A729D8">
        <w:t>In modelling the potential distribution of an inland water disease, the following fundamental assumptions apply:</w:t>
      </w:r>
    </w:p>
    <w:p w14:paraId="627E49C1" w14:textId="77777777" w:rsidR="00B34554" w:rsidRPr="00A729D8" w:rsidRDefault="00B34554" w:rsidP="00121729">
      <w:pPr>
        <w:pStyle w:val="ListParagraph"/>
        <w:numPr>
          <w:ilvl w:val="0"/>
          <w:numId w:val="92"/>
        </w:numPr>
      </w:pPr>
      <w:r w:rsidRPr="00A729D8">
        <w:t>The contemporary situation will continue. The analysis will not include a consideration of possible future factors affecting the projected potential distribution, for example, climate change or changes in management actions.</w:t>
      </w:r>
    </w:p>
    <w:p w14:paraId="21E0555F" w14:textId="77777777" w:rsidR="00B34554" w:rsidRPr="00A729D8" w:rsidRDefault="00B34554" w:rsidP="00121729">
      <w:pPr>
        <w:pStyle w:val="ListParagraph"/>
        <w:numPr>
          <w:ilvl w:val="0"/>
          <w:numId w:val="92"/>
        </w:numPr>
      </w:pPr>
      <w:r w:rsidRPr="00A729D8">
        <w:t>The disease has been evenly spread across susceptible host species in inland waters in Australia. The analysis will not be concerned with the pathway by which a disease might enter or has entered the country, nor with the potential rate of its spread, but, rather, with the areas in which the disease could per</w:t>
      </w:r>
      <w:r w:rsidR="00014CBC" w:rsidRPr="00A729D8">
        <w:t>sist and/or become established.</w:t>
      </w:r>
    </w:p>
    <w:p w14:paraId="3637D256" w14:textId="77777777" w:rsidR="00B34554" w:rsidRPr="00A729D8" w:rsidRDefault="00B34554" w:rsidP="00121729">
      <w:pPr>
        <w:pStyle w:val="ListParagraph"/>
        <w:numPr>
          <w:ilvl w:val="0"/>
          <w:numId w:val="92"/>
        </w:numPr>
      </w:pPr>
      <w:r w:rsidRPr="00A729D8">
        <w:t>There are no physiological or biological barriers to establishment or spread of the disease (i.e. the model assesses the area of climate match suitability where the disease could become endemic if it could successfully esta</w:t>
      </w:r>
      <w:r w:rsidR="00014CBC" w:rsidRPr="00A729D8">
        <w:t>blish in one or several hosts).</w:t>
      </w:r>
    </w:p>
    <w:p w14:paraId="168D0942" w14:textId="77777777" w:rsidR="00B34554" w:rsidRPr="00A729D8" w:rsidRDefault="00B34554" w:rsidP="00121729">
      <w:pPr>
        <w:pStyle w:val="ListParagraph"/>
        <w:numPr>
          <w:ilvl w:val="0"/>
          <w:numId w:val="92"/>
        </w:numPr>
      </w:pPr>
      <w:r w:rsidRPr="00A729D8">
        <w:t>A general situation is to be relied on. While discussion of exceptions is important, the advice to be provided would be for the general situation.</w:t>
      </w:r>
    </w:p>
    <w:p w14:paraId="3BA8DE8D" w14:textId="77777777" w:rsidR="00B34554" w:rsidRPr="00A729D8" w:rsidRDefault="00B34554" w:rsidP="002106F9">
      <w:pPr>
        <w:pStyle w:val="ScheduleL1"/>
      </w:pPr>
      <w:r w:rsidRPr="00A729D8">
        <w:t>Data requirements for determining the potential distribution of inland water diseases</w:t>
      </w:r>
    </w:p>
    <w:p w14:paraId="586E9C31" w14:textId="77777777" w:rsidR="00B34554" w:rsidRPr="00A729D8" w:rsidRDefault="00B34554" w:rsidP="002106F9">
      <w:pPr>
        <w:pStyle w:val="ScheduleL2"/>
        <w:jc w:val="both"/>
      </w:pPr>
      <w:r w:rsidRPr="00A729D8">
        <w:t>Introduction</w:t>
      </w:r>
    </w:p>
    <w:p w14:paraId="266ADCE4" w14:textId="77777777" w:rsidR="00B34554" w:rsidRPr="00A729D8" w:rsidRDefault="00B34554" w:rsidP="002106F9">
      <w:r w:rsidRPr="00A729D8">
        <w:t>The information required, or which would be useful, for determining the potential distribution of inland water diseases includes:</w:t>
      </w:r>
    </w:p>
    <w:p w14:paraId="6CA8EF8A" w14:textId="77777777" w:rsidR="00B34554" w:rsidRPr="00A729D8" w:rsidRDefault="00B34554" w:rsidP="00121729">
      <w:pPr>
        <w:pStyle w:val="ListParagraph"/>
        <w:numPr>
          <w:ilvl w:val="0"/>
          <w:numId w:val="93"/>
        </w:numPr>
      </w:pPr>
      <w:r w:rsidRPr="00A729D8">
        <w:t>essential data—a prerequisite for a determination</w:t>
      </w:r>
    </w:p>
    <w:p w14:paraId="27FA83BC" w14:textId="77777777" w:rsidR="00B34554" w:rsidRPr="00A729D8" w:rsidRDefault="00B34554" w:rsidP="00121729">
      <w:pPr>
        <w:pStyle w:val="ListParagraph"/>
        <w:numPr>
          <w:ilvl w:val="0"/>
          <w:numId w:val="93"/>
        </w:numPr>
      </w:pPr>
      <w:r w:rsidRPr="00A729D8">
        <w:t>valuable data—which will assist with a determination</w:t>
      </w:r>
    </w:p>
    <w:p w14:paraId="509C8DDA" w14:textId="77777777" w:rsidR="00B34554" w:rsidRPr="00A729D8" w:rsidRDefault="00B34554" w:rsidP="00121729">
      <w:pPr>
        <w:pStyle w:val="ListParagraph"/>
        <w:numPr>
          <w:ilvl w:val="0"/>
          <w:numId w:val="93"/>
        </w:numPr>
      </w:pPr>
      <w:r w:rsidRPr="00A729D8">
        <w:lastRenderedPageBreak/>
        <w:t>secondary data—which will also assist with a determination.</w:t>
      </w:r>
    </w:p>
    <w:p w14:paraId="20FAB3C5" w14:textId="77777777" w:rsidR="00B34554" w:rsidRPr="00A729D8" w:rsidRDefault="00B34554" w:rsidP="002106F9">
      <w:pPr>
        <w:pStyle w:val="ScheduleL2"/>
        <w:jc w:val="both"/>
      </w:pPr>
      <w:r w:rsidRPr="00A729D8">
        <w:t>Essential data</w:t>
      </w:r>
    </w:p>
    <w:p w14:paraId="4CCF62A9" w14:textId="77777777" w:rsidR="00B34554" w:rsidRPr="00A729D8" w:rsidRDefault="00B34554" w:rsidP="002106F9">
      <w:r w:rsidRPr="00A729D8">
        <w:t>At a minimum, a determination of potential distribution of an inland water disease requir</w:t>
      </w:r>
      <w:r w:rsidR="00014CBC" w:rsidRPr="00A729D8">
        <w:t>es the following types of data:</w:t>
      </w:r>
    </w:p>
    <w:p w14:paraId="4B08BBEB" w14:textId="77777777" w:rsidR="00B34554" w:rsidRPr="00A729D8" w:rsidRDefault="00B34554" w:rsidP="00121729">
      <w:pPr>
        <w:pStyle w:val="ListParagraph"/>
        <w:numPr>
          <w:ilvl w:val="0"/>
          <w:numId w:val="94"/>
        </w:numPr>
      </w:pPr>
      <w:r w:rsidRPr="00A729D8">
        <w:t>information underpinning correct diagnosis/taxonomic identification</w:t>
      </w:r>
    </w:p>
    <w:p w14:paraId="291E0E00" w14:textId="77777777" w:rsidR="00B34554" w:rsidRPr="00A729D8" w:rsidRDefault="00B34554" w:rsidP="00121729">
      <w:pPr>
        <w:pStyle w:val="ListParagraph"/>
        <w:numPr>
          <w:ilvl w:val="0"/>
          <w:numId w:val="94"/>
        </w:numPr>
      </w:pPr>
      <w:r w:rsidRPr="00A729D8">
        <w:t>known Australian hosts. Data on the range of hosts or habitats for determining the potential distribution of inland water diseases, provided it is available and incontrovertible</w:t>
      </w:r>
    </w:p>
    <w:p w14:paraId="010BD17F" w14:textId="77777777" w:rsidR="00B34554" w:rsidRPr="00A729D8" w:rsidRDefault="00B34554" w:rsidP="00121729">
      <w:pPr>
        <w:pStyle w:val="ListParagraph"/>
        <w:numPr>
          <w:ilvl w:val="0"/>
          <w:numId w:val="94"/>
        </w:numPr>
      </w:pPr>
      <w:r w:rsidRPr="00A729D8">
        <w:t>known minimum and maximum temperature and salinity tolerances for the disease agent and host species</w:t>
      </w:r>
    </w:p>
    <w:p w14:paraId="3D70B128" w14:textId="77777777" w:rsidR="00014CBC" w:rsidRPr="00A729D8" w:rsidRDefault="00B34554" w:rsidP="00121729">
      <w:pPr>
        <w:pStyle w:val="ListParagraph"/>
        <w:numPr>
          <w:ilvl w:val="0"/>
          <w:numId w:val="94"/>
        </w:numPr>
      </w:pPr>
      <w:r w:rsidRPr="00A729D8">
        <w:t xml:space="preserve">surface area of the inland water, using the following features, as defined by the GEODATA TOPO 250k dataset (available from Geoscience Australia at </w:t>
      </w:r>
      <w:hyperlink r:id="rId11" w:history="1">
        <w:r w:rsidR="00014CBC" w:rsidRPr="00A729D8">
          <w:rPr>
            <w:rStyle w:val="Hyperlink"/>
          </w:rPr>
          <w:t>www.ga.gov.au</w:t>
        </w:r>
      </w:hyperlink>
      <w:r w:rsidRPr="00A729D8">
        <w:t>)</w:t>
      </w:r>
    </w:p>
    <w:p w14:paraId="274911F8" w14:textId="77777777" w:rsidR="00B34554" w:rsidRPr="00A729D8" w:rsidRDefault="00B34554" w:rsidP="00121729">
      <w:pPr>
        <w:pStyle w:val="ListParagraph"/>
        <w:numPr>
          <w:ilvl w:val="1"/>
          <w:numId w:val="94"/>
        </w:numPr>
      </w:pPr>
      <w:r w:rsidRPr="00A729D8">
        <w:t>lakes</w:t>
      </w:r>
    </w:p>
    <w:p w14:paraId="39430C25" w14:textId="77777777" w:rsidR="00B34554" w:rsidRPr="00A729D8" w:rsidRDefault="00B34554" w:rsidP="00121729">
      <w:pPr>
        <w:pStyle w:val="ListParagraph"/>
        <w:numPr>
          <w:ilvl w:val="1"/>
          <w:numId w:val="94"/>
        </w:numPr>
      </w:pPr>
      <w:r w:rsidRPr="00A729D8">
        <w:t>reservoirs</w:t>
      </w:r>
    </w:p>
    <w:p w14:paraId="5C35B1FE" w14:textId="77777777" w:rsidR="00B34554" w:rsidRPr="00A729D8" w:rsidRDefault="00B34554" w:rsidP="00121729">
      <w:pPr>
        <w:pStyle w:val="ListParagraph"/>
        <w:numPr>
          <w:ilvl w:val="1"/>
          <w:numId w:val="94"/>
        </w:numPr>
      </w:pPr>
      <w:r w:rsidRPr="00A729D8">
        <w:t>rivers—perennial, noting that, in some situations, non-perennial sections of rivers may need to be incorporated into the data to be used for modelling</w:t>
      </w:r>
    </w:p>
    <w:p w14:paraId="12FA5337" w14:textId="77777777" w:rsidR="00B34554" w:rsidRPr="00A729D8" w:rsidRDefault="00B34554" w:rsidP="00121729">
      <w:pPr>
        <w:pStyle w:val="ListParagraph"/>
        <w:numPr>
          <w:ilvl w:val="1"/>
          <w:numId w:val="94"/>
        </w:numPr>
      </w:pPr>
      <w:r w:rsidRPr="00A729D8">
        <w:t>canals and irrigation channels</w:t>
      </w:r>
    </w:p>
    <w:p w14:paraId="285714B6" w14:textId="080D0F0F" w:rsidR="00014CBC" w:rsidRPr="00A729D8" w:rsidRDefault="00B34554" w:rsidP="00121729">
      <w:pPr>
        <w:pStyle w:val="ListParagraph"/>
        <w:numPr>
          <w:ilvl w:val="1"/>
          <w:numId w:val="94"/>
        </w:numPr>
      </w:pPr>
      <w:r w:rsidRPr="00A729D8">
        <w:t>wetlands (equivalent to ‘swa</w:t>
      </w:r>
      <w:r w:rsidR="005862C0" w:rsidRPr="00A729D8">
        <w:t>m</w:t>
      </w:r>
      <w:r w:rsidRPr="00A729D8">
        <w:t>ps’ in the GEODATA TOPO 250k dataset)</w:t>
      </w:r>
    </w:p>
    <w:p w14:paraId="2FC258A5" w14:textId="77777777" w:rsidR="00B34554" w:rsidRPr="00A729D8" w:rsidRDefault="00B34554" w:rsidP="00121729">
      <w:pPr>
        <w:pStyle w:val="ListParagraph"/>
        <w:numPr>
          <w:ilvl w:val="0"/>
          <w:numId w:val="94"/>
        </w:numPr>
      </w:pPr>
      <w:r w:rsidRPr="00A729D8">
        <w:t>knowledge of overseas host and geographical ranges of the aetiological agent.</w:t>
      </w:r>
    </w:p>
    <w:p w14:paraId="4DCF7334" w14:textId="77777777" w:rsidR="00B34554" w:rsidRPr="00A729D8" w:rsidRDefault="00B34554" w:rsidP="002106F9">
      <w:pPr>
        <w:pStyle w:val="ScheduleL2"/>
        <w:jc w:val="both"/>
      </w:pPr>
      <w:r w:rsidRPr="00A729D8">
        <w:t>Valuable data</w:t>
      </w:r>
    </w:p>
    <w:p w14:paraId="2A8373C0" w14:textId="77777777" w:rsidR="00B34554" w:rsidRPr="00A729D8" w:rsidRDefault="00B34554" w:rsidP="00121729">
      <w:pPr>
        <w:pStyle w:val="ListParagraph"/>
        <w:numPr>
          <w:ilvl w:val="0"/>
          <w:numId w:val="95"/>
        </w:numPr>
      </w:pPr>
      <w:r w:rsidRPr="00A729D8">
        <w:t>Data on reproductive abilities of the host speci</w:t>
      </w:r>
      <w:r w:rsidR="00014CBC" w:rsidRPr="00A729D8">
        <w:t>es and pathogen.</w:t>
      </w:r>
    </w:p>
    <w:p w14:paraId="0FFC48C5" w14:textId="77777777" w:rsidR="00B34554" w:rsidRPr="00A729D8" w:rsidRDefault="00B34554" w:rsidP="00121729">
      <w:pPr>
        <w:pStyle w:val="ListParagraph"/>
        <w:numPr>
          <w:ilvl w:val="0"/>
          <w:numId w:val="95"/>
        </w:numPr>
      </w:pPr>
      <w:r w:rsidRPr="00A729D8">
        <w:t>The behaviour of the infected hosts including whether they are potamodromous (migrate within fresh water only); diadromous (travel between salt and fresh water); anadromous (live in the ocean mostly, and breed in fresh water); catadromous (live in fresh water, and breed in the ocean); amphidromous (move between fresh and salt water during their life cycle, but not to breed).</w:t>
      </w:r>
    </w:p>
    <w:p w14:paraId="5C8073FF" w14:textId="77777777" w:rsidR="00B34554" w:rsidRPr="00A729D8" w:rsidRDefault="00014CBC" w:rsidP="002106F9">
      <w:pPr>
        <w:pStyle w:val="ScheduleL2"/>
      </w:pPr>
      <w:r w:rsidRPr="00A729D8">
        <w:t>Secondary data</w:t>
      </w:r>
    </w:p>
    <w:p w14:paraId="46EEF3F3" w14:textId="77777777" w:rsidR="00B34554" w:rsidRPr="00A729D8" w:rsidRDefault="00B34554" w:rsidP="00121729">
      <w:pPr>
        <w:pStyle w:val="ListParagraph"/>
        <w:numPr>
          <w:ilvl w:val="0"/>
          <w:numId w:val="96"/>
        </w:numPr>
      </w:pPr>
      <w:r w:rsidRPr="00A729D8">
        <w:t xml:space="preserve">Secondary data that directly affect the potential distribution of a disease can be used to determine the potential area of infection. Secondary data will only be used if all parties on the </w:t>
      </w:r>
      <w:r w:rsidR="00B20F48" w:rsidRPr="00A729D8">
        <w:t>NBMCC</w:t>
      </w:r>
      <w:r w:rsidRPr="00A729D8">
        <w:t xml:space="preserve"> agree and only if it is available, highly relevant and incontrovertible.</w:t>
      </w:r>
    </w:p>
    <w:p w14:paraId="581183D9" w14:textId="77777777" w:rsidR="00B34554" w:rsidRPr="00A729D8" w:rsidRDefault="00B34554" w:rsidP="00121729">
      <w:pPr>
        <w:pStyle w:val="ListParagraph"/>
        <w:numPr>
          <w:ilvl w:val="0"/>
          <w:numId w:val="96"/>
        </w:numPr>
      </w:pPr>
      <w:r w:rsidRPr="00A729D8">
        <w:t>Secondary data includes:</w:t>
      </w:r>
    </w:p>
    <w:p w14:paraId="32FBFC1E" w14:textId="77777777" w:rsidR="00B34554" w:rsidRPr="00A729D8" w:rsidRDefault="00B34554" w:rsidP="00121729">
      <w:pPr>
        <w:pStyle w:val="ListParagraph"/>
        <w:numPr>
          <w:ilvl w:val="1"/>
          <w:numId w:val="96"/>
        </w:numPr>
      </w:pPr>
      <w:r w:rsidRPr="00A729D8">
        <w:t>spatial information on dams</w:t>
      </w:r>
    </w:p>
    <w:p w14:paraId="0803CE0A" w14:textId="77777777" w:rsidR="00B34554" w:rsidRPr="00A729D8" w:rsidRDefault="00B34554" w:rsidP="00121729">
      <w:pPr>
        <w:pStyle w:val="ListParagraph"/>
        <w:numPr>
          <w:ilvl w:val="1"/>
          <w:numId w:val="96"/>
        </w:numPr>
      </w:pPr>
      <w:r w:rsidRPr="00A729D8">
        <w:t>the hydrologic regime (water levels, flow, turbidity etc)</w:t>
      </w:r>
    </w:p>
    <w:p w14:paraId="1503FF85" w14:textId="77777777" w:rsidR="00014CBC" w:rsidRPr="00A729D8" w:rsidRDefault="00B34554" w:rsidP="00121729">
      <w:pPr>
        <w:pStyle w:val="ListParagraph"/>
        <w:numPr>
          <w:ilvl w:val="1"/>
          <w:numId w:val="96"/>
        </w:numPr>
      </w:pPr>
      <w:r w:rsidRPr="00A729D8">
        <w:t>water chemistry (oxygen levels, salinity, hardness, acidity, pollution etc).</w:t>
      </w:r>
    </w:p>
    <w:p w14:paraId="556E5965" w14:textId="77777777" w:rsidR="00014CBC" w:rsidRPr="00A729D8" w:rsidRDefault="00B34554" w:rsidP="00121729">
      <w:pPr>
        <w:pStyle w:val="ListParagraph"/>
        <w:numPr>
          <w:ilvl w:val="0"/>
          <w:numId w:val="96"/>
        </w:numPr>
      </w:pPr>
      <w:r w:rsidRPr="00A729D8">
        <w:lastRenderedPageBreak/>
        <w:t>If the secondary data are known to limit the extent of potential distribution they should be combined with the modelling output to increase the robustness of the conclusions on potential distribution.</w:t>
      </w:r>
    </w:p>
    <w:p w14:paraId="05686DDB" w14:textId="77777777" w:rsidR="00014CBC" w:rsidRPr="00A729D8" w:rsidRDefault="00B34554" w:rsidP="00121729">
      <w:pPr>
        <w:pStyle w:val="ListParagraph"/>
        <w:numPr>
          <w:ilvl w:val="0"/>
          <w:numId w:val="96"/>
        </w:numPr>
      </w:pPr>
      <w:r w:rsidRPr="00A729D8">
        <w:t>It may also be useful to analyse a number of factors to establish the timing of management actions and response arrangements. Such factors may include:</w:t>
      </w:r>
    </w:p>
    <w:p w14:paraId="124B2F32" w14:textId="77777777" w:rsidR="00014CBC" w:rsidRPr="00A729D8" w:rsidRDefault="00B34554" w:rsidP="00121729">
      <w:pPr>
        <w:pStyle w:val="ListParagraph"/>
        <w:numPr>
          <w:ilvl w:val="1"/>
          <w:numId w:val="96"/>
        </w:numPr>
      </w:pPr>
      <w:r w:rsidRPr="00A729D8">
        <w:t>mechanisms of pathogen transmission</w:t>
      </w:r>
    </w:p>
    <w:p w14:paraId="695E5353" w14:textId="77777777" w:rsidR="00014CBC" w:rsidRPr="00A729D8" w:rsidRDefault="00B34554" w:rsidP="00121729">
      <w:pPr>
        <w:pStyle w:val="ListParagraph"/>
        <w:numPr>
          <w:ilvl w:val="1"/>
          <w:numId w:val="96"/>
        </w:numPr>
      </w:pPr>
      <w:r w:rsidRPr="00A729D8">
        <w:t>knowledge of potential vectors</w:t>
      </w:r>
    </w:p>
    <w:p w14:paraId="62AF7FE6" w14:textId="77777777" w:rsidR="00B34554" w:rsidRPr="00A729D8" w:rsidRDefault="00B34554" w:rsidP="00121729">
      <w:pPr>
        <w:pStyle w:val="ListParagraph"/>
        <w:numPr>
          <w:ilvl w:val="1"/>
          <w:numId w:val="96"/>
        </w:numPr>
      </w:pPr>
      <w:r w:rsidRPr="00A729D8">
        <w:t>natural barriers.</w:t>
      </w:r>
    </w:p>
    <w:p w14:paraId="01CA9837" w14:textId="77777777" w:rsidR="00B34554" w:rsidRPr="00A729D8" w:rsidRDefault="00B34554" w:rsidP="002106F9">
      <w:pPr>
        <w:pStyle w:val="ScheduleL2"/>
        <w:jc w:val="both"/>
      </w:pPr>
      <w:r w:rsidRPr="00A729D8">
        <w:t>Level of confidence in the essential data</w:t>
      </w:r>
    </w:p>
    <w:p w14:paraId="543E1A8B" w14:textId="77777777" w:rsidR="00B34554" w:rsidRPr="00A729D8" w:rsidRDefault="00B34554" w:rsidP="00121729">
      <w:pPr>
        <w:pStyle w:val="ListParagraph"/>
        <w:numPr>
          <w:ilvl w:val="0"/>
          <w:numId w:val="97"/>
        </w:numPr>
      </w:pPr>
      <w:r w:rsidRPr="00A729D8">
        <w:t xml:space="preserve">When providing advice to the NMG, the </w:t>
      </w:r>
      <w:r w:rsidR="00B20F48" w:rsidRPr="00A729D8">
        <w:t>NBMCC</w:t>
      </w:r>
      <w:r w:rsidRPr="00A729D8">
        <w:t xml:space="preserve"> will need to advise on the level of confidence it has in the information that underpins the potential distribution of a disease agent and its host species.</w:t>
      </w:r>
    </w:p>
    <w:p w14:paraId="6D8D38E9" w14:textId="77777777" w:rsidR="00014CBC" w:rsidRPr="00A729D8" w:rsidRDefault="00B34554" w:rsidP="00121729">
      <w:pPr>
        <w:pStyle w:val="ListParagraph"/>
        <w:numPr>
          <w:ilvl w:val="0"/>
          <w:numId w:val="97"/>
        </w:numPr>
      </w:pPr>
      <w:r w:rsidRPr="00A729D8">
        <w:t>The most accurate data available should be used.</w:t>
      </w:r>
    </w:p>
    <w:p w14:paraId="5DCD417F" w14:textId="77777777" w:rsidR="00014CBC" w:rsidRPr="00A729D8" w:rsidRDefault="00B34554" w:rsidP="00121729">
      <w:pPr>
        <w:pStyle w:val="ListParagraph"/>
        <w:numPr>
          <w:ilvl w:val="0"/>
          <w:numId w:val="97"/>
        </w:numPr>
      </w:pPr>
      <w:r w:rsidRPr="00A729D8">
        <w:t>The best sources of data are:</w:t>
      </w:r>
    </w:p>
    <w:p w14:paraId="265692E9" w14:textId="77777777" w:rsidR="00014CBC" w:rsidRPr="00A729D8" w:rsidRDefault="00B34554" w:rsidP="00121729">
      <w:pPr>
        <w:pStyle w:val="ListParagraph"/>
        <w:numPr>
          <w:ilvl w:val="1"/>
          <w:numId w:val="97"/>
        </w:numPr>
      </w:pPr>
      <w:r w:rsidRPr="00A729D8">
        <w:t>National Information Systems</w:t>
      </w:r>
    </w:p>
    <w:p w14:paraId="624EAC17" w14:textId="77777777" w:rsidR="00014CBC" w:rsidRPr="00A729D8" w:rsidRDefault="00B34554" w:rsidP="00121729">
      <w:pPr>
        <w:pStyle w:val="ListParagraph"/>
        <w:numPr>
          <w:ilvl w:val="1"/>
          <w:numId w:val="97"/>
        </w:numPr>
      </w:pPr>
      <w:r w:rsidRPr="00A729D8">
        <w:t>published, peer-reviewed data</w:t>
      </w:r>
    </w:p>
    <w:p w14:paraId="7F2CD813" w14:textId="77777777" w:rsidR="00014CBC" w:rsidRPr="00A729D8" w:rsidRDefault="00B34554" w:rsidP="00121729">
      <w:pPr>
        <w:pStyle w:val="ListParagraph"/>
        <w:numPr>
          <w:ilvl w:val="1"/>
          <w:numId w:val="97"/>
        </w:numPr>
      </w:pPr>
      <w:r w:rsidRPr="00A729D8">
        <w:t>museum/collection records, unpublished government records including unpublished survey reports, laboratory reports and catch-effort fisheries databases</w:t>
      </w:r>
    </w:p>
    <w:p w14:paraId="766A5C6A" w14:textId="77777777" w:rsidR="00014CBC" w:rsidRPr="00A729D8" w:rsidRDefault="00B34554" w:rsidP="00121729">
      <w:pPr>
        <w:pStyle w:val="ListParagraph"/>
        <w:numPr>
          <w:ilvl w:val="1"/>
          <w:numId w:val="97"/>
        </w:numPr>
      </w:pPr>
      <w:r w:rsidRPr="00A729D8">
        <w:t>expert advice, properly elicited.</w:t>
      </w:r>
    </w:p>
    <w:p w14:paraId="6968571A" w14:textId="77777777" w:rsidR="00014CBC" w:rsidRPr="00A729D8" w:rsidRDefault="00B34554" w:rsidP="00121729">
      <w:pPr>
        <w:pStyle w:val="ListParagraph"/>
        <w:numPr>
          <w:ilvl w:val="0"/>
          <w:numId w:val="97"/>
        </w:numPr>
      </w:pPr>
      <w:r w:rsidRPr="00A729D8">
        <w:t>Other sources of data that may be available are:</w:t>
      </w:r>
    </w:p>
    <w:p w14:paraId="62E25F61" w14:textId="77777777" w:rsidR="00014CBC" w:rsidRPr="00A729D8" w:rsidRDefault="00B34554" w:rsidP="00121729">
      <w:pPr>
        <w:pStyle w:val="ListParagraph"/>
        <w:numPr>
          <w:ilvl w:val="1"/>
          <w:numId w:val="97"/>
        </w:numPr>
      </w:pPr>
      <w:r w:rsidRPr="00A729D8">
        <w:t>free databases (e.g. Fishbase)</w:t>
      </w:r>
    </w:p>
    <w:p w14:paraId="2171EB66" w14:textId="77777777" w:rsidR="00014CBC" w:rsidRPr="00A729D8" w:rsidRDefault="00B34554" w:rsidP="00121729">
      <w:pPr>
        <w:pStyle w:val="ListParagraph"/>
        <w:numPr>
          <w:ilvl w:val="1"/>
          <w:numId w:val="97"/>
        </w:numPr>
      </w:pPr>
      <w:r w:rsidRPr="00A729D8">
        <w:t>internet sources where the level of confidence ranks (highest to lowest):</w:t>
      </w:r>
    </w:p>
    <w:p w14:paraId="2A6075C2" w14:textId="77777777" w:rsidR="00014CBC" w:rsidRPr="00A729D8" w:rsidRDefault="00B34554" w:rsidP="00121729">
      <w:pPr>
        <w:pStyle w:val="ListParagraph"/>
        <w:numPr>
          <w:ilvl w:val="2"/>
          <w:numId w:val="97"/>
        </w:numPr>
      </w:pPr>
      <w:r w:rsidRPr="00A729D8">
        <w:t>validated data sources with open access</w:t>
      </w:r>
    </w:p>
    <w:p w14:paraId="519254D0" w14:textId="77777777" w:rsidR="00014CBC" w:rsidRPr="00A729D8" w:rsidRDefault="00B34554" w:rsidP="00121729">
      <w:pPr>
        <w:pStyle w:val="ListParagraph"/>
        <w:numPr>
          <w:ilvl w:val="2"/>
          <w:numId w:val="97"/>
        </w:numPr>
      </w:pPr>
      <w:r w:rsidRPr="00A729D8">
        <w:t>validated data sources without open access</w:t>
      </w:r>
    </w:p>
    <w:p w14:paraId="75CC9862" w14:textId="77777777" w:rsidR="00014CBC" w:rsidRPr="00A729D8" w:rsidRDefault="00B34554" w:rsidP="00121729">
      <w:pPr>
        <w:pStyle w:val="ListParagraph"/>
        <w:numPr>
          <w:ilvl w:val="2"/>
          <w:numId w:val="97"/>
        </w:numPr>
      </w:pPr>
      <w:r w:rsidRPr="00A729D8">
        <w:t xml:space="preserve">survey data </w:t>
      </w:r>
      <w:r w:rsidR="00014CBC" w:rsidRPr="00A729D8">
        <w:t>that uses recognised methods and</w:t>
      </w:r>
    </w:p>
    <w:p w14:paraId="44FEEC3A" w14:textId="77777777" w:rsidR="00014CBC" w:rsidRPr="00A729D8" w:rsidRDefault="00B34554" w:rsidP="00121729">
      <w:pPr>
        <w:pStyle w:val="ListParagraph"/>
        <w:numPr>
          <w:ilvl w:val="2"/>
          <w:numId w:val="97"/>
        </w:numPr>
      </w:pPr>
      <w:r w:rsidRPr="00A729D8">
        <w:t>open access (e.g. Google searches).</w:t>
      </w:r>
    </w:p>
    <w:p w14:paraId="02B93408" w14:textId="77777777" w:rsidR="00014CBC" w:rsidRPr="00A729D8" w:rsidRDefault="00B34554" w:rsidP="00121729">
      <w:pPr>
        <w:pStyle w:val="ListParagraph"/>
        <w:numPr>
          <w:ilvl w:val="0"/>
          <w:numId w:val="97"/>
        </w:numPr>
      </w:pPr>
      <w:r w:rsidRPr="00A729D8">
        <w:t>Where data are not validated, these sources should be checked and validated where possible. The data sources listed in item 3.5(d) of this attachment should be assessed according to their confidence rating (see table in item 3.5(h) of this attachment). Assessment of survey data should consider the methodology used in the survey. Where survey methodology is not available, a low confidence rating should be assigned to these data. Surveys which follow international standards, or OIE reporting standards (for animal pests and diseases) should be assigned a higher confidence rating. Note that aquatic organism distribution data and aquatic parasite distribution data are non-parametric.</w:t>
      </w:r>
    </w:p>
    <w:p w14:paraId="160DCAE9" w14:textId="77777777" w:rsidR="00014CBC" w:rsidRPr="00A729D8" w:rsidRDefault="00B34554" w:rsidP="00121729">
      <w:pPr>
        <w:pStyle w:val="ListParagraph"/>
        <w:numPr>
          <w:ilvl w:val="0"/>
          <w:numId w:val="97"/>
        </w:numPr>
      </w:pPr>
      <w:r w:rsidRPr="00A729D8">
        <w:t xml:space="preserve">Closely related host and pathogen species information should be used with caution as there is no direct correlation between surrogates and actual disease </w:t>
      </w:r>
      <w:r w:rsidRPr="00A729D8">
        <w:lastRenderedPageBreak/>
        <w:t>species. Likewise, host susceptibility data based on laboratory challenge studies should be used with caution.</w:t>
      </w:r>
    </w:p>
    <w:p w14:paraId="2A2E025F" w14:textId="78076D1D" w:rsidR="00014CBC" w:rsidRPr="00A729D8" w:rsidRDefault="00B34554" w:rsidP="00121729">
      <w:pPr>
        <w:pStyle w:val="ListParagraph"/>
        <w:numPr>
          <w:ilvl w:val="0"/>
          <w:numId w:val="97"/>
        </w:numPr>
      </w:pPr>
      <w:r w:rsidRPr="00A729D8">
        <w:t xml:space="preserve">Formal and informal networks of experts are an essential source of information and data. These networks should be encouraged and communicated </w:t>
      </w:r>
      <w:r w:rsidR="005862C0" w:rsidRPr="00A729D8">
        <w:t xml:space="preserve">with </w:t>
      </w:r>
      <w:r w:rsidRPr="00A729D8">
        <w:t>to ensure timely and effective decision-making.</w:t>
      </w:r>
    </w:p>
    <w:p w14:paraId="421DCA0F" w14:textId="77777777" w:rsidR="00B34554" w:rsidRPr="00A729D8" w:rsidRDefault="00B34554" w:rsidP="00121729">
      <w:pPr>
        <w:pStyle w:val="ListParagraph"/>
        <w:numPr>
          <w:ilvl w:val="0"/>
          <w:numId w:val="97"/>
        </w:numPr>
      </w:pPr>
      <w:r w:rsidRPr="00A729D8">
        <w:t>A table outlining the confidence rating of different data sources is provided below.</w:t>
      </w:r>
    </w:p>
    <w:tbl>
      <w:tblPr>
        <w:tblStyle w:val="TableGrid"/>
        <w:tblW w:w="0" w:type="auto"/>
        <w:tblInd w:w="1129" w:type="dxa"/>
        <w:tblLook w:val="04A0" w:firstRow="1" w:lastRow="0" w:firstColumn="1" w:lastColumn="0" w:noHBand="0" w:noVBand="1"/>
      </w:tblPr>
      <w:tblGrid>
        <w:gridCol w:w="5812"/>
        <w:gridCol w:w="2075"/>
      </w:tblGrid>
      <w:tr w:rsidR="00014CBC" w:rsidRPr="00A729D8" w14:paraId="48AC4C53" w14:textId="77777777" w:rsidTr="00014CBC">
        <w:trPr>
          <w:trHeight w:val="283"/>
        </w:trPr>
        <w:tc>
          <w:tcPr>
            <w:tcW w:w="5812" w:type="dxa"/>
          </w:tcPr>
          <w:p w14:paraId="0BDD693C" w14:textId="77777777" w:rsidR="00014CBC" w:rsidRPr="00A729D8" w:rsidRDefault="00014CBC" w:rsidP="002106F9">
            <w:pPr>
              <w:rPr>
                <w:b/>
              </w:rPr>
            </w:pPr>
            <w:r w:rsidRPr="00A729D8">
              <w:rPr>
                <w:b/>
              </w:rPr>
              <w:t>Document Type or Information Source</w:t>
            </w:r>
          </w:p>
        </w:tc>
        <w:tc>
          <w:tcPr>
            <w:tcW w:w="2075" w:type="dxa"/>
          </w:tcPr>
          <w:p w14:paraId="481AD6B9" w14:textId="77777777" w:rsidR="00014CBC" w:rsidRPr="00A729D8" w:rsidRDefault="00014CBC" w:rsidP="002106F9">
            <w:pPr>
              <w:rPr>
                <w:b/>
              </w:rPr>
            </w:pPr>
            <w:r w:rsidRPr="00A729D8">
              <w:rPr>
                <w:b/>
              </w:rPr>
              <w:t>Confidence Rating</w:t>
            </w:r>
          </w:p>
        </w:tc>
      </w:tr>
      <w:tr w:rsidR="00014CBC" w:rsidRPr="00A729D8" w14:paraId="6DF8740F" w14:textId="77777777" w:rsidTr="00014CBC">
        <w:trPr>
          <w:trHeight w:val="283"/>
        </w:trPr>
        <w:tc>
          <w:tcPr>
            <w:tcW w:w="5812" w:type="dxa"/>
          </w:tcPr>
          <w:p w14:paraId="14F8F32F" w14:textId="77777777" w:rsidR="00014CBC" w:rsidRPr="00A729D8" w:rsidRDefault="00014CBC" w:rsidP="00121729">
            <w:pPr>
              <w:numPr>
                <w:ilvl w:val="0"/>
                <w:numId w:val="74"/>
              </w:numPr>
            </w:pPr>
            <w:r w:rsidRPr="00A729D8">
              <w:t>Peer-reviewed scientific paper</w:t>
            </w:r>
          </w:p>
        </w:tc>
        <w:tc>
          <w:tcPr>
            <w:tcW w:w="2075" w:type="dxa"/>
          </w:tcPr>
          <w:p w14:paraId="2D95FC2F" w14:textId="77777777" w:rsidR="00014CBC" w:rsidRPr="00A729D8" w:rsidRDefault="00014CBC" w:rsidP="002106F9">
            <w:r w:rsidRPr="00A729D8">
              <w:t>High</w:t>
            </w:r>
          </w:p>
        </w:tc>
      </w:tr>
      <w:tr w:rsidR="00014CBC" w:rsidRPr="00A729D8" w14:paraId="6F99AAC3" w14:textId="77777777" w:rsidTr="00014CBC">
        <w:trPr>
          <w:trHeight w:val="283"/>
        </w:trPr>
        <w:tc>
          <w:tcPr>
            <w:tcW w:w="5812" w:type="dxa"/>
          </w:tcPr>
          <w:p w14:paraId="6F894D3F" w14:textId="77777777" w:rsidR="00014CBC" w:rsidRPr="00A729D8" w:rsidRDefault="00014CBC" w:rsidP="00121729">
            <w:pPr>
              <w:numPr>
                <w:ilvl w:val="0"/>
                <w:numId w:val="73"/>
              </w:numPr>
            </w:pPr>
            <w:r w:rsidRPr="00A729D8">
              <w:t>High quality science or plant specific books (e.g. floras), non-peer reviewed scientific paper (e.g. conference proceedings),</w:t>
            </w:r>
          </w:p>
          <w:p w14:paraId="01655603" w14:textId="77777777" w:rsidR="00014CBC" w:rsidRPr="00A729D8" w:rsidRDefault="00014CBC" w:rsidP="00121729">
            <w:pPr>
              <w:numPr>
                <w:ilvl w:val="0"/>
                <w:numId w:val="73"/>
              </w:numPr>
            </w:pPr>
            <w:r w:rsidRPr="00A729D8">
              <w:t>Personal communications from experts (e.g. PhD, or higher degree on species being assessed),</w:t>
            </w:r>
          </w:p>
          <w:p w14:paraId="27A168C3" w14:textId="77777777" w:rsidR="00014CBC" w:rsidRPr="00A729D8" w:rsidRDefault="00014CBC" w:rsidP="00121729">
            <w:pPr>
              <w:numPr>
                <w:ilvl w:val="0"/>
                <w:numId w:val="73"/>
              </w:numPr>
            </w:pPr>
            <w:r w:rsidRPr="00A729D8">
              <w:t>Unpublished reports from highly reliable sources (e.g. commercial reports or honours theses, etc.),</w:t>
            </w:r>
          </w:p>
          <w:p w14:paraId="763CD91B" w14:textId="77777777" w:rsidR="00014CBC" w:rsidRPr="00A729D8" w:rsidRDefault="00014CBC" w:rsidP="00121729">
            <w:pPr>
              <w:numPr>
                <w:ilvl w:val="0"/>
                <w:numId w:val="73"/>
              </w:numPr>
            </w:pPr>
            <w:r w:rsidRPr="00A729D8">
              <w:t>Internet information from Herbaria data, or</w:t>
            </w:r>
          </w:p>
          <w:p w14:paraId="1761C51A" w14:textId="77777777" w:rsidR="00014CBC" w:rsidRPr="00A729D8" w:rsidRDefault="00014CBC" w:rsidP="00121729">
            <w:pPr>
              <w:numPr>
                <w:ilvl w:val="0"/>
                <w:numId w:val="73"/>
              </w:numPr>
            </w:pPr>
            <w:r w:rsidRPr="00A729D8">
              <w:t>Internet information that cites sources from the ‘Medium/High’ category above.</w:t>
            </w:r>
            <w:r w:rsidRPr="00A729D8">
              <w:tab/>
            </w:r>
          </w:p>
        </w:tc>
        <w:tc>
          <w:tcPr>
            <w:tcW w:w="2075" w:type="dxa"/>
          </w:tcPr>
          <w:p w14:paraId="1CD3420D" w14:textId="77777777" w:rsidR="00014CBC" w:rsidRPr="00A729D8" w:rsidRDefault="00014CBC" w:rsidP="002106F9">
            <w:r w:rsidRPr="00A729D8">
              <w:t>Medium/ High</w:t>
            </w:r>
          </w:p>
        </w:tc>
      </w:tr>
      <w:tr w:rsidR="00014CBC" w:rsidRPr="00A729D8" w14:paraId="55236705" w14:textId="77777777" w:rsidTr="00014CBC">
        <w:trPr>
          <w:trHeight w:val="283"/>
        </w:trPr>
        <w:tc>
          <w:tcPr>
            <w:tcW w:w="5812" w:type="dxa"/>
          </w:tcPr>
          <w:p w14:paraId="7538E3F6" w14:textId="77777777" w:rsidR="00014CBC" w:rsidRPr="00A729D8" w:rsidRDefault="00014CBC" w:rsidP="00121729">
            <w:pPr>
              <w:numPr>
                <w:ilvl w:val="0"/>
                <w:numId w:val="75"/>
              </w:numPr>
            </w:pPr>
            <w:r w:rsidRPr="00A729D8">
              <w:t>Personal communications from people with experience with the species under assessment,</w:t>
            </w:r>
          </w:p>
          <w:p w14:paraId="228E4E94" w14:textId="77777777" w:rsidR="00014CBC" w:rsidRPr="00A729D8" w:rsidRDefault="00014CBC" w:rsidP="00121729">
            <w:pPr>
              <w:numPr>
                <w:ilvl w:val="0"/>
                <w:numId w:val="75"/>
              </w:numPr>
            </w:pPr>
            <w:r w:rsidRPr="00A729D8">
              <w:t>Information from general plant books (e.g. Encyclopaedia Botanica, Gardening Flora, etc.),</w:t>
            </w:r>
          </w:p>
          <w:p w14:paraId="48694122" w14:textId="77777777" w:rsidR="00014CBC" w:rsidRPr="00A729D8" w:rsidRDefault="00014CBC" w:rsidP="00121729">
            <w:pPr>
              <w:numPr>
                <w:ilvl w:val="0"/>
                <w:numId w:val="75"/>
              </w:numPr>
            </w:pPr>
            <w:r w:rsidRPr="00A729D8">
              <w:t>Unpublished reports from uncertain sources,</w:t>
            </w:r>
          </w:p>
          <w:p w14:paraId="08F48621" w14:textId="77777777" w:rsidR="00014CBC" w:rsidRPr="00A729D8" w:rsidRDefault="00014CBC" w:rsidP="00121729">
            <w:pPr>
              <w:numPr>
                <w:ilvl w:val="0"/>
                <w:numId w:val="75"/>
              </w:numPr>
            </w:pPr>
            <w:r w:rsidRPr="00A729D8">
              <w:t>Internet information that cites sources from the ‘Medium’ category, or</w:t>
            </w:r>
          </w:p>
          <w:p w14:paraId="27CA4C1F" w14:textId="77777777" w:rsidR="00014CBC" w:rsidRPr="00A729D8" w:rsidRDefault="00014CBC" w:rsidP="00121729">
            <w:pPr>
              <w:numPr>
                <w:ilvl w:val="0"/>
                <w:numId w:val="75"/>
              </w:numPr>
            </w:pPr>
            <w:r w:rsidRPr="00A729D8">
              <w:t>Internet information from government or university websites (e.g. Australian state governments, or the USDA)</w:t>
            </w:r>
          </w:p>
        </w:tc>
        <w:tc>
          <w:tcPr>
            <w:tcW w:w="2075" w:type="dxa"/>
          </w:tcPr>
          <w:p w14:paraId="16D71A94" w14:textId="77777777" w:rsidR="00014CBC" w:rsidRPr="00A729D8" w:rsidRDefault="00014CBC" w:rsidP="002106F9">
            <w:r w:rsidRPr="00A729D8">
              <w:t>Medium</w:t>
            </w:r>
          </w:p>
        </w:tc>
      </w:tr>
      <w:tr w:rsidR="00014CBC" w:rsidRPr="00A729D8" w14:paraId="4484B214" w14:textId="77777777" w:rsidTr="00014CBC">
        <w:trPr>
          <w:trHeight w:val="283"/>
        </w:trPr>
        <w:tc>
          <w:tcPr>
            <w:tcW w:w="5812" w:type="dxa"/>
          </w:tcPr>
          <w:p w14:paraId="4A34210E" w14:textId="77777777" w:rsidR="00014CBC" w:rsidRPr="00A729D8" w:rsidRDefault="00014CBC" w:rsidP="00121729">
            <w:pPr>
              <w:numPr>
                <w:ilvl w:val="0"/>
                <w:numId w:val="76"/>
              </w:numPr>
            </w:pPr>
            <w:r w:rsidRPr="00A729D8">
              <w:t>Anecdotal data from non-experts,</w:t>
            </w:r>
          </w:p>
          <w:p w14:paraId="4CE4E1B0" w14:textId="77777777" w:rsidR="00014CBC" w:rsidRPr="00A729D8" w:rsidRDefault="00014CBC" w:rsidP="00121729">
            <w:pPr>
              <w:numPr>
                <w:ilvl w:val="0"/>
                <w:numId w:val="76"/>
              </w:numPr>
            </w:pPr>
            <w:r w:rsidRPr="00A729D8">
              <w:t>Internet information that cites anecdotal, non-expert sources,</w:t>
            </w:r>
          </w:p>
          <w:p w14:paraId="03B30158" w14:textId="77777777" w:rsidR="00014CBC" w:rsidRPr="00A729D8" w:rsidRDefault="00014CBC" w:rsidP="00121729">
            <w:pPr>
              <w:numPr>
                <w:ilvl w:val="0"/>
                <w:numId w:val="76"/>
              </w:numPr>
            </w:pPr>
            <w:r w:rsidRPr="00A729D8">
              <w:t>Internet information from uncertain/uncited sources,</w:t>
            </w:r>
          </w:p>
          <w:p w14:paraId="05474FBC" w14:textId="77777777" w:rsidR="00014CBC" w:rsidRPr="00A729D8" w:rsidRDefault="00014CBC" w:rsidP="00121729">
            <w:pPr>
              <w:numPr>
                <w:ilvl w:val="0"/>
                <w:numId w:val="76"/>
              </w:numPr>
            </w:pPr>
            <w:r w:rsidRPr="00A729D8">
              <w:t>Horticultural, nursery notes or general web pages.</w:t>
            </w:r>
          </w:p>
        </w:tc>
        <w:tc>
          <w:tcPr>
            <w:tcW w:w="2075" w:type="dxa"/>
          </w:tcPr>
          <w:p w14:paraId="1BCA8CB5" w14:textId="77777777" w:rsidR="00014CBC" w:rsidRPr="00A729D8" w:rsidRDefault="00014CBC" w:rsidP="002106F9">
            <w:r w:rsidRPr="00A729D8">
              <w:t>Medium/ Low</w:t>
            </w:r>
          </w:p>
        </w:tc>
      </w:tr>
      <w:tr w:rsidR="00014CBC" w:rsidRPr="00A729D8" w14:paraId="049FA776" w14:textId="77777777" w:rsidTr="00014CBC">
        <w:trPr>
          <w:trHeight w:val="283"/>
        </w:trPr>
        <w:tc>
          <w:tcPr>
            <w:tcW w:w="5812" w:type="dxa"/>
          </w:tcPr>
          <w:p w14:paraId="31B07731" w14:textId="77777777" w:rsidR="00014CBC" w:rsidRPr="00A729D8" w:rsidRDefault="00014CBC" w:rsidP="00121729">
            <w:pPr>
              <w:numPr>
                <w:ilvl w:val="0"/>
                <w:numId w:val="76"/>
              </w:numPr>
            </w:pPr>
            <w:r w:rsidRPr="00A729D8">
              <w:t>No data or reference material available.</w:t>
            </w:r>
            <w:r w:rsidRPr="00A729D8">
              <w:tab/>
            </w:r>
          </w:p>
        </w:tc>
        <w:tc>
          <w:tcPr>
            <w:tcW w:w="2075" w:type="dxa"/>
          </w:tcPr>
          <w:p w14:paraId="59D9690B" w14:textId="77777777" w:rsidR="00014CBC" w:rsidRPr="00A729D8" w:rsidRDefault="00014CBC" w:rsidP="002106F9">
            <w:r w:rsidRPr="00A729D8">
              <w:t>Low</w:t>
            </w:r>
          </w:p>
        </w:tc>
      </w:tr>
    </w:tbl>
    <w:p w14:paraId="7BE812E2" w14:textId="77777777" w:rsidR="00B34554" w:rsidRPr="00A729D8" w:rsidRDefault="00B34554" w:rsidP="00121729">
      <w:pPr>
        <w:pStyle w:val="ListParagraph"/>
        <w:numPr>
          <w:ilvl w:val="0"/>
          <w:numId w:val="97"/>
        </w:numPr>
      </w:pPr>
      <w:r w:rsidRPr="00A729D8">
        <w:lastRenderedPageBreak/>
        <w:t>There is a risk that increasing the acceptable level of confidence in the quality of the data will reduce the quality of a prediction by reducing representativeness. Sensitivity analysis is needed to determine the influence of poor quality data. Effort can then be directed to verifying influential, poor quality data.</w:t>
      </w:r>
    </w:p>
    <w:p w14:paraId="11297113" w14:textId="77777777" w:rsidR="00B34554" w:rsidRPr="00A729D8" w:rsidRDefault="00B34554" w:rsidP="002106F9">
      <w:pPr>
        <w:pStyle w:val="ScheduleL2"/>
        <w:jc w:val="both"/>
      </w:pPr>
      <w:r w:rsidRPr="00A729D8">
        <w:t>Insufficient data</w:t>
      </w:r>
    </w:p>
    <w:p w14:paraId="7DE39AE0" w14:textId="77777777" w:rsidR="00B34554" w:rsidRPr="00A729D8" w:rsidRDefault="00B34554" w:rsidP="002106F9">
      <w:r w:rsidRPr="00A729D8">
        <w:t>If there is insufficient data on a particular disease agent or its potential hosts to model the potential range, then the cost-sharing model defaults to a population basis, i.e. the percentage contributed by each state and the Northern Territory is determined based on the population, where the combined percentages for each state and Northern Territory is equal to 10</w:t>
      </w:r>
      <w:r w:rsidR="00014CBC" w:rsidRPr="00A729D8">
        <w:t>0.</w:t>
      </w:r>
    </w:p>
    <w:p w14:paraId="1FB96D53" w14:textId="77777777" w:rsidR="00B34554" w:rsidRPr="00A729D8" w:rsidRDefault="00B34554" w:rsidP="002106F9">
      <w:pPr>
        <w:pStyle w:val="ScheduleL2"/>
      </w:pPr>
      <w:r w:rsidRPr="00A729D8">
        <w:t>Preferred datasets</w:t>
      </w:r>
    </w:p>
    <w:p w14:paraId="27A3DD00" w14:textId="77777777" w:rsidR="00B34554" w:rsidRPr="00A729D8" w:rsidRDefault="00B34554" w:rsidP="00121729">
      <w:pPr>
        <w:pStyle w:val="ListParagraph"/>
        <w:numPr>
          <w:ilvl w:val="0"/>
          <w:numId w:val="98"/>
        </w:numPr>
      </w:pPr>
      <w:r w:rsidRPr="00A729D8">
        <w:t>Catchment maps, since incursions move upstream and downstream from the index case.</w:t>
      </w:r>
    </w:p>
    <w:p w14:paraId="5462064A" w14:textId="77777777" w:rsidR="00B34554" w:rsidRPr="00A729D8" w:rsidRDefault="00B34554" w:rsidP="00121729">
      <w:pPr>
        <w:pStyle w:val="ListParagraph"/>
        <w:numPr>
          <w:ilvl w:val="0"/>
          <w:numId w:val="98"/>
        </w:numPr>
      </w:pPr>
      <w:r w:rsidRPr="00A729D8">
        <w:t>Climate data from the Bureau of Meteorology can be used for actual climate variables—as opposed to WorldClim, which tends to be based on averages.</w:t>
      </w:r>
    </w:p>
    <w:p w14:paraId="4F98350D" w14:textId="77777777" w:rsidR="00B34554" w:rsidRPr="00A729D8" w:rsidRDefault="00B34554" w:rsidP="00121729">
      <w:pPr>
        <w:pStyle w:val="ListParagraph"/>
        <w:numPr>
          <w:ilvl w:val="0"/>
          <w:numId w:val="98"/>
        </w:numPr>
      </w:pPr>
      <w:r w:rsidRPr="00A729D8">
        <w:t>Since many incursions originate from ports, aquaculture facilities or towns, a distance to ports, aquaculture facilities and towns is very useful.</w:t>
      </w:r>
    </w:p>
    <w:p w14:paraId="1D380A58" w14:textId="77777777" w:rsidR="00B34554" w:rsidRPr="00A729D8" w:rsidRDefault="00B34554" w:rsidP="00121729">
      <w:pPr>
        <w:pStyle w:val="ListParagraph"/>
        <w:numPr>
          <w:ilvl w:val="0"/>
          <w:numId w:val="98"/>
        </w:numPr>
      </w:pPr>
      <w:r w:rsidRPr="00A729D8">
        <w:t>Similarly, water feature data can be analysed based on, for example, the distance to perennial or ephemeral rivers or lakes.</w:t>
      </w:r>
    </w:p>
    <w:p w14:paraId="09F1848D" w14:textId="77777777" w:rsidR="00014CBC" w:rsidRPr="00A729D8" w:rsidRDefault="00B34554" w:rsidP="00121729">
      <w:pPr>
        <w:pStyle w:val="ListParagraph"/>
        <w:numPr>
          <w:ilvl w:val="0"/>
          <w:numId w:val="98"/>
        </w:numPr>
      </w:pPr>
      <w:r w:rsidRPr="00A729D8">
        <w:t>Additional data sets that may be used as secondary data are:</w:t>
      </w:r>
    </w:p>
    <w:p w14:paraId="1176B9A4" w14:textId="77777777" w:rsidR="00014CBC" w:rsidRPr="00A729D8" w:rsidRDefault="00B34554" w:rsidP="00121729">
      <w:pPr>
        <w:pStyle w:val="ListParagraph"/>
        <w:numPr>
          <w:ilvl w:val="1"/>
          <w:numId w:val="98"/>
        </w:numPr>
      </w:pPr>
      <w:r w:rsidRPr="00A729D8">
        <w:t>Australian Bureau of Agricultural and Resource Economics and Sciences (ABARES) land use/cover</w:t>
      </w:r>
    </w:p>
    <w:p w14:paraId="12BC86B2" w14:textId="77777777" w:rsidR="00014CBC" w:rsidRPr="00A729D8" w:rsidRDefault="00B34554" w:rsidP="00121729">
      <w:pPr>
        <w:pStyle w:val="ListParagraph"/>
        <w:numPr>
          <w:ilvl w:val="1"/>
          <w:numId w:val="98"/>
        </w:numPr>
      </w:pPr>
      <w:r w:rsidRPr="00A729D8">
        <w:t>Heritage features, such protected sites, World Heritage Areas and the national estate.</w:t>
      </w:r>
    </w:p>
    <w:p w14:paraId="65882464" w14:textId="77777777" w:rsidR="00B34554" w:rsidRPr="00A729D8" w:rsidRDefault="00B34554" w:rsidP="00121729">
      <w:pPr>
        <w:pStyle w:val="ListParagraph"/>
        <w:numPr>
          <w:ilvl w:val="0"/>
          <w:numId w:val="98"/>
        </w:numPr>
      </w:pPr>
      <w:r w:rsidRPr="00A729D8">
        <w:t>Due to the scale of the input data, the analysis should be made at the native resolution level and presented as a 10 km x 10 km grid.</w:t>
      </w:r>
    </w:p>
    <w:p w14:paraId="32E90657" w14:textId="77777777" w:rsidR="00B34554" w:rsidRPr="00A729D8" w:rsidRDefault="00B34554" w:rsidP="002106F9">
      <w:pPr>
        <w:pStyle w:val="ScheduleL1"/>
      </w:pPr>
      <w:r w:rsidRPr="00A729D8">
        <w:t>Modelling software</w:t>
      </w:r>
    </w:p>
    <w:p w14:paraId="5238A593" w14:textId="7252C967" w:rsidR="00CB79CB" w:rsidRPr="00A729D8" w:rsidRDefault="00CB79CB" w:rsidP="00CB79CB">
      <w:pPr>
        <w:pStyle w:val="ScheduleL1"/>
        <w:numPr>
          <w:ilvl w:val="0"/>
          <w:numId w:val="0"/>
        </w:numPr>
        <w:shd w:val="clear" w:color="auto" w:fill="D9D9D9" w:themeFill="background1" w:themeFillShade="D9"/>
        <w:rPr>
          <w:b w:val="0"/>
        </w:rPr>
      </w:pPr>
      <w:r w:rsidRPr="00A729D8">
        <w:rPr>
          <w:b w:val="0"/>
        </w:rPr>
        <w:t xml:space="preserve">[DRAFTING NOTE: </w:t>
      </w:r>
      <w:r w:rsidR="00FE435B" w:rsidRPr="00A729D8">
        <w:rPr>
          <w:b w:val="0"/>
        </w:rPr>
        <w:t>consider if</w:t>
      </w:r>
      <w:r w:rsidRPr="00A729D8">
        <w:rPr>
          <w:b w:val="0"/>
        </w:rPr>
        <w:t xml:space="preserve"> Climatch remains the preferred model]</w:t>
      </w:r>
    </w:p>
    <w:p w14:paraId="30A514AB" w14:textId="77777777" w:rsidR="00014CBC" w:rsidRPr="00A729D8" w:rsidRDefault="00B34554" w:rsidP="00121729">
      <w:pPr>
        <w:pStyle w:val="ListParagraph"/>
        <w:numPr>
          <w:ilvl w:val="0"/>
          <w:numId w:val="99"/>
        </w:numPr>
      </w:pPr>
      <w:r w:rsidRPr="00A729D8">
        <w:t>Climatch (Euclidian matching as implemented by ABARES) is the prefer</w:t>
      </w:r>
      <w:r w:rsidR="00014CBC" w:rsidRPr="00A729D8">
        <w:t>red climate modelling software.</w:t>
      </w:r>
    </w:p>
    <w:p w14:paraId="4816AE86" w14:textId="77777777" w:rsidR="00B34554" w:rsidRPr="00A729D8" w:rsidRDefault="00B34554" w:rsidP="00121729">
      <w:pPr>
        <w:pStyle w:val="ListParagraph"/>
        <w:numPr>
          <w:ilvl w:val="0"/>
          <w:numId w:val="99"/>
        </w:numPr>
      </w:pPr>
      <w:r w:rsidRPr="00A729D8">
        <w:t>While Climatch, like all models, has limitations, its overall logic is sound and it has the advantage of producing a single, reproducible climate match output from a set of agreed inputs. While it is acknowledged that the predictions have uncertainty attached to them, there will be no systematic errors that consistently disadvantage a particular jurisdiction.</w:t>
      </w:r>
    </w:p>
    <w:p w14:paraId="293232AF" w14:textId="77777777" w:rsidR="00014CBC" w:rsidRPr="00A729D8" w:rsidRDefault="00B34554" w:rsidP="00121729">
      <w:pPr>
        <w:pStyle w:val="ListParagraph"/>
        <w:numPr>
          <w:ilvl w:val="0"/>
          <w:numId w:val="99"/>
        </w:numPr>
      </w:pPr>
      <w:r w:rsidRPr="00A729D8">
        <w:t>Climatch uses a number of data parameters, such as temperature and rainfall, to match regions of Australia with areas overseas where a disease is already established. This is then a prediction of where it may be possible for the disease to establish if able and allowed to spread to all areas.</w:t>
      </w:r>
    </w:p>
    <w:p w14:paraId="05CF1B8D" w14:textId="77777777" w:rsidR="00B34554" w:rsidRPr="00A729D8" w:rsidRDefault="00B34554" w:rsidP="00121729">
      <w:pPr>
        <w:pStyle w:val="ListParagraph"/>
        <w:numPr>
          <w:ilvl w:val="0"/>
          <w:numId w:val="99"/>
        </w:numPr>
      </w:pPr>
      <w:r w:rsidRPr="00A729D8">
        <w:lastRenderedPageBreak/>
        <w:t>An additional data layer for surface water will also be used for inland water diseases. Suitable habitat will be wherever surface water occurs in an area of suitable climate.</w:t>
      </w:r>
    </w:p>
    <w:p w14:paraId="756097A2" w14:textId="77777777" w:rsidR="00B34554" w:rsidRPr="00A729D8" w:rsidRDefault="00B34554" w:rsidP="00121729">
      <w:pPr>
        <w:pStyle w:val="ListParagraph"/>
        <w:numPr>
          <w:ilvl w:val="0"/>
          <w:numId w:val="99"/>
        </w:numPr>
      </w:pPr>
      <w:r w:rsidRPr="00A729D8">
        <w:t>For cost-sharing purposes a threshold of climate match level 5 and higher will be used for Climatch modelling.</w:t>
      </w:r>
    </w:p>
    <w:p w14:paraId="15A61086" w14:textId="77777777" w:rsidR="00B34554" w:rsidRPr="00A729D8" w:rsidRDefault="00B34554" w:rsidP="002106F9">
      <w:pPr>
        <w:pStyle w:val="ScheduleL1"/>
      </w:pPr>
      <w:r w:rsidRPr="00A729D8">
        <w:t>Processes  and  procedures  for  modelling  the  likely  area affected  by an inland water disease</w:t>
      </w:r>
    </w:p>
    <w:p w14:paraId="1ED4A319" w14:textId="77777777" w:rsidR="00B34554" w:rsidRPr="00A729D8" w:rsidRDefault="00B34554" w:rsidP="002106F9">
      <w:pPr>
        <w:pStyle w:val="ScheduleL2"/>
      </w:pPr>
      <w:r w:rsidRPr="00A729D8">
        <w:t>Processes and procedures</w:t>
      </w:r>
    </w:p>
    <w:p w14:paraId="5E81B552" w14:textId="77777777" w:rsidR="00B34554" w:rsidRPr="00A729D8" w:rsidRDefault="00B34554" w:rsidP="002106F9">
      <w:r w:rsidRPr="00A729D8">
        <w:t>The following process is recommended for modelling the likely area of infection:</w:t>
      </w:r>
    </w:p>
    <w:p w14:paraId="3115F051" w14:textId="77777777" w:rsidR="00B34554" w:rsidRPr="00A729D8" w:rsidRDefault="00B34554" w:rsidP="00121729">
      <w:pPr>
        <w:pStyle w:val="ListParagraph"/>
        <w:numPr>
          <w:ilvl w:val="0"/>
          <w:numId w:val="100"/>
        </w:numPr>
      </w:pPr>
      <w:r w:rsidRPr="00A729D8">
        <w:t>Identify the disease/infectious agent.</w:t>
      </w:r>
    </w:p>
    <w:p w14:paraId="31B131FD" w14:textId="77777777" w:rsidR="00B34554" w:rsidRPr="00A729D8" w:rsidRDefault="00B34554" w:rsidP="00121729">
      <w:pPr>
        <w:pStyle w:val="ListParagraph"/>
        <w:numPr>
          <w:ilvl w:val="0"/>
          <w:numId w:val="100"/>
        </w:numPr>
      </w:pPr>
      <w:r w:rsidRPr="00A729D8">
        <w:t>Identify the potential host(s).</w:t>
      </w:r>
    </w:p>
    <w:p w14:paraId="75D77339" w14:textId="77777777" w:rsidR="000C65B9" w:rsidRPr="00A729D8" w:rsidRDefault="00B34554" w:rsidP="00121729">
      <w:pPr>
        <w:pStyle w:val="ListParagraph"/>
        <w:numPr>
          <w:ilvl w:val="0"/>
          <w:numId w:val="100"/>
        </w:numPr>
      </w:pPr>
      <w:r w:rsidRPr="00A729D8">
        <w:t>Determine the minimum and maximum environmental tolerances for the disease agent.</w:t>
      </w:r>
    </w:p>
    <w:p w14:paraId="656C5A60" w14:textId="77777777" w:rsidR="000C65B9" w:rsidRPr="00A729D8" w:rsidRDefault="00B34554" w:rsidP="00121729">
      <w:pPr>
        <w:pStyle w:val="ListParagraph"/>
        <w:numPr>
          <w:ilvl w:val="1"/>
          <w:numId w:val="100"/>
        </w:numPr>
      </w:pPr>
      <w:r w:rsidRPr="00A729D8">
        <w:t>The most accurate environmental tolerance range of a disease agent should be used when determining the potential distribution. Dependent on the species information available, this will be determined by combining environmental tolerance data on a host species, noting that the environmental tolerance data used may still overestimate the potential range.</w:t>
      </w:r>
    </w:p>
    <w:p w14:paraId="08D3FAB5" w14:textId="77777777" w:rsidR="000C65B9" w:rsidRPr="00A729D8" w:rsidRDefault="00B34554" w:rsidP="00121729">
      <w:pPr>
        <w:pStyle w:val="ListParagraph"/>
        <w:numPr>
          <w:ilvl w:val="1"/>
          <w:numId w:val="100"/>
        </w:numPr>
      </w:pPr>
      <w:r w:rsidRPr="00A729D8">
        <w:t>Only if the abovementioned option is not available should low confidence data be used (in order of preference).</w:t>
      </w:r>
    </w:p>
    <w:p w14:paraId="47459F76" w14:textId="77777777" w:rsidR="000C65B9" w:rsidRPr="00A729D8" w:rsidRDefault="00B34554" w:rsidP="00121729">
      <w:pPr>
        <w:pStyle w:val="ListParagraph"/>
        <w:numPr>
          <w:ilvl w:val="1"/>
          <w:numId w:val="100"/>
        </w:numPr>
      </w:pPr>
      <w:r w:rsidRPr="00A729D8">
        <w:t>Environmental data should be sourced from a literature review process using both high and low confidence data.</w:t>
      </w:r>
    </w:p>
    <w:p w14:paraId="55034410" w14:textId="77777777" w:rsidR="000C65B9" w:rsidRPr="00A729D8" w:rsidRDefault="00B34554" w:rsidP="00121729">
      <w:pPr>
        <w:pStyle w:val="ListParagraph"/>
        <w:numPr>
          <w:ilvl w:val="1"/>
          <w:numId w:val="100"/>
        </w:numPr>
      </w:pPr>
      <w:r w:rsidRPr="00A729D8">
        <w:t xml:space="preserve">Other variables that are considered driving factors in the distribution of a disease may be incorporated into the formula, as decided by the </w:t>
      </w:r>
      <w:r w:rsidR="00B20F48" w:rsidRPr="00A729D8">
        <w:t>NBMCC</w:t>
      </w:r>
      <w:r w:rsidRPr="00A729D8">
        <w:t xml:space="preserve"> on a case-by- case basis.</w:t>
      </w:r>
    </w:p>
    <w:p w14:paraId="7956FD9D" w14:textId="77777777" w:rsidR="00B34554" w:rsidRPr="00A729D8" w:rsidRDefault="00B34554" w:rsidP="00121729">
      <w:pPr>
        <w:pStyle w:val="ListParagraph"/>
        <w:numPr>
          <w:ilvl w:val="1"/>
          <w:numId w:val="100"/>
        </w:numPr>
      </w:pPr>
      <w:r w:rsidRPr="00A729D8">
        <w:t>Where additional layers of data are to be used in the analysis they will also need to be scientifically determined. Any modifiers that are used must be incontrovertible and fully documented.</w:t>
      </w:r>
    </w:p>
    <w:p w14:paraId="194C6E24" w14:textId="77777777" w:rsidR="000C65B9" w:rsidRPr="00A729D8" w:rsidRDefault="00B34554" w:rsidP="00121729">
      <w:pPr>
        <w:pStyle w:val="ListParagraph"/>
        <w:numPr>
          <w:ilvl w:val="0"/>
          <w:numId w:val="100"/>
        </w:numPr>
      </w:pPr>
      <w:r w:rsidRPr="00A729D8">
        <w:t>Determine the minimum and maximum environmental tolerances for the potential hosts.</w:t>
      </w:r>
    </w:p>
    <w:p w14:paraId="242A2988" w14:textId="77777777" w:rsidR="000C65B9" w:rsidRPr="00A729D8" w:rsidRDefault="00B34554" w:rsidP="00121729">
      <w:pPr>
        <w:pStyle w:val="ListParagraph"/>
        <w:numPr>
          <w:ilvl w:val="1"/>
          <w:numId w:val="100"/>
        </w:numPr>
      </w:pPr>
      <w:r w:rsidRPr="00A729D8">
        <w:t>The most accurate environmental tolerance range of a potential hosts should be used when determining the potential distribution. Dependent on the species information available, this will be determined by combining environmental tolerance data on a host species, noting that the environmental tolerance data used may still overestimate the potential range.</w:t>
      </w:r>
    </w:p>
    <w:p w14:paraId="008800B4" w14:textId="77777777" w:rsidR="000C65B9" w:rsidRPr="00A729D8" w:rsidRDefault="00B34554" w:rsidP="00121729">
      <w:pPr>
        <w:pStyle w:val="ListParagraph"/>
        <w:numPr>
          <w:ilvl w:val="1"/>
          <w:numId w:val="100"/>
        </w:numPr>
      </w:pPr>
      <w:r w:rsidRPr="00A729D8">
        <w:t>Only if the abovementioned option is not available should low confidence data be used (in order of preference).</w:t>
      </w:r>
    </w:p>
    <w:p w14:paraId="7C8FB900" w14:textId="77777777" w:rsidR="000C65B9" w:rsidRPr="00A729D8" w:rsidRDefault="00B34554" w:rsidP="00121729">
      <w:pPr>
        <w:pStyle w:val="ListParagraph"/>
        <w:numPr>
          <w:ilvl w:val="1"/>
          <w:numId w:val="100"/>
        </w:numPr>
      </w:pPr>
      <w:r w:rsidRPr="00A729D8">
        <w:lastRenderedPageBreak/>
        <w:t>Environmental data should be sourced from a literature review process using both high and low confidence data.</w:t>
      </w:r>
    </w:p>
    <w:p w14:paraId="30B93D5F" w14:textId="77777777" w:rsidR="000C65B9" w:rsidRPr="00A729D8" w:rsidRDefault="00B34554" w:rsidP="00121729">
      <w:pPr>
        <w:pStyle w:val="ListParagraph"/>
        <w:numPr>
          <w:ilvl w:val="1"/>
          <w:numId w:val="100"/>
        </w:numPr>
      </w:pPr>
      <w:r w:rsidRPr="00A729D8">
        <w:t xml:space="preserve">Other variables that are considered driving factors in the distribution of a disease may be incorporated into the formula, as decided by the </w:t>
      </w:r>
      <w:r w:rsidR="00B20F48" w:rsidRPr="00A729D8">
        <w:t>NBMCC</w:t>
      </w:r>
      <w:r w:rsidRPr="00A729D8">
        <w:t xml:space="preserve"> on a case-by- case basis.</w:t>
      </w:r>
    </w:p>
    <w:p w14:paraId="4D743B01" w14:textId="77777777" w:rsidR="000C65B9" w:rsidRPr="00A729D8" w:rsidRDefault="00B34554" w:rsidP="00121729">
      <w:pPr>
        <w:pStyle w:val="ListParagraph"/>
        <w:numPr>
          <w:ilvl w:val="1"/>
          <w:numId w:val="100"/>
        </w:numPr>
      </w:pPr>
      <w:r w:rsidRPr="00A729D8">
        <w:t>Where additional layers of data are to be used in the analysis they will also need to be scientifically determined. Any modifiers that are used must be incontrovertible and fully documented.</w:t>
      </w:r>
    </w:p>
    <w:p w14:paraId="7F0878DD" w14:textId="77777777" w:rsidR="000C65B9" w:rsidRPr="00A729D8" w:rsidRDefault="00B34554" w:rsidP="00121729">
      <w:pPr>
        <w:pStyle w:val="ListParagraph"/>
        <w:numPr>
          <w:ilvl w:val="0"/>
          <w:numId w:val="100"/>
        </w:numPr>
      </w:pPr>
      <w:r w:rsidRPr="00A729D8">
        <w:t>Undertake an internet search for information on the disease (accessing both high and lesser quality information), particularly on distribution.</w:t>
      </w:r>
    </w:p>
    <w:p w14:paraId="0311BEE2" w14:textId="77777777" w:rsidR="000C65B9" w:rsidRPr="00A729D8" w:rsidRDefault="00B34554" w:rsidP="00121729">
      <w:pPr>
        <w:pStyle w:val="ListParagraph"/>
        <w:numPr>
          <w:ilvl w:val="0"/>
          <w:numId w:val="100"/>
        </w:numPr>
      </w:pPr>
      <w:r w:rsidRPr="00A729D8">
        <w:t xml:space="preserve">Collect overseas and Australian distributional data (both validated and anecdotal, noting that this is for new </w:t>
      </w:r>
      <w:r w:rsidR="00747D05" w:rsidRPr="00A729D8">
        <w:t>incident</w:t>
      </w:r>
      <w:r w:rsidRPr="00A729D8">
        <w:t>s).</w:t>
      </w:r>
    </w:p>
    <w:p w14:paraId="5AD49CAC" w14:textId="77777777" w:rsidR="000C65B9" w:rsidRPr="00A729D8" w:rsidRDefault="00B34554" w:rsidP="00121729">
      <w:pPr>
        <w:pStyle w:val="ListParagraph"/>
        <w:numPr>
          <w:ilvl w:val="0"/>
          <w:numId w:val="100"/>
        </w:numPr>
      </w:pPr>
      <w:r w:rsidRPr="00A729D8">
        <w:t>Undertake Climatch modelling of validated data using:</w:t>
      </w:r>
    </w:p>
    <w:p w14:paraId="298B51A6" w14:textId="77777777" w:rsidR="000C65B9" w:rsidRPr="00A729D8" w:rsidRDefault="00B34554" w:rsidP="00121729">
      <w:pPr>
        <w:pStyle w:val="ListParagraph"/>
        <w:numPr>
          <w:ilvl w:val="1"/>
          <w:numId w:val="100"/>
        </w:numPr>
      </w:pPr>
      <w:r w:rsidRPr="00A729D8">
        <w:t>all 16 paramet</w:t>
      </w:r>
      <w:r w:rsidR="000C65B9" w:rsidRPr="00A729D8">
        <w:t>ers for rainfall and temperature</w:t>
      </w:r>
    </w:p>
    <w:p w14:paraId="60C80BA5" w14:textId="77777777" w:rsidR="000C65B9" w:rsidRPr="00A729D8" w:rsidRDefault="000C65B9" w:rsidP="00121729">
      <w:pPr>
        <w:pStyle w:val="ListParagraph"/>
        <w:numPr>
          <w:ilvl w:val="1"/>
          <w:numId w:val="100"/>
        </w:numPr>
      </w:pPr>
      <w:r w:rsidRPr="00A729D8">
        <w:t>the agreed, current shapefile</w:t>
      </w:r>
    </w:p>
    <w:p w14:paraId="75739793" w14:textId="77777777" w:rsidR="000C65B9" w:rsidRPr="00A729D8" w:rsidRDefault="00B34554" w:rsidP="00121729">
      <w:pPr>
        <w:pStyle w:val="ListParagraph"/>
        <w:numPr>
          <w:ilvl w:val="1"/>
          <w:numId w:val="100"/>
        </w:numPr>
      </w:pPr>
      <w:r w:rsidRPr="00A729D8">
        <w:t>worlddata all.txt (or, if necessary, newwrldclm.txt)</w:t>
      </w:r>
    </w:p>
    <w:p w14:paraId="6E8ACC0C" w14:textId="77777777" w:rsidR="000C65B9" w:rsidRPr="00A729D8" w:rsidRDefault="00B34554" w:rsidP="00121729">
      <w:pPr>
        <w:pStyle w:val="ListParagraph"/>
        <w:numPr>
          <w:ilvl w:val="1"/>
          <w:numId w:val="100"/>
        </w:numPr>
      </w:pPr>
      <w:r w:rsidRPr="00A729D8">
        <w:t>Euclidian match.</w:t>
      </w:r>
    </w:p>
    <w:p w14:paraId="5DC2ED0E" w14:textId="77777777" w:rsidR="000C65B9" w:rsidRPr="00A729D8" w:rsidRDefault="00B34554" w:rsidP="00121729">
      <w:pPr>
        <w:pStyle w:val="ListParagraph"/>
        <w:numPr>
          <w:ilvl w:val="0"/>
          <w:numId w:val="100"/>
        </w:numPr>
      </w:pPr>
      <w:r w:rsidRPr="00A729D8">
        <w:t>Undertake Climatch modelling of anecdotal data using methodology as for item 5.1(d) of this attachment.</w:t>
      </w:r>
    </w:p>
    <w:p w14:paraId="1A0D264D" w14:textId="77777777" w:rsidR="000C65B9" w:rsidRPr="00A729D8" w:rsidRDefault="00B34554" w:rsidP="00121729">
      <w:pPr>
        <w:pStyle w:val="ListParagraph"/>
        <w:numPr>
          <w:ilvl w:val="0"/>
          <w:numId w:val="100"/>
        </w:numPr>
      </w:pPr>
      <w:r w:rsidRPr="00A729D8">
        <w:t>Check the data to ensure there are no fundamental errors and validate the outliers, excluding (with an explanation) any errors and anomalies (e.g. non-viable populations).</w:t>
      </w:r>
    </w:p>
    <w:p w14:paraId="05832740" w14:textId="77777777" w:rsidR="000C65B9" w:rsidRPr="00A729D8" w:rsidRDefault="00B34554" w:rsidP="00121729">
      <w:pPr>
        <w:pStyle w:val="ListParagraph"/>
        <w:numPr>
          <w:ilvl w:val="0"/>
          <w:numId w:val="100"/>
        </w:numPr>
      </w:pPr>
      <w:r w:rsidRPr="00A729D8">
        <w:t>Overlay with surface water data/maps.</w:t>
      </w:r>
    </w:p>
    <w:p w14:paraId="13857C79" w14:textId="77777777" w:rsidR="000C65B9" w:rsidRPr="00A729D8" w:rsidRDefault="00B34554" w:rsidP="00121729">
      <w:pPr>
        <w:pStyle w:val="ListParagraph"/>
        <w:numPr>
          <w:ilvl w:val="0"/>
          <w:numId w:val="100"/>
        </w:numPr>
      </w:pPr>
      <w:r w:rsidRPr="00A729D8">
        <w:t>Check the results with other experts.</w:t>
      </w:r>
    </w:p>
    <w:p w14:paraId="0304E69B" w14:textId="77777777" w:rsidR="000C65B9" w:rsidRPr="00A729D8" w:rsidRDefault="00B34554" w:rsidP="00121729">
      <w:pPr>
        <w:pStyle w:val="ListParagraph"/>
        <w:numPr>
          <w:ilvl w:val="0"/>
          <w:numId w:val="100"/>
        </w:numPr>
      </w:pPr>
      <w:r w:rsidRPr="00A729D8">
        <w:t>Include additional layers of data, when they are to be used in the analysis (such as the host species range to give the potential distribution of inland water pathogens, as it is assumed that they would generally require the presence of a suitable host species to survive). Any modifiers that are used must be incontrovertible and fully documented.</w:t>
      </w:r>
    </w:p>
    <w:p w14:paraId="6E0F8812" w14:textId="77777777" w:rsidR="000C65B9" w:rsidRPr="00A729D8" w:rsidRDefault="00B34554" w:rsidP="00121729">
      <w:pPr>
        <w:pStyle w:val="ListParagraph"/>
        <w:numPr>
          <w:ilvl w:val="0"/>
          <w:numId w:val="100"/>
        </w:numPr>
      </w:pPr>
      <w:r w:rsidRPr="00A729D8">
        <w:t>Produce potential distribution map:</w:t>
      </w:r>
    </w:p>
    <w:p w14:paraId="64E40A7B" w14:textId="77777777" w:rsidR="000C65B9" w:rsidRPr="00A729D8" w:rsidRDefault="000C65B9" w:rsidP="00121729">
      <w:pPr>
        <w:pStyle w:val="ListParagraph"/>
        <w:numPr>
          <w:ilvl w:val="1"/>
          <w:numId w:val="100"/>
        </w:numPr>
      </w:pPr>
      <w:r w:rsidRPr="00A729D8">
        <w:t xml:space="preserve"> </w:t>
      </w:r>
      <w:r w:rsidR="00B34554" w:rsidRPr="00A729D8">
        <w:t>‘clip’ Climatch map in GIS to the overlay of the surface water</w:t>
      </w:r>
    </w:p>
    <w:p w14:paraId="1B730FD7" w14:textId="77777777" w:rsidR="000C65B9" w:rsidRPr="00A729D8" w:rsidRDefault="00B34554" w:rsidP="00121729">
      <w:pPr>
        <w:pStyle w:val="ListParagraph"/>
        <w:numPr>
          <w:ilvl w:val="1"/>
          <w:numId w:val="100"/>
        </w:numPr>
      </w:pPr>
      <w:r w:rsidRPr="00A729D8">
        <w:t>threshold match of level 5 (Bomford modelling)</w:t>
      </w:r>
    </w:p>
    <w:p w14:paraId="283367F3" w14:textId="77777777" w:rsidR="00B34554" w:rsidRPr="00A729D8" w:rsidRDefault="00B34554" w:rsidP="00121729">
      <w:pPr>
        <w:pStyle w:val="ListParagraph"/>
        <w:numPr>
          <w:ilvl w:val="1"/>
          <w:numId w:val="100"/>
        </w:numPr>
      </w:pPr>
      <w:r w:rsidRPr="00A729D8">
        <w:t>include a confidence statement on the quality of the data.</w:t>
      </w:r>
    </w:p>
    <w:p w14:paraId="57279BA2" w14:textId="77777777" w:rsidR="00E01CEB" w:rsidRPr="00A729D8" w:rsidRDefault="00E01CEB" w:rsidP="00E01CEB">
      <w:pPr>
        <w:shd w:val="clear" w:color="auto" w:fill="D0CECE" w:themeFill="background2" w:themeFillShade="E6"/>
      </w:pPr>
      <w:r w:rsidRPr="00A729D8">
        <w:t>[DRAFTING NOTE: update 5.2 Trigger List Species following consultation with SCAAH]</w:t>
      </w:r>
    </w:p>
    <w:p w14:paraId="258A8532" w14:textId="77777777" w:rsidR="00B34554" w:rsidRPr="00A729D8" w:rsidRDefault="000C65B9" w:rsidP="002106F9">
      <w:pPr>
        <w:pStyle w:val="ScheduleL2"/>
      </w:pPr>
      <w:r w:rsidRPr="00A729D8">
        <w:t>Trigger List Species</w:t>
      </w:r>
    </w:p>
    <w:p w14:paraId="4E24A5DB" w14:textId="77777777" w:rsidR="00B34554" w:rsidRPr="00A729D8" w:rsidRDefault="00B34554" w:rsidP="00121729">
      <w:pPr>
        <w:pStyle w:val="ListParagraph"/>
        <w:numPr>
          <w:ilvl w:val="0"/>
          <w:numId w:val="101"/>
        </w:numPr>
      </w:pPr>
      <w:r w:rsidRPr="00A729D8">
        <w:t>If an inland water disease agent is currently on the OIE/Australia’s National list, the potential affected waterways for each state should be predetermined as part of preparedness measures.</w:t>
      </w:r>
    </w:p>
    <w:p w14:paraId="6EFBA277" w14:textId="77777777" w:rsidR="00B34554" w:rsidRPr="00A729D8" w:rsidRDefault="00B34554" w:rsidP="00121729">
      <w:pPr>
        <w:pStyle w:val="ListParagraph"/>
        <w:numPr>
          <w:ilvl w:val="0"/>
          <w:numId w:val="101"/>
        </w:numPr>
      </w:pPr>
      <w:r w:rsidRPr="00A729D8">
        <w:lastRenderedPageBreak/>
        <w:t>Percentage contribution figures for each state and the Northern Territory are maintained by the Sub-Committee on Aquatic Animal Health (SCAAH) secretariat.</w:t>
      </w:r>
    </w:p>
    <w:p w14:paraId="46949C40" w14:textId="77777777" w:rsidR="00B34554" w:rsidRPr="00A729D8" w:rsidRDefault="00B34554" w:rsidP="00121729">
      <w:pPr>
        <w:pStyle w:val="ListParagraph"/>
        <w:numPr>
          <w:ilvl w:val="0"/>
          <w:numId w:val="101"/>
        </w:numPr>
      </w:pPr>
      <w:r w:rsidRPr="00A729D8">
        <w:t>SCAAH should review the methods, figures and guidelines used for national response cost sharing analysis every two years. The formula should evolve to incorporate any new technology, data or species identified since the previous review.</w:t>
      </w:r>
    </w:p>
    <w:p w14:paraId="4E3B282E" w14:textId="77777777" w:rsidR="00B34554" w:rsidRPr="00A729D8" w:rsidRDefault="00B34554" w:rsidP="002106F9">
      <w:pPr>
        <w:pStyle w:val="ScheduleL1"/>
      </w:pPr>
      <w:r w:rsidRPr="00A729D8">
        <w:t>Parameters for cost-sharing of responses to disease incidents in inland water environments</w:t>
      </w:r>
    </w:p>
    <w:p w14:paraId="4E8139E3" w14:textId="77777777" w:rsidR="00B34554" w:rsidRPr="00A729D8" w:rsidRDefault="00B34554" w:rsidP="002106F9">
      <w:pPr>
        <w:pStyle w:val="ScheduleL2"/>
      </w:pPr>
      <w:r w:rsidRPr="00A729D8">
        <w:t>Population parameters</w:t>
      </w:r>
    </w:p>
    <w:p w14:paraId="4E9696C0" w14:textId="77777777" w:rsidR="00B34554" w:rsidRPr="00A729D8" w:rsidRDefault="00B34554" w:rsidP="002106F9">
      <w:r w:rsidRPr="00A729D8">
        <w:t xml:space="preserve">With regard to disease incidents in inland water environments, the following parameters will be used to determine the Australian </w:t>
      </w:r>
      <w:r w:rsidR="000C65B9" w:rsidRPr="00A729D8">
        <w:t>and jurisdictional populations.</w:t>
      </w:r>
    </w:p>
    <w:p w14:paraId="02222310" w14:textId="77777777" w:rsidR="00B34554" w:rsidRPr="00A729D8" w:rsidRDefault="00B34554" w:rsidP="00121729">
      <w:pPr>
        <w:pStyle w:val="ListParagraph"/>
        <w:numPr>
          <w:ilvl w:val="0"/>
          <w:numId w:val="102"/>
        </w:numPr>
      </w:pPr>
      <w:r w:rsidRPr="00A729D8">
        <w:t>Each population value used should be the most recent and accurate available. The most recently available Australian Bureau of Statistics Australian Demographic Statistics Population parameters will be used to estimate populations. The New South Wales population will not include Jervis Bay.</w:t>
      </w:r>
    </w:p>
    <w:p w14:paraId="72A7D215" w14:textId="77777777" w:rsidR="00B34554" w:rsidRPr="00A729D8" w:rsidRDefault="00B34554" w:rsidP="00121729">
      <w:pPr>
        <w:pStyle w:val="ListParagraph"/>
        <w:numPr>
          <w:ilvl w:val="0"/>
          <w:numId w:val="102"/>
        </w:numPr>
      </w:pPr>
      <w:r w:rsidRPr="00A729D8">
        <w:t>All population figures will include those of relevant islands in each jurisdiction.</w:t>
      </w:r>
    </w:p>
    <w:p w14:paraId="2B337574" w14:textId="7E81329A" w:rsidR="00B34554" w:rsidRPr="00A729D8" w:rsidRDefault="00B34554" w:rsidP="00121729">
      <w:pPr>
        <w:pStyle w:val="ListParagraph"/>
        <w:numPr>
          <w:ilvl w:val="0"/>
          <w:numId w:val="102"/>
        </w:numPr>
      </w:pPr>
      <w:r w:rsidRPr="00A729D8">
        <w:t>The sum of the populations for the states and the Northern Territory will be used as the total population of Australia. The population of Jervis Bay is excluded from the calculations of the New South Wales population as it comes under the jurisdiction of the Commonwealth. The total Australian population does not include the Australian Capital Territory population.</w:t>
      </w:r>
    </w:p>
    <w:p w14:paraId="702DBD6D" w14:textId="77777777" w:rsidR="00B34554" w:rsidRPr="00A729D8" w:rsidRDefault="000C65B9" w:rsidP="002106F9">
      <w:pPr>
        <w:pStyle w:val="ScheduleL2"/>
      </w:pPr>
      <w:r w:rsidRPr="00A729D8">
        <w:t>Area of waterway parameters</w:t>
      </w:r>
    </w:p>
    <w:p w14:paraId="25C8FA15" w14:textId="77777777" w:rsidR="00B34554" w:rsidRPr="00A729D8" w:rsidRDefault="00B34554" w:rsidP="002106F9">
      <w:r w:rsidRPr="00A729D8">
        <w:t>For the purposes of disease incidents in inland water environments the fol</w:t>
      </w:r>
      <w:r w:rsidR="000C65B9" w:rsidRPr="00A729D8">
        <w:t>lowing parameters will be used.</w:t>
      </w:r>
    </w:p>
    <w:p w14:paraId="2A2EB84B" w14:textId="77777777" w:rsidR="00B34554" w:rsidRPr="00A729D8" w:rsidRDefault="00B34554" w:rsidP="00121729">
      <w:pPr>
        <w:pStyle w:val="ListParagraph"/>
        <w:numPr>
          <w:ilvl w:val="0"/>
          <w:numId w:val="103"/>
        </w:numPr>
      </w:pPr>
      <w:r w:rsidRPr="00A729D8">
        <w:t>Each value should be the most recent, accurate figure available (see item 3.7 to this attachment).</w:t>
      </w:r>
    </w:p>
    <w:p w14:paraId="5D60E5B8" w14:textId="77777777" w:rsidR="00B34554" w:rsidRPr="00A729D8" w:rsidRDefault="00B34554" w:rsidP="00121729">
      <w:pPr>
        <w:pStyle w:val="ListParagraph"/>
        <w:numPr>
          <w:ilvl w:val="0"/>
          <w:numId w:val="103"/>
        </w:numPr>
      </w:pPr>
      <w:r w:rsidRPr="00A729D8">
        <w:t>The figures will include inland water catchments on relevant islands in each jurisdiction.</w:t>
      </w:r>
    </w:p>
    <w:p w14:paraId="6959A0D4" w14:textId="77777777" w:rsidR="00B34554" w:rsidRPr="00A729D8" w:rsidRDefault="00B34554" w:rsidP="00121729">
      <w:pPr>
        <w:pStyle w:val="ListParagraph"/>
        <w:numPr>
          <w:ilvl w:val="0"/>
          <w:numId w:val="103"/>
        </w:numPr>
      </w:pPr>
      <w:r w:rsidRPr="00A729D8">
        <w:t>The New South Wales figure should not incorporate the Australian Capital Territory’s (including Jervis Bay) area of inland waters.</w:t>
      </w:r>
    </w:p>
    <w:p w14:paraId="2E7BCED1" w14:textId="77777777" w:rsidR="00B34554" w:rsidRPr="00A729D8" w:rsidRDefault="00B34554" w:rsidP="00121729">
      <w:pPr>
        <w:pStyle w:val="ListParagraph"/>
        <w:numPr>
          <w:ilvl w:val="0"/>
          <w:numId w:val="103"/>
        </w:numPr>
      </w:pPr>
      <w:r w:rsidRPr="00A729D8">
        <w:t>The sum of the surface area of the inland water as defined by the GEODATA TOPO 250k dataset (see 3.2(d)).</w:t>
      </w:r>
    </w:p>
    <w:p w14:paraId="5EB9EDAF" w14:textId="77777777" w:rsidR="00B34554" w:rsidRPr="00A729D8" w:rsidRDefault="00B34554" w:rsidP="002106F9">
      <w:pPr>
        <w:pStyle w:val="ScheduleL1"/>
      </w:pPr>
      <w:r w:rsidRPr="00A729D8">
        <w:t>Formula for calculating cost-sharing arrangements for disease incidents in inland water environments</w:t>
      </w:r>
    </w:p>
    <w:p w14:paraId="1DE03089" w14:textId="77777777" w:rsidR="00B34554" w:rsidRPr="00A729D8" w:rsidRDefault="00B34554" w:rsidP="002106F9">
      <w:r w:rsidRPr="00A729D8">
        <w:t>Cost-sharing for disease incidents in inland water environments is calculated using the following steps:</w:t>
      </w:r>
    </w:p>
    <w:p w14:paraId="3CB2C911" w14:textId="77777777" w:rsidR="00B34554" w:rsidRPr="00A729D8" w:rsidRDefault="00B34554" w:rsidP="002106F9">
      <w:r w:rsidRPr="00A729D8">
        <w:t xml:space="preserve"> </w:t>
      </w:r>
    </w:p>
    <w:p w14:paraId="31D86E17" w14:textId="77777777" w:rsidR="000C65B9" w:rsidRPr="00A729D8" w:rsidRDefault="00B34554" w:rsidP="002106F9">
      <w:r w:rsidRPr="00A729D8">
        <w:rPr>
          <w:b/>
        </w:rPr>
        <w:lastRenderedPageBreak/>
        <w:t>Step 1:</w:t>
      </w:r>
      <w:r w:rsidRPr="00A729D8">
        <w:t xml:space="preserve"> Determine the area of potentially affected jurisdictional waterway(s) in accordance wi</w:t>
      </w:r>
      <w:r w:rsidR="000C65B9" w:rsidRPr="00A729D8">
        <w:t>th item 5.1 of this attachment.</w:t>
      </w:r>
    </w:p>
    <w:p w14:paraId="570424D2" w14:textId="77777777" w:rsidR="00B34554" w:rsidRPr="00A729D8" w:rsidRDefault="00B34554" w:rsidP="002106F9">
      <w:r w:rsidRPr="00A729D8">
        <w:rPr>
          <w:b/>
        </w:rPr>
        <w:t>Step 2:</w:t>
      </w:r>
      <w:r w:rsidRPr="00A729D8">
        <w:t xml:space="preserve"> Calculate the number of people potentially affected in a particular jurisdiction: The number of people in potentially affected area in that jurisdiction equals:</w:t>
      </w:r>
    </w:p>
    <w:p w14:paraId="55057C88" w14:textId="77777777" w:rsidR="000C65B9" w:rsidRPr="00A729D8" w:rsidRDefault="00B34554" w:rsidP="002106F9">
      <w:pPr>
        <w:spacing w:after="0"/>
        <w:jc w:val="center"/>
        <w:rPr>
          <w:u w:val="single"/>
        </w:rPr>
      </w:pPr>
      <w:r w:rsidRPr="00A729D8">
        <w:rPr>
          <w:u w:val="single"/>
        </w:rPr>
        <w:t>Jurisdiction population   x   area of potentially affected jurisdiction waterway</w:t>
      </w:r>
    </w:p>
    <w:p w14:paraId="4E874AFE" w14:textId="77777777" w:rsidR="00B34554" w:rsidRPr="00A729D8" w:rsidRDefault="00B34554" w:rsidP="002106F9">
      <w:pPr>
        <w:spacing w:before="0"/>
        <w:jc w:val="center"/>
        <w:rPr>
          <w:u w:val="single"/>
        </w:rPr>
      </w:pPr>
      <w:r w:rsidRPr="00A729D8">
        <w:t>total area of jurisdiction waterway</w:t>
      </w:r>
    </w:p>
    <w:p w14:paraId="3754C718" w14:textId="77777777" w:rsidR="000C65B9" w:rsidRPr="00A729D8" w:rsidRDefault="00B34554" w:rsidP="002106F9">
      <w:r w:rsidRPr="00A729D8">
        <w:rPr>
          <w:b/>
        </w:rPr>
        <w:t>Step 3:</w:t>
      </w:r>
      <w:r w:rsidRPr="00A729D8">
        <w:t xml:space="preserve">  Repeat Step 2 for all potentially affected jurisdictions. </w:t>
      </w:r>
    </w:p>
    <w:p w14:paraId="4A66AEDF" w14:textId="77777777" w:rsidR="00B34554" w:rsidRPr="00A729D8" w:rsidRDefault="00B34554" w:rsidP="002106F9">
      <w:r w:rsidRPr="00A729D8">
        <w:rPr>
          <w:b/>
        </w:rPr>
        <w:t>Step 4</w:t>
      </w:r>
      <w:r w:rsidRPr="00A729D8">
        <w:t>: Calculate the total number of people affected in Australia: The total number of people potentially affected in Australia equals:</w:t>
      </w:r>
    </w:p>
    <w:p w14:paraId="604F81F8" w14:textId="77777777" w:rsidR="00B34554" w:rsidRPr="00A729D8" w:rsidRDefault="00B34554" w:rsidP="002106F9">
      <w:r w:rsidRPr="00A729D8">
        <w:t>The sum of the number of people potentially affected in each potentially affected jurisdiction (i.e. jurisdiction A + jurisdiction B + and so on)</w:t>
      </w:r>
    </w:p>
    <w:p w14:paraId="6539E294" w14:textId="77777777" w:rsidR="00B34554" w:rsidRPr="00A729D8" w:rsidRDefault="00B34554" w:rsidP="002106F9">
      <w:r w:rsidRPr="00A729D8">
        <w:rPr>
          <w:b/>
        </w:rPr>
        <w:t>Step 5:</w:t>
      </w:r>
      <w:r w:rsidRPr="00A729D8">
        <w:t xml:space="preserve"> Calculate a jurisdiction’s share of the combined investment in accordance with clause 7.2(d) of this agreement.</w:t>
      </w:r>
    </w:p>
    <w:p w14:paraId="78B63FA6" w14:textId="77777777" w:rsidR="00B34554" w:rsidRPr="00A729D8" w:rsidRDefault="00B34554" w:rsidP="002106F9">
      <w:r w:rsidRPr="00A729D8">
        <w:rPr>
          <w:b/>
        </w:rPr>
        <w:t>Step 6:</w:t>
      </w:r>
      <w:r w:rsidRPr="00A729D8">
        <w:t xml:space="preserve"> Repeat Step 5 for each potentially affected jurisdiction.</w:t>
      </w:r>
    </w:p>
    <w:p w14:paraId="02B4B520" w14:textId="77777777" w:rsidR="00B34554" w:rsidRPr="00A729D8" w:rsidRDefault="00B34554" w:rsidP="002106F9">
      <w:r w:rsidRPr="00A729D8">
        <w:t xml:space="preserve">For example, cost-sharing for an inland water disease </w:t>
      </w:r>
      <w:r w:rsidR="00747D05" w:rsidRPr="00A729D8">
        <w:t>incident</w:t>
      </w:r>
      <w:r w:rsidRPr="00A729D8">
        <w:t xml:space="preserve"> with four potentially affected jurisdictions:</w:t>
      </w:r>
    </w:p>
    <w:tbl>
      <w:tblPr>
        <w:tblStyle w:val="TableGrid"/>
        <w:tblW w:w="0" w:type="auto"/>
        <w:tblLook w:val="04A0" w:firstRow="1" w:lastRow="0" w:firstColumn="1" w:lastColumn="0" w:noHBand="0" w:noVBand="1"/>
      </w:tblPr>
      <w:tblGrid>
        <w:gridCol w:w="1980"/>
        <w:gridCol w:w="7036"/>
      </w:tblGrid>
      <w:tr w:rsidR="000C65B9" w:rsidRPr="00A729D8" w14:paraId="4DA2F71A" w14:textId="77777777" w:rsidTr="000C65B9">
        <w:trPr>
          <w:trHeight w:val="113"/>
        </w:trPr>
        <w:tc>
          <w:tcPr>
            <w:tcW w:w="1980" w:type="dxa"/>
          </w:tcPr>
          <w:p w14:paraId="69953CCD" w14:textId="77777777" w:rsidR="000C65B9" w:rsidRPr="00A729D8" w:rsidRDefault="000C65B9" w:rsidP="002106F9">
            <w:pPr>
              <w:spacing w:before="0" w:after="0"/>
              <w:rPr>
                <w:b/>
              </w:rPr>
            </w:pPr>
            <w:r w:rsidRPr="00A729D8">
              <w:rPr>
                <w:b/>
              </w:rPr>
              <w:t>Jurisdiction</w:t>
            </w:r>
          </w:p>
        </w:tc>
        <w:tc>
          <w:tcPr>
            <w:tcW w:w="7036" w:type="dxa"/>
          </w:tcPr>
          <w:p w14:paraId="1D4A7CD0" w14:textId="77777777" w:rsidR="000C65B9" w:rsidRPr="00A729D8" w:rsidRDefault="000C65B9" w:rsidP="002106F9">
            <w:pPr>
              <w:spacing w:before="0" w:after="0"/>
              <w:rPr>
                <w:b/>
              </w:rPr>
            </w:pPr>
            <w:r w:rsidRPr="00A729D8">
              <w:rPr>
                <w:b/>
              </w:rPr>
              <w:t>Percentage share of each jurisdictions’ contribution (note: the total contribution from the jurisdictions is 50 per cent of total costs with the Commonwealth contributing the other 50 per cent)</w:t>
            </w:r>
          </w:p>
        </w:tc>
      </w:tr>
      <w:tr w:rsidR="000C65B9" w:rsidRPr="00A729D8" w14:paraId="66381397" w14:textId="77777777" w:rsidTr="000C65B9">
        <w:trPr>
          <w:trHeight w:val="113"/>
        </w:trPr>
        <w:tc>
          <w:tcPr>
            <w:tcW w:w="1980" w:type="dxa"/>
          </w:tcPr>
          <w:p w14:paraId="7FEE7B7B" w14:textId="77777777" w:rsidR="000C65B9" w:rsidRPr="00A729D8" w:rsidRDefault="000C65B9" w:rsidP="002106F9">
            <w:pPr>
              <w:spacing w:before="0" w:after="0"/>
            </w:pPr>
            <w:r w:rsidRPr="00A729D8">
              <w:t>Jurisdiction A</w:t>
            </w:r>
          </w:p>
        </w:tc>
        <w:tc>
          <w:tcPr>
            <w:tcW w:w="7036" w:type="dxa"/>
          </w:tcPr>
          <w:p w14:paraId="7B04121E" w14:textId="77777777" w:rsidR="000C65B9" w:rsidRPr="00A729D8" w:rsidRDefault="000C65B9" w:rsidP="002106F9">
            <w:pPr>
              <w:spacing w:before="0" w:after="0"/>
            </w:pPr>
            <w:r w:rsidRPr="00A729D8">
              <w:t>32.5 per cent</w:t>
            </w:r>
          </w:p>
        </w:tc>
      </w:tr>
      <w:tr w:rsidR="000C65B9" w:rsidRPr="00A729D8" w14:paraId="10D1FF64" w14:textId="77777777" w:rsidTr="000C65B9">
        <w:trPr>
          <w:trHeight w:val="113"/>
        </w:trPr>
        <w:tc>
          <w:tcPr>
            <w:tcW w:w="1980" w:type="dxa"/>
          </w:tcPr>
          <w:p w14:paraId="10546A17" w14:textId="77777777" w:rsidR="000C65B9" w:rsidRPr="00A729D8" w:rsidRDefault="000C65B9" w:rsidP="002106F9">
            <w:pPr>
              <w:spacing w:before="0" w:after="0"/>
            </w:pPr>
            <w:r w:rsidRPr="00A729D8">
              <w:t>Jurisdiction B</w:t>
            </w:r>
          </w:p>
        </w:tc>
        <w:tc>
          <w:tcPr>
            <w:tcW w:w="7036" w:type="dxa"/>
          </w:tcPr>
          <w:p w14:paraId="1176ACDB" w14:textId="77777777" w:rsidR="000C65B9" w:rsidRPr="00A729D8" w:rsidRDefault="000C65B9" w:rsidP="002106F9">
            <w:pPr>
              <w:spacing w:before="0" w:after="0"/>
            </w:pPr>
            <w:r w:rsidRPr="00A729D8">
              <w:t>44.2 per cent</w:t>
            </w:r>
          </w:p>
        </w:tc>
      </w:tr>
      <w:tr w:rsidR="000C65B9" w:rsidRPr="00A729D8" w14:paraId="38F26451" w14:textId="77777777" w:rsidTr="000C65B9">
        <w:trPr>
          <w:trHeight w:val="113"/>
        </w:trPr>
        <w:tc>
          <w:tcPr>
            <w:tcW w:w="1980" w:type="dxa"/>
          </w:tcPr>
          <w:p w14:paraId="633F4AC9" w14:textId="77777777" w:rsidR="000C65B9" w:rsidRPr="00A729D8" w:rsidRDefault="000C65B9" w:rsidP="002106F9">
            <w:pPr>
              <w:spacing w:before="0" w:after="0"/>
            </w:pPr>
            <w:r w:rsidRPr="00A729D8">
              <w:t>Jurisdiction C</w:t>
            </w:r>
          </w:p>
        </w:tc>
        <w:tc>
          <w:tcPr>
            <w:tcW w:w="7036" w:type="dxa"/>
          </w:tcPr>
          <w:p w14:paraId="0E24E859" w14:textId="77777777" w:rsidR="000C65B9" w:rsidRPr="00A729D8" w:rsidRDefault="000C65B9" w:rsidP="002106F9">
            <w:pPr>
              <w:spacing w:before="0" w:after="0"/>
            </w:pPr>
            <w:r w:rsidRPr="00A729D8">
              <w:t>7.5 per cent</w:t>
            </w:r>
          </w:p>
        </w:tc>
      </w:tr>
      <w:tr w:rsidR="000C65B9" w:rsidRPr="00A729D8" w14:paraId="1310EEBB" w14:textId="77777777" w:rsidTr="000C65B9">
        <w:trPr>
          <w:trHeight w:val="113"/>
        </w:trPr>
        <w:tc>
          <w:tcPr>
            <w:tcW w:w="1980" w:type="dxa"/>
          </w:tcPr>
          <w:p w14:paraId="45FF43ED" w14:textId="77777777" w:rsidR="000C65B9" w:rsidRPr="00A729D8" w:rsidRDefault="000C65B9" w:rsidP="002106F9">
            <w:pPr>
              <w:spacing w:before="0" w:after="0"/>
            </w:pPr>
            <w:r w:rsidRPr="00A729D8">
              <w:t>Jurisdiction D</w:t>
            </w:r>
          </w:p>
        </w:tc>
        <w:tc>
          <w:tcPr>
            <w:tcW w:w="7036" w:type="dxa"/>
          </w:tcPr>
          <w:p w14:paraId="6CDDC664" w14:textId="77777777" w:rsidR="000C65B9" w:rsidRPr="00A729D8" w:rsidRDefault="000C65B9" w:rsidP="002106F9">
            <w:pPr>
              <w:spacing w:before="0" w:after="0"/>
            </w:pPr>
            <w:r w:rsidRPr="00A729D8">
              <w:t>15.8 per cent</w:t>
            </w:r>
          </w:p>
        </w:tc>
      </w:tr>
      <w:tr w:rsidR="000C65B9" w:rsidRPr="00A729D8" w14:paraId="41CC0581" w14:textId="77777777" w:rsidTr="000C65B9">
        <w:trPr>
          <w:trHeight w:val="113"/>
        </w:trPr>
        <w:tc>
          <w:tcPr>
            <w:tcW w:w="1980" w:type="dxa"/>
          </w:tcPr>
          <w:p w14:paraId="0BA32DEA" w14:textId="77777777" w:rsidR="000C65B9" w:rsidRPr="00A729D8" w:rsidRDefault="000C65B9" w:rsidP="002106F9">
            <w:pPr>
              <w:spacing w:before="0" w:after="0"/>
            </w:pPr>
            <w:r w:rsidRPr="00A729D8">
              <w:t>Total</w:t>
            </w:r>
          </w:p>
        </w:tc>
        <w:tc>
          <w:tcPr>
            <w:tcW w:w="7036" w:type="dxa"/>
          </w:tcPr>
          <w:p w14:paraId="0E252368" w14:textId="77777777" w:rsidR="000C65B9" w:rsidRPr="00A729D8" w:rsidRDefault="000C65B9" w:rsidP="002106F9">
            <w:pPr>
              <w:spacing w:before="0" w:after="0"/>
            </w:pPr>
            <w:r w:rsidRPr="00A729D8">
              <w:t>100 per cent</w:t>
            </w:r>
          </w:p>
        </w:tc>
      </w:tr>
    </w:tbl>
    <w:p w14:paraId="4AFBEC98" w14:textId="77777777" w:rsidR="00B34554" w:rsidRPr="00A729D8" w:rsidRDefault="00B34554" w:rsidP="002106F9"/>
    <w:p w14:paraId="3DB06F0B" w14:textId="77777777" w:rsidR="000C65B9" w:rsidRPr="00A729D8" w:rsidRDefault="000C65B9" w:rsidP="002106F9">
      <w:pPr>
        <w:spacing w:before="0" w:after="160" w:line="252" w:lineRule="auto"/>
        <w:jc w:val="both"/>
        <w:rPr>
          <w:b/>
        </w:rPr>
      </w:pPr>
      <w:r w:rsidRPr="00A729D8">
        <w:br w:type="page"/>
      </w:r>
    </w:p>
    <w:p w14:paraId="34A0BB15" w14:textId="77777777" w:rsidR="00B34554" w:rsidRPr="00A729D8" w:rsidRDefault="000C65B9" w:rsidP="002106F9">
      <w:pPr>
        <w:pStyle w:val="Heading2"/>
        <w:keepNext w:val="0"/>
        <w:keepLines w:val="0"/>
        <w:numPr>
          <w:ilvl w:val="0"/>
          <w:numId w:val="0"/>
        </w:numPr>
      </w:pPr>
      <w:bookmarkStart w:id="276" w:name="_Toc7528162"/>
      <w:r w:rsidRPr="00A729D8">
        <w:lastRenderedPageBreak/>
        <w:t xml:space="preserve">Attachment </w:t>
      </w:r>
      <w:r w:rsidR="00C02F9A" w:rsidRPr="00A729D8">
        <w:t>4</w:t>
      </w:r>
      <w:r w:rsidRPr="00A729D8">
        <w:t xml:space="preserve">D – </w:t>
      </w:r>
      <w:r w:rsidR="00B34554" w:rsidRPr="00A729D8">
        <w:t>Potential</w:t>
      </w:r>
      <w:r w:rsidRPr="00A729D8">
        <w:t xml:space="preserve"> </w:t>
      </w:r>
      <w:r w:rsidR="00B34554" w:rsidRPr="00A729D8">
        <w:t>distribution of marine pests and potentially affected populations</w:t>
      </w:r>
      <w:bookmarkEnd w:id="276"/>
    </w:p>
    <w:p w14:paraId="1535F66A" w14:textId="77777777" w:rsidR="00B34554" w:rsidRPr="00A729D8" w:rsidRDefault="00B34554" w:rsidP="00121729">
      <w:pPr>
        <w:pStyle w:val="ScheduleL1"/>
        <w:numPr>
          <w:ilvl w:val="0"/>
          <w:numId w:val="104"/>
        </w:numPr>
      </w:pPr>
      <w:r w:rsidRPr="00A729D8">
        <w:t>Introduction</w:t>
      </w:r>
    </w:p>
    <w:p w14:paraId="523AF58E" w14:textId="77777777" w:rsidR="00B34554" w:rsidRPr="00A729D8" w:rsidRDefault="00B34554" w:rsidP="00121729">
      <w:pPr>
        <w:pStyle w:val="ListParagraph"/>
        <w:numPr>
          <w:ilvl w:val="0"/>
          <w:numId w:val="105"/>
        </w:numPr>
      </w:pPr>
      <w:r w:rsidRPr="00A729D8">
        <w:t>This attachment provides guidance on the process to be undertaken in determining the total potential distribution of a marine pest and the potential percentage of the pop</w:t>
      </w:r>
      <w:r w:rsidR="00786625" w:rsidRPr="00A729D8">
        <w:t>ulation that could be affected.</w:t>
      </w:r>
    </w:p>
    <w:p w14:paraId="3AEB3981" w14:textId="77777777" w:rsidR="00B34554" w:rsidRPr="00A729D8" w:rsidRDefault="00B34554" w:rsidP="00121729">
      <w:pPr>
        <w:pStyle w:val="ListParagraph"/>
        <w:numPr>
          <w:ilvl w:val="0"/>
          <w:numId w:val="105"/>
        </w:numPr>
      </w:pPr>
      <w:r w:rsidRPr="00A729D8">
        <w:t>The potential distribution of a marine pest represents the area it could potentially affect.</w:t>
      </w:r>
    </w:p>
    <w:p w14:paraId="6D09D96F" w14:textId="77777777" w:rsidR="00B34554" w:rsidRPr="00A729D8" w:rsidRDefault="00B34554" w:rsidP="00121729">
      <w:pPr>
        <w:pStyle w:val="ListParagraph"/>
        <w:numPr>
          <w:ilvl w:val="0"/>
          <w:numId w:val="105"/>
        </w:numPr>
      </w:pPr>
      <w:r w:rsidRPr="00A729D8">
        <w:t>This determination relates to calculating, in accordance with clause 7.2(d) of the agreement, what percentage of the total, potentially affected area is represented by a party’s jurisdiction which, in turn leads to a determination of the party’s percentage of risk and, subsequently, the number of people in that jurisdiction affected by a pest or disease.</w:t>
      </w:r>
    </w:p>
    <w:p w14:paraId="2DE773C8" w14:textId="77777777" w:rsidR="00B34554" w:rsidRPr="00A729D8" w:rsidRDefault="00B34554" w:rsidP="00121729">
      <w:pPr>
        <w:pStyle w:val="ListParagraph"/>
        <w:numPr>
          <w:ilvl w:val="0"/>
          <w:numId w:val="105"/>
        </w:numPr>
      </w:pPr>
      <w:r w:rsidRPr="00A729D8">
        <w:t>This process does not include analysis of potential impacts as these would be considered in the technical feasibility and benefit:cost analyses.</w:t>
      </w:r>
    </w:p>
    <w:p w14:paraId="23518E42" w14:textId="77777777" w:rsidR="00B34554" w:rsidRPr="00A729D8" w:rsidRDefault="00B34554" w:rsidP="002106F9">
      <w:pPr>
        <w:pStyle w:val="ScheduleL1"/>
      </w:pPr>
      <w:r w:rsidRPr="00A729D8">
        <w:t>Fundamental assumptions for determining the potential distribution of marine pests</w:t>
      </w:r>
    </w:p>
    <w:p w14:paraId="0ACB4236" w14:textId="77777777" w:rsidR="00B34554" w:rsidRPr="00A729D8" w:rsidRDefault="00B34554" w:rsidP="002106F9">
      <w:r w:rsidRPr="00A729D8">
        <w:t>In modelling the potential distribution of a marine pest, the following</w:t>
      </w:r>
      <w:r w:rsidR="00786625" w:rsidRPr="00A729D8">
        <w:t xml:space="preserve"> fundamental assumptions apply:</w:t>
      </w:r>
    </w:p>
    <w:p w14:paraId="32B7C8FE" w14:textId="77777777" w:rsidR="00B34554" w:rsidRPr="00A729D8" w:rsidRDefault="00B34554" w:rsidP="00121729">
      <w:pPr>
        <w:pStyle w:val="ListParagraph"/>
        <w:numPr>
          <w:ilvl w:val="0"/>
          <w:numId w:val="106"/>
        </w:numPr>
      </w:pPr>
      <w:r w:rsidRPr="00A729D8">
        <w:t>The contemporary situation will continue. The analysis will not include a consideration of possible future factors affecting the projected potential distributio</w:t>
      </w:r>
      <w:r w:rsidR="00786625" w:rsidRPr="00A729D8">
        <w:t>n, for example, climate change.</w:t>
      </w:r>
    </w:p>
    <w:p w14:paraId="4FA674AA" w14:textId="77777777" w:rsidR="00B34554" w:rsidRPr="00A729D8" w:rsidRDefault="00B34554" w:rsidP="00121729">
      <w:pPr>
        <w:pStyle w:val="ListParagraph"/>
        <w:numPr>
          <w:ilvl w:val="0"/>
          <w:numId w:val="106"/>
        </w:numPr>
      </w:pPr>
      <w:r w:rsidRPr="00A729D8">
        <w:t>The pest has been evenly spread across Australia’s waters. The analysis will not be concerned with the pathway by which a pest might enter or has entered the country, nor with the potential rate of its spread, but, rather, it will be concerned with the areas in which the pest could survive and/or become established.</w:t>
      </w:r>
    </w:p>
    <w:p w14:paraId="3FD68708" w14:textId="77777777" w:rsidR="00B34554" w:rsidRPr="00A729D8" w:rsidRDefault="00B34554" w:rsidP="00121729">
      <w:pPr>
        <w:pStyle w:val="ListParagraph"/>
        <w:numPr>
          <w:ilvl w:val="0"/>
          <w:numId w:val="106"/>
        </w:numPr>
      </w:pPr>
      <w:r w:rsidRPr="00A729D8">
        <w:t>There are no physiological or biological barriers to reproduction (i.e. the model assesses the area of climate match suitability where the species could establish if it could successfully reproduce).</w:t>
      </w:r>
    </w:p>
    <w:p w14:paraId="24071F9D" w14:textId="77777777" w:rsidR="00B34554" w:rsidRPr="00A729D8" w:rsidRDefault="00B34554" w:rsidP="00121729">
      <w:pPr>
        <w:pStyle w:val="ListParagraph"/>
        <w:numPr>
          <w:ilvl w:val="0"/>
          <w:numId w:val="106"/>
        </w:numPr>
      </w:pPr>
      <w:r w:rsidRPr="00A729D8">
        <w:t>A general situation is to be relied on. While discussion of exceptions is important, the advice to be provided would be for the general situation.</w:t>
      </w:r>
    </w:p>
    <w:p w14:paraId="40549E7B" w14:textId="77777777" w:rsidR="00B34554" w:rsidRPr="00A729D8" w:rsidRDefault="00B34554" w:rsidP="002106F9">
      <w:pPr>
        <w:pStyle w:val="ScheduleL1"/>
      </w:pPr>
      <w:r w:rsidRPr="00A729D8">
        <w:t>Data requirements for determining the potential distribution of marine pests</w:t>
      </w:r>
    </w:p>
    <w:p w14:paraId="0950A35D" w14:textId="77777777" w:rsidR="00B34554" w:rsidRPr="00A729D8" w:rsidRDefault="00B34554" w:rsidP="002106F9">
      <w:pPr>
        <w:pStyle w:val="ScheduleL2"/>
      </w:pPr>
      <w:r w:rsidRPr="00A729D8">
        <w:t>Introduction</w:t>
      </w:r>
    </w:p>
    <w:p w14:paraId="7597CF9E" w14:textId="77777777" w:rsidR="00B34554" w:rsidRPr="00A729D8" w:rsidRDefault="00B34554" w:rsidP="002106F9">
      <w:r w:rsidRPr="00A729D8">
        <w:t>The information required, or which would be useful, for determining the potential distrib</w:t>
      </w:r>
      <w:r w:rsidR="00786625" w:rsidRPr="00A729D8">
        <w:t>ution of marine pests includes:</w:t>
      </w:r>
    </w:p>
    <w:p w14:paraId="5C04E060" w14:textId="77777777" w:rsidR="00B34554" w:rsidRPr="00A729D8" w:rsidRDefault="00B34554" w:rsidP="00121729">
      <w:pPr>
        <w:pStyle w:val="ListParagraph"/>
        <w:numPr>
          <w:ilvl w:val="0"/>
          <w:numId w:val="107"/>
        </w:numPr>
      </w:pPr>
      <w:r w:rsidRPr="00A729D8">
        <w:t>essential data—a prerequisite for a determination</w:t>
      </w:r>
    </w:p>
    <w:p w14:paraId="4220A601" w14:textId="77777777" w:rsidR="00B34554" w:rsidRPr="00A729D8" w:rsidRDefault="00B34554" w:rsidP="00121729">
      <w:pPr>
        <w:pStyle w:val="ListParagraph"/>
        <w:numPr>
          <w:ilvl w:val="0"/>
          <w:numId w:val="107"/>
        </w:numPr>
      </w:pPr>
      <w:r w:rsidRPr="00A729D8">
        <w:t>valuable data —which will assist with a determination</w:t>
      </w:r>
    </w:p>
    <w:p w14:paraId="798D5A1D" w14:textId="77777777" w:rsidR="00B34554" w:rsidRPr="00A729D8" w:rsidRDefault="00B34554" w:rsidP="00121729">
      <w:pPr>
        <w:pStyle w:val="ListParagraph"/>
        <w:numPr>
          <w:ilvl w:val="0"/>
          <w:numId w:val="107"/>
        </w:numPr>
      </w:pPr>
      <w:r w:rsidRPr="00A729D8">
        <w:t>secondary data—which will also assist with a determination</w:t>
      </w:r>
    </w:p>
    <w:p w14:paraId="3EC6FE00" w14:textId="77777777" w:rsidR="00B34554" w:rsidRPr="00A729D8" w:rsidRDefault="00B34554" w:rsidP="002106F9">
      <w:pPr>
        <w:pStyle w:val="ScheduleL2"/>
      </w:pPr>
      <w:r w:rsidRPr="00A729D8">
        <w:lastRenderedPageBreak/>
        <w:t>Essential data</w:t>
      </w:r>
    </w:p>
    <w:p w14:paraId="730B1C64" w14:textId="77777777" w:rsidR="00B34554" w:rsidRPr="00A729D8" w:rsidRDefault="00B34554" w:rsidP="002106F9">
      <w:r w:rsidRPr="00A729D8">
        <w:t>At a minimum, a determination of the potential distribution of a marine pest requir</w:t>
      </w:r>
      <w:r w:rsidR="00786625" w:rsidRPr="00A729D8">
        <w:t>es the following types of data:</w:t>
      </w:r>
    </w:p>
    <w:p w14:paraId="0C4D12BB" w14:textId="77777777" w:rsidR="00B34554" w:rsidRPr="00A729D8" w:rsidRDefault="00B34554" w:rsidP="00121729">
      <w:pPr>
        <w:pStyle w:val="ListParagraph"/>
        <w:numPr>
          <w:ilvl w:val="0"/>
          <w:numId w:val="108"/>
        </w:numPr>
      </w:pPr>
      <w:r w:rsidRPr="00A729D8">
        <w:t>information underpinning correct diagnosis/taxonomic identification</w:t>
      </w:r>
    </w:p>
    <w:p w14:paraId="03D440B7" w14:textId="77777777" w:rsidR="00B34554" w:rsidRPr="00A729D8" w:rsidRDefault="00B34554" w:rsidP="00121729">
      <w:pPr>
        <w:pStyle w:val="ListParagraph"/>
        <w:numPr>
          <w:ilvl w:val="0"/>
          <w:numId w:val="108"/>
        </w:numPr>
      </w:pPr>
      <w:r w:rsidRPr="00A729D8">
        <w:t>minimum and maximum temperature tolerances for the species in the order of preference (as described in item 5(b) of this attachment)</w:t>
      </w:r>
    </w:p>
    <w:p w14:paraId="00C3697A" w14:textId="77777777" w:rsidR="00B34554" w:rsidRPr="00A729D8" w:rsidRDefault="00B34554" w:rsidP="00121729">
      <w:pPr>
        <w:pStyle w:val="ListParagraph"/>
        <w:numPr>
          <w:ilvl w:val="0"/>
          <w:numId w:val="108"/>
        </w:numPr>
      </w:pPr>
      <w:r w:rsidRPr="00A729D8">
        <w:t>sea surface temperature for Australian coastal waters.</w:t>
      </w:r>
    </w:p>
    <w:p w14:paraId="63B21B40" w14:textId="77777777" w:rsidR="00B34554" w:rsidRPr="00A729D8" w:rsidRDefault="00B34554" w:rsidP="002106F9">
      <w:pPr>
        <w:pStyle w:val="ScheduleL2"/>
      </w:pPr>
      <w:r w:rsidRPr="00A729D8">
        <w:t>Valuable data</w:t>
      </w:r>
    </w:p>
    <w:p w14:paraId="42CC4D5A" w14:textId="77777777" w:rsidR="00B34554" w:rsidRPr="00A729D8" w:rsidRDefault="00B34554" w:rsidP="002106F9">
      <w:r w:rsidRPr="00A729D8">
        <w:t xml:space="preserve">Data on the types and range of obligate hosts or habitats is valuable for determining the potential distribution of marine pests, provided it is </w:t>
      </w:r>
      <w:r w:rsidR="00786625" w:rsidRPr="00A729D8">
        <w:t>available and incontrovertible.</w:t>
      </w:r>
    </w:p>
    <w:p w14:paraId="32C0589A" w14:textId="77777777" w:rsidR="00B34554" w:rsidRPr="00A729D8" w:rsidRDefault="00B34554" w:rsidP="002106F9">
      <w:r w:rsidRPr="00A729D8">
        <w:t>Estimates on spawning times are important as they restrict the need to analyse the suitability of water temperature to those times of the year when the life stage is present in the water column. Data on other reproductive abilities (such as fragmentation for asex</w:t>
      </w:r>
      <w:r w:rsidR="00786625" w:rsidRPr="00A729D8">
        <w:t>ual species) is also important.</w:t>
      </w:r>
    </w:p>
    <w:p w14:paraId="1813DCCC" w14:textId="77777777" w:rsidR="00B34554" w:rsidRPr="00A729D8" w:rsidRDefault="00B34554" w:rsidP="002106F9">
      <w:pPr>
        <w:pStyle w:val="ScheduleL2"/>
      </w:pPr>
      <w:r w:rsidRPr="00A729D8">
        <w:t>Secondary data</w:t>
      </w:r>
    </w:p>
    <w:p w14:paraId="4D0A3136" w14:textId="77777777" w:rsidR="00B34554" w:rsidRPr="00A729D8" w:rsidRDefault="00B34554" w:rsidP="00121729">
      <w:pPr>
        <w:pStyle w:val="ListParagraph"/>
        <w:numPr>
          <w:ilvl w:val="0"/>
          <w:numId w:val="109"/>
        </w:numPr>
      </w:pPr>
      <w:r w:rsidRPr="00A729D8">
        <w:t xml:space="preserve">Secondary data that directly affect the potential distribution of a pest can be used to determine the potential area of infestation. Secondary data will only be used if all parties on the </w:t>
      </w:r>
      <w:r w:rsidR="00B20F48" w:rsidRPr="00A729D8">
        <w:t>NBMCC</w:t>
      </w:r>
      <w:r w:rsidRPr="00A729D8">
        <w:t xml:space="preserve"> agree and only if it is available, highly relevant and incontrovertible.</w:t>
      </w:r>
    </w:p>
    <w:p w14:paraId="1B0EB9D0" w14:textId="77777777" w:rsidR="00786625" w:rsidRPr="00A729D8" w:rsidRDefault="00B34554" w:rsidP="00121729">
      <w:pPr>
        <w:pStyle w:val="ListParagraph"/>
        <w:numPr>
          <w:ilvl w:val="0"/>
          <w:numId w:val="109"/>
        </w:numPr>
      </w:pPr>
      <w:r w:rsidRPr="00A729D8">
        <w:t>Secondary data includes:</w:t>
      </w:r>
    </w:p>
    <w:p w14:paraId="1EFB2832" w14:textId="77777777" w:rsidR="00786625" w:rsidRPr="00A729D8" w:rsidRDefault="00B34554" w:rsidP="00121729">
      <w:pPr>
        <w:pStyle w:val="ListParagraph"/>
        <w:numPr>
          <w:ilvl w:val="1"/>
          <w:numId w:val="109"/>
        </w:numPr>
      </w:pPr>
      <w:r w:rsidRPr="00A729D8">
        <w:t>knowledge of overseas ranges—this can be used to infer temperature tolerances if reliable data is not available relating to the critical life-limiting phase</w:t>
      </w:r>
    </w:p>
    <w:p w14:paraId="2441D285" w14:textId="77777777" w:rsidR="00786625" w:rsidRPr="00A729D8" w:rsidRDefault="00B34554" w:rsidP="00121729">
      <w:pPr>
        <w:pStyle w:val="ListParagraph"/>
        <w:numPr>
          <w:ilvl w:val="1"/>
          <w:numId w:val="109"/>
        </w:numPr>
      </w:pPr>
      <w:r w:rsidRPr="00A729D8">
        <w:t>the tolerance of a species to other limiting factors, such as salinity.</w:t>
      </w:r>
    </w:p>
    <w:p w14:paraId="0C35EF51" w14:textId="77777777" w:rsidR="00786625" w:rsidRPr="00A729D8" w:rsidRDefault="00B34554" w:rsidP="00121729">
      <w:pPr>
        <w:pStyle w:val="ListParagraph"/>
        <w:numPr>
          <w:ilvl w:val="0"/>
          <w:numId w:val="109"/>
        </w:numPr>
      </w:pPr>
      <w:r w:rsidRPr="00A729D8">
        <w:t>If secondary data are known to limit the extent of potential distribution they should be combined with the modelling output to increase the robustness of the conclusions on potential distribution.</w:t>
      </w:r>
    </w:p>
    <w:p w14:paraId="0C2AB658" w14:textId="77777777" w:rsidR="00786625" w:rsidRPr="00A729D8" w:rsidRDefault="00B34554" w:rsidP="00121729">
      <w:pPr>
        <w:pStyle w:val="ListParagraph"/>
        <w:numPr>
          <w:ilvl w:val="0"/>
          <w:numId w:val="109"/>
        </w:numPr>
      </w:pPr>
      <w:r w:rsidRPr="00A729D8">
        <w:t>It may also be useful to analyse a number of factors to establish the timing of management actions and response arrangements. Such factors may include:</w:t>
      </w:r>
    </w:p>
    <w:p w14:paraId="5DA1FF1F" w14:textId="77777777" w:rsidR="00786625" w:rsidRPr="00A729D8" w:rsidRDefault="00B34554" w:rsidP="00121729">
      <w:pPr>
        <w:pStyle w:val="ListParagraph"/>
        <w:numPr>
          <w:ilvl w:val="1"/>
          <w:numId w:val="109"/>
        </w:numPr>
      </w:pPr>
      <w:r w:rsidRPr="00A729D8">
        <w:t>reproductive methods (aggregate spawning, solitary spawning, asexual through fragmentation)</w:t>
      </w:r>
    </w:p>
    <w:p w14:paraId="2AC52819" w14:textId="77777777" w:rsidR="00786625" w:rsidRPr="00A729D8" w:rsidRDefault="00B34554" w:rsidP="00121729">
      <w:pPr>
        <w:pStyle w:val="ListParagraph"/>
        <w:numPr>
          <w:ilvl w:val="1"/>
          <w:numId w:val="109"/>
        </w:numPr>
      </w:pPr>
      <w:r w:rsidRPr="00A729D8">
        <w:t>reproductive rates</w:t>
      </w:r>
    </w:p>
    <w:p w14:paraId="68A006C5" w14:textId="77777777" w:rsidR="00786625" w:rsidRPr="00A729D8" w:rsidRDefault="00B34554" w:rsidP="00121729">
      <w:pPr>
        <w:pStyle w:val="ListParagraph"/>
        <w:numPr>
          <w:ilvl w:val="1"/>
          <w:numId w:val="109"/>
        </w:numPr>
      </w:pPr>
      <w:r w:rsidRPr="00A729D8">
        <w:t>the time when likely reproductive conditions may be met in Australia (e.g. spawning times and the preferred water temperature for spawning)</w:t>
      </w:r>
    </w:p>
    <w:p w14:paraId="5E309C8A" w14:textId="77777777" w:rsidR="00786625" w:rsidRPr="00A729D8" w:rsidRDefault="00B34554" w:rsidP="00121729">
      <w:pPr>
        <w:pStyle w:val="ListParagraph"/>
        <w:numPr>
          <w:ilvl w:val="1"/>
          <w:numId w:val="109"/>
        </w:numPr>
      </w:pPr>
      <w:r w:rsidRPr="00A729D8">
        <w:t>dispersal capacity/dispersal pathways</w:t>
      </w:r>
    </w:p>
    <w:p w14:paraId="09F24655" w14:textId="77777777" w:rsidR="00786625" w:rsidRPr="00A729D8" w:rsidRDefault="00B34554" w:rsidP="00121729">
      <w:pPr>
        <w:pStyle w:val="ListParagraph"/>
        <w:numPr>
          <w:ilvl w:val="1"/>
          <w:numId w:val="109"/>
        </w:numPr>
      </w:pPr>
      <w:r w:rsidRPr="00A729D8">
        <w:t>natural barriers</w:t>
      </w:r>
    </w:p>
    <w:p w14:paraId="2E80E972" w14:textId="77777777" w:rsidR="00B34554" w:rsidRPr="00A729D8" w:rsidRDefault="00B34554" w:rsidP="00121729">
      <w:pPr>
        <w:pStyle w:val="ListParagraph"/>
        <w:numPr>
          <w:ilvl w:val="1"/>
          <w:numId w:val="109"/>
        </w:numPr>
      </w:pPr>
      <w:r w:rsidRPr="00A729D8">
        <w:t>the presence of natural enemies (predators/competitors/diseases/parasites) in Australia.</w:t>
      </w:r>
    </w:p>
    <w:p w14:paraId="22888798" w14:textId="77777777" w:rsidR="00B34554" w:rsidRPr="00A729D8" w:rsidRDefault="00B34554" w:rsidP="002106F9">
      <w:pPr>
        <w:pStyle w:val="ScheduleL2"/>
      </w:pPr>
      <w:r w:rsidRPr="00A729D8">
        <w:lastRenderedPageBreak/>
        <w:t>Level of confidence in the essential data</w:t>
      </w:r>
    </w:p>
    <w:p w14:paraId="6AC68924" w14:textId="77777777" w:rsidR="00B34554" w:rsidRPr="00A729D8" w:rsidRDefault="00B34554" w:rsidP="00121729">
      <w:pPr>
        <w:pStyle w:val="ListParagraph"/>
        <w:numPr>
          <w:ilvl w:val="0"/>
          <w:numId w:val="110"/>
        </w:numPr>
      </w:pPr>
      <w:r w:rsidRPr="00A729D8">
        <w:t xml:space="preserve">When providing advice to the NMG, the </w:t>
      </w:r>
      <w:r w:rsidR="00B20F48" w:rsidRPr="00A729D8">
        <w:t>NMCC</w:t>
      </w:r>
      <w:r w:rsidRPr="00A729D8">
        <w:t xml:space="preserve"> will need to advise on the level of confidence it has in the information underpinning its distribution map</w:t>
      </w:r>
      <w:r w:rsidR="00786625" w:rsidRPr="00A729D8">
        <w:t xml:space="preserve"> for a particular pest species.</w:t>
      </w:r>
    </w:p>
    <w:p w14:paraId="5D880963" w14:textId="77777777" w:rsidR="00B34554" w:rsidRPr="00A729D8" w:rsidRDefault="00B34554" w:rsidP="00121729">
      <w:pPr>
        <w:pStyle w:val="ListParagraph"/>
        <w:numPr>
          <w:ilvl w:val="0"/>
          <w:numId w:val="110"/>
        </w:numPr>
      </w:pPr>
      <w:r w:rsidRPr="00A729D8">
        <w:t>The most accurate data available sho</w:t>
      </w:r>
      <w:r w:rsidR="00786625" w:rsidRPr="00A729D8">
        <w:t>uld be used.</w:t>
      </w:r>
    </w:p>
    <w:p w14:paraId="46DCF69A" w14:textId="77777777" w:rsidR="00786625" w:rsidRPr="00A729D8" w:rsidRDefault="00B34554" w:rsidP="00121729">
      <w:pPr>
        <w:pStyle w:val="ListParagraph"/>
        <w:numPr>
          <w:ilvl w:val="0"/>
          <w:numId w:val="110"/>
        </w:numPr>
      </w:pPr>
      <w:r w:rsidRPr="00A729D8">
        <w:t>The best sources of data are:</w:t>
      </w:r>
    </w:p>
    <w:p w14:paraId="25ED5168" w14:textId="77777777" w:rsidR="00786625" w:rsidRPr="00A729D8" w:rsidRDefault="00B34554" w:rsidP="00121729">
      <w:pPr>
        <w:pStyle w:val="ListParagraph"/>
        <w:numPr>
          <w:ilvl w:val="1"/>
          <w:numId w:val="110"/>
        </w:numPr>
      </w:pPr>
      <w:r w:rsidRPr="00A729D8">
        <w:t>the National Introduced Marine Pest Information System (NIMPIS)</w:t>
      </w:r>
    </w:p>
    <w:p w14:paraId="1C58C5FF" w14:textId="77777777" w:rsidR="00786625" w:rsidRPr="00A729D8" w:rsidRDefault="00B34554" w:rsidP="00121729">
      <w:pPr>
        <w:pStyle w:val="ListParagraph"/>
        <w:numPr>
          <w:ilvl w:val="1"/>
          <w:numId w:val="110"/>
        </w:numPr>
      </w:pPr>
      <w:r w:rsidRPr="00A729D8">
        <w:t>published, peer-reviewed data.</w:t>
      </w:r>
    </w:p>
    <w:p w14:paraId="14B0787E" w14:textId="77777777" w:rsidR="00786625" w:rsidRPr="00A729D8" w:rsidRDefault="00B34554" w:rsidP="00121729">
      <w:pPr>
        <w:pStyle w:val="ListParagraph"/>
        <w:numPr>
          <w:ilvl w:val="0"/>
          <w:numId w:val="110"/>
        </w:numPr>
      </w:pPr>
      <w:r w:rsidRPr="00A729D8">
        <w:t>Other sources of data that may be available are:</w:t>
      </w:r>
    </w:p>
    <w:p w14:paraId="510B3DBC" w14:textId="77777777" w:rsidR="00786625" w:rsidRPr="00A729D8" w:rsidRDefault="00B34554" w:rsidP="00121729">
      <w:pPr>
        <w:pStyle w:val="ListParagraph"/>
        <w:numPr>
          <w:ilvl w:val="1"/>
          <w:numId w:val="110"/>
        </w:numPr>
      </w:pPr>
      <w:r w:rsidRPr="00A729D8">
        <w:t>free databases (such as ECO, GBIF, PaDIL and NEMESIS)</w:t>
      </w:r>
    </w:p>
    <w:p w14:paraId="374C2579" w14:textId="77777777" w:rsidR="00786625" w:rsidRPr="00A729D8" w:rsidRDefault="00B34554" w:rsidP="00121729">
      <w:pPr>
        <w:pStyle w:val="ListParagraph"/>
        <w:numPr>
          <w:ilvl w:val="1"/>
          <w:numId w:val="110"/>
        </w:numPr>
      </w:pPr>
      <w:r w:rsidRPr="00A729D8">
        <w:t>internet sources, where the level of confidence ranks (highest to lowest):</w:t>
      </w:r>
    </w:p>
    <w:p w14:paraId="7F465411" w14:textId="77777777" w:rsidR="00786625" w:rsidRPr="00A729D8" w:rsidRDefault="00B34554" w:rsidP="00121729">
      <w:pPr>
        <w:pStyle w:val="ListParagraph"/>
        <w:numPr>
          <w:ilvl w:val="2"/>
          <w:numId w:val="110"/>
        </w:numPr>
      </w:pPr>
      <w:r w:rsidRPr="00A729D8">
        <w:t>validated data sources with open access</w:t>
      </w:r>
    </w:p>
    <w:p w14:paraId="48140A75" w14:textId="77777777" w:rsidR="00786625" w:rsidRPr="00A729D8" w:rsidRDefault="00B34554" w:rsidP="00121729">
      <w:pPr>
        <w:pStyle w:val="ListParagraph"/>
        <w:numPr>
          <w:ilvl w:val="2"/>
          <w:numId w:val="110"/>
        </w:numPr>
      </w:pPr>
      <w:r w:rsidRPr="00A729D8">
        <w:t>validated data sources without open access</w:t>
      </w:r>
    </w:p>
    <w:p w14:paraId="43E21520" w14:textId="77777777" w:rsidR="00786625" w:rsidRPr="00A729D8" w:rsidRDefault="00B34554" w:rsidP="00121729">
      <w:pPr>
        <w:pStyle w:val="ListParagraph"/>
        <w:numPr>
          <w:ilvl w:val="2"/>
          <w:numId w:val="110"/>
        </w:numPr>
      </w:pPr>
      <w:r w:rsidRPr="00A729D8">
        <w:t>survey data that uses recognised methods (such as the Bishop Museum or CRIMP protocols) and</w:t>
      </w:r>
    </w:p>
    <w:p w14:paraId="535158AC" w14:textId="77777777" w:rsidR="00786625" w:rsidRPr="00A729D8" w:rsidRDefault="00B34554" w:rsidP="00121729">
      <w:pPr>
        <w:pStyle w:val="ListParagraph"/>
        <w:numPr>
          <w:ilvl w:val="2"/>
          <w:numId w:val="110"/>
        </w:numPr>
      </w:pPr>
      <w:r w:rsidRPr="00A729D8">
        <w:t>open access (e.g. google search).</w:t>
      </w:r>
    </w:p>
    <w:p w14:paraId="72C39579" w14:textId="77777777" w:rsidR="00786625" w:rsidRPr="00A729D8" w:rsidRDefault="00B34554" w:rsidP="00121729">
      <w:pPr>
        <w:pStyle w:val="ListParagraph"/>
        <w:numPr>
          <w:ilvl w:val="0"/>
          <w:numId w:val="110"/>
        </w:numPr>
      </w:pPr>
      <w:r w:rsidRPr="00A729D8">
        <w:t>Where data are not validated, these sources should be checked and validated where possible. The data sources listed in item 3.5(c) of this attachment should be assessed according to their confidence rating (see table in item 3.5(h) of this attachment). Assessment of survey data should consider the methodology used in the survey. Where survey methodology is not available, a low confidence rating should be assigned to these data. Surveys which follow international standards, should be assigned a higher confidence rating.</w:t>
      </w:r>
    </w:p>
    <w:p w14:paraId="544A3EBD" w14:textId="77777777" w:rsidR="00786625" w:rsidRPr="00A729D8" w:rsidRDefault="00B34554" w:rsidP="00121729">
      <w:pPr>
        <w:pStyle w:val="ListParagraph"/>
        <w:numPr>
          <w:ilvl w:val="0"/>
          <w:numId w:val="110"/>
        </w:numPr>
      </w:pPr>
      <w:r w:rsidRPr="00A729D8">
        <w:t>Surrogate species (closely related species) information should not be used as there is no direct correlation between surrogates and actual pest species.</w:t>
      </w:r>
    </w:p>
    <w:p w14:paraId="3F55B532" w14:textId="77777777" w:rsidR="00B34554" w:rsidRPr="00A729D8" w:rsidRDefault="00B34554" w:rsidP="00121729">
      <w:pPr>
        <w:pStyle w:val="ListParagraph"/>
        <w:numPr>
          <w:ilvl w:val="0"/>
          <w:numId w:val="110"/>
        </w:numPr>
      </w:pPr>
      <w:r w:rsidRPr="00A729D8">
        <w:t>Formal and informal networks of experts are an essential source of information and data. These networks should be encouraged and communicated to ensure timely and effective decision-making.</w:t>
      </w:r>
    </w:p>
    <w:p w14:paraId="56152584" w14:textId="77777777" w:rsidR="00B34554" w:rsidRPr="00A729D8" w:rsidRDefault="00B34554" w:rsidP="00121729">
      <w:pPr>
        <w:pStyle w:val="ListParagraph"/>
        <w:numPr>
          <w:ilvl w:val="0"/>
          <w:numId w:val="110"/>
        </w:numPr>
      </w:pPr>
      <w:r w:rsidRPr="00A729D8">
        <w:t>A table outlining the confidence rating of different data sources is provided below.</w:t>
      </w:r>
    </w:p>
    <w:tbl>
      <w:tblPr>
        <w:tblStyle w:val="TableGrid"/>
        <w:tblW w:w="0" w:type="auto"/>
        <w:tblInd w:w="1129" w:type="dxa"/>
        <w:tblLook w:val="04A0" w:firstRow="1" w:lastRow="0" w:firstColumn="1" w:lastColumn="0" w:noHBand="0" w:noVBand="1"/>
      </w:tblPr>
      <w:tblGrid>
        <w:gridCol w:w="5812"/>
        <w:gridCol w:w="2075"/>
      </w:tblGrid>
      <w:tr w:rsidR="00786625" w:rsidRPr="00A729D8" w14:paraId="4EBAD27B" w14:textId="77777777" w:rsidTr="00786625">
        <w:trPr>
          <w:trHeight w:val="283"/>
        </w:trPr>
        <w:tc>
          <w:tcPr>
            <w:tcW w:w="5812" w:type="dxa"/>
          </w:tcPr>
          <w:p w14:paraId="044D1771" w14:textId="77777777" w:rsidR="00786625" w:rsidRPr="00A729D8" w:rsidRDefault="00786625" w:rsidP="002106F9">
            <w:pPr>
              <w:rPr>
                <w:b/>
              </w:rPr>
            </w:pPr>
            <w:r w:rsidRPr="00A729D8">
              <w:rPr>
                <w:b/>
              </w:rPr>
              <w:t>Document Type or Information Source</w:t>
            </w:r>
          </w:p>
        </w:tc>
        <w:tc>
          <w:tcPr>
            <w:tcW w:w="2075" w:type="dxa"/>
          </w:tcPr>
          <w:p w14:paraId="1C88FF67" w14:textId="77777777" w:rsidR="00786625" w:rsidRPr="00A729D8" w:rsidRDefault="00786625" w:rsidP="002106F9">
            <w:pPr>
              <w:rPr>
                <w:b/>
              </w:rPr>
            </w:pPr>
            <w:r w:rsidRPr="00A729D8">
              <w:rPr>
                <w:b/>
              </w:rPr>
              <w:t>Confidence Rating</w:t>
            </w:r>
          </w:p>
        </w:tc>
      </w:tr>
      <w:tr w:rsidR="00786625" w:rsidRPr="00A729D8" w14:paraId="01A1A82F" w14:textId="77777777" w:rsidTr="00786625">
        <w:trPr>
          <w:trHeight w:val="283"/>
        </w:trPr>
        <w:tc>
          <w:tcPr>
            <w:tcW w:w="5812" w:type="dxa"/>
          </w:tcPr>
          <w:p w14:paraId="70299E22" w14:textId="77777777" w:rsidR="00786625" w:rsidRPr="00A729D8" w:rsidRDefault="00786625" w:rsidP="00121729">
            <w:pPr>
              <w:numPr>
                <w:ilvl w:val="0"/>
                <w:numId w:val="74"/>
              </w:numPr>
            </w:pPr>
            <w:r w:rsidRPr="00A729D8">
              <w:t>Scientific research in temperature tolerances supported and tested by peer reviews.</w:t>
            </w:r>
          </w:p>
          <w:p w14:paraId="07A47C4F" w14:textId="77777777" w:rsidR="00786625" w:rsidRPr="00A729D8" w:rsidRDefault="00786625" w:rsidP="00121729">
            <w:pPr>
              <w:numPr>
                <w:ilvl w:val="0"/>
                <w:numId w:val="74"/>
              </w:numPr>
            </w:pPr>
            <w:r w:rsidRPr="00A729D8">
              <w:t>Information held on National Introduced Marine Pest Information System (NIMPIS).</w:t>
            </w:r>
          </w:p>
          <w:p w14:paraId="4C41A336" w14:textId="77777777" w:rsidR="00786625" w:rsidRPr="00A729D8" w:rsidRDefault="00786625" w:rsidP="00121729">
            <w:pPr>
              <w:numPr>
                <w:ilvl w:val="0"/>
                <w:numId w:val="74"/>
              </w:numPr>
            </w:pPr>
            <w:r w:rsidRPr="00A729D8">
              <w:t>Published scientific journals.</w:t>
            </w:r>
          </w:p>
        </w:tc>
        <w:tc>
          <w:tcPr>
            <w:tcW w:w="2075" w:type="dxa"/>
          </w:tcPr>
          <w:p w14:paraId="0D1F3785" w14:textId="77777777" w:rsidR="00786625" w:rsidRPr="00A729D8" w:rsidRDefault="00786625" w:rsidP="002106F9">
            <w:r w:rsidRPr="00A729D8">
              <w:t>High</w:t>
            </w:r>
          </w:p>
        </w:tc>
      </w:tr>
      <w:tr w:rsidR="00786625" w:rsidRPr="00A729D8" w14:paraId="4807F900" w14:textId="77777777" w:rsidTr="00786625">
        <w:trPr>
          <w:trHeight w:val="283"/>
        </w:trPr>
        <w:tc>
          <w:tcPr>
            <w:tcW w:w="5812" w:type="dxa"/>
          </w:tcPr>
          <w:p w14:paraId="31BDD5C3" w14:textId="77777777" w:rsidR="004D1909" w:rsidRPr="00A729D8" w:rsidRDefault="004D1909" w:rsidP="00121729">
            <w:pPr>
              <w:pStyle w:val="ListParagraph"/>
              <w:numPr>
                <w:ilvl w:val="0"/>
                <w:numId w:val="111"/>
              </w:numPr>
              <w:ind w:left="360"/>
            </w:pPr>
            <w:r w:rsidRPr="00A729D8">
              <w:t>Non-reviewed documents.</w:t>
            </w:r>
          </w:p>
          <w:p w14:paraId="5ABE66A4" w14:textId="77777777" w:rsidR="004D1909" w:rsidRPr="00A729D8" w:rsidRDefault="004D1909" w:rsidP="00121729">
            <w:pPr>
              <w:pStyle w:val="ListParagraph"/>
              <w:numPr>
                <w:ilvl w:val="0"/>
                <w:numId w:val="111"/>
              </w:numPr>
              <w:ind w:left="360"/>
            </w:pPr>
            <w:r w:rsidRPr="00A729D8">
              <w:lastRenderedPageBreak/>
              <w:t>Data that relates to indirect tolerance ranges (n.b. this includes laboratory testing, in situ environmental ranges)</w:t>
            </w:r>
          </w:p>
          <w:p w14:paraId="55748DE3" w14:textId="77777777" w:rsidR="00786625" w:rsidRPr="00A729D8" w:rsidRDefault="004D1909" w:rsidP="00121729">
            <w:pPr>
              <w:numPr>
                <w:ilvl w:val="0"/>
                <w:numId w:val="111"/>
              </w:numPr>
              <w:ind w:left="360"/>
            </w:pPr>
            <w:r w:rsidRPr="00A729D8">
              <w:t>Literature and data obtained from similar species (e.g. the same family or genus).</w:t>
            </w:r>
          </w:p>
        </w:tc>
        <w:tc>
          <w:tcPr>
            <w:tcW w:w="2075" w:type="dxa"/>
          </w:tcPr>
          <w:p w14:paraId="737419A0" w14:textId="77777777" w:rsidR="00786625" w:rsidRPr="00A729D8" w:rsidRDefault="00786625" w:rsidP="002106F9">
            <w:r w:rsidRPr="00A729D8">
              <w:lastRenderedPageBreak/>
              <w:t>Low</w:t>
            </w:r>
          </w:p>
        </w:tc>
      </w:tr>
    </w:tbl>
    <w:p w14:paraId="74E841CC" w14:textId="77777777" w:rsidR="00B34554" w:rsidRPr="00A729D8" w:rsidRDefault="00B34554" w:rsidP="002106F9">
      <w:pPr>
        <w:ind w:left="1440"/>
      </w:pPr>
      <w:r w:rsidRPr="00A729D8">
        <w:t>Source: Department of Agriculture, Fisheries and Forestry.</w:t>
      </w:r>
    </w:p>
    <w:p w14:paraId="0D313649" w14:textId="77777777" w:rsidR="00B34554" w:rsidRPr="00A729D8" w:rsidRDefault="00B34554" w:rsidP="00121729">
      <w:pPr>
        <w:pStyle w:val="ListParagraph"/>
        <w:numPr>
          <w:ilvl w:val="0"/>
          <w:numId w:val="110"/>
        </w:numPr>
      </w:pPr>
      <w:r w:rsidRPr="00A729D8">
        <w:t>There is a risk that increasing the acceptable level of confidence in the quality of the data will reduce the quality of a prediction by reducing representativeness. Sensitivity analysis is needed to determine the influence of poor quality data. Effort can then be directed to verifying influential, poor quality data.</w:t>
      </w:r>
    </w:p>
    <w:p w14:paraId="33FC35B5" w14:textId="77777777" w:rsidR="00B34554" w:rsidRPr="00A729D8" w:rsidRDefault="00B34554" w:rsidP="002106F9">
      <w:pPr>
        <w:pStyle w:val="ScheduleL2"/>
      </w:pPr>
      <w:r w:rsidRPr="00A729D8">
        <w:t xml:space="preserve"> Insufficient data</w:t>
      </w:r>
    </w:p>
    <w:p w14:paraId="6DA53A84" w14:textId="77777777" w:rsidR="00B34554" w:rsidRPr="00A729D8" w:rsidRDefault="00B34554" w:rsidP="002106F9">
      <w:r w:rsidRPr="00A729D8">
        <w:t>If there is insufficient data on a particular pest species to model its potential range, then the cost- sharing model defaults to a population basis, i.e. the percentage contributed by each state and the Northern Territory is determined based on the population, where the combined percentages for each state and Northern Territory is equal to 100.</w:t>
      </w:r>
    </w:p>
    <w:p w14:paraId="76C2CB04" w14:textId="77777777" w:rsidR="00B34554" w:rsidRPr="00A729D8" w:rsidRDefault="00B34554" w:rsidP="002106F9">
      <w:pPr>
        <w:pStyle w:val="ScheduleL2"/>
      </w:pPr>
      <w:r w:rsidRPr="00A729D8">
        <w:t>Preferred datasets</w:t>
      </w:r>
    </w:p>
    <w:p w14:paraId="29F35C67" w14:textId="77777777" w:rsidR="00B34554" w:rsidRPr="00A729D8" w:rsidRDefault="00B34554" w:rsidP="00121729">
      <w:pPr>
        <w:pStyle w:val="ListParagraph"/>
        <w:numPr>
          <w:ilvl w:val="0"/>
          <w:numId w:val="112"/>
        </w:numPr>
      </w:pPr>
      <w:r w:rsidRPr="00A729D8">
        <w:t>The most recently available Australian Bureau of Statistics parameters will be used to estimate the length of coastline. They are published in the 1301.0 Year Book Australia, Geography of Australia section (or the superseding document) (www.abs.gov.au). The New South Wales coastline will not include the Jervis Bay territory.</w:t>
      </w:r>
    </w:p>
    <w:p w14:paraId="782CB04F" w14:textId="77777777" w:rsidR="00B34554" w:rsidRPr="00A729D8" w:rsidRDefault="00B34554" w:rsidP="00121729">
      <w:pPr>
        <w:pStyle w:val="ListParagraph"/>
        <w:numPr>
          <w:ilvl w:val="0"/>
          <w:numId w:val="112"/>
        </w:numPr>
      </w:pPr>
      <w:r w:rsidRPr="00A729D8">
        <w:t>Temperature tolerance data should be sourced from NIMPIS—if there is no data available in NIMPIS then the figures should be obtained from a literature review process using both high and low confidence data.</w:t>
      </w:r>
    </w:p>
    <w:p w14:paraId="6574BF2F" w14:textId="77777777" w:rsidR="00B34554" w:rsidRPr="00A729D8" w:rsidRDefault="00B34554" w:rsidP="00121729">
      <w:pPr>
        <w:pStyle w:val="ListParagraph"/>
        <w:numPr>
          <w:ilvl w:val="0"/>
          <w:numId w:val="112"/>
        </w:numPr>
      </w:pPr>
      <w:r w:rsidRPr="00A729D8">
        <w:t>The data provided by the NASA Jet Propulsion Laboratory (http://podaac.jpl.nasa.gov), or its successors, will be used to determine sea surface temperatures.</w:t>
      </w:r>
    </w:p>
    <w:p w14:paraId="4AD74AE9" w14:textId="77777777" w:rsidR="00B34554" w:rsidRPr="00A729D8" w:rsidRDefault="00B34554" w:rsidP="002106F9">
      <w:pPr>
        <w:pStyle w:val="ScheduleL1"/>
      </w:pPr>
      <w:r w:rsidRPr="00A729D8">
        <w:t>Modelling software for determining the potential distribution of marine pests</w:t>
      </w:r>
    </w:p>
    <w:p w14:paraId="4061A882" w14:textId="77777777" w:rsidR="00B34554" w:rsidRPr="00A729D8" w:rsidRDefault="00B34554" w:rsidP="002106F9">
      <w:r w:rsidRPr="00A729D8">
        <w:t>The Invasive Marine Species Range Mapping Tool Methodology outlined in Invasive Marine Species Range Mapping (2007) (http://adl.brs.gov.au/brsShop/html/brs_prod_90000003680.html) is the preferred method. The model produces a map that shows the range of the pest species</w:t>
      </w:r>
      <w:r w:rsidR="004D1909" w:rsidRPr="00A729D8">
        <w:t xml:space="preserve"> in Australia’s coastal waters.</w:t>
      </w:r>
    </w:p>
    <w:p w14:paraId="7D8A5139" w14:textId="77777777" w:rsidR="00B34554" w:rsidRPr="00A729D8" w:rsidRDefault="00B34554" w:rsidP="002106F9">
      <w:pPr>
        <w:pStyle w:val="ScheduleL1"/>
      </w:pPr>
      <w:r w:rsidRPr="00A729D8">
        <w:t>Processes and procedures for determining the length of coastline potentially affected</w:t>
      </w:r>
    </w:p>
    <w:p w14:paraId="3E5AFB48" w14:textId="77777777" w:rsidR="00B34554" w:rsidRPr="00A729D8" w:rsidRDefault="00B34554" w:rsidP="002106F9">
      <w:r w:rsidRPr="00A729D8">
        <w:t>The potential distribution is the extent (in kilometres) of coast that may potentially be inhabited by a pest species, i.e. ‘length of coastline affected’. Noting item 5.2 of this attachment, the following process is recommended to determine the total length of coastline for Australia and for each relevant state/territory:</w:t>
      </w:r>
    </w:p>
    <w:p w14:paraId="4366D17F" w14:textId="77777777" w:rsidR="00B34554" w:rsidRPr="00A729D8" w:rsidRDefault="00B34554" w:rsidP="002106F9"/>
    <w:p w14:paraId="5A7FD4E5" w14:textId="77777777" w:rsidR="00B34554" w:rsidRPr="00A729D8" w:rsidRDefault="00B34554" w:rsidP="00121729">
      <w:pPr>
        <w:pStyle w:val="ListParagraph"/>
        <w:numPr>
          <w:ilvl w:val="0"/>
          <w:numId w:val="113"/>
        </w:numPr>
      </w:pPr>
      <w:r w:rsidRPr="00A729D8">
        <w:lastRenderedPageBreak/>
        <w:t>Identify the pest.</w:t>
      </w:r>
    </w:p>
    <w:p w14:paraId="75173446" w14:textId="77777777" w:rsidR="004D1909" w:rsidRPr="00A729D8" w:rsidRDefault="00B34554" w:rsidP="00121729">
      <w:pPr>
        <w:pStyle w:val="ListParagraph"/>
        <w:numPr>
          <w:ilvl w:val="0"/>
          <w:numId w:val="113"/>
        </w:numPr>
      </w:pPr>
      <w:r w:rsidRPr="00A729D8">
        <w:t>Determine the minimum and maximum temperature tolerances for the species.</w:t>
      </w:r>
    </w:p>
    <w:p w14:paraId="163D4E87" w14:textId="77777777" w:rsidR="004D1909" w:rsidRPr="00A729D8" w:rsidRDefault="00B34554" w:rsidP="00121729">
      <w:pPr>
        <w:pStyle w:val="ListParagraph"/>
        <w:numPr>
          <w:ilvl w:val="1"/>
          <w:numId w:val="113"/>
        </w:numPr>
      </w:pPr>
      <w:r w:rsidRPr="00A729D8">
        <w:t>The most accurate temperature tolerance range of a species should be used when determining its potential distribution. Dependent on the species information available, this will be determined by combining temperature tolerance data on a species’ adult and critical lifestage, noting that the temperature tolerance data used may still overestimate the potential range. An example of a species critical lifestage is the temperature cues for spawning or the ability of larvae to survive. Definitions for limiting phases for groups of species are included in item 5.3 below—‘Critical Life Limiting Phase Temperature Tolerances’.</w:t>
      </w:r>
    </w:p>
    <w:p w14:paraId="48FA5680" w14:textId="77777777" w:rsidR="004D1909" w:rsidRPr="00A729D8" w:rsidRDefault="00B34554" w:rsidP="00121729">
      <w:pPr>
        <w:pStyle w:val="ListParagraph"/>
        <w:numPr>
          <w:ilvl w:val="1"/>
          <w:numId w:val="113"/>
        </w:numPr>
      </w:pPr>
      <w:r w:rsidRPr="00A729D8">
        <w:t>If reliable information regarding the critical life limiting phase range is not available, reliable information on adult temperature tolerances should be used.</w:t>
      </w:r>
    </w:p>
    <w:p w14:paraId="46D554F3" w14:textId="77777777" w:rsidR="004D1909" w:rsidRPr="00A729D8" w:rsidRDefault="00B34554" w:rsidP="00121729">
      <w:pPr>
        <w:pStyle w:val="ListParagraph"/>
        <w:numPr>
          <w:ilvl w:val="1"/>
          <w:numId w:val="113"/>
        </w:numPr>
      </w:pPr>
      <w:r w:rsidRPr="00A729D8">
        <w:t>Only if none of the abovementioned options are available should low confidence temperature data be used (in order of preference); critical life phase and adult</w:t>
      </w:r>
      <w:r w:rsidR="004D1909" w:rsidRPr="00A729D8">
        <w:t xml:space="preserve"> </w:t>
      </w:r>
      <w:r w:rsidRPr="00A729D8">
        <w:t>temperature, critical lifestage temperature tolerance in isolation followed by current distribution temperature ranges.</w:t>
      </w:r>
    </w:p>
    <w:p w14:paraId="0128D010" w14:textId="77777777" w:rsidR="004D1909" w:rsidRPr="00A729D8" w:rsidRDefault="00B34554" w:rsidP="00121729">
      <w:pPr>
        <w:pStyle w:val="ListParagraph"/>
        <w:numPr>
          <w:ilvl w:val="1"/>
          <w:numId w:val="113"/>
        </w:numPr>
      </w:pPr>
      <w:r w:rsidRPr="00A729D8">
        <w:t>Temperature tolerance data should be sourced from NIMPIS—if there is no data available through NIMPIS then it should be obtained from a literature review process using both high and low confidence data.</w:t>
      </w:r>
    </w:p>
    <w:p w14:paraId="15C2AADD" w14:textId="77777777" w:rsidR="004D1909" w:rsidRPr="00A729D8" w:rsidRDefault="00B34554" w:rsidP="00121729">
      <w:pPr>
        <w:pStyle w:val="ListParagraph"/>
        <w:numPr>
          <w:ilvl w:val="1"/>
          <w:numId w:val="113"/>
        </w:numPr>
      </w:pPr>
      <w:r w:rsidRPr="00A729D8">
        <w:t>Other variables that are considered driving factors in the distribution of a species,</w:t>
      </w:r>
      <w:r w:rsidR="004D1909" w:rsidRPr="00A729D8">
        <w:t xml:space="preserve"> </w:t>
      </w:r>
      <w:r w:rsidRPr="00A729D8">
        <w:t xml:space="preserve">e.g. nutrient availability for an algal species, may be incorporated into the formula, as decided by the </w:t>
      </w:r>
      <w:r w:rsidR="00B20F48" w:rsidRPr="00A729D8">
        <w:t>NBMCC</w:t>
      </w:r>
      <w:r w:rsidRPr="00A729D8">
        <w:t xml:space="preserve"> on a case-by-case basis.</w:t>
      </w:r>
    </w:p>
    <w:p w14:paraId="6821AAD6" w14:textId="77777777" w:rsidR="004D1909" w:rsidRPr="00A729D8" w:rsidRDefault="00B34554" w:rsidP="00121729">
      <w:pPr>
        <w:pStyle w:val="ListParagraph"/>
        <w:numPr>
          <w:ilvl w:val="1"/>
          <w:numId w:val="113"/>
        </w:numPr>
      </w:pPr>
      <w:r w:rsidRPr="00A729D8">
        <w:t>Where additional layers of data are to be used in the analysis they will also need to be scientifically determined. Any modifiers that are used must be incontrovertible and fully documented.</w:t>
      </w:r>
    </w:p>
    <w:p w14:paraId="6EA3D52E" w14:textId="77777777" w:rsidR="004D1909" w:rsidRPr="00A729D8" w:rsidRDefault="00B34554" w:rsidP="00121729">
      <w:pPr>
        <w:pStyle w:val="ListParagraph"/>
        <w:numPr>
          <w:ilvl w:val="0"/>
          <w:numId w:val="113"/>
        </w:numPr>
      </w:pPr>
      <w:r w:rsidRPr="00A729D8">
        <w:t>Determine the sea surface temperature (SST) for Australian coastal waters.</w:t>
      </w:r>
    </w:p>
    <w:p w14:paraId="1E362A6B" w14:textId="77777777" w:rsidR="004D1909" w:rsidRPr="00A729D8" w:rsidRDefault="00B34554" w:rsidP="00121729">
      <w:pPr>
        <w:pStyle w:val="ListParagraph"/>
        <w:numPr>
          <w:ilvl w:val="1"/>
          <w:numId w:val="113"/>
        </w:numPr>
      </w:pPr>
      <w:r w:rsidRPr="00A729D8">
        <w:t>Use the entire NASA Jet Propulsion Laboratory dataset available since 1985.</w:t>
      </w:r>
    </w:p>
    <w:p w14:paraId="1F060325" w14:textId="77777777" w:rsidR="004D1909" w:rsidRPr="00A729D8" w:rsidRDefault="00B34554" w:rsidP="00121729">
      <w:pPr>
        <w:pStyle w:val="ListParagraph"/>
        <w:numPr>
          <w:ilvl w:val="1"/>
          <w:numId w:val="113"/>
        </w:numPr>
      </w:pPr>
      <w:r w:rsidRPr="00A729D8">
        <w:t>Use the highest spatial resolution possible, which is currently 4km cell size. This will allow the greatest possible discrimination between areas that may be, as opposed to those that would not be, within the potential range of a particular species.</w:t>
      </w:r>
    </w:p>
    <w:p w14:paraId="44B365BA" w14:textId="77777777" w:rsidR="004D1909" w:rsidRPr="00A729D8" w:rsidRDefault="00B34554" w:rsidP="00121729">
      <w:pPr>
        <w:pStyle w:val="ListParagraph"/>
        <w:numPr>
          <w:ilvl w:val="1"/>
          <w:numId w:val="113"/>
        </w:numPr>
      </w:pPr>
      <w:r w:rsidRPr="00A729D8">
        <w:t>Use mean monthly temporal resolution, which is the finest resolution available and which has been processed by NASA to remove any anomalies.</w:t>
      </w:r>
    </w:p>
    <w:p w14:paraId="31526EC2" w14:textId="77777777" w:rsidR="004D1909" w:rsidRPr="00A729D8" w:rsidRDefault="00B34554" w:rsidP="00121729">
      <w:pPr>
        <w:pStyle w:val="ListParagraph"/>
        <w:numPr>
          <w:ilvl w:val="0"/>
          <w:numId w:val="113"/>
        </w:numPr>
      </w:pPr>
      <w:r w:rsidRPr="00A729D8">
        <w:t>Using the Invasive Marine Species Range Mapping tool and the data obtained from items 5(a) and (b) above, calculate the length of coastline within the range of the pest species.</w:t>
      </w:r>
    </w:p>
    <w:p w14:paraId="426FC851" w14:textId="77777777" w:rsidR="004D1909" w:rsidRPr="00A729D8" w:rsidRDefault="00B34554" w:rsidP="00121729">
      <w:pPr>
        <w:pStyle w:val="ListParagraph"/>
        <w:numPr>
          <w:ilvl w:val="1"/>
          <w:numId w:val="113"/>
        </w:numPr>
      </w:pPr>
      <w:r w:rsidRPr="00A729D8">
        <w:lastRenderedPageBreak/>
        <w:t>BRS should undertake the steps outlined in item 5(b) and (c) and can be contacted via the Consultative Committee on Introduced Marine Pest Emergencies (CCIMPE) secretariat.</w:t>
      </w:r>
    </w:p>
    <w:p w14:paraId="55649BF9" w14:textId="77777777" w:rsidR="004D1909" w:rsidRPr="00A729D8" w:rsidRDefault="00B34554" w:rsidP="00121729">
      <w:pPr>
        <w:pStyle w:val="ListParagraph"/>
        <w:numPr>
          <w:ilvl w:val="0"/>
          <w:numId w:val="113"/>
        </w:numPr>
      </w:pPr>
      <w:r w:rsidRPr="00A729D8">
        <w:t>The results of this process will be:</w:t>
      </w:r>
    </w:p>
    <w:p w14:paraId="0FC0836A" w14:textId="77777777" w:rsidR="004D1909" w:rsidRPr="00A729D8" w:rsidRDefault="00B34554" w:rsidP="00121729">
      <w:pPr>
        <w:pStyle w:val="ListParagraph"/>
        <w:numPr>
          <w:ilvl w:val="1"/>
          <w:numId w:val="113"/>
        </w:numPr>
      </w:pPr>
      <w:r w:rsidRPr="00A729D8">
        <w:t>a length (in kilometres) of affected coastline for each state and the Northern Territory</w:t>
      </w:r>
    </w:p>
    <w:p w14:paraId="677E38D2" w14:textId="77777777" w:rsidR="004D1909" w:rsidRPr="00A729D8" w:rsidRDefault="00B34554" w:rsidP="00121729">
      <w:pPr>
        <w:pStyle w:val="ListParagraph"/>
        <w:numPr>
          <w:ilvl w:val="1"/>
          <w:numId w:val="113"/>
        </w:numPr>
      </w:pPr>
      <w:r w:rsidRPr="00A729D8">
        <w:t>a length of affected coastline (in kilometres) for Australia as a whole</w:t>
      </w:r>
    </w:p>
    <w:p w14:paraId="7056BCC8" w14:textId="77777777" w:rsidR="00B34554" w:rsidRPr="00A729D8" w:rsidRDefault="00B34554" w:rsidP="00121729">
      <w:pPr>
        <w:pStyle w:val="ListParagraph"/>
        <w:numPr>
          <w:ilvl w:val="1"/>
          <w:numId w:val="113"/>
        </w:numPr>
      </w:pPr>
      <w:r w:rsidRPr="00A729D8">
        <w:t>a map showing the potential range of a species based on the critical life limiting phase range (or relevant temperature tolerance).</w:t>
      </w:r>
    </w:p>
    <w:p w14:paraId="4A954575" w14:textId="77777777" w:rsidR="00E01CEB" w:rsidRPr="00A729D8" w:rsidRDefault="00E01CEB" w:rsidP="00E01CEB">
      <w:pPr>
        <w:shd w:val="clear" w:color="auto" w:fill="D0CECE" w:themeFill="background2" w:themeFillShade="E6"/>
      </w:pPr>
      <w:r w:rsidRPr="00A729D8">
        <w:t xml:space="preserve">[DRAFTING NOTE: update </w:t>
      </w:r>
      <w:r w:rsidR="009E1E8D" w:rsidRPr="00A729D8">
        <w:t xml:space="preserve">info on </w:t>
      </w:r>
      <w:r w:rsidRPr="00A729D8">
        <w:t>5.1 CCIMPE Trigger List Species following consultation with CCIMPE]</w:t>
      </w:r>
    </w:p>
    <w:p w14:paraId="5B967CA2" w14:textId="77777777" w:rsidR="00B34554" w:rsidRPr="00A729D8" w:rsidRDefault="004D1909" w:rsidP="002106F9">
      <w:pPr>
        <w:pStyle w:val="ScheduleL2"/>
      </w:pPr>
      <w:r w:rsidRPr="00A729D8">
        <w:t>CCIMPE Trigger List Species</w:t>
      </w:r>
    </w:p>
    <w:p w14:paraId="3738389B" w14:textId="77777777" w:rsidR="00B34554" w:rsidRPr="00A729D8" w:rsidRDefault="00B34554" w:rsidP="00121729">
      <w:pPr>
        <w:pStyle w:val="ListParagraph"/>
        <w:numPr>
          <w:ilvl w:val="0"/>
          <w:numId w:val="114"/>
        </w:numPr>
      </w:pPr>
      <w:r w:rsidRPr="00A729D8">
        <w:t>If a marine pest species is currently on the CCIMPE trigger list, or will be added to the list in the future, the potential length of coastline affected for each state should be predetermined as</w:t>
      </w:r>
      <w:r w:rsidR="004D1909" w:rsidRPr="00A729D8">
        <w:t xml:space="preserve"> part of preparedness measures.</w:t>
      </w:r>
    </w:p>
    <w:p w14:paraId="02E05F6A" w14:textId="77777777" w:rsidR="00B34554" w:rsidRPr="00A729D8" w:rsidRDefault="00B34554" w:rsidP="00121729">
      <w:pPr>
        <w:pStyle w:val="ListParagraph"/>
        <w:numPr>
          <w:ilvl w:val="0"/>
          <w:numId w:val="114"/>
        </w:numPr>
      </w:pPr>
      <w:r w:rsidRPr="00A729D8">
        <w:t>Percentage contribution figures for each state and the Northern Territory are maintained by the CCIMPE secretariat.</w:t>
      </w:r>
    </w:p>
    <w:p w14:paraId="74B91576" w14:textId="77777777" w:rsidR="00B34554" w:rsidRPr="00A729D8" w:rsidRDefault="00B34554" w:rsidP="00121729">
      <w:pPr>
        <w:pStyle w:val="ListParagraph"/>
        <w:numPr>
          <w:ilvl w:val="0"/>
          <w:numId w:val="114"/>
        </w:numPr>
      </w:pPr>
      <w:r w:rsidRPr="00A729D8">
        <w:t>CCIMPE should review the methods, figures and guidelines used for national response cost sharing analysis every two years. The formula should evolve to incorporate any new technology, data or species identified since the previous review.</w:t>
      </w:r>
    </w:p>
    <w:p w14:paraId="7B79334C" w14:textId="77777777" w:rsidR="00B34554" w:rsidRPr="00A729D8" w:rsidRDefault="00B34554" w:rsidP="002106F9">
      <w:pPr>
        <w:pStyle w:val="ScheduleL2"/>
      </w:pPr>
      <w:r w:rsidRPr="00A729D8">
        <w:t>Critical Life Limiting Phase Temperature Tolerances</w:t>
      </w:r>
    </w:p>
    <w:p w14:paraId="73B1DCDF" w14:textId="77777777" w:rsidR="00B34554" w:rsidRPr="00A729D8" w:rsidRDefault="00B34554" w:rsidP="002106F9">
      <w:r w:rsidRPr="00A729D8">
        <w:t>The following critical life limiting phases have been taken from the BRS (2008) and should be used to determine the cost sharing arrangements for marin</w:t>
      </w:r>
      <w:r w:rsidR="004D1909" w:rsidRPr="00A729D8">
        <w:t xml:space="preserve">e pest </w:t>
      </w:r>
      <w:r w:rsidR="00747D05" w:rsidRPr="00A729D8">
        <w:t>incident</w:t>
      </w:r>
      <w:r w:rsidR="004D1909" w:rsidRPr="00A729D8">
        <w:t>s.</w:t>
      </w:r>
    </w:p>
    <w:p w14:paraId="0973575E" w14:textId="77777777" w:rsidR="00B34554" w:rsidRPr="00A729D8" w:rsidRDefault="00B34554" w:rsidP="002106F9">
      <w:r w:rsidRPr="00A729D8">
        <w:rPr>
          <w:b/>
        </w:rPr>
        <w:t>Microalage</w:t>
      </w:r>
      <w:r w:rsidRPr="00A729D8">
        <w:t>—when asexual cell division or sexual reproduction occurs.</w:t>
      </w:r>
    </w:p>
    <w:p w14:paraId="28EB6A78" w14:textId="77777777" w:rsidR="00B34554" w:rsidRPr="00A729D8" w:rsidRDefault="00B34554" w:rsidP="002106F9">
      <w:r w:rsidRPr="00A729D8">
        <w:t xml:space="preserve">Examples: Dinoflagellates, diatoms, algae that require the </w:t>
      </w:r>
      <w:r w:rsidR="004D1909" w:rsidRPr="00A729D8">
        <w:t>aid of a microscope to be seen.</w:t>
      </w:r>
    </w:p>
    <w:p w14:paraId="6A6055B5" w14:textId="77777777" w:rsidR="00B34554" w:rsidRPr="00A729D8" w:rsidRDefault="00B34554" w:rsidP="002106F9">
      <w:r w:rsidRPr="00A729D8">
        <w:rPr>
          <w:b/>
        </w:rPr>
        <w:t>Macroalgae</w:t>
      </w:r>
      <w:r w:rsidRPr="00A729D8">
        <w:t>—cues the release of spores/gametes into the water column or the most optimal conditions for a fragment to flourish.</w:t>
      </w:r>
    </w:p>
    <w:p w14:paraId="0CC4F1F9" w14:textId="77777777" w:rsidR="00B34554" w:rsidRPr="00A729D8" w:rsidRDefault="00B34554" w:rsidP="002106F9">
      <w:r w:rsidRPr="00A729D8">
        <w:t>Examples: seaweeds, algae, kelp that can be seen w</w:t>
      </w:r>
      <w:r w:rsidR="004D1909" w:rsidRPr="00A729D8">
        <w:t>ithout the aid of a microscope.</w:t>
      </w:r>
    </w:p>
    <w:p w14:paraId="7A83A28A" w14:textId="77777777" w:rsidR="00B34554" w:rsidRPr="00A729D8" w:rsidRDefault="00B34554" w:rsidP="002106F9">
      <w:r w:rsidRPr="00A729D8">
        <w:rPr>
          <w:b/>
        </w:rPr>
        <w:t>Echinoderms</w:t>
      </w:r>
      <w:r w:rsidRPr="00A729D8">
        <w:t>—when mature individuals release their gametes into the water column.</w:t>
      </w:r>
    </w:p>
    <w:p w14:paraId="26FF741B" w14:textId="77777777" w:rsidR="00B34554" w:rsidRPr="00A729D8" w:rsidRDefault="00B34554" w:rsidP="002106F9">
      <w:r w:rsidRPr="00A729D8">
        <w:t>Examples: starfish, brittle stars, sea urchin, sand dollar, sea cucumbers.</w:t>
      </w:r>
    </w:p>
    <w:p w14:paraId="3115FFE8" w14:textId="77777777" w:rsidR="00B34554" w:rsidRPr="00A729D8" w:rsidRDefault="00B34554" w:rsidP="002106F9">
      <w:r w:rsidRPr="00A729D8">
        <w:rPr>
          <w:b/>
        </w:rPr>
        <w:t>Crustaceans</w:t>
      </w:r>
      <w:r w:rsidRPr="00A729D8">
        <w:t>—cues individuals to mate and allows optimal conditions for the eggs/larvae to develop.</w:t>
      </w:r>
    </w:p>
    <w:p w14:paraId="340747CA" w14:textId="77777777" w:rsidR="00B34554" w:rsidRPr="00A729D8" w:rsidRDefault="00B34554" w:rsidP="002106F9">
      <w:r w:rsidRPr="00A729D8">
        <w:t>Examples: crayfish, crab, barnacle, shrimp, lobster.</w:t>
      </w:r>
    </w:p>
    <w:p w14:paraId="1659E86D" w14:textId="77777777" w:rsidR="00B34554" w:rsidRPr="00A729D8" w:rsidRDefault="00B34554" w:rsidP="002106F9">
      <w:r w:rsidRPr="00A729D8">
        <w:rPr>
          <w:b/>
        </w:rPr>
        <w:t>Molluscs</w:t>
      </w:r>
      <w:r w:rsidRPr="00A729D8">
        <w:t>—cues individuals to spawn and allows optimal conditions for the larvae to develop.</w:t>
      </w:r>
    </w:p>
    <w:p w14:paraId="1236617C" w14:textId="77777777" w:rsidR="00B34554" w:rsidRPr="00A729D8" w:rsidRDefault="00B34554" w:rsidP="002106F9">
      <w:r w:rsidRPr="00A729D8">
        <w:t>Examples: shellfish, squid, octopus, snails.</w:t>
      </w:r>
    </w:p>
    <w:p w14:paraId="4B469B40" w14:textId="77777777" w:rsidR="00B34554" w:rsidRPr="00A729D8" w:rsidRDefault="00B34554" w:rsidP="002106F9">
      <w:r w:rsidRPr="00A729D8">
        <w:rPr>
          <w:b/>
        </w:rPr>
        <w:lastRenderedPageBreak/>
        <w:t>Polychaetes</w:t>
      </w:r>
      <w:r w:rsidRPr="00A729D8">
        <w:t>—cues individuals to spawn and allows optimal conditions for the larvae to develop.</w:t>
      </w:r>
    </w:p>
    <w:p w14:paraId="6EBED1D8" w14:textId="77777777" w:rsidR="00B34554" w:rsidRPr="00A729D8" w:rsidRDefault="00B34554" w:rsidP="002106F9">
      <w:r w:rsidRPr="00A729D8">
        <w:t>Examples: segmented worms: fanworms, sandworms, lugworms.</w:t>
      </w:r>
    </w:p>
    <w:p w14:paraId="29854561" w14:textId="77777777" w:rsidR="00B34554" w:rsidRPr="00A729D8" w:rsidRDefault="00B34554" w:rsidP="002106F9">
      <w:r w:rsidRPr="00A729D8">
        <w:rPr>
          <w:b/>
        </w:rPr>
        <w:t>Tunicates</w:t>
      </w:r>
      <w:r w:rsidRPr="00A729D8">
        <w:t>—cues individuals to spawn and allows optimal conditions for the larvae to develop.</w:t>
      </w:r>
    </w:p>
    <w:p w14:paraId="78C36217" w14:textId="77777777" w:rsidR="00B34554" w:rsidRPr="00A729D8" w:rsidRDefault="00B34554" w:rsidP="002106F9">
      <w:r w:rsidRPr="00A729D8">
        <w:t>Example: seasquirts</w:t>
      </w:r>
    </w:p>
    <w:p w14:paraId="7A9713F9" w14:textId="77777777" w:rsidR="00B34554" w:rsidRPr="00A729D8" w:rsidRDefault="00B34554" w:rsidP="002106F9">
      <w:r w:rsidRPr="00A729D8">
        <w:rPr>
          <w:b/>
        </w:rPr>
        <w:t>Jellyfish/Ctenophora</w:t>
      </w:r>
      <w:r w:rsidRPr="00A729D8">
        <w:t>—cues individuals to release their gametes into the surrounding water and allow optimal conditions for the developing larvae.</w:t>
      </w:r>
    </w:p>
    <w:p w14:paraId="10E62EF9" w14:textId="77777777" w:rsidR="00B34554" w:rsidRPr="00A729D8" w:rsidRDefault="00B34554" w:rsidP="002106F9">
      <w:r w:rsidRPr="00A729D8">
        <w:t>Examples: comb jelly (Ctenophora), jellyfish types.</w:t>
      </w:r>
    </w:p>
    <w:p w14:paraId="69A4AF24" w14:textId="77777777" w:rsidR="00B34554" w:rsidRPr="00A729D8" w:rsidRDefault="00B34554" w:rsidP="002106F9">
      <w:r w:rsidRPr="00A729D8">
        <w:rPr>
          <w:b/>
        </w:rPr>
        <w:t>Fish</w:t>
      </w:r>
      <w:r w:rsidRPr="00A729D8">
        <w:t>—cues individuals to mate or lay/fertilise eggs, and allows optimal conditions for the larvae to develop.</w:t>
      </w:r>
    </w:p>
    <w:p w14:paraId="6DDFEA1E" w14:textId="77777777" w:rsidR="00B34554" w:rsidRPr="00A729D8" w:rsidRDefault="00B34554" w:rsidP="002106F9">
      <w:r w:rsidRPr="00A729D8">
        <w:t>Examples: sharks, rays, eels, lampreys, seahorses, finfish.</w:t>
      </w:r>
    </w:p>
    <w:p w14:paraId="42256C45" w14:textId="77777777" w:rsidR="00B34554" w:rsidRPr="00A729D8" w:rsidRDefault="00B34554" w:rsidP="002106F9">
      <w:pPr>
        <w:pStyle w:val="ScheduleL1"/>
      </w:pPr>
      <w:r w:rsidRPr="00A729D8">
        <w:t>Parameters for cost-sharing of responses to pest incidents in marine environments</w:t>
      </w:r>
    </w:p>
    <w:p w14:paraId="30B77825" w14:textId="77777777" w:rsidR="00B34554" w:rsidRPr="00A729D8" w:rsidRDefault="00B34554" w:rsidP="002106F9">
      <w:pPr>
        <w:pStyle w:val="ScheduleL2"/>
      </w:pPr>
      <w:r w:rsidRPr="00A729D8">
        <w:t>Population parameters</w:t>
      </w:r>
    </w:p>
    <w:p w14:paraId="0988FE8F" w14:textId="77777777" w:rsidR="00B34554" w:rsidRPr="00A729D8" w:rsidRDefault="00B34554" w:rsidP="002106F9">
      <w:r w:rsidRPr="00A729D8">
        <w:t>With regard to pest incidents in marine environments, the following parameters will be used to determine the Australian and jurisdictional populations.</w:t>
      </w:r>
    </w:p>
    <w:p w14:paraId="679A62A1" w14:textId="77777777" w:rsidR="00B34554" w:rsidRPr="00A729D8" w:rsidRDefault="00B34554" w:rsidP="00121729">
      <w:pPr>
        <w:pStyle w:val="ListParagraph"/>
        <w:numPr>
          <w:ilvl w:val="0"/>
          <w:numId w:val="115"/>
        </w:numPr>
      </w:pPr>
      <w:r w:rsidRPr="00A729D8">
        <w:t>Each population value used should be the most recent and accurate available. The most recently available Australian Bureau of Statistics Australian Demographic Statistics Population parameters will be used to estimate populations. The New South Wales population will not include Jervis Bay.</w:t>
      </w:r>
    </w:p>
    <w:p w14:paraId="28C69A8C" w14:textId="77777777" w:rsidR="00B34554" w:rsidRPr="00A729D8" w:rsidRDefault="00B34554" w:rsidP="00121729">
      <w:pPr>
        <w:pStyle w:val="ListParagraph"/>
        <w:numPr>
          <w:ilvl w:val="0"/>
          <w:numId w:val="115"/>
        </w:numPr>
      </w:pPr>
      <w:r w:rsidRPr="00A729D8">
        <w:t>All population figures will include those of relevant islands in each jurisdiction.</w:t>
      </w:r>
    </w:p>
    <w:p w14:paraId="6623C174" w14:textId="77777777" w:rsidR="00B34554" w:rsidRPr="00A729D8" w:rsidRDefault="00B34554" w:rsidP="00121729">
      <w:pPr>
        <w:pStyle w:val="ListParagraph"/>
        <w:numPr>
          <w:ilvl w:val="0"/>
          <w:numId w:val="115"/>
        </w:numPr>
      </w:pPr>
      <w:r w:rsidRPr="00A729D8">
        <w:t>The sum of the populations for the states and the Northern Territory will be used as the total population of Australia. The population of Jervis Bay is excluded from the calculations of the New South Wales population as it comes under the jurisdiction of the Commonwealth. The total Australian population does not include the Australian Capital Territory population.</w:t>
      </w:r>
    </w:p>
    <w:p w14:paraId="04C15BC2" w14:textId="77777777" w:rsidR="00B34554" w:rsidRPr="00A729D8" w:rsidRDefault="00B34554" w:rsidP="002106F9">
      <w:pPr>
        <w:pStyle w:val="ScheduleL2"/>
      </w:pPr>
      <w:r w:rsidRPr="00A729D8">
        <w:t>Length of coastline parameters</w:t>
      </w:r>
    </w:p>
    <w:p w14:paraId="08E9C213" w14:textId="77777777" w:rsidR="00B34554" w:rsidRPr="00A729D8" w:rsidRDefault="00B34554" w:rsidP="002106F9">
      <w:r w:rsidRPr="00A729D8">
        <w:t>For the purposes of pest incidents in marine environments the following parameters will be used to determine the length of coastline.</w:t>
      </w:r>
    </w:p>
    <w:p w14:paraId="0AC706E8" w14:textId="77777777" w:rsidR="00B34554" w:rsidRPr="00A729D8" w:rsidRDefault="00B34554" w:rsidP="00121729">
      <w:pPr>
        <w:pStyle w:val="ListParagraph"/>
        <w:numPr>
          <w:ilvl w:val="0"/>
          <w:numId w:val="116"/>
        </w:numPr>
      </w:pPr>
      <w:r w:rsidRPr="00A729D8">
        <w:t>Each value should be the most recent, accurate figure available (see item 3.7 to this attachment).</w:t>
      </w:r>
    </w:p>
    <w:p w14:paraId="1060A802" w14:textId="77777777" w:rsidR="00B34554" w:rsidRPr="00A729D8" w:rsidRDefault="00B34554" w:rsidP="00121729">
      <w:pPr>
        <w:pStyle w:val="ListParagraph"/>
        <w:numPr>
          <w:ilvl w:val="0"/>
          <w:numId w:val="116"/>
        </w:numPr>
      </w:pPr>
      <w:r w:rsidRPr="00A729D8">
        <w:t>The figures will include those of relevant islands in each jurisdiction.</w:t>
      </w:r>
    </w:p>
    <w:p w14:paraId="671A1144" w14:textId="77777777" w:rsidR="00B34554" w:rsidRPr="00A729D8" w:rsidRDefault="00B34554" w:rsidP="00121729">
      <w:pPr>
        <w:pStyle w:val="ListParagraph"/>
        <w:numPr>
          <w:ilvl w:val="0"/>
          <w:numId w:val="116"/>
        </w:numPr>
      </w:pPr>
      <w:r w:rsidRPr="00A729D8">
        <w:t>The New South Wales figure should not incorporate the Australian Capital Territory’s (including Jervis Bay) length of coastline.</w:t>
      </w:r>
    </w:p>
    <w:p w14:paraId="6E1554E9" w14:textId="77777777" w:rsidR="00B34554" w:rsidRPr="00A729D8" w:rsidRDefault="00B34554" w:rsidP="00121729">
      <w:pPr>
        <w:pStyle w:val="ListParagraph"/>
        <w:numPr>
          <w:ilvl w:val="0"/>
          <w:numId w:val="116"/>
        </w:numPr>
      </w:pPr>
      <w:r w:rsidRPr="00A729D8">
        <w:t>The total length of Australian coastline should not include that of Jervis Bay.</w:t>
      </w:r>
    </w:p>
    <w:p w14:paraId="43676E79" w14:textId="77777777" w:rsidR="00B34554" w:rsidRPr="00A729D8" w:rsidRDefault="00B34554" w:rsidP="00121729">
      <w:pPr>
        <w:pStyle w:val="ListParagraph"/>
        <w:numPr>
          <w:ilvl w:val="0"/>
          <w:numId w:val="116"/>
        </w:numPr>
      </w:pPr>
      <w:r w:rsidRPr="00A729D8">
        <w:t>The sum of the coastline lengths for the states and the Northern Territory should be equal to the total length of the Australian coastline.</w:t>
      </w:r>
    </w:p>
    <w:p w14:paraId="7205ED4C" w14:textId="77777777" w:rsidR="004D1909" w:rsidRPr="00A729D8" w:rsidRDefault="00B34554" w:rsidP="002106F9">
      <w:pPr>
        <w:pStyle w:val="ScheduleL1"/>
      </w:pPr>
      <w:r w:rsidRPr="00A729D8">
        <w:lastRenderedPageBreak/>
        <w:t>Formula for calculating cost-sharing arrangements for pest incidents in marine environments</w:t>
      </w:r>
    </w:p>
    <w:p w14:paraId="686D788A" w14:textId="77777777" w:rsidR="00B34554" w:rsidRPr="00A729D8" w:rsidRDefault="00B34554" w:rsidP="002106F9">
      <w:r w:rsidRPr="00A729D8">
        <w:t>Cost-sharing for pest incidents in marine environments is calculated using the following steps:</w:t>
      </w:r>
    </w:p>
    <w:p w14:paraId="4AB630C1" w14:textId="77777777" w:rsidR="00B34554" w:rsidRPr="00A729D8" w:rsidRDefault="00B34554" w:rsidP="002106F9">
      <w:r w:rsidRPr="00A729D8">
        <w:rPr>
          <w:b/>
        </w:rPr>
        <w:t>Step 1:</w:t>
      </w:r>
      <w:r w:rsidRPr="00A729D8">
        <w:t xml:space="preserve"> Determine the length of potentially affected Australian coastline in accordance with item 5(d) of this attachment.</w:t>
      </w:r>
    </w:p>
    <w:p w14:paraId="4A794829" w14:textId="77777777" w:rsidR="00B34554" w:rsidRPr="00A729D8" w:rsidRDefault="00B34554" w:rsidP="002106F9">
      <w:r w:rsidRPr="00A729D8">
        <w:rPr>
          <w:b/>
        </w:rPr>
        <w:t>Step 2:</w:t>
      </w:r>
      <w:r w:rsidRPr="00A729D8">
        <w:t xml:space="preserve"> Calculate the number of people potentially affected in a particular jurisdiction: The number of people in potentially affected area in that jurisdiction equals:</w:t>
      </w:r>
    </w:p>
    <w:p w14:paraId="29D223E3" w14:textId="77777777" w:rsidR="00B34554" w:rsidRPr="00A729D8" w:rsidRDefault="00B34554" w:rsidP="002106F9">
      <w:pPr>
        <w:spacing w:after="0"/>
        <w:jc w:val="center"/>
        <w:rPr>
          <w:u w:val="single"/>
        </w:rPr>
      </w:pPr>
      <w:r w:rsidRPr="00A729D8">
        <w:rPr>
          <w:u w:val="single"/>
        </w:rPr>
        <w:t>Jurisdiction population   x   length of potentially affected jurisdiction coastline</w:t>
      </w:r>
    </w:p>
    <w:p w14:paraId="7DB790E1" w14:textId="77777777" w:rsidR="00B34554" w:rsidRPr="00A729D8" w:rsidRDefault="00B34554" w:rsidP="002106F9">
      <w:pPr>
        <w:spacing w:before="0" w:after="0"/>
        <w:jc w:val="center"/>
      </w:pPr>
      <w:r w:rsidRPr="00A729D8">
        <w:t>total length of jurisdiction coastline</w:t>
      </w:r>
    </w:p>
    <w:p w14:paraId="063E0AA4" w14:textId="77777777" w:rsidR="004D1909" w:rsidRPr="00A729D8" w:rsidRDefault="00B34554" w:rsidP="002106F9">
      <w:r w:rsidRPr="00A729D8">
        <w:rPr>
          <w:b/>
        </w:rPr>
        <w:t>Step 3:</w:t>
      </w:r>
      <w:r w:rsidRPr="00A729D8">
        <w:t xml:space="preserve">  Repeat Step 2 for all potentially affected jurisdictions. </w:t>
      </w:r>
    </w:p>
    <w:p w14:paraId="152AF5A5" w14:textId="77777777" w:rsidR="00B34554" w:rsidRPr="00A729D8" w:rsidRDefault="00B34554" w:rsidP="002106F9">
      <w:r w:rsidRPr="00A729D8">
        <w:rPr>
          <w:b/>
        </w:rPr>
        <w:t>Step 4:</w:t>
      </w:r>
      <w:r w:rsidRPr="00A729D8">
        <w:t xml:space="preserve"> Calculate the total number of people affected in Australia: The total number of people potentially affected in Australia equals:</w:t>
      </w:r>
    </w:p>
    <w:p w14:paraId="2C1E7A08" w14:textId="77777777" w:rsidR="00B34554" w:rsidRPr="00A729D8" w:rsidRDefault="00B34554" w:rsidP="002106F9">
      <w:r w:rsidRPr="00A729D8">
        <w:t>The sum of the number of people potentially affected in each potentially affected jurisdiction (i.e. jurisdiction A + jurisdiction B + and so on)</w:t>
      </w:r>
    </w:p>
    <w:p w14:paraId="283C5C80" w14:textId="77777777" w:rsidR="00B34554" w:rsidRPr="00A729D8" w:rsidRDefault="00B34554" w:rsidP="002106F9">
      <w:r w:rsidRPr="00A729D8">
        <w:rPr>
          <w:b/>
        </w:rPr>
        <w:t>Step 5:</w:t>
      </w:r>
      <w:r w:rsidRPr="00A729D8">
        <w:t xml:space="preserve"> Calculate a jurisdiction’s share of the combined investment in accordance with clause 7.2(d) of this agreement.</w:t>
      </w:r>
    </w:p>
    <w:p w14:paraId="2EB55AF1" w14:textId="77777777" w:rsidR="00B34554" w:rsidRPr="00A729D8" w:rsidRDefault="00B34554" w:rsidP="002106F9">
      <w:r w:rsidRPr="00A729D8">
        <w:rPr>
          <w:b/>
        </w:rPr>
        <w:t>Step 6:</w:t>
      </w:r>
      <w:r w:rsidRPr="00A729D8">
        <w:t xml:space="preserve"> Repeat Step 5 for each potentially affected jurisdiction.</w:t>
      </w:r>
    </w:p>
    <w:p w14:paraId="7E6E8B1E" w14:textId="77777777" w:rsidR="00B34554" w:rsidRPr="00A729D8" w:rsidRDefault="00B34554" w:rsidP="002106F9">
      <w:r w:rsidRPr="00A729D8">
        <w:t xml:space="preserve">For example, cost-sharing for a pest </w:t>
      </w:r>
      <w:r w:rsidR="00747D05" w:rsidRPr="00A729D8">
        <w:t>incident</w:t>
      </w:r>
      <w:r w:rsidRPr="00A729D8">
        <w:t xml:space="preserve"> with four potentially affected jurisdictions:</w:t>
      </w:r>
    </w:p>
    <w:tbl>
      <w:tblPr>
        <w:tblStyle w:val="TableGrid"/>
        <w:tblW w:w="0" w:type="auto"/>
        <w:tblLook w:val="04A0" w:firstRow="1" w:lastRow="0" w:firstColumn="1" w:lastColumn="0" w:noHBand="0" w:noVBand="1"/>
      </w:tblPr>
      <w:tblGrid>
        <w:gridCol w:w="1980"/>
        <w:gridCol w:w="7036"/>
      </w:tblGrid>
      <w:tr w:rsidR="004D1909" w:rsidRPr="00A729D8" w14:paraId="5BAFD873" w14:textId="77777777" w:rsidTr="004F5940">
        <w:trPr>
          <w:trHeight w:val="113"/>
        </w:trPr>
        <w:tc>
          <w:tcPr>
            <w:tcW w:w="1980" w:type="dxa"/>
          </w:tcPr>
          <w:p w14:paraId="71DBE73F" w14:textId="77777777" w:rsidR="004D1909" w:rsidRPr="00A729D8" w:rsidRDefault="004D1909" w:rsidP="002106F9">
            <w:pPr>
              <w:spacing w:before="0" w:after="0"/>
              <w:rPr>
                <w:b/>
              </w:rPr>
            </w:pPr>
            <w:r w:rsidRPr="00A729D8">
              <w:rPr>
                <w:b/>
              </w:rPr>
              <w:t>Jurisdiction</w:t>
            </w:r>
          </w:p>
        </w:tc>
        <w:tc>
          <w:tcPr>
            <w:tcW w:w="7036" w:type="dxa"/>
          </w:tcPr>
          <w:p w14:paraId="1C4344B7" w14:textId="77777777" w:rsidR="004D1909" w:rsidRPr="00A729D8" w:rsidRDefault="004D1909" w:rsidP="002106F9">
            <w:pPr>
              <w:spacing w:before="0" w:after="0"/>
              <w:rPr>
                <w:b/>
              </w:rPr>
            </w:pPr>
            <w:r w:rsidRPr="00A729D8">
              <w:rPr>
                <w:b/>
              </w:rPr>
              <w:t>Percentage share of each jurisdictions’ contribution (note: the total contribution from the jurisdictions is 50 per cent of total costs with the Commonwealth contributing the other 50 per cent)</w:t>
            </w:r>
          </w:p>
        </w:tc>
      </w:tr>
      <w:tr w:rsidR="004D1909" w:rsidRPr="00A729D8" w14:paraId="7305938C" w14:textId="77777777" w:rsidTr="004F5940">
        <w:trPr>
          <w:trHeight w:val="113"/>
        </w:trPr>
        <w:tc>
          <w:tcPr>
            <w:tcW w:w="1980" w:type="dxa"/>
          </w:tcPr>
          <w:p w14:paraId="040FA7EC" w14:textId="77777777" w:rsidR="004D1909" w:rsidRPr="00A729D8" w:rsidRDefault="004D1909" w:rsidP="002106F9">
            <w:pPr>
              <w:spacing w:before="0" w:after="0"/>
            </w:pPr>
            <w:r w:rsidRPr="00A729D8">
              <w:t>Jurisdiction A</w:t>
            </w:r>
          </w:p>
        </w:tc>
        <w:tc>
          <w:tcPr>
            <w:tcW w:w="7036" w:type="dxa"/>
          </w:tcPr>
          <w:p w14:paraId="67A9AAAD" w14:textId="77777777" w:rsidR="004D1909" w:rsidRPr="00A729D8" w:rsidRDefault="004D1909" w:rsidP="002106F9">
            <w:pPr>
              <w:spacing w:before="0" w:after="0"/>
            </w:pPr>
            <w:r w:rsidRPr="00A729D8">
              <w:t>32.5 per cent</w:t>
            </w:r>
          </w:p>
        </w:tc>
      </w:tr>
      <w:tr w:rsidR="004D1909" w:rsidRPr="00A729D8" w14:paraId="2F5EB450" w14:textId="77777777" w:rsidTr="004F5940">
        <w:trPr>
          <w:trHeight w:val="113"/>
        </w:trPr>
        <w:tc>
          <w:tcPr>
            <w:tcW w:w="1980" w:type="dxa"/>
          </w:tcPr>
          <w:p w14:paraId="37FA66DC" w14:textId="77777777" w:rsidR="004D1909" w:rsidRPr="00A729D8" w:rsidRDefault="004D1909" w:rsidP="002106F9">
            <w:pPr>
              <w:spacing w:before="0" w:after="0"/>
            </w:pPr>
            <w:r w:rsidRPr="00A729D8">
              <w:t>Jurisdiction B</w:t>
            </w:r>
          </w:p>
        </w:tc>
        <w:tc>
          <w:tcPr>
            <w:tcW w:w="7036" w:type="dxa"/>
          </w:tcPr>
          <w:p w14:paraId="1C48C949" w14:textId="77777777" w:rsidR="004D1909" w:rsidRPr="00A729D8" w:rsidRDefault="004D1909" w:rsidP="002106F9">
            <w:pPr>
              <w:spacing w:before="0" w:after="0"/>
            </w:pPr>
            <w:r w:rsidRPr="00A729D8">
              <w:t>44.2 per cent</w:t>
            </w:r>
          </w:p>
        </w:tc>
      </w:tr>
      <w:tr w:rsidR="004D1909" w:rsidRPr="00A729D8" w14:paraId="673E0F32" w14:textId="77777777" w:rsidTr="004F5940">
        <w:trPr>
          <w:trHeight w:val="113"/>
        </w:trPr>
        <w:tc>
          <w:tcPr>
            <w:tcW w:w="1980" w:type="dxa"/>
          </w:tcPr>
          <w:p w14:paraId="5F381CC7" w14:textId="77777777" w:rsidR="004D1909" w:rsidRPr="00A729D8" w:rsidRDefault="004D1909" w:rsidP="002106F9">
            <w:pPr>
              <w:spacing w:before="0" w:after="0"/>
            </w:pPr>
            <w:r w:rsidRPr="00A729D8">
              <w:t>Jurisdiction C</w:t>
            </w:r>
          </w:p>
        </w:tc>
        <w:tc>
          <w:tcPr>
            <w:tcW w:w="7036" w:type="dxa"/>
          </w:tcPr>
          <w:p w14:paraId="06B4F595" w14:textId="77777777" w:rsidR="004D1909" w:rsidRPr="00A729D8" w:rsidRDefault="004D1909" w:rsidP="002106F9">
            <w:pPr>
              <w:spacing w:before="0" w:after="0"/>
            </w:pPr>
            <w:r w:rsidRPr="00A729D8">
              <w:t>7.5 per cent</w:t>
            </w:r>
          </w:p>
        </w:tc>
      </w:tr>
      <w:tr w:rsidR="004D1909" w:rsidRPr="00A729D8" w14:paraId="4F191078" w14:textId="77777777" w:rsidTr="004F5940">
        <w:trPr>
          <w:trHeight w:val="113"/>
        </w:trPr>
        <w:tc>
          <w:tcPr>
            <w:tcW w:w="1980" w:type="dxa"/>
          </w:tcPr>
          <w:p w14:paraId="52D9E899" w14:textId="77777777" w:rsidR="004D1909" w:rsidRPr="00A729D8" w:rsidRDefault="004D1909" w:rsidP="002106F9">
            <w:pPr>
              <w:spacing w:before="0" w:after="0"/>
            </w:pPr>
            <w:r w:rsidRPr="00A729D8">
              <w:t>Jurisdiction D</w:t>
            </w:r>
          </w:p>
        </w:tc>
        <w:tc>
          <w:tcPr>
            <w:tcW w:w="7036" w:type="dxa"/>
          </w:tcPr>
          <w:p w14:paraId="0CBD23F4" w14:textId="77777777" w:rsidR="004D1909" w:rsidRPr="00A729D8" w:rsidRDefault="004D1909" w:rsidP="002106F9">
            <w:pPr>
              <w:spacing w:before="0" w:after="0"/>
            </w:pPr>
            <w:r w:rsidRPr="00A729D8">
              <w:t>15.8 per cent</w:t>
            </w:r>
          </w:p>
        </w:tc>
      </w:tr>
      <w:tr w:rsidR="004D1909" w:rsidRPr="00A729D8" w14:paraId="7388DCF9" w14:textId="77777777" w:rsidTr="004F5940">
        <w:trPr>
          <w:trHeight w:val="113"/>
        </w:trPr>
        <w:tc>
          <w:tcPr>
            <w:tcW w:w="1980" w:type="dxa"/>
          </w:tcPr>
          <w:p w14:paraId="0F99BAB7" w14:textId="77777777" w:rsidR="004D1909" w:rsidRPr="00A729D8" w:rsidRDefault="004D1909" w:rsidP="002106F9">
            <w:pPr>
              <w:spacing w:before="0" w:after="0"/>
            </w:pPr>
            <w:r w:rsidRPr="00A729D8">
              <w:t>Total</w:t>
            </w:r>
          </w:p>
        </w:tc>
        <w:tc>
          <w:tcPr>
            <w:tcW w:w="7036" w:type="dxa"/>
          </w:tcPr>
          <w:p w14:paraId="179CC045" w14:textId="77777777" w:rsidR="004D1909" w:rsidRPr="00A729D8" w:rsidRDefault="004D1909" w:rsidP="002106F9">
            <w:pPr>
              <w:spacing w:before="0" w:after="0"/>
            </w:pPr>
            <w:r w:rsidRPr="00A729D8">
              <w:t>100 per cent</w:t>
            </w:r>
          </w:p>
        </w:tc>
      </w:tr>
    </w:tbl>
    <w:p w14:paraId="6492285A" w14:textId="77777777" w:rsidR="00B34554" w:rsidRPr="00A729D8" w:rsidRDefault="00B34554" w:rsidP="002106F9"/>
    <w:p w14:paraId="5622F41D" w14:textId="77777777" w:rsidR="000C65B9" w:rsidRPr="00A729D8" w:rsidRDefault="000C65B9" w:rsidP="002106F9">
      <w:pPr>
        <w:spacing w:before="0" w:after="160" w:line="252" w:lineRule="auto"/>
        <w:jc w:val="both"/>
        <w:rPr>
          <w:b/>
        </w:rPr>
      </w:pPr>
      <w:r w:rsidRPr="00A729D8">
        <w:br w:type="page"/>
      </w:r>
    </w:p>
    <w:p w14:paraId="15FBDA33" w14:textId="77777777" w:rsidR="00B34554" w:rsidRPr="00A729D8" w:rsidRDefault="00B34554" w:rsidP="002106F9">
      <w:pPr>
        <w:pStyle w:val="Heading2"/>
        <w:keepNext w:val="0"/>
        <w:keepLines w:val="0"/>
        <w:numPr>
          <w:ilvl w:val="0"/>
          <w:numId w:val="0"/>
        </w:numPr>
      </w:pPr>
      <w:bookmarkStart w:id="277" w:name="_Toc7528163"/>
      <w:r w:rsidRPr="00A729D8">
        <w:lastRenderedPageBreak/>
        <w:t xml:space="preserve">Attachment </w:t>
      </w:r>
      <w:r w:rsidR="00C02F9A" w:rsidRPr="00A729D8">
        <w:t>4</w:t>
      </w:r>
      <w:r w:rsidRPr="00A729D8">
        <w:t>E</w:t>
      </w:r>
      <w:r w:rsidR="000C65B9" w:rsidRPr="00A729D8">
        <w:t xml:space="preserve"> – </w:t>
      </w:r>
      <w:r w:rsidRPr="00A729D8">
        <w:t>Potential</w:t>
      </w:r>
      <w:r w:rsidR="000C65B9" w:rsidRPr="00A729D8">
        <w:t xml:space="preserve"> </w:t>
      </w:r>
      <w:r w:rsidRPr="00A729D8">
        <w:t>distribution of marine diseases and potentially affected populations</w:t>
      </w:r>
      <w:bookmarkEnd w:id="277"/>
    </w:p>
    <w:p w14:paraId="79EE8BF3" w14:textId="77777777" w:rsidR="00B34554" w:rsidRPr="00A729D8" w:rsidRDefault="00B34554" w:rsidP="00121729">
      <w:pPr>
        <w:pStyle w:val="ScheduleL1"/>
        <w:numPr>
          <w:ilvl w:val="0"/>
          <w:numId w:val="117"/>
        </w:numPr>
      </w:pPr>
      <w:r w:rsidRPr="00A729D8">
        <w:t>Introduction</w:t>
      </w:r>
    </w:p>
    <w:p w14:paraId="4F7BD6AC" w14:textId="77777777" w:rsidR="00B34554" w:rsidRPr="00A729D8" w:rsidRDefault="00B34554" w:rsidP="00121729">
      <w:pPr>
        <w:pStyle w:val="ListParagraph"/>
        <w:numPr>
          <w:ilvl w:val="0"/>
          <w:numId w:val="118"/>
        </w:numPr>
      </w:pPr>
      <w:r w:rsidRPr="00A729D8">
        <w:t>This attachment provides guidance on the process to be undertaken in determining the total potential distribution of a marine disease and the potential percentage of the host population(s) that could be affected.</w:t>
      </w:r>
    </w:p>
    <w:p w14:paraId="5CE765D1" w14:textId="77777777" w:rsidR="00B34554" w:rsidRPr="00A729D8" w:rsidRDefault="00B34554" w:rsidP="00121729">
      <w:pPr>
        <w:pStyle w:val="ListParagraph"/>
        <w:numPr>
          <w:ilvl w:val="0"/>
          <w:numId w:val="118"/>
        </w:numPr>
      </w:pPr>
      <w:r w:rsidRPr="00A729D8">
        <w:t>The potential distribution of a marine disease represents the distribution of any and all host species it can infect.</w:t>
      </w:r>
    </w:p>
    <w:p w14:paraId="3439DAE5" w14:textId="77777777" w:rsidR="00B34554" w:rsidRPr="00A729D8" w:rsidRDefault="00B34554" w:rsidP="00121729">
      <w:pPr>
        <w:pStyle w:val="ListParagraph"/>
        <w:numPr>
          <w:ilvl w:val="0"/>
          <w:numId w:val="118"/>
        </w:numPr>
      </w:pPr>
      <w:r w:rsidRPr="00A729D8">
        <w:t>This determination relates to calculating, in accordance with clause 7.2(d) of the agreement what percentage of the total potentially affected area is represented by a party’s jurisdiction which, in turn leads to a determination of the party’s percentage of risk and, subsequently, the number of people in that jurisdiction affected by a disease occurrence.</w:t>
      </w:r>
    </w:p>
    <w:p w14:paraId="2A8F401C" w14:textId="77777777" w:rsidR="00B34554" w:rsidRPr="00A729D8" w:rsidRDefault="00B34554" w:rsidP="00121729">
      <w:pPr>
        <w:pStyle w:val="ListParagraph"/>
        <w:numPr>
          <w:ilvl w:val="0"/>
          <w:numId w:val="118"/>
        </w:numPr>
      </w:pPr>
      <w:r w:rsidRPr="00A729D8">
        <w:t>This process does not include analysis of potential impacts as these would be considered in the technical feasibility and benefit:cost analyses.</w:t>
      </w:r>
    </w:p>
    <w:p w14:paraId="549B3F7F" w14:textId="77777777" w:rsidR="00B34554" w:rsidRPr="00A729D8" w:rsidRDefault="00B34554" w:rsidP="002106F9">
      <w:pPr>
        <w:pStyle w:val="ScheduleL1"/>
      </w:pPr>
      <w:r w:rsidRPr="00A729D8">
        <w:t>Fundamental assumptions for determining the potential distribution of marine diseases</w:t>
      </w:r>
    </w:p>
    <w:p w14:paraId="62DFD65B" w14:textId="77777777" w:rsidR="00B34554" w:rsidRPr="00A729D8" w:rsidRDefault="00B34554" w:rsidP="002106F9">
      <w:r w:rsidRPr="00A729D8">
        <w:t>In modelling the potential distribution of a marine disease, the following</w:t>
      </w:r>
      <w:r w:rsidR="00077774" w:rsidRPr="00A729D8">
        <w:t xml:space="preserve"> fundamental assumptions apply:</w:t>
      </w:r>
    </w:p>
    <w:p w14:paraId="402F5E7D" w14:textId="77777777" w:rsidR="00B34554" w:rsidRPr="00A729D8" w:rsidRDefault="00B34554" w:rsidP="00121729">
      <w:pPr>
        <w:pStyle w:val="ListParagraph"/>
        <w:numPr>
          <w:ilvl w:val="0"/>
          <w:numId w:val="119"/>
        </w:numPr>
      </w:pPr>
      <w:r w:rsidRPr="00A729D8">
        <w:t>The contemporary situation will continue. The analysis will not include a consideration of possible future factors affecting the projected potential distribution, for example, climate change or changes in management actions.</w:t>
      </w:r>
    </w:p>
    <w:p w14:paraId="7448BDCB" w14:textId="77777777" w:rsidR="00B34554" w:rsidRPr="00A729D8" w:rsidRDefault="00B34554" w:rsidP="00121729">
      <w:pPr>
        <w:pStyle w:val="ListParagraph"/>
        <w:numPr>
          <w:ilvl w:val="0"/>
          <w:numId w:val="119"/>
        </w:numPr>
      </w:pPr>
      <w:r w:rsidRPr="00A729D8">
        <w:t>The disease has been evenly spread across susceptible host species in Australia’s waters. The analysis will not be concerned with the pathway by which a disease might enter or has entered the country, nor with the potential rate of its spread, but, rather, it will be concerned with the areas in which the disease could persist and/or become established.</w:t>
      </w:r>
    </w:p>
    <w:p w14:paraId="25A61387" w14:textId="77777777" w:rsidR="00B34554" w:rsidRPr="00A729D8" w:rsidRDefault="00B34554" w:rsidP="00121729">
      <w:pPr>
        <w:pStyle w:val="ListParagraph"/>
        <w:numPr>
          <w:ilvl w:val="0"/>
          <w:numId w:val="119"/>
        </w:numPr>
      </w:pPr>
      <w:r w:rsidRPr="00A729D8">
        <w:t>There are no physiological or biological barriers to establishment or spread of the disease (i.e. the model assesses the area of climate match suitability where the disease could become endemic if it could successfully establish in one or several hosts).</w:t>
      </w:r>
    </w:p>
    <w:p w14:paraId="6F47E267" w14:textId="77777777" w:rsidR="00B34554" w:rsidRPr="00A729D8" w:rsidRDefault="00B34554" w:rsidP="00121729">
      <w:pPr>
        <w:pStyle w:val="ListParagraph"/>
        <w:numPr>
          <w:ilvl w:val="0"/>
          <w:numId w:val="119"/>
        </w:numPr>
      </w:pPr>
      <w:r w:rsidRPr="00A729D8">
        <w:t>A general situation is to be relied on. While discussion of exceptions is important, the advice to be provided would be for the general situation.</w:t>
      </w:r>
    </w:p>
    <w:p w14:paraId="33C58ABF" w14:textId="77777777" w:rsidR="00B34554" w:rsidRPr="00A729D8" w:rsidRDefault="00B34554" w:rsidP="002106F9">
      <w:pPr>
        <w:pStyle w:val="ScheduleL1"/>
      </w:pPr>
      <w:r w:rsidRPr="00A729D8">
        <w:t>Data requirements for determining the potential distribution of marine diseases</w:t>
      </w:r>
    </w:p>
    <w:p w14:paraId="3C6888A5" w14:textId="77777777" w:rsidR="00B34554" w:rsidRPr="00A729D8" w:rsidRDefault="00B34554" w:rsidP="002106F9">
      <w:pPr>
        <w:pStyle w:val="ScheduleL2"/>
      </w:pPr>
      <w:r w:rsidRPr="00A729D8">
        <w:t>Introduction</w:t>
      </w:r>
    </w:p>
    <w:p w14:paraId="114EF1D1" w14:textId="77777777" w:rsidR="00B34554" w:rsidRPr="00A729D8" w:rsidRDefault="00B34554" w:rsidP="002106F9">
      <w:r w:rsidRPr="00A729D8">
        <w:t>The information required, or which would be useful, for determining the potential distribution of marine diseases includes:</w:t>
      </w:r>
    </w:p>
    <w:p w14:paraId="1C9FAA88" w14:textId="77777777" w:rsidR="00B34554" w:rsidRPr="00A729D8" w:rsidRDefault="00B34554" w:rsidP="00121729">
      <w:pPr>
        <w:pStyle w:val="ListParagraph"/>
        <w:numPr>
          <w:ilvl w:val="0"/>
          <w:numId w:val="120"/>
        </w:numPr>
      </w:pPr>
      <w:r w:rsidRPr="00A729D8">
        <w:t>essential data—a prerequisite for a determination</w:t>
      </w:r>
    </w:p>
    <w:p w14:paraId="345DE173" w14:textId="77777777" w:rsidR="00B34554" w:rsidRPr="00A729D8" w:rsidRDefault="00B34554" w:rsidP="00121729">
      <w:pPr>
        <w:pStyle w:val="ListParagraph"/>
        <w:numPr>
          <w:ilvl w:val="0"/>
          <w:numId w:val="120"/>
        </w:numPr>
      </w:pPr>
      <w:r w:rsidRPr="00A729D8">
        <w:t>valuable data —which will assist with a determination</w:t>
      </w:r>
    </w:p>
    <w:p w14:paraId="109EBB8B" w14:textId="77777777" w:rsidR="00B34554" w:rsidRPr="00A729D8" w:rsidRDefault="00B34554" w:rsidP="00121729">
      <w:pPr>
        <w:pStyle w:val="ListParagraph"/>
        <w:numPr>
          <w:ilvl w:val="0"/>
          <w:numId w:val="120"/>
        </w:numPr>
      </w:pPr>
      <w:r w:rsidRPr="00A729D8">
        <w:lastRenderedPageBreak/>
        <w:t>secondary data—which will also assist with a determination.</w:t>
      </w:r>
    </w:p>
    <w:p w14:paraId="348D70E7" w14:textId="77777777" w:rsidR="00B34554" w:rsidRPr="00A729D8" w:rsidRDefault="00B34554" w:rsidP="002106F9">
      <w:pPr>
        <w:pStyle w:val="ScheduleL2"/>
      </w:pPr>
      <w:r w:rsidRPr="00A729D8">
        <w:t>Essential data</w:t>
      </w:r>
    </w:p>
    <w:p w14:paraId="31312A9B" w14:textId="77777777" w:rsidR="00B34554" w:rsidRPr="00A729D8" w:rsidRDefault="00B34554" w:rsidP="002106F9">
      <w:r w:rsidRPr="00A729D8">
        <w:t>At a minimum, a determination of the potential distribution of a marine disease requires the following types of data:</w:t>
      </w:r>
    </w:p>
    <w:p w14:paraId="463C4A3C" w14:textId="77777777" w:rsidR="00B34554" w:rsidRPr="00A729D8" w:rsidRDefault="00B34554" w:rsidP="00121729">
      <w:pPr>
        <w:pStyle w:val="ListParagraph"/>
        <w:numPr>
          <w:ilvl w:val="0"/>
          <w:numId w:val="121"/>
        </w:numPr>
      </w:pPr>
      <w:r w:rsidRPr="00A729D8">
        <w:t>Information underpinning correct diagnosis/taxonomic identification</w:t>
      </w:r>
    </w:p>
    <w:p w14:paraId="11F8B60B" w14:textId="77777777" w:rsidR="00B34554" w:rsidRPr="00A729D8" w:rsidRDefault="00B34554" w:rsidP="00121729">
      <w:pPr>
        <w:pStyle w:val="ListParagraph"/>
        <w:numPr>
          <w:ilvl w:val="0"/>
          <w:numId w:val="121"/>
        </w:numPr>
      </w:pPr>
      <w:r w:rsidRPr="00A729D8">
        <w:t>Known Australian potential host/s and their range. Data on the types and range of hosts or habitats for determining the potential distribution of marine diseases, provided it is available and incontrovertible</w:t>
      </w:r>
    </w:p>
    <w:p w14:paraId="0D6C7A19" w14:textId="77777777" w:rsidR="00B34554" w:rsidRPr="00A729D8" w:rsidRDefault="00B34554" w:rsidP="00121729">
      <w:pPr>
        <w:pStyle w:val="ListParagraph"/>
        <w:numPr>
          <w:ilvl w:val="0"/>
          <w:numId w:val="121"/>
        </w:numPr>
      </w:pPr>
      <w:r w:rsidRPr="00A729D8">
        <w:t>Known minimum and maximum temperature and salinity tolerances for the disease agent and host species</w:t>
      </w:r>
    </w:p>
    <w:p w14:paraId="1594CA1B" w14:textId="77777777" w:rsidR="00B34554" w:rsidRPr="00A729D8" w:rsidRDefault="00B34554" w:rsidP="00121729">
      <w:pPr>
        <w:pStyle w:val="ListParagraph"/>
        <w:numPr>
          <w:ilvl w:val="0"/>
          <w:numId w:val="121"/>
        </w:numPr>
      </w:pPr>
      <w:r w:rsidRPr="00A729D8">
        <w:t>Knowledge of overseas host/s and geographical ranges of the aetiological agent</w:t>
      </w:r>
    </w:p>
    <w:p w14:paraId="081A2A0E" w14:textId="77777777" w:rsidR="00B34554" w:rsidRPr="00A729D8" w:rsidRDefault="00B34554" w:rsidP="00121729">
      <w:pPr>
        <w:pStyle w:val="ListParagraph"/>
        <w:numPr>
          <w:ilvl w:val="0"/>
          <w:numId w:val="121"/>
        </w:numPr>
      </w:pPr>
      <w:r w:rsidRPr="00A729D8">
        <w:t>Sea temperature and salinity for Australian coastal waters.</w:t>
      </w:r>
    </w:p>
    <w:p w14:paraId="6ECC100F" w14:textId="77777777" w:rsidR="00B34554" w:rsidRPr="00A729D8" w:rsidRDefault="00B34554" w:rsidP="002106F9">
      <w:pPr>
        <w:pStyle w:val="ScheduleL2"/>
      </w:pPr>
      <w:r w:rsidRPr="00A729D8">
        <w:t>Valuable data</w:t>
      </w:r>
    </w:p>
    <w:p w14:paraId="2590F966" w14:textId="77777777" w:rsidR="00B34554" w:rsidRPr="00A729D8" w:rsidRDefault="00B34554" w:rsidP="002106F9">
      <w:r w:rsidRPr="00A729D8">
        <w:t>Data on reproductive abilities of the host species and pathogen are valuable.</w:t>
      </w:r>
    </w:p>
    <w:p w14:paraId="45BC91E6" w14:textId="77777777" w:rsidR="00B34554" w:rsidRPr="00A729D8" w:rsidRDefault="00B34554" w:rsidP="002106F9">
      <w:r w:rsidRPr="00A729D8">
        <w:t>The behaviour of the infected hosts including whether they are potamodromous (migrate within fresh water only); diadromous (travel between salt and fresh water); anadromous (live in the ocean mostly, and breed in fresh water); catadromous (live in fresh water, and breed in the ocean); amphidromous (move between fresh and salt water during their life cycle, but not to breed).</w:t>
      </w:r>
    </w:p>
    <w:p w14:paraId="6E360835" w14:textId="77777777" w:rsidR="00B34554" w:rsidRPr="00A729D8" w:rsidRDefault="00B34554" w:rsidP="002106F9">
      <w:pPr>
        <w:pStyle w:val="ScheduleL2"/>
      </w:pPr>
      <w:r w:rsidRPr="00A729D8">
        <w:t>Secondary data</w:t>
      </w:r>
    </w:p>
    <w:p w14:paraId="29E5C96C" w14:textId="77777777" w:rsidR="00B34554" w:rsidRPr="00A729D8" w:rsidRDefault="00B34554" w:rsidP="00121729">
      <w:pPr>
        <w:pStyle w:val="ListParagraph"/>
        <w:numPr>
          <w:ilvl w:val="0"/>
          <w:numId w:val="122"/>
        </w:numPr>
      </w:pPr>
      <w:r w:rsidRPr="00A729D8">
        <w:t xml:space="preserve">Secondary data that directly affect the potential distribution of a disease can be used to determine the potential area of infection. Secondary data will only be used if all parties on the </w:t>
      </w:r>
      <w:r w:rsidR="00B20F48" w:rsidRPr="00A729D8">
        <w:t>NBMCC</w:t>
      </w:r>
      <w:r w:rsidRPr="00A729D8">
        <w:t xml:space="preserve"> agree and only if it is available, highly relevant and incontrovertible.</w:t>
      </w:r>
    </w:p>
    <w:p w14:paraId="6F6D0AED" w14:textId="77777777" w:rsidR="008A559F" w:rsidRPr="00A729D8" w:rsidRDefault="00B34554" w:rsidP="00121729">
      <w:pPr>
        <w:pStyle w:val="ListParagraph"/>
        <w:numPr>
          <w:ilvl w:val="0"/>
          <w:numId w:val="122"/>
        </w:numPr>
      </w:pPr>
      <w:r w:rsidRPr="00A729D8">
        <w:t>Secondary data includes:</w:t>
      </w:r>
    </w:p>
    <w:p w14:paraId="45490602" w14:textId="77777777" w:rsidR="008A559F" w:rsidRPr="00A729D8" w:rsidRDefault="00B34554" w:rsidP="00121729">
      <w:pPr>
        <w:pStyle w:val="ListParagraph"/>
        <w:numPr>
          <w:ilvl w:val="1"/>
          <w:numId w:val="122"/>
        </w:numPr>
      </w:pPr>
      <w:r w:rsidRPr="00A729D8">
        <w:t>Knowledge of overseas hosts and geographical ranges—this can be used to infer temperature and other environmental tolerances if reliable data is not available relating to both the disease agent and potential host species.</w:t>
      </w:r>
    </w:p>
    <w:p w14:paraId="1D784163" w14:textId="77777777" w:rsidR="008A559F" w:rsidRPr="00A729D8" w:rsidRDefault="00B34554" w:rsidP="00121729">
      <w:pPr>
        <w:pStyle w:val="ListParagraph"/>
        <w:numPr>
          <w:ilvl w:val="1"/>
          <w:numId w:val="122"/>
        </w:numPr>
      </w:pPr>
      <w:r w:rsidRPr="00A729D8">
        <w:t>Evidence for the tolerance of a disease agent to other limiting factors, such as temperature and salinity.</w:t>
      </w:r>
    </w:p>
    <w:p w14:paraId="29713175" w14:textId="77777777" w:rsidR="008A559F" w:rsidRPr="00A729D8" w:rsidRDefault="00B34554" w:rsidP="00121729">
      <w:pPr>
        <w:pStyle w:val="ListParagraph"/>
        <w:numPr>
          <w:ilvl w:val="0"/>
          <w:numId w:val="122"/>
        </w:numPr>
      </w:pPr>
      <w:r w:rsidRPr="00A729D8">
        <w:t>If secondary data are known to limit the extent of potential distribution they should be combined with the modelling output to increase the robustness of the conclusions on potential distribution.</w:t>
      </w:r>
    </w:p>
    <w:p w14:paraId="76831BB5" w14:textId="77777777" w:rsidR="008A559F" w:rsidRPr="00A729D8" w:rsidRDefault="00B34554" w:rsidP="00121729">
      <w:pPr>
        <w:pStyle w:val="ListParagraph"/>
        <w:numPr>
          <w:ilvl w:val="0"/>
          <w:numId w:val="122"/>
        </w:numPr>
      </w:pPr>
      <w:r w:rsidRPr="00A729D8">
        <w:t>It may also be useful to analyse a number of factors to establish the timing of management actions and response arrangements. Such factors may include:</w:t>
      </w:r>
    </w:p>
    <w:p w14:paraId="1ECAF687" w14:textId="77777777" w:rsidR="008A559F" w:rsidRPr="00A729D8" w:rsidRDefault="00B34554" w:rsidP="00121729">
      <w:pPr>
        <w:pStyle w:val="ListParagraph"/>
        <w:numPr>
          <w:ilvl w:val="1"/>
          <w:numId w:val="122"/>
        </w:numPr>
      </w:pPr>
      <w:r w:rsidRPr="00A729D8">
        <w:t>mechanisms of pathogen transmission</w:t>
      </w:r>
    </w:p>
    <w:p w14:paraId="6B60519D" w14:textId="77777777" w:rsidR="008A559F" w:rsidRPr="00A729D8" w:rsidRDefault="00B34554" w:rsidP="00121729">
      <w:pPr>
        <w:pStyle w:val="ListParagraph"/>
        <w:numPr>
          <w:ilvl w:val="1"/>
          <w:numId w:val="122"/>
        </w:numPr>
      </w:pPr>
      <w:r w:rsidRPr="00A729D8">
        <w:t>knowledge of potential vectors</w:t>
      </w:r>
    </w:p>
    <w:p w14:paraId="6927D331" w14:textId="77777777" w:rsidR="00B34554" w:rsidRPr="00A729D8" w:rsidRDefault="00B34554" w:rsidP="00121729">
      <w:pPr>
        <w:pStyle w:val="ListParagraph"/>
        <w:numPr>
          <w:ilvl w:val="1"/>
          <w:numId w:val="122"/>
        </w:numPr>
      </w:pPr>
      <w:r w:rsidRPr="00A729D8">
        <w:t>natural barriers.</w:t>
      </w:r>
    </w:p>
    <w:p w14:paraId="37DDF304" w14:textId="77777777" w:rsidR="00B34554" w:rsidRPr="00A729D8" w:rsidRDefault="00B34554" w:rsidP="002106F9">
      <w:pPr>
        <w:pStyle w:val="ScheduleL2"/>
      </w:pPr>
      <w:r w:rsidRPr="00A729D8">
        <w:lastRenderedPageBreak/>
        <w:t>Level of confidence in the essential data</w:t>
      </w:r>
    </w:p>
    <w:p w14:paraId="58C0AFBA" w14:textId="77777777" w:rsidR="00B34554" w:rsidRPr="00A729D8" w:rsidRDefault="00B34554" w:rsidP="00121729">
      <w:pPr>
        <w:pStyle w:val="ListParagraph"/>
        <w:numPr>
          <w:ilvl w:val="0"/>
          <w:numId w:val="123"/>
        </w:numPr>
      </w:pPr>
      <w:r w:rsidRPr="00A729D8">
        <w:t xml:space="preserve">When providing advice to the NMG, the </w:t>
      </w:r>
      <w:r w:rsidR="00B20F48" w:rsidRPr="00A729D8">
        <w:t>NBMCC</w:t>
      </w:r>
      <w:r w:rsidRPr="00A729D8">
        <w:t xml:space="preserve"> will need to advise on the level of confidence it has in the information underpinning its distribution map for a particular disease agent and its host species.</w:t>
      </w:r>
    </w:p>
    <w:p w14:paraId="73225326" w14:textId="77777777" w:rsidR="008A559F" w:rsidRPr="00A729D8" w:rsidRDefault="00B34554" w:rsidP="00121729">
      <w:pPr>
        <w:pStyle w:val="ListParagraph"/>
        <w:numPr>
          <w:ilvl w:val="0"/>
          <w:numId w:val="123"/>
        </w:numPr>
      </w:pPr>
      <w:r w:rsidRPr="00A729D8">
        <w:t>The most accurate data available should be used.</w:t>
      </w:r>
    </w:p>
    <w:p w14:paraId="06DCDE2E" w14:textId="77777777" w:rsidR="008A559F" w:rsidRPr="00A729D8" w:rsidRDefault="00B34554" w:rsidP="00121729">
      <w:pPr>
        <w:pStyle w:val="ListParagraph"/>
        <w:numPr>
          <w:ilvl w:val="0"/>
          <w:numId w:val="123"/>
        </w:numPr>
      </w:pPr>
      <w:r w:rsidRPr="00A729D8">
        <w:t>The best sources of data are:</w:t>
      </w:r>
    </w:p>
    <w:p w14:paraId="62444A79" w14:textId="77777777" w:rsidR="008A559F" w:rsidRPr="00A729D8" w:rsidRDefault="00B34554" w:rsidP="00121729">
      <w:pPr>
        <w:pStyle w:val="ListParagraph"/>
        <w:numPr>
          <w:ilvl w:val="1"/>
          <w:numId w:val="123"/>
        </w:numPr>
      </w:pPr>
      <w:r w:rsidRPr="00A729D8">
        <w:t>National Information Systems</w:t>
      </w:r>
    </w:p>
    <w:p w14:paraId="70E9F3E6" w14:textId="77777777" w:rsidR="008A559F" w:rsidRPr="00A729D8" w:rsidRDefault="00B34554" w:rsidP="00121729">
      <w:pPr>
        <w:pStyle w:val="ListParagraph"/>
        <w:numPr>
          <w:ilvl w:val="1"/>
          <w:numId w:val="123"/>
        </w:numPr>
      </w:pPr>
      <w:r w:rsidRPr="00A729D8">
        <w:t>Published, peer-reviewed data.</w:t>
      </w:r>
    </w:p>
    <w:p w14:paraId="5A3EA6A1" w14:textId="77777777" w:rsidR="008A559F" w:rsidRPr="00A729D8" w:rsidRDefault="00B34554" w:rsidP="00121729">
      <w:pPr>
        <w:pStyle w:val="ListParagraph"/>
        <w:numPr>
          <w:ilvl w:val="1"/>
          <w:numId w:val="123"/>
        </w:numPr>
      </w:pPr>
      <w:r w:rsidRPr="00A729D8">
        <w:t>Museum/collection records, unpublished government records including unpublished survey reports, laboratory reports and catch-effort fisheries databases.</w:t>
      </w:r>
    </w:p>
    <w:p w14:paraId="308B53DE" w14:textId="77777777" w:rsidR="008A559F" w:rsidRPr="00A729D8" w:rsidRDefault="00B34554" w:rsidP="00121729">
      <w:pPr>
        <w:pStyle w:val="ListParagraph"/>
        <w:numPr>
          <w:ilvl w:val="1"/>
          <w:numId w:val="123"/>
        </w:numPr>
      </w:pPr>
      <w:r w:rsidRPr="00A729D8">
        <w:t>Expert advice, properly elicited.</w:t>
      </w:r>
    </w:p>
    <w:p w14:paraId="6C1D3C45" w14:textId="77777777" w:rsidR="008A559F" w:rsidRPr="00A729D8" w:rsidRDefault="00B34554" w:rsidP="00121729">
      <w:pPr>
        <w:pStyle w:val="ListParagraph"/>
        <w:numPr>
          <w:ilvl w:val="0"/>
          <w:numId w:val="123"/>
        </w:numPr>
      </w:pPr>
      <w:r w:rsidRPr="00A729D8">
        <w:t>Other sources of data that may be available are:</w:t>
      </w:r>
    </w:p>
    <w:p w14:paraId="389E0DFD" w14:textId="77777777" w:rsidR="008A559F" w:rsidRPr="00A729D8" w:rsidRDefault="00B34554" w:rsidP="00121729">
      <w:pPr>
        <w:pStyle w:val="ListParagraph"/>
        <w:numPr>
          <w:ilvl w:val="1"/>
          <w:numId w:val="123"/>
        </w:numPr>
      </w:pPr>
      <w:r w:rsidRPr="00A729D8">
        <w:t>free databases (e.g. Fishbase, Sealifebase)</w:t>
      </w:r>
    </w:p>
    <w:p w14:paraId="228B848B" w14:textId="77777777" w:rsidR="008A559F" w:rsidRPr="00A729D8" w:rsidRDefault="00B34554" w:rsidP="00121729">
      <w:pPr>
        <w:pStyle w:val="ListParagraph"/>
        <w:numPr>
          <w:ilvl w:val="1"/>
          <w:numId w:val="123"/>
        </w:numPr>
      </w:pPr>
      <w:r w:rsidRPr="00A729D8">
        <w:t>internet sources, where the level of confidence ranks (highest to lowest):</w:t>
      </w:r>
    </w:p>
    <w:p w14:paraId="5D6895F8" w14:textId="77777777" w:rsidR="008A559F" w:rsidRPr="00A729D8" w:rsidRDefault="00B34554" w:rsidP="00121729">
      <w:pPr>
        <w:pStyle w:val="ListParagraph"/>
        <w:numPr>
          <w:ilvl w:val="2"/>
          <w:numId w:val="123"/>
        </w:numPr>
      </w:pPr>
      <w:r w:rsidRPr="00A729D8">
        <w:t>validated data sources with open access</w:t>
      </w:r>
    </w:p>
    <w:p w14:paraId="104E4442" w14:textId="77777777" w:rsidR="008A559F" w:rsidRPr="00A729D8" w:rsidRDefault="00B34554" w:rsidP="00121729">
      <w:pPr>
        <w:pStyle w:val="ListParagraph"/>
        <w:numPr>
          <w:ilvl w:val="2"/>
          <w:numId w:val="123"/>
        </w:numPr>
      </w:pPr>
      <w:r w:rsidRPr="00A729D8">
        <w:t>validated data sources without open access</w:t>
      </w:r>
    </w:p>
    <w:p w14:paraId="259D4071" w14:textId="77777777" w:rsidR="008A559F" w:rsidRPr="00A729D8" w:rsidRDefault="00B34554" w:rsidP="00121729">
      <w:pPr>
        <w:pStyle w:val="ListParagraph"/>
        <w:numPr>
          <w:ilvl w:val="2"/>
          <w:numId w:val="123"/>
        </w:numPr>
      </w:pPr>
      <w:r w:rsidRPr="00A729D8">
        <w:t>survey data that uses recognised methods and</w:t>
      </w:r>
    </w:p>
    <w:p w14:paraId="1CBDE5D3" w14:textId="77777777" w:rsidR="008A559F" w:rsidRPr="00A729D8" w:rsidRDefault="00B34554" w:rsidP="00121729">
      <w:pPr>
        <w:pStyle w:val="ListParagraph"/>
        <w:numPr>
          <w:ilvl w:val="2"/>
          <w:numId w:val="123"/>
        </w:numPr>
      </w:pPr>
      <w:r w:rsidRPr="00A729D8">
        <w:t>open access (e.g. Google search).</w:t>
      </w:r>
    </w:p>
    <w:p w14:paraId="3C26A106" w14:textId="77777777" w:rsidR="008A559F" w:rsidRPr="00A729D8" w:rsidRDefault="00B34554" w:rsidP="00121729">
      <w:pPr>
        <w:pStyle w:val="ListParagraph"/>
        <w:numPr>
          <w:ilvl w:val="0"/>
          <w:numId w:val="123"/>
        </w:numPr>
      </w:pPr>
      <w:r w:rsidRPr="00A729D8">
        <w:t>Where data are not validated, these sources should be checked and validated where possible. The data sources listed in item 3.5(d) of this attachment should be assessed according to their confidence rating (see table in item 3.5(h) of this attachment). Assessment of survey data should consider the methodology used in the survey. Where survey methodology is not available, a low confidence rating should be assigned to these data. Surveys which follow international standards, or OIE reporting standards (for animal diseases) should be assigned a higher confidence rating. Note that aquatic organism distribution data and aquatic parasite distribution data are non-parametric.</w:t>
      </w:r>
    </w:p>
    <w:p w14:paraId="30FC470F" w14:textId="77777777" w:rsidR="008A559F" w:rsidRPr="00A729D8" w:rsidRDefault="00B34554" w:rsidP="00121729">
      <w:pPr>
        <w:pStyle w:val="ListParagraph"/>
        <w:numPr>
          <w:ilvl w:val="0"/>
          <w:numId w:val="123"/>
        </w:numPr>
      </w:pPr>
      <w:r w:rsidRPr="00A729D8">
        <w:t>Closely related host and pathogen species information should be used with caution as there is no direct correlation between surrogates and actual disease species. Likewise, host susceptibility data based on laboratory challenge studies should be used with caution.</w:t>
      </w:r>
    </w:p>
    <w:p w14:paraId="593EE928" w14:textId="77777777" w:rsidR="008A559F" w:rsidRPr="00A729D8" w:rsidRDefault="00B34554" w:rsidP="00121729">
      <w:pPr>
        <w:pStyle w:val="ListParagraph"/>
        <w:numPr>
          <w:ilvl w:val="0"/>
          <w:numId w:val="123"/>
        </w:numPr>
      </w:pPr>
      <w:r w:rsidRPr="00A729D8">
        <w:t>Formal and informal networks of experts are an essential source of information and data. These networks should be encouraged and communicated to ensure timely and effective decision-making.</w:t>
      </w:r>
    </w:p>
    <w:p w14:paraId="5D839426" w14:textId="77777777" w:rsidR="00B34554" w:rsidRPr="00A729D8" w:rsidRDefault="00B34554" w:rsidP="00121729">
      <w:pPr>
        <w:pStyle w:val="ListParagraph"/>
        <w:numPr>
          <w:ilvl w:val="0"/>
          <w:numId w:val="123"/>
        </w:numPr>
      </w:pPr>
      <w:r w:rsidRPr="00A729D8">
        <w:t>A table outlining the confidence rating of different data sources is provided below.</w:t>
      </w:r>
    </w:p>
    <w:tbl>
      <w:tblPr>
        <w:tblStyle w:val="TableGrid"/>
        <w:tblW w:w="0" w:type="auto"/>
        <w:tblInd w:w="1129" w:type="dxa"/>
        <w:tblLook w:val="04A0" w:firstRow="1" w:lastRow="0" w:firstColumn="1" w:lastColumn="0" w:noHBand="0" w:noVBand="1"/>
      </w:tblPr>
      <w:tblGrid>
        <w:gridCol w:w="5812"/>
        <w:gridCol w:w="2075"/>
      </w:tblGrid>
      <w:tr w:rsidR="008A559F" w:rsidRPr="00A729D8" w14:paraId="179D2419" w14:textId="77777777" w:rsidTr="004F5940">
        <w:trPr>
          <w:trHeight w:val="283"/>
        </w:trPr>
        <w:tc>
          <w:tcPr>
            <w:tcW w:w="5812" w:type="dxa"/>
          </w:tcPr>
          <w:p w14:paraId="1BD74FDF" w14:textId="77777777" w:rsidR="008A559F" w:rsidRPr="00A729D8" w:rsidRDefault="008A559F" w:rsidP="002106F9">
            <w:pPr>
              <w:rPr>
                <w:b/>
              </w:rPr>
            </w:pPr>
            <w:r w:rsidRPr="00A729D8">
              <w:rPr>
                <w:b/>
              </w:rPr>
              <w:t>Document Type or Information Source</w:t>
            </w:r>
          </w:p>
        </w:tc>
        <w:tc>
          <w:tcPr>
            <w:tcW w:w="2075" w:type="dxa"/>
          </w:tcPr>
          <w:p w14:paraId="2E1FDE3A" w14:textId="77777777" w:rsidR="008A559F" w:rsidRPr="00A729D8" w:rsidRDefault="008A559F" w:rsidP="002106F9">
            <w:pPr>
              <w:rPr>
                <w:b/>
              </w:rPr>
            </w:pPr>
            <w:r w:rsidRPr="00A729D8">
              <w:rPr>
                <w:b/>
              </w:rPr>
              <w:t>Confidence Rating</w:t>
            </w:r>
          </w:p>
        </w:tc>
      </w:tr>
      <w:tr w:rsidR="008A559F" w:rsidRPr="00A729D8" w14:paraId="2286A57B" w14:textId="77777777" w:rsidTr="004F5940">
        <w:trPr>
          <w:trHeight w:val="283"/>
        </w:trPr>
        <w:tc>
          <w:tcPr>
            <w:tcW w:w="5812" w:type="dxa"/>
          </w:tcPr>
          <w:p w14:paraId="027EA26F" w14:textId="77777777" w:rsidR="008A559F" w:rsidRPr="00A729D8" w:rsidRDefault="008A559F" w:rsidP="00121729">
            <w:pPr>
              <w:numPr>
                <w:ilvl w:val="0"/>
                <w:numId w:val="74"/>
              </w:numPr>
            </w:pPr>
            <w:r w:rsidRPr="00A729D8">
              <w:lastRenderedPageBreak/>
              <w:t>Peer-reviewed scientific paper</w:t>
            </w:r>
          </w:p>
        </w:tc>
        <w:tc>
          <w:tcPr>
            <w:tcW w:w="2075" w:type="dxa"/>
          </w:tcPr>
          <w:p w14:paraId="4F2A3D83" w14:textId="77777777" w:rsidR="008A559F" w:rsidRPr="00A729D8" w:rsidRDefault="008A559F" w:rsidP="002106F9">
            <w:r w:rsidRPr="00A729D8">
              <w:t>High</w:t>
            </w:r>
          </w:p>
        </w:tc>
      </w:tr>
      <w:tr w:rsidR="008A559F" w:rsidRPr="00A729D8" w14:paraId="457780C5" w14:textId="77777777" w:rsidTr="004F5940">
        <w:trPr>
          <w:trHeight w:val="283"/>
        </w:trPr>
        <w:tc>
          <w:tcPr>
            <w:tcW w:w="5812" w:type="dxa"/>
          </w:tcPr>
          <w:p w14:paraId="228736D4" w14:textId="77777777" w:rsidR="008A559F" w:rsidRPr="00A729D8" w:rsidRDefault="008A559F" w:rsidP="00121729">
            <w:pPr>
              <w:numPr>
                <w:ilvl w:val="0"/>
                <w:numId w:val="73"/>
              </w:numPr>
            </w:pPr>
            <w:r w:rsidRPr="00A729D8">
              <w:t>High quality science or species specific books, non-peer reviewed scientific paper (e.g. conference proceedings),</w:t>
            </w:r>
          </w:p>
          <w:p w14:paraId="384F2002" w14:textId="77777777" w:rsidR="008A559F" w:rsidRPr="00A729D8" w:rsidRDefault="008A559F" w:rsidP="00121729">
            <w:pPr>
              <w:numPr>
                <w:ilvl w:val="0"/>
                <w:numId w:val="73"/>
              </w:numPr>
            </w:pPr>
            <w:r w:rsidRPr="00A729D8">
              <w:t>Personal communications from experts (e.g. PhD, or higher degree on species being assessed),</w:t>
            </w:r>
          </w:p>
          <w:p w14:paraId="4E8BC105" w14:textId="77777777" w:rsidR="008A559F" w:rsidRPr="00A729D8" w:rsidRDefault="008A559F" w:rsidP="00121729">
            <w:pPr>
              <w:numPr>
                <w:ilvl w:val="0"/>
                <w:numId w:val="73"/>
              </w:numPr>
            </w:pPr>
            <w:r w:rsidRPr="00A729D8">
              <w:t>Unpublished reports from highly reliable sources (e.g. commercial reports or honours theses, etc.),</w:t>
            </w:r>
          </w:p>
          <w:p w14:paraId="6278C3EA" w14:textId="77777777" w:rsidR="008A559F" w:rsidRPr="00A729D8" w:rsidRDefault="008A559F" w:rsidP="00121729">
            <w:pPr>
              <w:numPr>
                <w:ilvl w:val="0"/>
                <w:numId w:val="73"/>
              </w:numPr>
            </w:pPr>
            <w:r w:rsidRPr="00A729D8">
              <w:t>Internet information from Herbaria data, or</w:t>
            </w:r>
          </w:p>
          <w:p w14:paraId="4E00E5D0" w14:textId="77777777" w:rsidR="008A559F" w:rsidRPr="00A729D8" w:rsidRDefault="008A559F" w:rsidP="00121729">
            <w:pPr>
              <w:numPr>
                <w:ilvl w:val="0"/>
                <w:numId w:val="73"/>
              </w:numPr>
            </w:pPr>
            <w:r w:rsidRPr="00A729D8">
              <w:t>Internet information that cites sources from the ‘Medium/High’ category above.</w:t>
            </w:r>
            <w:r w:rsidRPr="00A729D8">
              <w:tab/>
            </w:r>
          </w:p>
        </w:tc>
        <w:tc>
          <w:tcPr>
            <w:tcW w:w="2075" w:type="dxa"/>
          </w:tcPr>
          <w:p w14:paraId="137D356E" w14:textId="77777777" w:rsidR="008A559F" w:rsidRPr="00A729D8" w:rsidRDefault="008A559F" w:rsidP="002106F9">
            <w:r w:rsidRPr="00A729D8">
              <w:t>Medium/ High</w:t>
            </w:r>
          </w:p>
        </w:tc>
      </w:tr>
      <w:tr w:rsidR="008A559F" w:rsidRPr="00A729D8" w14:paraId="7BC837D4" w14:textId="77777777" w:rsidTr="004F5940">
        <w:trPr>
          <w:trHeight w:val="283"/>
        </w:trPr>
        <w:tc>
          <w:tcPr>
            <w:tcW w:w="5812" w:type="dxa"/>
          </w:tcPr>
          <w:p w14:paraId="1493EE2B" w14:textId="77777777" w:rsidR="008A559F" w:rsidRPr="00A729D8" w:rsidRDefault="008A559F" w:rsidP="00121729">
            <w:pPr>
              <w:numPr>
                <w:ilvl w:val="0"/>
                <w:numId w:val="75"/>
              </w:numPr>
            </w:pPr>
            <w:r w:rsidRPr="00A729D8">
              <w:t>Personal communications from people with experience with the agent/species under assessment,</w:t>
            </w:r>
          </w:p>
          <w:p w14:paraId="0A24B0FB" w14:textId="77777777" w:rsidR="008A559F" w:rsidRPr="00A729D8" w:rsidRDefault="008A559F" w:rsidP="00121729">
            <w:pPr>
              <w:numPr>
                <w:ilvl w:val="0"/>
                <w:numId w:val="75"/>
              </w:numPr>
            </w:pPr>
            <w:r w:rsidRPr="00A729D8">
              <w:t>Information from general reference books</w:t>
            </w:r>
          </w:p>
          <w:p w14:paraId="3CA639FE" w14:textId="77777777" w:rsidR="008A559F" w:rsidRPr="00A729D8" w:rsidRDefault="008A559F" w:rsidP="00121729">
            <w:pPr>
              <w:numPr>
                <w:ilvl w:val="0"/>
                <w:numId w:val="75"/>
              </w:numPr>
            </w:pPr>
            <w:r w:rsidRPr="00A729D8">
              <w:t>Data that relates to indirect tolerance ranges (n.b. this includes laboratory testing, in situ environmental ranges)</w:t>
            </w:r>
          </w:p>
          <w:p w14:paraId="500B9093" w14:textId="77777777" w:rsidR="008A559F" w:rsidRPr="00A729D8" w:rsidRDefault="008A559F" w:rsidP="00121729">
            <w:pPr>
              <w:numPr>
                <w:ilvl w:val="0"/>
                <w:numId w:val="75"/>
              </w:numPr>
            </w:pPr>
            <w:r w:rsidRPr="00A729D8">
              <w:t>Internet information that cites sources from the ‘Medium’ category, or</w:t>
            </w:r>
          </w:p>
          <w:p w14:paraId="66B6464B" w14:textId="77777777" w:rsidR="008A559F" w:rsidRPr="00A729D8" w:rsidRDefault="008A559F" w:rsidP="00121729">
            <w:pPr>
              <w:numPr>
                <w:ilvl w:val="0"/>
                <w:numId w:val="75"/>
              </w:numPr>
            </w:pPr>
            <w:r w:rsidRPr="00A729D8">
              <w:t>Internet information from government or university websites (e.g. Australian state governments, or the USDA)</w:t>
            </w:r>
          </w:p>
        </w:tc>
        <w:tc>
          <w:tcPr>
            <w:tcW w:w="2075" w:type="dxa"/>
          </w:tcPr>
          <w:p w14:paraId="79B3A4DA" w14:textId="77777777" w:rsidR="008A559F" w:rsidRPr="00A729D8" w:rsidRDefault="008A559F" w:rsidP="002106F9">
            <w:r w:rsidRPr="00A729D8">
              <w:t>Medium</w:t>
            </w:r>
          </w:p>
        </w:tc>
      </w:tr>
      <w:tr w:rsidR="008A559F" w:rsidRPr="00A729D8" w14:paraId="157C3B00" w14:textId="77777777" w:rsidTr="004F5940">
        <w:trPr>
          <w:trHeight w:val="283"/>
        </w:trPr>
        <w:tc>
          <w:tcPr>
            <w:tcW w:w="5812" w:type="dxa"/>
          </w:tcPr>
          <w:p w14:paraId="4B12AAF0" w14:textId="77777777" w:rsidR="008A559F" w:rsidRPr="00A729D8" w:rsidRDefault="008A559F" w:rsidP="00121729">
            <w:pPr>
              <w:pStyle w:val="ListParagraph"/>
              <w:numPr>
                <w:ilvl w:val="0"/>
                <w:numId w:val="124"/>
              </w:numPr>
            </w:pPr>
            <w:r w:rsidRPr="00A729D8">
              <w:t>Anecdotal data from non-experts,</w:t>
            </w:r>
          </w:p>
          <w:p w14:paraId="26349AD2" w14:textId="77777777" w:rsidR="008A559F" w:rsidRPr="00A729D8" w:rsidRDefault="008A559F" w:rsidP="00121729">
            <w:pPr>
              <w:pStyle w:val="ListParagraph"/>
              <w:numPr>
                <w:ilvl w:val="0"/>
                <w:numId w:val="73"/>
              </w:numPr>
            </w:pPr>
            <w:r w:rsidRPr="00A729D8">
              <w:t>Internet information that cites anecdotal non-expert sources,</w:t>
            </w:r>
          </w:p>
          <w:p w14:paraId="4B2437C4" w14:textId="77777777" w:rsidR="008A559F" w:rsidRPr="00A729D8" w:rsidRDefault="008A559F" w:rsidP="00121729">
            <w:pPr>
              <w:pStyle w:val="ListParagraph"/>
              <w:numPr>
                <w:ilvl w:val="0"/>
                <w:numId w:val="73"/>
              </w:numPr>
            </w:pPr>
            <w:r w:rsidRPr="00A729D8">
              <w:t>Internet information from uncertain/uncited sources,</w:t>
            </w:r>
          </w:p>
          <w:p w14:paraId="477C2D00" w14:textId="77777777" w:rsidR="008A559F" w:rsidRPr="00A729D8" w:rsidRDefault="008A559F" w:rsidP="00121729">
            <w:pPr>
              <w:pStyle w:val="ListParagraph"/>
              <w:numPr>
                <w:ilvl w:val="0"/>
                <w:numId w:val="73"/>
              </w:numPr>
            </w:pPr>
            <w:r w:rsidRPr="00A729D8">
              <w:t>Unpublished reports from uncertain sources,</w:t>
            </w:r>
          </w:p>
          <w:p w14:paraId="01D727D4" w14:textId="77777777" w:rsidR="008A559F" w:rsidRPr="00A729D8" w:rsidRDefault="008A559F" w:rsidP="00121729">
            <w:pPr>
              <w:pStyle w:val="ListParagraph"/>
              <w:numPr>
                <w:ilvl w:val="0"/>
                <w:numId w:val="73"/>
              </w:numPr>
            </w:pPr>
            <w:r w:rsidRPr="00A729D8">
              <w:t>General web pages.</w:t>
            </w:r>
          </w:p>
          <w:p w14:paraId="361FA6CA" w14:textId="77777777" w:rsidR="008A559F" w:rsidRPr="00A729D8" w:rsidRDefault="008A559F" w:rsidP="00121729">
            <w:pPr>
              <w:numPr>
                <w:ilvl w:val="0"/>
                <w:numId w:val="124"/>
              </w:numPr>
            </w:pPr>
            <w:r w:rsidRPr="00A729D8">
              <w:t>Literature and data obtained from similar agent/host species (e.g. the same family or genus).</w:t>
            </w:r>
          </w:p>
        </w:tc>
        <w:tc>
          <w:tcPr>
            <w:tcW w:w="2075" w:type="dxa"/>
          </w:tcPr>
          <w:p w14:paraId="774E64C1" w14:textId="77777777" w:rsidR="008A559F" w:rsidRPr="00A729D8" w:rsidRDefault="008A559F" w:rsidP="002106F9">
            <w:r w:rsidRPr="00A729D8">
              <w:t>Low</w:t>
            </w:r>
          </w:p>
        </w:tc>
      </w:tr>
    </w:tbl>
    <w:p w14:paraId="59F01E47" w14:textId="77777777" w:rsidR="00B34554" w:rsidRPr="00A729D8" w:rsidRDefault="00B34554" w:rsidP="002106F9"/>
    <w:p w14:paraId="6BC67B3B" w14:textId="77777777" w:rsidR="00B34554" w:rsidRPr="00A729D8" w:rsidRDefault="00B34554" w:rsidP="00121729">
      <w:pPr>
        <w:pStyle w:val="ListParagraph"/>
        <w:numPr>
          <w:ilvl w:val="0"/>
          <w:numId w:val="123"/>
        </w:numPr>
      </w:pPr>
      <w:r w:rsidRPr="00A729D8">
        <w:t>There is a risk that increasing the acceptable level of confidence in the quality of the data will reduce the quality of a prediction by reducing representativeness. Sensitivity analysis is needed to determine the influence of poor quality data. Effort can then be directed to verifying influential, poor quality data.</w:t>
      </w:r>
    </w:p>
    <w:p w14:paraId="387286C9" w14:textId="77777777" w:rsidR="00B34554" w:rsidRPr="00A729D8" w:rsidRDefault="00B34554" w:rsidP="002106F9"/>
    <w:p w14:paraId="1CA9ACB5" w14:textId="77777777" w:rsidR="00B34554" w:rsidRPr="00A729D8" w:rsidRDefault="00B34554" w:rsidP="002106F9">
      <w:pPr>
        <w:pStyle w:val="ScheduleL2"/>
      </w:pPr>
      <w:r w:rsidRPr="00A729D8">
        <w:lastRenderedPageBreak/>
        <w:t>Insufficient data</w:t>
      </w:r>
    </w:p>
    <w:p w14:paraId="34534D82" w14:textId="77777777" w:rsidR="00B34554" w:rsidRPr="00A729D8" w:rsidRDefault="00B34554" w:rsidP="002106F9">
      <w:r w:rsidRPr="00A729D8">
        <w:t>If there is insufficient data on a particular disease agent or its potential hosts to model the potential range, then the cost-sharing model defaults to a population basis, i.e. the percentage contributed by each state and the Northern Territory is determined based on the population, where the combined percentages for each state and Northern Territory is equal to 100.</w:t>
      </w:r>
    </w:p>
    <w:p w14:paraId="7AD13F14" w14:textId="77777777" w:rsidR="00B34554" w:rsidRPr="00A729D8" w:rsidRDefault="00B34554" w:rsidP="002106F9">
      <w:pPr>
        <w:pStyle w:val="ScheduleL2"/>
      </w:pPr>
      <w:r w:rsidRPr="00A729D8">
        <w:t>Preferred datasets</w:t>
      </w:r>
    </w:p>
    <w:p w14:paraId="486DCDB6" w14:textId="77777777" w:rsidR="008A559F" w:rsidRPr="00A729D8" w:rsidRDefault="00B34554" w:rsidP="00121729">
      <w:pPr>
        <w:pStyle w:val="ListParagraph"/>
        <w:numPr>
          <w:ilvl w:val="0"/>
          <w:numId w:val="125"/>
        </w:numPr>
      </w:pPr>
      <w:r w:rsidRPr="00A729D8">
        <w:t>The most recently available Australian Bureau of Statistics parameters will be used to estimate the length of coastline. They are published in the 1301.0 Year Book Australia, Geography of Australia section (or the superseding document) (www.abs.gov.au). The New South Wales coastline will not include the Jervis Bay territory.</w:t>
      </w:r>
    </w:p>
    <w:p w14:paraId="3779AB3D" w14:textId="77777777" w:rsidR="008A559F" w:rsidRPr="00A729D8" w:rsidRDefault="00B34554" w:rsidP="00121729">
      <w:pPr>
        <w:pStyle w:val="ListParagraph"/>
        <w:numPr>
          <w:ilvl w:val="0"/>
          <w:numId w:val="125"/>
        </w:numPr>
      </w:pPr>
      <w:r w:rsidRPr="00A729D8">
        <w:t>Temperature tolerance data should be obtained from a literature review process using both high and low confidence data.</w:t>
      </w:r>
    </w:p>
    <w:p w14:paraId="51AB211F" w14:textId="77777777" w:rsidR="008A559F" w:rsidRPr="00A729D8" w:rsidRDefault="00B34554" w:rsidP="00121729">
      <w:pPr>
        <w:pStyle w:val="ListParagraph"/>
        <w:numPr>
          <w:ilvl w:val="0"/>
          <w:numId w:val="125"/>
        </w:numPr>
      </w:pPr>
      <w:r w:rsidRPr="00A729D8">
        <w:t>The most appropriate sources of data will be used to determine sea temperatures, bearing in mind that sea surface temperatures change seasonally, are influenced by local weather and that differences occur with changing depth.</w:t>
      </w:r>
    </w:p>
    <w:p w14:paraId="2D22738F" w14:textId="77777777" w:rsidR="008A559F" w:rsidRPr="00A729D8" w:rsidRDefault="00B34554" w:rsidP="00121729">
      <w:pPr>
        <w:pStyle w:val="ListParagraph"/>
        <w:numPr>
          <w:ilvl w:val="0"/>
          <w:numId w:val="125"/>
        </w:numPr>
      </w:pPr>
      <w:r w:rsidRPr="00A729D8">
        <w:t>Additional data sets that may be used as secondary data are:</w:t>
      </w:r>
    </w:p>
    <w:p w14:paraId="1DB811DD" w14:textId="77777777" w:rsidR="008A559F" w:rsidRPr="00A729D8" w:rsidRDefault="00B34554" w:rsidP="00121729">
      <w:pPr>
        <w:pStyle w:val="ListParagraph"/>
        <w:numPr>
          <w:ilvl w:val="1"/>
          <w:numId w:val="125"/>
        </w:numPr>
      </w:pPr>
      <w:r w:rsidRPr="00A729D8">
        <w:t>ABARES</w:t>
      </w:r>
    </w:p>
    <w:p w14:paraId="399207C1" w14:textId="77777777" w:rsidR="008A559F" w:rsidRPr="00A729D8" w:rsidRDefault="00B34554" w:rsidP="00121729">
      <w:pPr>
        <w:pStyle w:val="ListParagraph"/>
        <w:numPr>
          <w:ilvl w:val="1"/>
          <w:numId w:val="125"/>
        </w:numPr>
      </w:pPr>
      <w:r w:rsidRPr="00A729D8">
        <w:t>Heritage features, such protected sites, World Heritage Areas and the national estate.</w:t>
      </w:r>
    </w:p>
    <w:p w14:paraId="324040FE" w14:textId="77777777" w:rsidR="00B34554" w:rsidRPr="00A729D8" w:rsidRDefault="00B34554" w:rsidP="00121729">
      <w:pPr>
        <w:pStyle w:val="ListParagraph"/>
        <w:numPr>
          <w:ilvl w:val="0"/>
          <w:numId w:val="125"/>
        </w:numPr>
      </w:pPr>
      <w:r w:rsidRPr="00A729D8">
        <w:t>Due to the scale of the input data, the analysis should be made at the native resolution level and presented as a 10 km x 10 km grid.</w:t>
      </w:r>
    </w:p>
    <w:p w14:paraId="660A2DDB" w14:textId="77777777" w:rsidR="00B34554" w:rsidRPr="00A729D8" w:rsidRDefault="00B34554" w:rsidP="002106F9">
      <w:pPr>
        <w:pStyle w:val="ScheduleL1"/>
      </w:pPr>
      <w:r w:rsidRPr="00A729D8">
        <w:t>Modelling software for determining the potential distribution of hosts of marine diseases</w:t>
      </w:r>
    </w:p>
    <w:p w14:paraId="2F8E25BE" w14:textId="77777777" w:rsidR="00B34554" w:rsidRPr="00A729D8" w:rsidRDefault="00B34554" w:rsidP="002106F9">
      <w:r w:rsidRPr="00A729D8">
        <w:t>None available at present. Cases will need</w:t>
      </w:r>
      <w:r w:rsidR="008A559F" w:rsidRPr="00A729D8">
        <w:t xml:space="preserve"> to be evaluated as they occur.</w:t>
      </w:r>
    </w:p>
    <w:p w14:paraId="7B4AB52C" w14:textId="77777777" w:rsidR="00B34554" w:rsidRPr="00A729D8" w:rsidRDefault="00B34554" w:rsidP="002106F9">
      <w:pPr>
        <w:pStyle w:val="ScheduleL1"/>
      </w:pPr>
      <w:r w:rsidRPr="00A729D8">
        <w:t>Processes and procedures for determining the length of coastline potentially affected</w:t>
      </w:r>
    </w:p>
    <w:p w14:paraId="7C15604D" w14:textId="77777777" w:rsidR="00B34554" w:rsidRPr="00A729D8" w:rsidRDefault="00B34554" w:rsidP="002106F9">
      <w:pPr>
        <w:pStyle w:val="ScheduleL2"/>
      </w:pPr>
      <w:r w:rsidRPr="00A729D8">
        <w:t>Processes and procedures</w:t>
      </w:r>
    </w:p>
    <w:p w14:paraId="5B1C6BF9" w14:textId="77777777" w:rsidR="00B34554" w:rsidRPr="00A729D8" w:rsidRDefault="00B34554" w:rsidP="002106F9">
      <w:r w:rsidRPr="00A729D8">
        <w:t>The potential distribution is the extent (in kilometres) of coast that may potentially be inhabited by hosts of a disease agent, i.e. ‘length of coastline affected’. Noting item 5.2 of this attachment, the following process is recommended to determine the total length of coastline for Australia and for</w:t>
      </w:r>
      <w:r w:rsidR="008A559F" w:rsidRPr="00A729D8">
        <w:t xml:space="preserve"> each relevant state/territory:</w:t>
      </w:r>
    </w:p>
    <w:p w14:paraId="6C670EFD" w14:textId="77777777" w:rsidR="00B34554" w:rsidRPr="00A729D8" w:rsidRDefault="00B34554" w:rsidP="00121729">
      <w:pPr>
        <w:pStyle w:val="ListParagraph"/>
        <w:numPr>
          <w:ilvl w:val="0"/>
          <w:numId w:val="126"/>
        </w:numPr>
      </w:pPr>
      <w:r w:rsidRPr="00A729D8">
        <w:t>Identify the disease/infectious agent.</w:t>
      </w:r>
    </w:p>
    <w:p w14:paraId="48B6F074" w14:textId="77777777" w:rsidR="00B34554" w:rsidRPr="00A729D8" w:rsidRDefault="00B34554" w:rsidP="00121729">
      <w:pPr>
        <w:pStyle w:val="ListParagraph"/>
        <w:numPr>
          <w:ilvl w:val="0"/>
          <w:numId w:val="126"/>
        </w:numPr>
      </w:pPr>
      <w:r w:rsidRPr="00A729D8">
        <w:t>Identify the potential host(s).</w:t>
      </w:r>
    </w:p>
    <w:p w14:paraId="2D336563" w14:textId="77777777" w:rsidR="008A559F" w:rsidRPr="00A729D8" w:rsidRDefault="00B34554" w:rsidP="00121729">
      <w:pPr>
        <w:pStyle w:val="ListParagraph"/>
        <w:numPr>
          <w:ilvl w:val="0"/>
          <w:numId w:val="126"/>
        </w:numPr>
      </w:pPr>
      <w:r w:rsidRPr="00A729D8">
        <w:t>Determine the minimum and maximum significant environmental tolerances for the disease agent.</w:t>
      </w:r>
    </w:p>
    <w:p w14:paraId="27C5593D" w14:textId="77777777" w:rsidR="008A559F" w:rsidRPr="00A729D8" w:rsidRDefault="00B34554" w:rsidP="00121729">
      <w:pPr>
        <w:pStyle w:val="ListParagraph"/>
        <w:numPr>
          <w:ilvl w:val="1"/>
          <w:numId w:val="126"/>
        </w:numPr>
      </w:pPr>
      <w:r w:rsidRPr="00A729D8">
        <w:t xml:space="preserve">The most accurate environmental tolerance range of a disease agent should be used when determining the potential distribution. Dependent on </w:t>
      </w:r>
      <w:r w:rsidRPr="00A729D8">
        <w:lastRenderedPageBreak/>
        <w:t>the species information available, this will be determined by combining environmental tolerance data on a species, noting that the environmental tolerance data used may still overestimate the potential range.</w:t>
      </w:r>
    </w:p>
    <w:p w14:paraId="58FD3D92" w14:textId="77777777" w:rsidR="008A559F" w:rsidRPr="00A729D8" w:rsidRDefault="00B34554" w:rsidP="00121729">
      <w:pPr>
        <w:pStyle w:val="ListParagraph"/>
        <w:numPr>
          <w:ilvl w:val="1"/>
          <w:numId w:val="126"/>
        </w:numPr>
      </w:pPr>
      <w:r w:rsidRPr="00A729D8">
        <w:t>Only if the abovementioned option is not available should low confidence data be used (in order of preference).</w:t>
      </w:r>
    </w:p>
    <w:p w14:paraId="062FDDAA" w14:textId="77777777" w:rsidR="008A559F" w:rsidRPr="00A729D8" w:rsidRDefault="00B34554" w:rsidP="00121729">
      <w:pPr>
        <w:pStyle w:val="ListParagraph"/>
        <w:numPr>
          <w:ilvl w:val="1"/>
          <w:numId w:val="126"/>
        </w:numPr>
      </w:pPr>
      <w:r w:rsidRPr="00A729D8">
        <w:t>Environmental data should be sourced from a literature review process using both high and low confidence data.</w:t>
      </w:r>
    </w:p>
    <w:p w14:paraId="75576B24" w14:textId="77777777" w:rsidR="008A559F" w:rsidRPr="00A729D8" w:rsidRDefault="00B34554" w:rsidP="00121729">
      <w:pPr>
        <w:pStyle w:val="ListParagraph"/>
        <w:numPr>
          <w:ilvl w:val="1"/>
          <w:numId w:val="126"/>
        </w:numPr>
      </w:pPr>
      <w:r w:rsidRPr="00A729D8">
        <w:t xml:space="preserve">Other variables that are considered driving factors in the distribution of a disease, may be incorporated into the formula, as decided by the </w:t>
      </w:r>
      <w:r w:rsidR="00B20F48" w:rsidRPr="00A729D8">
        <w:t>NBMCC</w:t>
      </w:r>
      <w:r w:rsidRPr="00A729D8">
        <w:t xml:space="preserve"> on a case-by- case basis.</w:t>
      </w:r>
    </w:p>
    <w:p w14:paraId="35B6409C" w14:textId="77777777" w:rsidR="008A559F" w:rsidRPr="00A729D8" w:rsidRDefault="00B34554" w:rsidP="00121729">
      <w:pPr>
        <w:pStyle w:val="ListParagraph"/>
        <w:numPr>
          <w:ilvl w:val="1"/>
          <w:numId w:val="126"/>
        </w:numPr>
      </w:pPr>
      <w:r w:rsidRPr="00A729D8">
        <w:t>Where additional layers of data are to be used in the analysis they will also need to be scientifically determined. Any modifiers that are used must be incontrovertible and fully documented.</w:t>
      </w:r>
    </w:p>
    <w:p w14:paraId="2BD97651" w14:textId="77777777" w:rsidR="008A559F" w:rsidRPr="00A729D8" w:rsidRDefault="00B34554" w:rsidP="00121729">
      <w:pPr>
        <w:pStyle w:val="ListParagraph"/>
        <w:numPr>
          <w:ilvl w:val="0"/>
          <w:numId w:val="126"/>
        </w:numPr>
      </w:pPr>
      <w:r w:rsidRPr="00A729D8">
        <w:t>Determine the minimum and maximum significant environmental tolerances for the hosts.</w:t>
      </w:r>
    </w:p>
    <w:p w14:paraId="509CCC81" w14:textId="77777777" w:rsidR="008A559F" w:rsidRPr="00A729D8" w:rsidRDefault="00B34554" w:rsidP="00121729">
      <w:pPr>
        <w:pStyle w:val="ListParagraph"/>
        <w:numPr>
          <w:ilvl w:val="1"/>
          <w:numId w:val="126"/>
        </w:numPr>
      </w:pPr>
      <w:r w:rsidRPr="00A729D8">
        <w:t>The most accurate environmental tolerance range of a potential host/s should be used when determining the potential distribution. Dependent on the species information available, this will be determined by combining environmental tolerance data on a species, noting that the environmental tolerance data used may still overestimate the potential range.</w:t>
      </w:r>
    </w:p>
    <w:p w14:paraId="2A5E4ADB" w14:textId="77777777" w:rsidR="008A559F" w:rsidRPr="00A729D8" w:rsidRDefault="00B34554" w:rsidP="00121729">
      <w:pPr>
        <w:pStyle w:val="ListParagraph"/>
        <w:numPr>
          <w:ilvl w:val="1"/>
          <w:numId w:val="126"/>
        </w:numPr>
      </w:pPr>
      <w:r w:rsidRPr="00A729D8">
        <w:t>Only if the abovementioned option is not available should low confidence data be used (in order of preference).</w:t>
      </w:r>
    </w:p>
    <w:p w14:paraId="7E6A6CCD" w14:textId="77777777" w:rsidR="008A559F" w:rsidRPr="00A729D8" w:rsidRDefault="00B34554" w:rsidP="00121729">
      <w:pPr>
        <w:pStyle w:val="ListParagraph"/>
        <w:numPr>
          <w:ilvl w:val="1"/>
          <w:numId w:val="126"/>
        </w:numPr>
      </w:pPr>
      <w:r w:rsidRPr="00A729D8">
        <w:t>Environmental data should be sourced from a literature review process using both high and low confidence data.</w:t>
      </w:r>
    </w:p>
    <w:p w14:paraId="53DCEBFB" w14:textId="77777777" w:rsidR="008A559F" w:rsidRPr="00A729D8" w:rsidRDefault="00B34554" w:rsidP="00121729">
      <w:pPr>
        <w:pStyle w:val="ListParagraph"/>
        <w:numPr>
          <w:ilvl w:val="1"/>
          <w:numId w:val="126"/>
        </w:numPr>
      </w:pPr>
      <w:r w:rsidRPr="00A729D8">
        <w:t xml:space="preserve">Other variables that are considered driving factors in the distribution of host/s, may be incorporated into the formula, as decided by the </w:t>
      </w:r>
      <w:r w:rsidR="00B20F48" w:rsidRPr="00A729D8">
        <w:t>NBMCC</w:t>
      </w:r>
      <w:r w:rsidRPr="00A729D8">
        <w:t xml:space="preserve"> on a case-by-case basis.</w:t>
      </w:r>
    </w:p>
    <w:p w14:paraId="5D55F198" w14:textId="77777777" w:rsidR="008A559F" w:rsidRPr="00A729D8" w:rsidRDefault="00B34554" w:rsidP="00121729">
      <w:pPr>
        <w:pStyle w:val="ListParagraph"/>
        <w:numPr>
          <w:ilvl w:val="1"/>
          <w:numId w:val="126"/>
        </w:numPr>
      </w:pPr>
      <w:r w:rsidRPr="00A729D8">
        <w:t>Where additional layers of data are to be used in the analysis they will also need to be scientifically determined. Any modifiers that are used must be incontrovertible and fully documented.</w:t>
      </w:r>
    </w:p>
    <w:p w14:paraId="45224642" w14:textId="77777777" w:rsidR="008A559F" w:rsidRPr="00A729D8" w:rsidRDefault="00B34554" w:rsidP="00121729">
      <w:pPr>
        <w:pStyle w:val="ListParagraph"/>
        <w:numPr>
          <w:ilvl w:val="0"/>
          <w:numId w:val="126"/>
        </w:numPr>
      </w:pPr>
      <w:r w:rsidRPr="00A729D8">
        <w:t>Determine the sea temperature for Australian coastal waters.</w:t>
      </w:r>
    </w:p>
    <w:p w14:paraId="4EEE3D59" w14:textId="77777777" w:rsidR="008A559F" w:rsidRPr="00A729D8" w:rsidRDefault="00B34554" w:rsidP="00121729">
      <w:pPr>
        <w:pStyle w:val="ListParagraph"/>
        <w:numPr>
          <w:ilvl w:val="1"/>
          <w:numId w:val="126"/>
        </w:numPr>
      </w:pPr>
      <w:r w:rsidRPr="00A729D8">
        <w:t>Use appropriate databases.</w:t>
      </w:r>
    </w:p>
    <w:p w14:paraId="24B46456" w14:textId="77777777" w:rsidR="008A559F" w:rsidRPr="00A729D8" w:rsidRDefault="00B34554" w:rsidP="00121729">
      <w:pPr>
        <w:pStyle w:val="ListParagraph"/>
        <w:numPr>
          <w:ilvl w:val="1"/>
          <w:numId w:val="126"/>
        </w:numPr>
      </w:pPr>
      <w:r w:rsidRPr="00A729D8">
        <w:t>Use the highest spatial resolution possible to allow the greatest possible discrimination between areas that may be, as opposed to those that would not be, within the potential range of a particular species.</w:t>
      </w:r>
    </w:p>
    <w:p w14:paraId="377A0B63" w14:textId="77777777" w:rsidR="008A559F" w:rsidRPr="00A729D8" w:rsidRDefault="00B34554" w:rsidP="00121729">
      <w:pPr>
        <w:pStyle w:val="ListParagraph"/>
        <w:numPr>
          <w:ilvl w:val="0"/>
          <w:numId w:val="126"/>
        </w:numPr>
      </w:pPr>
      <w:r w:rsidRPr="00A729D8">
        <w:t>Using a Range Mapping tool and the data obtained from items 5.1(a) and (b) above to calculate the length of coastline within the range of the disease agent and its host species.</w:t>
      </w:r>
    </w:p>
    <w:p w14:paraId="6013AE21" w14:textId="77777777" w:rsidR="008A559F" w:rsidRPr="00A729D8" w:rsidRDefault="00B34554" w:rsidP="00121729">
      <w:pPr>
        <w:pStyle w:val="ListParagraph"/>
        <w:numPr>
          <w:ilvl w:val="1"/>
          <w:numId w:val="126"/>
        </w:numPr>
      </w:pPr>
      <w:r w:rsidRPr="00A729D8">
        <w:t>ABARES should undertake the steps outlined in item 5.1(c) and (d) and can be contacted via the Aquatic Consultative Committee on Emergency Animal Diseases (AqCCEAD) secretariat.</w:t>
      </w:r>
    </w:p>
    <w:p w14:paraId="6E0C07AB" w14:textId="77777777" w:rsidR="008A559F" w:rsidRPr="00A729D8" w:rsidRDefault="00B34554" w:rsidP="00121729">
      <w:pPr>
        <w:pStyle w:val="ListParagraph"/>
        <w:numPr>
          <w:ilvl w:val="0"/>
          <w:numId w:val="126"/>
        </w:numPr>
      </w:pPr>
      <w:r w:rsidRPr="00A729D8">
        <w:lastRenderedPageBreak/>
        <w:t>The results of this process will be:</w:t>
      </w:r>
    </w:p>
    <w:p w14:paraId="5E8F2999" w14:textId="77777777" w:rsidR="008A559F" w:rsidRPr="00A729D8" w:rsidRDefault="00B34554" w:rsidP="00121729">
      <w:pPr>
        <w:pStyle w:val="ListParagraph"/>
        <w:numPr>
          <w:ilvl w:val="1"/>
          <w:numId w:val="126"/>
        </w:numPr>
      </w:pPr>
      <w:r w:rsidRPr="00A729D8">
        <w:t>a length (in kilometres) of affected coastline for each state and the Northern Territory</w:t>
      </w:r>
    </w:p>
    <w:p w14:paraId="353BC3CD" w14:textId="77777777" w:rsidR="008A559F" w:rsidRPr="00A729D8" w:rsidRDefault="00B34554" w:rsidP="00121729">
      <w:pPr>
        <w:pStyle w:val="ListParagraph"/>
        <w:numPr>
          <w:ilvl w:val="1"/>
          <w:numId w:val="126"/>
        </w:numPr>
      </w:pPr>
      <w:r w:rsidRPr="00A729D8">
        <w:t>a length of affected coastline (in kilometres) for Australia as a whole</w:t>
      </w:r>
    </w:p>
    <w:p w14:paraId="50D3548E" w14:textId="77777777" w:rsidR="00B34554" w:rsidRPr="00A729D8" w:rsidRDefault="00B34554" w:rsidP="00121729">
      <w:pPr>
        <w:pStyle w:val="ListParagraph"/>
        <w:numPr>
          <w:ilvl w:val="1"/>
          <w:numId w:val="126"/>
        </w:numPr>
      </w:pPr>
      <w:r w:rsidRPr="00A729D8">
        <w:t>a map showing the potential range of a species based on the critical life limiting phase range (or relevant temperature tolerance).</w:t>
      </w:r>
    </w:p>
    <w:p w14:paraId="565FB78E" w14:textId="77777777" w:rsidR="00E01CEB" w:rsidRPr="00A729D8" w:rsidRDefault="00E01CEB" w:rsidP="00E01CEB">
      <w:pPr>
        <w:shd w:val="clear" w:color="auto" w:fill="D0CECE" w:themeFill="background2" w:themeFillShade="E6"/>
      </w:pPr>
      <w:r w:rsidRPr="00A729D8">
        <w:t>[DRAFTING NOTE: update 5.2 Trigger list species following consultation with SCAAH secretariat]</w:t>
      </w:r>
    </w:p>
    <w:p w14:paraId="3111B8F9" w14:textId="77777777" w:rsidR="00B34554" w:rsidRPr="00A729D8" w:rsidRDefault="008A559F" w:rsidP="002106F9">
      <w:pPr>
        <w:pStyle w:val="ScheduleL2"/>
      </w:pPr>
      <w:r w:rsidRPr="00A729D8">
        <w:t>Trigger List Species</w:t>
      </w:r>
    </w:p>
    <w:p w14:paraId="0FF20200" w14:textId="77777777" w:rsidR="008A559F" w:rsidRPr="00A729D8" w:rsidRDefault="00B34554" w:rsidP="00121729">
      <w:pPr>
        <w:pStyle w:val="ListParagraph"/>
        <w:numPr>
          <w:ilvl w:val="0"/>
          <w:numId w:val="127"/>
        </w:numPr>
      </w:pPr>
      <w:r w:rsidRPr="00A729D8">
        <w:t>If a marine disease agent is currently on the OIE/Australia’s National List of Reportable Diseases of Aquatic Animals, the potential length of coastline affected for each state should be predetermined as part of preparedness measures.</w:t>
      </w:r>
    </w:p>
    <w:p w14:paraId="52436FCC" w14:textId="77777777" w:rsidR="008A559F" w:rsidRPr="00A729D8" w:rsidRDefault="00B34554" w:rsidP="00121729">
      <w:pPr>
        <w:pStyle w:val="ListParagraph"/>
        <w:numPr>
          <w:ilvl w:val="0"/>
          <w:numId w:val="127"/>
        </w:numPr>
      </w:pPr>
      <w:r w:rsidRPr="00A729D8">
        <w:t>Percentage contribution figures for each state and the Northern Territory are maintained by the SCAAH secretariat.</w:t>
      </w:r>
    </w:p>
    <w:p w14:paraId="0024CEFD" w14:textId="77777777" w:rsidR="00B34554" w:rsidRPr="00A729D8" w:rsidRDefault="00B34554" w:rsidP="00121729">
      <w:pPr>
        <w:pStyle w:val="ListParagraph"/>
        <w:numPr>
          <w:ilvl w:val="0"/>
          <w:numId w:val="127"/>
        </w:numPr>
      </w:pPr>
      <w:r w:rsidRPr="00A729D8">
        <w:t>SCAAH should review the methods, figures and guidelines used for national response cost sharing analysis every two years. The formula should evolve to incorporate any new technology, data or species identified since the previous review.</w:t>
      </w:r>
    </w:p>
    <w:p w14:paraId="1F256647" w14:textId="77777777" w:rsidR="00B34554" w:rsidRPr="00A729D8" w:rsidRDefault="00B34554" w:rsidP="002106F9">
      <w:pPr>
        <w:pStyle w:val="ScheduleL1"/>
      </w:pPr>
      <w:r w:rsidRPr="00A729D8">
        <w:t>Parameters for cost-sharing of responses to disease incidents in marine environments</w:t>
      </w:r>
    </w:p>
    <w:p w14:paraId="78D16544" w14:textId="77777777" w:rsidR="00B34554" w:rsidRPr="00A729D8" w:rsidRDefault="00B34554" w:rsidP="002106F9">
      <w:pPr>
        <w:pStyle w:val="ScheduleL2"/>
      </w:pPr>
      <w:r w:rsidRPr="00A729D8">
        <w:t>Population parameters</w:t>
      </w:r>
    </w:p>
    <w:p w14:paraId="1426E821" w14:textId="77777777" w:rsidR="00B34554" w:rsidRPr="00A729D8" w:rsidRDefault="00B34554" w:rsidP="002106F9">
      <w:r w:rsidRPr="00A729D8">
        <w:t xml:space="preserve">With regard to disease incidents in marine environments, the following parameters will be used to determine the Australian </w:t>
      </w:r>
      <w:r w:rsidR="008A559F" w:rsidRPr="00A729D8">
        <w:t>and jurisdictional populations.</w:t>
      </w:r>
    </w:p>
    <w:p w14:paraId="33A3E85F" w14:textId="77777777" w:rsidR="008A559F" w:rsidRPr="00A729D8" w:rsidRDefault="00B34554" w:rsidP="00121729">
      <w:pPr>
        <w:pStyle w:val="ListParagraph"/>
        <w:numPr>
          <w:ilvl w:val="0"/>
          <w:numId w:val="128"/>
        </w:numPr>
      </w:pPr>
      <w:r w:rsidRPr="00A729D8">
        <w:t>Each population value used should be the most recent and accurate available. The most recently available Australian Bureau of Statistics Australian Demographic Statistics Population parameters will be used to estimate populations. The New South Wales population will not include Jervis Bay.</w:t>
      </w:r>
    </w:p>
    <w:p w14:paraId="321648B3" w14:textId="77777777" w:rsidR="008A559F" w:rsidRPr="00A729D8" w:rsidRDefault="00B34554" w:rsidP="00121729">
      <w:pPr>
        <w:pStyle w:val="ListParagraph"/>
        <w:numPr>
          <w:ilvl w:val="0"/>
          <w:numId w:val="128"/>
        </w:numPr>
      </w:pPr>
      <w:r w:rsidRPr="00A729D8">
        <w:t>All population figures will include those of relevant islands in each jurisdiction.</w:t>
      </w:r>
    </w:p>
    <w:p w14:paraId="1BEFB9BF" w14:textId="77777777" w:rsidR="00B34554" w:rsidRPr="00A729D8" w:rsidRDefault="00B34554" w:rsidP="00121729">
      <w:pPr>
        <w:pStyle w:val="ListParagraph"/>
        <w:numPr>
          <w:ilvl w:val="0"/>
          <w:numId w:val="128"/>
        </w:numPr>
      </w:pPr>
      <w:r w:rsidRPr="00A729D8">
        <w:t>The sum of the populations for the states and the Northern Territory will be used as the total population of Australia. The population of Jervis Bay is excluded from the calculations of the New South Wales population as it comes under the jurisdiction of the Commonwealth. The total Australian population does not include the Australian Capital Territory population.</w:t>
      </w:r>
    </w:p>
    <w:p w14:paraId="56B58923" w14:textId="77777777" w:rsidR="00B34554" w:rsidRPr="00A729D8" w:rsidRDefault="00B34554" w:rsidP="002106F9">
      <w:pPr>
        <w:pStyle w:val="ScheduleL2"/>
      </w:pPr>
      <w:r w:rsidRPr="00A729D8">
        <w:t>Length of coastline parameters</w:t>
      </w:r>
    </w:p>
    <w:p w14:paraId="0D5AD8C3" w14:textId="77777777" w:rsidR="00B34554" w:rsidRPr="00A729D8" w:rsidRDefault="00B34554" w:rsidP="002106F9">
      <w:r w:rsidRPr="00A729D8">
        <w:t>For the purposes of disease incidents in marine environments the following parameters will be used to det</w:t>
      </w:r>
      <w:r w:rsidR="008A559F" w:rsidRPr="00A729D8">
        <w:t>ermine the length of coastline.</w:t>
      </w:r>
    </w:p>
    <w:p w14:paraId="713A6A88" w14:textId="77777777" w:rsidR="00B34554" w:rsidRPr="00A729D8" w:rsidRDefault="00B34554" w:rsidP="00121729">
      <w:pPr>
        <w:pStyle w:val="ListParagraph"/>
        <w:numPr>
          <w:ilvl w:val="0"/>
          <w:numId w:val="129"/>
        </w:numPr>
      </w:pPr>
      <w:r w:rsidRPr="00A729D8">
        <w:t>Each value should be the most recent, accurate figure available (see item 3.7 to this attachment).</w:t>
      </w:r>
    </w:p>
    <w:p w14:paraId="6915DE5D" w14:textId="77777777" w:rsidR="00FF7DF4" w:rsidRPr="00A729D8" w:rsidRDefault="00B34554" w:rsidP="00121729">
      <w:pPr>
        <w:pStyle w:val="ListParagraph"/>
        <w:numPr>
          <w:ilvl w:val="0"/>
          <w:numId w:val="129"/>
        </w:numPr>
      </w:pPr>
      <w:r w:rsidRPr="00A729D8">
        <w:t>The figures will include those of relevant islands in each jurisdiction.</w:t>
      </w:r>
    </w:p>
    <w:p w14:paraId="0700727A" w14:textId="77777777" w:rsidR="00FF7DF4" w:rsidRPr="00A729D8" w:rsidRDefault="00B34554" w:rsidP="00121729">
      <w:pPr>
        <w:pStyle w:val="ListParagraph"/>
        <w:numPr>
          <w:ilvl w:val="0"/>
          <w:numId w:val="129"/>
        </w:numPr>
      </w:pPr>
      <w:r w:rsidRPr="00A729D8">
        <w:lastRenderedPageBreak/>
        <w:t>The New South Wales figure should not incorporate the Australian Capital Territory’s (including Jervis Bay) length of coastline.</w:t>
      </w:r>
    </w:p>
    <w:p w14:paraId="373459E2" w14:textId="77777777" w:rsidR="00FF7DF4" w:rsidRPr="00A729D8" w:rsidRDefault="00B34554" w:rsidP="00121729">
      <w:pPr>
        <w:pStyle w:val="ListParagraph"/>
        <w:numPr>
          <w:ilvl w:val="0"/>
          <w:numId w:val="129"/>
        </w:numPr>
      </w:pPr>
      <w:r w:rsidRPr="00A729D8">
        <w:t>The total length of Australian coastline should not include that of Jervis Bay.</w:t>
      </w:r>
    </w:p>
    <w:p w14:paraId="6E690957" w14:textId="77777777" w:rsidR="00B34554" w:rsidRPr="00A729D8" w:rsidRDefault="00B34554" w:rsidP="00121729">
      <w:pPr>
        <w:pStyle w:val="ListParagraph"/>
        <w:numPr>
          <w:ilvl w:val="0"/>
          <w:numId w:val="129"/>
        </w:numPr>
      </w:pPr>
      <w:r w:rsidRPr="00A729D8">
        <w:t>The sum of the coastline lengths for the states and the Northern Territory should be equal to the total length of the Australian coastline, less that belonging to the Commonwealth.</w:t>
      </w:r>
    </w:p>
    <w:p w14:paraId="4E98516E" w14:textId="77777777" w:rsidR="00B34554" w:rsidRPr="00A729D8" w:rsidRDefault="00B34554" w:rsidP="002106F9">
      <w:pPr>
        <w:pStyle w:val="ScheduleL1"/>
      </w:pPr>
      <w:r w:rsidRPr="00A729D8">
        <w:t>Formula for calculating cost-sharing arrangements for disease incidents in marine environments</w:t>
      </w:r>
    </w:p>
    <w:p w14:paraId="4478C87F" w14:textId="77777777" w:rsidR="00B34554" w:rsidRPr="00A729D8" w:rsidRDefault="00B34554" w:rsidP="002106F9">
      <w:r w:rsidRPr="00A729D8">
        <w:t>Cost-sharing for disease incidents in marine environments is calcul</w:t>
      </w:r>
      <w:r w:rsidR="00FF7DF4" w:rsidRPr="00A729D8">
        <w:t>ated using the following steps:</w:t>
      </w:r>
    </w:p>
    <w:p w14:paraId="68B07A50" w14:textId="77777777" w:rsidR="00B34554" w:rsidRPr="00A729D8" w:rsidRDefault="00B34554" w:rsidP="002106F9">
      <w:r w:rsidRPr="00A729D8">
        <w:rPr>
          <w:b/>
        </w:rPr>
        <w:t>Step 1:</w:t>
      </w:r>
      <w:r w:rsidRPr="00A729D8">
        <w:t xml:space="preserve"> Determine the length of potentially affected jurisdictional coastline in accordance wi</w:t>
      </w:r>
      <w:r w:rsidR="00FF7DF4" w:rsidRPr="00A729D8">
        <w:t>th item 5.1 of this attachment.</w:t>
      </w:r>
    </w:p>
    <w:p w14:paraId="55514885" w14:textId="77777777" w:rsidR="00B34554" w:rsidRPr="00A729D8" w:rsidRDefault="00B34554" w:rsidP="002106F9">
      <w:r w:rsidRPr="00A729D8">
        <w:rPr>
          <w:b/>
        </w:rPr>
        <w:t>Step 2:</w:t>
      </w:r>
      <w:r w:rsidRPr="00A729D8">
        <w:t xml:space="preserve"> Calculate the number of people potentially affected in a particular jurisdiction: The number of people in potentially affected area in that jurisdiction equals:</w:t>
      </w:r>
    </w:p>
    <w:p w14:paraId="2A580104" w14:textId="77777777" w:rsidR="00B34554" w:rsidRPr="00A729D8" w:rsidRDefault="00B34554" w:rsidP="002106F9">
      <w:pPr>
        <w:spacing w:after="0"/>
        <w:jc w:val="center"/>
        <w:rPr>
          <w:u w:val="single"/>
        </w:rPr>
      </w:pPr>
      <w:r w:rsidRPr="00A729D8">
        <w:rPr>
          <w:u w:val="single"/>
        </w:rPr>
        <w:t>Jurisdiction population   x   length of potentially affected jurisdiction coastline</w:t>
      </w:r>
    </w:p>
    <w:p w14:paraId="0D2BC31C" w14:textId="77777777" w:rsidR="00B34554" w:rsidRPr="00A729D8" w:rsidRDefault="00B34554" w:rsidP="002106F9">
      <w:pPr>
        <w:spacing w:before="0"/>
        <w:jc w:val="center"/>
      </w:pPr>
      <w:r w:rsidRPr="00A729D8">
        <w:t>total len</w:t>
      </w:r>
      <w:r w:rsidR="00FF7DF4" w:rsidRPr="00A729D8">
        <w:t>gth of jurisdiction coastline</w:t>
      </w:r>
    </w:p>
    <w:p w14:paraId="62E8B5AD" w14:textId="77777777" w:rsidR="00FF7DF4" w:rsidRPr="00A729D8" w:rsidRDefault="00B34554" w:rsidP="002106F9">
      <w:r w:rsidRPr="00A729D8">
        <w:rPr>
          <w:b/>
        </w:rPr>
        <w:t>Step 3:</w:t>
      </w:r>
      <w:r w:rsidRPr="00A729D8">
        <w:t xml:space="preserve"> Repeat Step 2 for all potentially affected jurisdictions. </w:t>
      </w:r>
    </w:p>
    <w:p w14:paraId="148EAA02" w14:textId="77777777" w:rsidR="00B34554" w:rsidRPr="00A729D8" w:rsidRDefault="00B34554" w:rsidP="002106F9">
      <w:r w:rsidRPr="00A729D8">
        <w:rPr>
          <w:b/>
        </w:rPr>
        <w:t>Step 4:</w:t>
      </w:r>
      <w:r w:rsidRPr="00A729D8">
        <w:t xml:space="preserve"> Calculate the total number of people affected in Australia: The total number of people potentially affected in Australia equals:</w:t>
      </w:r>
    </w:p>
    <w:p w14:paraId="401CC161" w14:textId="77777777" w:rsidR="00B34554" w:rsidRPr="00A729D8" w:rsidRDefault="00B34554" w:rsidP="002106F9">
      <w:r w:rsidRPr="00A729D8">
        <w:t>The sum of the number of people potentially affected in each potentially affected jurisdiction (i.e. jurisdiction A + jurisdiction B + and so on)</w:t>
      </w:r>
    </w:p>
    <w:p w14:paraId="2A3377FD" w14:textId="77777777" w:rsidR="00B34554" w:rsidRPr="00A729D8" w:rsidRDefault="00B34554" w:rsidP="002106F9">
      <w:r w:rsidRPr="00A729D8">
        <w:rPr>
          <w:b/>
        </w:rPr>
        <w:t>Step 5:</w:t>
      </w:r>
      <w:r w:rsidRPr="00A729D8">
        <w:t xml:space="preserve"> Calculate a jurisdiction’s share of the combined investment in accordance with clause 7.2(d) of this agreement.</w:t>
      </w:r>
    </w:p>
    <w:p w14:paraId="138EDEE8" w14:textId="77777777" w:rsidR="00B34554" w:rsidRPr="00A729D8" w:rsidRDefault="00B34554" w:rsidP="002106F9">
      <w:r w:rsidRPr="00A729D8">
        <w:rPr>
          <w:b/>
        </w:rPr>
        <w:t>Step 6:</w:t>
      </w:r>
      <w:r w:rsidRPr="00A729D8">
        <w:t xml:space="preserve"> Repeat Step 5 for each potentially affected jurisdiction.</w:t>
      </w:r>
    </w:p>
    <w:p w14:paraId="6B0A3462" w14:textId="77777777" w:rsidR="00B34554" w:rsidRPr="00A729D8" w:rsidRDefault="00B34554" w:rsidP="002106F9">
      <w:r w:rsidRPr="00A729D8">
        <w:t xml:space="preserve">For example, cost-sharing for a marine disease </w:t>
      </w:r>
      <w:r w:rsidR="00747D05" w:rsidRPr="00A729D8">
        <w:t>incident</w:t>
      </w:r>
      <w:r w:rsidRPr="00A729D8">
        <w:t xml:space="preserve"> with four potentially affected jurisdictions:</w:t>
      </w:r>
    </w:p>
    <w:tbl>
      <w:tblPr>
        <w:tblStyle w:val="TableGrid"/>
        <w:tblW w:w="0" w:type="auto"/>
        <w:tblLook w:val="04A0" w:firstRow="1" w:lastRow="0" w:firstColumn="1" w:lastColumn="0" w:noHBand="0" w:noVBand="1"/>
      </w:tblPr>
      <w:tblGrid>
        <w:gridCol w:w="1980"/>
        <w:gridCol w:w="7036"/>
      </w:tblGrid>
      <w:tr w:rsidR="00FF7DF4" w:rsidRPr="00A729D8" w14:paraId="578BFDA0" w14:textId="77777777" w:rsidTr="004F5940">
        <w:trPr>
          <w:trHeight w:val="113"/>
        </w:trPr>
        <w:tc>
          <w:tcPr>
            <w:tcW w:w="1980" w:type="dxa"/>
          </w:tcPr>
          <w:p w14:paraId="01888619" w14:textId="77777777" w:rsidR="00FF7DF4" w:rsidRPr="00A729D8" w:rsidRDefault="00FF7DF4" w:rsidP="002106F9">
            <w:pPr>
              <w:spacing w:before="0" w:after="0"/>
              <w:rPr>
                <w:b/>
              </w:rPr>
            </w:pPr>
            <w:r w:rsidRPr="00A729D8">
              <w:rPr>
                <w:b/>
              </w:rPr>
              <w:t>Jurisdiction</w:t>
            </w:r>
          </w:p>
        </w:tc>
        <w:tc>
          <w:tcPr>
            <w:tcW w:w="7036" w:type="dxa"/>
          </w:tcPr>
          <w:p w14:paraId="6D8D0F2C" w14:textId="77777777" w:rsidR="00FF7DF4" w:rsidRPr="00A729D8" w:rsidRDefault="00FF7DF4" w:rsidP="002106F9">
            <w:pPr>
              <w:spacing w:before="0" w:after="0"/>
              <w:rPr>
                <w:b/>
              </w:rPr>
            </w:pPr>
            <w:r w:rsidRPr="00A729D8">
              <w:rPr>
                <w:b/>
              </w:rPr>
              <w:t>Percentage share of each jurisdictions’ contribution (note: the total contribution from the jurisdictions is 50 per cent of total costs with the Commonwealth contributing the other 50 per cent)</w:t>
            </w:r>
          </w:p>
        </w:tc>
      </w:tr>
      <w:tr w:rsidR="00FF7DF4" w:rsidRPr="00A729D8" w14:paraId="6E9DF1FF" w14:textId="77777777" w:rsidTr="004F5940">
        <w:trPr>
          <w:trHeight w:val="113"/>
        </w:trPr>
        <w:tc>
          <w:tcPr>
            <w:tcW w:w="1980" w:type="dxa"/>
          </w:tcPr>
          <w:p w14:paraId="308DC50F" w14:textId="77777777" w:rsidR="00FF7DF4" w:rsidRPr="00A729D8" w:rsidRDefault="00FF7DF4" w:rsidP="002106F9">
            <w:pPr>
              <w:spacing w:before="0" w:after="0"/>
            </w:pPr>
            <w:r w:rsidRPr="00A729D8">
              <w:t>Jurisdiction A</w:t>
            </w:r>
          </w:p>
        </w:tc>
        <w:tc>
          <w:tcPr>
            <w:tcW w:w="7036" w:type="dxa"/>
          </w:tcPr>
          <w:p w14:paraId="49CD936F" w14:textId="77777777" w:rsidR="00FF7DF4" w:rsidRPr="00A729D8" w:rsidRDefault="00FF7DF4" w:rsidP="002106F9">
            <w:pPr>
              <w:spacing w:before="0" w:after="0"/>
            </w:pPr>
            <w:r w:rsidRPr="00A729D8">
              <w:t>32.5 per cent</w:t>
            </w:r>
          </w:p>
        </w:tc>
      </w:tr>
      <w:tr w:rsidR="00FF7DF4" w:rsidRPr="00A729D8" w14:paraId="195F8392" w14:textId="77777777" w:rsidTr="004F5940">
        <w:trPr>
          <w:trHeight w:val="113"/>
        </w:trPr>
        <w:tc>
          <w:tcPr>
            <w:tcW w:w="1980" w:type="dxa"/>
          </w:tcPr>
          <w:p w14:paraId="3C59BA53" w14:textId="77777777" w:rsidR="00FF7DF4" w:rsidRPr="00A729D8" w:rsidRDefault="00FF7DF4" w:rsidP="002106F9">
            <w:pPr>
              <w:spacing w:before="0" w:after="0"/>
            </w:pPr>
            <w:r w:rsidRPr="00A729D8">
              <w:t>Jurisdiction B</w:t>
            </w:r>
          </w:p>
        </w:tc>
        <w:tc>
          <w:tcPr>
            <w:tcW w:w="7036" w:type="dxa"/>
          </w:tcPr>
          <w:p w14:paraId="594DD133" w14:textId="77777777" w:rsidR="00FF7DF4" w:rsidRPr="00A729D8" w:rsidRDefault="00FF7DF4" w:rsidP="002106F9">
            <w:pPr>
              <w:spacing w:before="0" w:after="0"/>
            </w:pPr>
            <w:r w:rsidRPr="00A729D8">
              <w:t>44.2 per cent</w:t>
            </w:r>
          </w:p>
        </w:tc>
      </w:tr>
      <w:tr w:rsidR="00FF7DF4" w:rsidRPr="00A729D8" w14:paraId="70AEF5EE" w14:textId="77777777" w:rsidTr="004F5940">
        <w:trPr>
          <w:trHeight w:val="113"/>
        </w:trPr>
        <w:tc>
          <w:tcPr>
            <w:tcW w:w="1980" w:type="dxa"/>
          </w:tcPr>
          <w:p w14:paraId="00473D0D" w14:textId="77777777" w:rsidR="00FF7DF4" w:rsidRPr="00A729D8" w:rsidRDefault="00FF7DF4" w:rsidP="002106F9">
            <w:pPr>
              <w:spacing w:before="0" w:after="0"/>
            </w:pPr>
            <w:r w:rsidRPr="00A729D8">
              <w:t>Jurisdiction C</w:t>
            </w:r>
          </w:p>
        </w:tc>
        <w:tc>
          <w:tcPr>
            <w:tcW w:w="7036" w:type="dxa"/>
          </w:tcPr>
          <w:p w14:paraId="47FDDA5D" w14:textId="77777777" w:rsidR="00FF7DF4" w:rsidRPr="00A729D8" w:rsidRDefault="00FF7DF4" w:rsidP="002106F9">
            <w:pPr>
              <w:spacing w:before="0" w:after="0"/>
            </w:pPr>
            <w:r w:rsidRPr="00A729D8">
              <w:t>7.5 per cent</w:t>
            </w:r>
          </w:p>
        </w:tc>
      </w:tr>
      <w:tr w:rsidR="00FF7DF4" w:rsidRPr="00A729D8" w14:paraId="5D3A8110" w14:textId="77777777" w:rsidTr="004F5940">
        <w:trPr>
          <w:trHeight w:val="113"/>
        </w:trPr>
        <w:tc>
          <w:tcPr>
            <w:tcW w:w="1980" w:type="dxa"/>
          </w:tcPr>
          <w:p w14:paraId="031D9304" w14:textId="77777777" w:rsidR="00FF7DF4" w:rsidRPr="00A729D8" w:rsidRDefault="00FF7DF4" w:rsidP="002106F9">
            <w:pPr>
              <w:spacing w:before="0" w:after="0"/>
            </w:pPr>
            <w:r w:rsidRPr="00A729D8">
              <w:t>Jurisdiction D</w:t>
            </w:r>
          </w:p>
        </w:tc>
        <w:tc>
          <w:tcPr>
            <w:tcW w:w="7036" w:type="dxa"/>
          </w:tcPr>
          <w:p w14:paraId="209DB521" w14:textId="77777777" w:rsidR="00FF7DF4" w:rsidRPr="00A729D8" w:rsidRDefault="00FF7DF4" w:rsidP="002106F9">
            <w:pPr>
              <w:spacing w:before="0" w:after="0"/>
            </w:pPr>
            <w:r w:rsidRPr="00A729D8">
              <w:t>15.8 per cent</w:t>
            </w:r>
          </w:p>
        </w:tc>
      </w:tr>
      <w:tr w:rsidR="00FF7DF4" w:rsidRPr="00A729D8" w14:paraId="21B76858" w14:textId="77777777" w:rsidTr="004F5940">
        <w:trPr>
          <w:trHeight w:val="113"/>
        </w:trPr>
        <w:tc>
          <w:tcPr>
            <w:tcW w:w="1980" w:type="dxa"/>
          </w:tcPr>
          <w:p w14:paraId="28763DFF" w14:textId="77777777" w:rsidR="00FF7DF4" w:rsidRPr="00A729D8" w:rsidRDefault="00FF7DF4" w:rsidP="002106F9">
            <w:pPr>
              <w:spacing w:before="0" w:after="0"/>
            </w:pPr>
            <w:r w:rsidRPr="00A729D8">
              <w:t>Total</w:t>
            </w:r>
          </w:p>
        </w:tc>
        <w:tc>
          <w:tcPr>
            <w:tcW w:w="7036" w:type="dxa"/>
          </w:tcPr>
          <w:p w14:paraId="5B352ACA" w14:textId="77777777" w:rsidR="00FF7DF4" w:rsidRPr="00A729D8" w:rsidRDefault="00FF7DF4" w:rsidP="002106F9">
            <w:pPr>
              <w:spacing w:before="0" w:after="0"/>
            </w:pPr>
            <w:r w:rsidRPr="00A729D8">
              <w:t>100 per cent</w:t>
            </w:r>
          </w:p>
        </w:tc>
      </w:tr>
    </w:tbl>
    <w:p w14:paraId="142AAD19" w14:textId="77777777" w:rsidR="00B34554" w:rsidRPr="00A729D8" w:rsidRDefault="00B34554" w:rsidP="002106F9"/>
    <w:p w14:paraId="443F433E" w14:textId="77777777" w:rsidR="000C65B9" w:rsidRPr="00A729D8" w:rsidRDefault="000C65B9" w:rsidP="002106F9">
      <w:pPr>
        <w:spacing w:before="0" w:after="160" w:line="252" w:lineRule="auto"/>
        <w:jc w:val="both"/>
        <w:rPr>
          <w:b/>
        </w:rPr>
      </w:pPr>
      <w:r w:rsidRPr="00A729D8">
        <w:br w:type="page"/>
      </w:r>
    </w:p>
    <w:p w14:paraId="4A036CFA" w14:textId="77777777" w:rsidR="00B34554" w:rsidRPr="00A729D8" w:rsidRDefault="00B34554" w:rsidP="002106F9">
      <w:pPr>
        <w:pStyle w:val="Heading2"/>
        <w:keepNext w:val="0"/>
        <w:keepLines w:val="0"/>
        <w:numPr>
          <w:ilvl w:val="0"/>
          <w:numId w:val="0"/>
        </w:numPr>
      </w:pPr>
      <w:bookmarkStart w:id="278" w:name="_Toc7528164"/>
      <w:r w:rsidRPr="00A729D8">
        <w:lastRenderedPageBreak/>
        <w:t xml:space="preserve">Attachment </w:t>
      </w:r>
      <w:r w:rsidR="00C02F9A" w:rsidRPr="00A729D8">
        <w:t>4</w:t>
      </w:r>
      <w:r w:rsidRPr="00A729D8">
        <w:t>F</w:t>
      </w:r>
      <w:r w:rsidR="000C65B9" w:rsidRPr="00A729D8">
        <w:t xml:space="preserve"> – </w:t>
      </w:r>
      <w:r w:rsidR="009D3B2A" w:rsidRPr="00A729D8">
        <w:t>R</w:t>
      </w:r>
      <w:r w:rsidRPr="00A729D8">
        <w:t xml:space="preserve">esponse </w:t>
      </w:r>
      <w:r w:rsidR="009D3B2A" w:rsidRPr="00A729D8">
        <w:t>P</w:t>
      </w:r>
      <w:r w:rsidRPr="00A729D8">
        <w:t>lan accounting and reporting requirements</w:t>
      </w:r>
      <w:bookmarkEnd w:id="278"/>
    </w:p>
    <w:p w14:paraId="0078894B" w14:textId="77777777" w:rsidR="00B34554" w:rsidRPr="00A729D8" w:rsidRDefault="00B34554" w:rsidP="00121729">
      <w:pPr>
        <w:pStyle w:val="ScheduleL1"/>
        <w:numPr>
          <w:ilvl w:val="0"/>
          <w:numId w:val="130"/>
        </w:numPr>
      </w:pPr>
      <w:r w:rsidRPr="00A729D8">
        <w:t>Statement of expenditure</w:t>
      </w:r>
    </w:p>
    <w:p w14:paraId="2B37A6E3" w14:textId="77777777" w:rsidR="00B34554" w:rsidRPr="00A729D8" w:rsidRDefault="00B34554" w:rsidP="002106F9">
      <w:pPr>
        <w:pStyle w:val="ScheduleL2"/>
      </w:pPr>
      <w:r w:rsidRPr="00A729D8">
        <w:t>Introduction to requirements</w:t>
      </w:r>
    </w:p>
    <w:p w14:paraId="110A257D" w14:textId="77777777" w:rsidR="00B34554" w:rsidRPr="00A729D8" w:rsidRDefault="00B34554" w:rsidP="00121729">
      <w:pPr>
        <w:pStyle w:val="ListParagraph"/>
        <w:numPr>
          <w:ilvl w:val="0"/>
          <w:numId w:val="131"/>
        </w:numPr>
      </w:pPr>
      <w:r w:rsidRPr="00A729D8">
        <w:t>This item provides a guide to the structure and content of the report to be submitted by the notifying party to the NMG at each relevant NMG meeting.</w:t>
      </w:r>
    </w:p>
    <w:p w14:paraId="4D4CF547" w14:textId="77777777" w:rsidR="00B34554" w:rsidRPr="00A729D8" w:rsidRDefault="00B34554" w:rsidP="00121729">
      <w:pPr>
        <w:pStyle w:val="ListParagraph"/>
        <w:numPr>
          <w:ilvl w:val="0"/>
          <w:numId w:val="131"/>
        </w:numPr>
      </w:pPr>
      <w:r w:rsidRPr="00A729D8">
        <w:t>The sub-headings below may be used as a checklist to help develop the reports. The reports, however, do not necessarily need to refer to all matters covered in the sub- headings.</w:t>
      </w:r>
    </w:p>
    <w:p w14:paraId="1C6A8437" w14:textId="77777777" w:rsidR="00B34554" w:rsidRPr="00A729D8" w:rsidRDefault="00B34554" w:rsidP="00121729">
      <w:pPr>
        <w:pStyle w:val="ListParagraph"/>
        <w:numPr>
          <w:ilvl w:val="0"/>
          <w:numId w:val="131"/>
        </w:numPr>
      </w:pPr>
      <w:r w:rsidRPr="00A729D8">
        <w:t xml:space="preserve">The amount of detail will depend on the nature and extent of the </w:t>
      </w:r>
      <w:r w:rsidR="00E7297E" w:rsidRPr="00A729D8">
        <w:t>Response Plan</w:t>
      </w:r>
      <w:r w:rsidRPr="00A729D8">
        <w:t>, and the stage at which the plan is at.</w:t>
      </w:r>
    </w:p>
    <w:p w14:paraId="3D5F04DA" w14:textId="77777777" w:rsidR="00B34554" w:rsidRPr="00A729D8" w:rsidRDefault="009D3B2A" w:rsidP="002106F9">
      <w:pPr>
        <w:pStyle w:val="ScheduleL2"/>
      </w:pPr>
      <w:r w:rsidRPr="00A729D8">
        <w:t>R</w:t>
      </w:r>
      <w:r w:rsidR="00B34554" w:rsidRPr="00A729D8">
        <w:t xml:space="preserve">esponse </w:t>
      </w:r>
      <w:r w:rsidRPr="00A729D8">
        <w:t>P</w:t>
      </w:r>
      <w:r w:rsidR="00B34554" w:rsidRPr="00A729D8">
        <w:t>lan</w:t>
      </w:r>
    </w:p>
    <w:tbl>
      <w:tblPr>
        <w:tblStyle w:val="TableGrid"/>
        <w:tblW w:w="0" w:type="auto"/>
        <w:tblLook w:val="04A0" w:firstRow="1" w:lastRow="0" w:firstColumn="1" w:lastColumn="0" w:noHBand="0" w:noVBand="1"/>
      </w:tblPr>
      <w:tblGrid>
        <w:gridCol w:w="6941"/>
        <w:gridCol w:w="2075"/>
      </w:tblGrid>
      <w:tr w:rsidR="00A618C1" w:rsidRPr="00A729D8" w14:paraId="2DA163D9" w14:textId="77777777" w:rsidTr="00A618C1">
        <w:tc>
          <w:tcPr>
            <w:tcW w:w="6941" w:type="dxa"/>
          </w:tcPr>
          <w:p w14:paraId="0149F4FE" w14:textId="77777777" w:rsidR="00A618C1" w:rsidRPr="00A729D8" w:rsidRDefault="00A618C1" w:rsidP="002106F9">
            <w:r w:rsidRPr="00A729D8">
              <w:t>Approved expenditure limit</w:t>
            </w:r>
          </w:p>
        </w:tc>
        <w:tc>
          <w:tcPr>
            <w:tcW w:w="2075" w:type="dxa"/>
          </w:tcPr>
          <w:p w14:paraId="0D4866EE" w14:textId="77777777" w:rsidR="00A618C1" w:rsidRPr="00A729D8" w:rsidRDefault="00A618C1" w:rsidP="002106F9">
            <w:pPr>
              <w:jc w:val="center"/>
            </w:pPr>
            <w:r w:rsidRPr="00A729D8">
              <w:t>$</w:t>
            </w:r>
          </w:p>
        </w:tc>
      </w:tr>
    </w:tbl>
    <w:p w14:paraId="23804155" w14:textId="77777777" w:rsidR="00B34554" w:rsidRPr="00A729D8" w:rsidRDefault="00B34554" w:rsidP="002106F9">
      <w:pPr>
        <w:pStyle w:val="ScheduleL2"/>
      </w:pPr>
      <w:r w:rsidRPr="00A729D8">
        <w:t>Staffing</w:t>
      </w:r>
    </w:p>
    <w:tbl>
      <w:tblPr>
        <w:tblStyle w:val="TableGrid"/>
        <w:tblW w:w="0" w:type="auto"/>
        <w:tblLook w:val="04A0" w:firstRow="1" w:lastRow="0" w:firstColumn="1" w:lastColumn="0" w:noHBand="0" w:noVBand="1"/>
      </w:tblPr>
      <w:tblGrid>
        <w:gridCol w:w="6941"/>
        <w:gridCol w:w="2075"/>
      </w:tblGrid>
      <w:tr w:rsidR="00A618C1" w:rsidRPr="00A729D8" w14:paraId="266D8BFF" w14:textId="77777777" w:rsidTr="004F5940">
        <w:tc>
          <w:tcPr>
            <w:tcW w:w="6941" w:type="dxa"/>
          </w:tcPr>
          <w:p w14:paraId="0A570C46" w14:textId="77777777" w:rsidR="00A618C1" w:rsidRPr="00A729D8" w:rsidRDefault="00A618C1" w:rsidP="00121729">
            <w:pPr>
              <w:pStyle w:val="ListParagraph"/>
              <w:numPr>
                <w:ilvl w:val="0"/>
                <w:numId w:val="132"/>
              </w:numPr>
            </w:pPr>
            <w:r w:rsidRPr="00A729D8">
              <w:t>Agency staffing</w:t>
            </w:r>
          </w:p>
          <w:p w14:paraId="487E7F9B" w14:textId="77777777" w:rsidR="00A618C1" w:rsidRPr="00A729D8" w:rsidRDefault="00A618C1" w:rsidP="002106F9">
            <w:pPr>
              <w:pStyle w:val="ListParagraph"/>
              <w:ind w:left="1080"/>
            </w:pPr>
            <w:r w:rsidRPr="00A729D8">
              <w:t>Salary and wages of staff employed</w:t>
            </w:r>
          </w:p>
          <w:p w14:paraId="37F238E9" w14:textId="77777777" w:rsidR="00A618C1" w:rsidRPr="00A729D8" w:rsidRDefault="00A618C1" w:rsidP="002106F9">
            <w:pPr>
              <w:pStyle w:val="ListParagraph"/>
              <w:ind w:left="1080"/>
            </w:pPr>
            <w:r w:rsidRPr="00A729D8">
              <w:t xml:space="preserve">Eligible staff directly employed with the </w:t>
            </w:r>
            <w:r w:rsidR="00E7297E" w:rsidRPr="00A729D8">
              <w:t>Response Plan</w:t>
            </w:r>
            <w:r w:rsidRPr="00A729D8">
              <w:t xml:space="preserve"> (X persons by $/day by Y days):</w:t>
            </w:r>
          </w:p>
          <w:p w14:paraId="627E0B79" w14:textId="77777777" w:rsidR="00A618C1" w:rsidRPr="00A729D8" w:rsidRDefault="00A618C1" w:rsidP="00121729">
            <w:pPr>
              <w:pStyle w:val="ListParagraph"/>
              <w:numPr>
                <w:ilvl w:val="1"/>
                <w:numId w:val="132"/>
              </w:numPr>
            </w:pPr>
            <w:r w:rsidRPr="00A729D8">
              <w:t>salary and wages</w:t>
            </w:r>
          </w:p>
          <w:p w14:paraId="188B1014" w14:textId="77777777" w:rsidR="00A618C1" w:rsidRPr="00A729D8" w:rsidRDefault="00A618C1" w:rsidP="00121729">
            <w:pPr>
              <w:pStyle w:val="ListParagraph"/>
              <w:numPr>
                <w:ilvl w:val="1"/>
                <w:numId w:val="132"/>
              </w:numPr>
            </w:pPr>
            <w:r w:rsidRPr="00A729D8">
              <w:t>on-costs (e.g. payroll tax, superannuation, insurance, leave for staff engaged directly)</w:t>
            </w:r>
          </w:p>
        </w:tc>
        <w:tc>
          <w:tcPr>
            <w:tcW w:w="2075" w:type="dxa"/>
          </w:tcPr>
          <w:p w14:paraId="29F4910E" w14:textId="77777777" w:rsidR="00A618C1" w:rsidRPr="00A729D8" w:rsidRDefault="00A618C1" w:rsidP="002106F9">
            <w:pPr>
              <w:jc w:val="center"/>
            </w:pPr>
            <w:r w:rsidRPr="00A729D8">
              <w:t>$</w:t>
            </w:r>
          </w:p>
        </w:tc>
      </w:tr>
      <w:tr w:rsidR="00A618C1" w:rsidRPr="00A729D8" w14:paraId="181F8A4E" w14:textId="77777777" w:rsidTr="004F5940">
        <w:tc>
          <w:tcPr>
            <w:tcW w:w="6941" w:type="dxa"/>
          </w:tcPr>
          <w:p w14:paraId="53A07B2B" w14:textId="77777777" w:rsidR="00A618C1" w:rsidRPr="00A729D8" w:rsidRDefault="00A618C1" w:rsidP="00121729">
            <w:pPr>
              <w:pStyle w:val="ListParagraph"/>
              <w:numPr>
                <w:ilvl w:val="0"/>
                <w:numId w:val="132"/>
              </w:numPr>
            </w:pPr>
            <w:r w:rsidRPr="00A729D8">
              <w:t>Contracted staff</w:t>
            </w:r>
          </w:p>
          <w:p w14:paraId="4EA2100A" w14:textId="77777777" w:rsidR="00A618C1" w:rsidRPr="00A729D8" w:rsidRDefault="00A618C1" w:rsidP="002106F9">
            <w:pPr>
              <w:pStyle w:val="ListParagraph"/>
              <w:ind w:left="1080"/>
            </w:pPr>
            <w:r w:rsidRPr="00A729D8">
              <w:t>Fees for consultants, contractors or externally funded staff assisting directly with the national response plan, or who are backfilling existing, permanent staff assisting directly with the plan</w:t>
            </w:r>
          </w:p>
          <w:p w14:paraId="3A4E2D4B" w14:textId="77777777" w:rsidR="00A618C1" w:rsidRPr="00A729D8" w:rsidRDefault="00A618C1" w:rsidP="002106F9">
            <w:pPr>
              <w:pStyle w:val="ListParagraph"/>
              <w:ind w:left="1080"/>
            </w:pPr>
            <w:r w:rsidRPr="00A729D8">
              <w:t>The fees and allowances will be at rates approved by the NMG or another relevant fee structure</w:t>
            </w:r>
          </w:p>
        </w:tc>
        <w:tc>
          <w:tcPr>
            <w:tcW w:w="2075" w:type="dxa"/>
          </w:tcPr>
          <w:p w14:paraId="642C7208" w14:textId="77777777" w:rsidR="00A618C1" w:rsidRPr="00A729D8" w:rsidRDefault="00A618C1" w:rsidP="002106F9">
            <w:pPr>
              <w:jc w:val="center"/>
            </w:pPr>
            <w:r w:rsidRPr="00A729D8">
              <w:t>$</w:t>
            </w:r>
          </w:p>
        </w:tc>
      </w:tr>
      <w:tr w:rsidR="00E07D2D" w:rsidRPr="00A729D8" w14:paraId="13CA8A41" w14:textId="77777777" w:rsidTr="004F5940">
        <w:tc>
          <w:tcPr>
            <w:tcW w:w="6941" w:type="dxa"/>
          </w:tcPr>
          <w:p w14:paraId="0D098D4F" w14:textId="2D2FD425" w:rsidR="00E07D2D" w:rsidRPr="00A729D8" w:rsidRDefault="00E07D2D" w:rsidP="00121729">
            <w:pPr>
              <w:pStyle w:val="ListParagraph"/>
              <w:numPr>
                <w:ilvl w:val="0"/>
                <w:numId w:val="132"/>
              </w:numPr>
            </w:pPr>
            <w:r w:rsidRPr="00A729D8">
              <w:t xml:space="preserve">Financial and/or equivalent in-kind contributions made by non-government </w:t>
            </w:r>
            <w:r w:rsidR="005A4D74" w:rsidRPr="00A729D8">
              <w:t xml:space="preserve">entities </w:t>
            </w:r>
            <w:r w:rsidRPr="00A729D8">
              <w:t>that are voting members at</w:t>
            </w:r>
            <w:r w:rsidR="009D3B2A" w:rsidRPr="00A729D8">
              <w:t xml:space="preserve"> NMG</w:t>
            </w:r>
          </w:p>
        </w:tc>
        <w:tc>
          <w:tcPr>
            <w:tcW w:w="2075" w:type="dxa"/>
          </w:tcPr>
          <w:p w14:paraId="427EC14D" w14:textId="77777777" w:rsidR="00E07D2D" w:rsidRPr="00A729D8" w:rsidRDefault="00E07D2D" w:rsidP="002106F9">
            <w:pPr>
              <w:jc w:val="center"/>
            </w:pPr>
            <w:r w:rsidRPr="00A729D8">
              <w:t>$</w:t>
            </w:r>
          </w:p>
        </w:tc>
      </w:tr>
      <w:tr w:rsidR="00A618C1" w:rsidRPr="00A729D8" w14:paraId="07A52902" w14:textId="77777777" w:rsidTr="004F5940">
        <w:tc>
          <w:tcPr>
            <w:tcW w:w="6941" w:type="dxa"/>
          </w:tcPr>
          <w:p w14:paraId="5C26ACF0" w14:textId="77777777" w:rsidR="00A618C1" w:rsidRPr="00A729D8" w:rsidRDefault="00A618C1" w:rsidP="00121729">
            <w:pPr>
              <w:pStyle w:val="ListParagraph"/>
              <w:numPr>
                <w:ilvl w:val="0"/>
                <w:numId w:val="132"/>
              </w:numPr>
            </w:pPr>
            <w:r w:rsidRPr="00A729D8">
              <w:t>Volunteers</w:t>
            </w:r>
          </w:p>
          <w:p w14:paraId="52C55E69" w14:textId="77777777" w:rsidR="00A618C1" w:rsidRPr="00A729D8" w:rsidRDefault="00A618C1" w:rsidP="002106F9">
            <w:pPr>
              <w:pStyle w:val="ListParagraph"/>
              <w:ind w:left="1080"/>
            </w:pPr>
            <w:r w:rsidRPr="00A729D8">
              <w:t>Reimbursements to volunteer emergency service personnel will be negotiated with the service provider, but, generally, will be limited to out-of-pocket or incidental expenses</w:t>
            </w:r>
          </w:p>
        </w:tc>
        <w:tc>
          <w:tcPr>
            <w:tcW w:w="2075" w:type="dxa"/>
          </w:tcPr>
          <w:p w14:paraId="78C3B935" w14:textId="77777777" w:rsidR="00A618C1" w:rsidRPr="00A729D8" w:rsidRDefault="005F76FA" w:rsidP="002106F9">
            <w:pPr>
              <w:jc w:val="center"/>
            </w:pPr>
            <w:r w:rsidRPr="00A729D8">
              <w:t>$</w:t>
            </w:r>
          </w:p>
        </w:tc>
      </w:tr>
      <w:tr w:rsidR="00A618C1" w:rsidRPr="00A729D8" w14:paraId="5C04278B" w14:textId="77777777" w:rsidTr="004F5940">
        <w:tc>
          <w:tcPr>
            <w:tcW w:w="6941" w:type="dxa"/>
          </w:tcPr>
          <w:p w14:paraId="6622E3DA" w14:textId="77777777" w:rsidR="00A618C1" w:rsidRPr="00A729D8" w:rsidRDefault="00A618C1" w:rsidP="00121729">
            <w:pPr>
              <w:pStyle w:val="ListParagraph"/>
              <w:numPr>
                <w:ilvl w:val="0"/>
                <w:numId w:val="132"/>
              </w:numPr>
            </w:pPr>
            <w:r w:rsidRPr="00A729D8">
              <w:lastRenderedPageBreak/>
              <w:t>Allowances</w:t>
            </w:r>
          </w:p>
          <w:p w14:paraId="638C0FE3" w14:textId="77777777" w:rsidR="00A618C1" w:rsidRPr="00A729D8" w:rsidRDefault="00A618C1" w:rsidP="00121729">
            <w:pPr>
              <w:pStyle w:val="ListParagraph"/>
              <w:numPr>
                <w:ilvl w:val="1"/>
                <w:numId w:val="132"/>
              </w:numPr>
            </w:pPr>
            <w:r w:rsidRPr="00A729D8">
              <w:t>Meal allowances for all people assisting directly with the response plan, if meals are not provided (X persons by $/day by Y days) Y days)</w:t>
            </w:r>
          </w:p>
          <w:p w14:paraId="0F4A74AC" w14:textId="77777777" w:rsidR="00A618C1" w:rsidRPr="00A729D8" w:rsidRDefault="00A618C1" w:rsidP="00121729">
            <w:pPr>
              <w:pStyle w:val="ListParagraph"/>
              <w:numPr>
                <w:ilvl w:val="1"/>
                <w:numId w:val="132"/>
              </w:numPr>
            </w:pPr>
            <w:r w:rsidRPr="00A729D8">
              <w:t>District allowances for eligible staff (X persons by $/day by Y days)</w:t>
            </w:r>
          </w:p>
          <w:p w14:paraId="366AB1F8" w14:textId="77777777" w:rsidR="00A618C1" w:rsidRPr="00A729D8" w:rsidRDefault="00A618C1" w:rsidP="00121729">
            <w:pPr>
              <w:pStyle w:val="ListParagraph"/>
              <w:numPr>
                <w:ilvl w:val="1"/>
                <w:numId w:val="132"/>
              </w:numPr>
            </w:pPr>
            <w:r w:rsidRPr="00A729D8">
              <w:t>Penalty rates</w:t>
            </w:r>
          </w:p>
          <w:p w14:paraId="363A3583" w14:textId="77777777" w:rsidR="00A618C1" w:rsidRPr="00A729D8" w:rsidRDefault="00A618C1" w:rsidP="00121729">
            <w:pPr>
              <w:pStyle w:val="ListParagraph"/>
              <w:numPr>
                <w:ilvl w:val="1"/>
                <w:numId w:val="132"/>
              </w:numPr>
            </w:pPr>
            <w:r w:rsidRPr="00A729D8">
              <w:t>Accommodation assistance (X persons by $/day by Y days)</w:t>
            </w:r>
            <w:r w:rsidRPr="00A729D8">
              <w:tab/>
            </w:r>
          </w:p>
        </w:tc>
        <w:tc>
          <w:tcPr>
            <w:tcW w:w="2075" w:type="dxa"/>
          </w:tcPr>
          <w:p w14:paraId="7223A1D4" w14:textId="77777777" w:rsidR="00A618C1" w:rsidRPr="00A729D8" w:rsidRDefault="005F76FA" w:rsidP="002106F9">
            <w:pPr>
              <w:jc w:val="center"/>
            </w:pPr>
            <w:r w:rsidRPr="00A729D8">
              <w:t>$</w:t>
            </w:r>
          </w:p>
        </w:tc>
      </w:tr>
    </w:tbl>
    <w:p w14:paraId="266DDE22" w14:textId="77777777" w:rsidR="00B34554" w:rsidRPr="00A729D8" w:rsidRDefault="00B34554" w:rsidP="002106F9">
      <w:pPr>
        <w:pStyle w:val="ScheduleL2"/>
      </w:pPr>
      <w:r w:rsidRPr="00A729D8">
        <w:t>Operating expenses</w:t>
      </w:r>
    </w:p>
    <w:tbl>
      <w:tblPr>
        <w:tblStyle w:val="TableGrid"/>
        <w:tblW w:w="0" w:type="auto"/>
        <w:tblLook w:val="04A0" w:firstRow="1" w:lastRow="0" w:firstColumn="1" w:lastColumn="0" w:noHBand="0" w:noVBand="1"/>
      </w:tblPr>
      <w:tblGrid>
        <w:gridCol w:w="6941"/>
        <w:gridCol w:w="2075"/>
      </w:tblGrid>
      <w:tr w:rsidR="00A618C1" w:rsidRPr="00A729D8" w14:paraId="6513B741" w14:textId="77777777" w:rsidTr="004F5940">
        <w:tc>
          <w:tcPr>
            <w:tcW w:w="6941" w:type="dxa"/>
          </w:tcPr>
          <w:p w14:paraId="5FEF81A3" w14:textId="77777777" w:rsidR="00A618C1" w:rsidRPr="00A729D8" w:rsidRDefault="005F76FA" w:rsidP="00121729">
            <w:pPr>
              <w:pStyle w:val="ListParagraph"/>
              <w:numPr>
                <w:ilvl w:val="0"/>
                <w:numId w:val="133"/>
              </w:numPr>
            </w:pPr>
            <w:r w:rsidRPr="00A729D8">
              <w:t>Costs of additional staff (X persons by $/day by Y days)</w:t>
            </w:r>
          </w:p>
        </w:tc>
        <w:tc>
          <w:tcPr>
            <w:tcW w:w="2075" w:type="dxa"/>
          </w:tcPr>
          <w:p w14:paraId="024D2867" w14:textId="77777777" w:rsidR="00A618C1" w:rsidRPr="00A729D8" w:rsidRDefault="005F76FA" w:rsidP="002106F9">
            <w:pPr>
              <w:jc w:val="center"/>
            </w:pPr>
            <w:r w:rsidRPr="00A729D8">
              <w:t>$</w:t>
            </w:r>
          </w:p>
        </w:tc>
      </w:tr>
      <w:tr w:rsidR="00A618C1" w:rsidRPr="00A729D8" w14:paraId="6773A3D3" w14:textId="77777777" w:rsidTr="004F5940">
        <w:tc>
          <w:tcPr>
            <w:tcW w:w="6941" w:type="dxa"/>
          </w:tcPr>
          <w:p w14:paraId="406A2F87" w14:textId="77777777" w:rsidR="00A618C1" w:rsidRPr="00A729D8" w:rsidRDefault="005F76FA" w:rsidP="00121729">
            <w:pPr>
              <w:pStyle w:val="ListParagraph"/>
              <w:numPr>
                <w:ilvl w:val="0"/>
                <w:numId w:val="133"/>
              </w:numPr>
            </w:pPr>
            <w:r w:rsidRPr="00A729D8">
              <w:t>External laboratory services ($/test by X tests)</w:t>
            </w:r>
          </w:p>
        </w:tc>
        <w:tc>
          <w:tcPr>
            <w:tcW w:w="2075" w:type="dxa"/>
          </w:tcPr>
          <w:p w14:paraId="44AE22A3" w14:textId="77777777" w:rsidR="00A618C1" w:rsidRPr="00A729D8" w:rsidRDefault="005F76FA" w:rsidP="002106F9">
            <w:pPr>
              <w:jc w:val="center"/>
            </w:pPr>
            <w:r w:rsidRPr="00A729D8">
              <w:t>$</w:t>
            </w:r>
          </w:p>
        </w:tc>
      </w:tr>
      <w:tr w:rsidR="00A618C1" w:rsidRPr="00A729D8" w14:paraId="11D3E861" w14:textId="77777777" w:rsidTr="004F5940">
        <w:tc>
          <w:tcPr>
            <w:tcW w:w="6941" w:type="dxa"/>
          </w:tcPr>
          <w:p w14:paraId="5A60C2F9" w14:textId="77777777" w:rsidR="00A618C1" w:rsidRPr="00A729D8" w:rsidRDefault="005F76FA" w:rsidP="00121729">
            <w:pPr>
              <w:pStyle w:val="ListParagraph"/>
              <w:numPr>
                <w:ilvl w:val="0"/>
                <w:numId w:val="133"/>
              </w:numPr>
            </w:pPr>
            <w:r w:rsidRPr="00A729D8">
              <w:t>Stores and equipment</w:t>
            </w:r>
            <w:r w:rsidRPr="00A729D8">
              <w:tab/>
            </w:r>
          </w:p>
        </w:tc>
        <w:tc>
          <w:tcPr>
            <w:tcW w:w="2075" w:type="dxa"/>
          </w:tcPr>
          <w:p w14:paraId="4D24A4D2" w14:textId="77777777" w:rsidR="00A618C1" w:rsidRPr="00A729D8" w:rsidRDefault="005F76FA" w:rsidP="002106F9">
            <w:pPr>
              <w:jc w:val="center"/>
            </w:pPr>
            <w:r w:rsidRPr="00A729D8">
              <w:t>$</w:t>
            </w:r>
          </w:p>
        </w:tc>
      </w:tr>
      <w:tr w:rsidR="00A618C1" w:rsidRPr="00A729D8" w14:paraId="573EE854" w14:textId="77777777" w:rsidTr="004F5940">
        <w:tc>
          <w:tcPr>
            <w:tcW w:w="6941" w:type="dxa"/>
          </w:tcPr>
          <w:p w14:paraId="09868DC9" w14:textId="77777777" w:rsidR="00A618C1" w:rsidRPr="00A729D8" w:rsidRDefault="005F76FA" w:rsidP="00121729">
            <w:pPr>
              <w:pStyle w:val="ListParagraph"/>
              <w:numPr>
                <w:ilvl w:val="0"/>
                <w:numId w:val="133"/>
              </w:numPr>
            </w:pPr>
            <w:r w:rsidRPr="00A729D8">
              <w:t xml:space="preserve">Other essential operating costs as determined by the NMG and specified in the </w:t>
            </w:r>
            <w:r w:rsidR="00E7297E" w:rsidRPr="00A729D8">
              <w:t>Response Plan</w:t>
            </w:r>
          </w:p>
        </w:tc>
        <w:tc>
          <w:tcPr>
            <w:tcW w:w="2075" w:type="dxa"/>
          </w:tcPr>
          <w:p w14:paraId="09FA0282" w14:textId="77777777" w:rsidR="00A618C1" w:rsidRPr="00A729D8" w:rsidRDefault="005F76FA" w:rsidP="002106F9">
            <w:pPr>
              <w:jc w:val="center"/>
            </w:pPr>
            <w:r w:rsidRPr="00A729D8">
              <w:t>$</w:t>
            </w:r>
          </w:p>
        </w:tc>
      </w:tr>
    </w:tbl>
    <w:p w14:paraId="2363B3B6" w14:textId="77777777" w:rsidR="00B34554" w:rsidRPr="00A729D8" w:rsidRDefault="00B34554" w:rsidP="002106F9">
      <w:pPr>
        <w:pStyle w:val="ScheduleL2"/>
      </w:pPr>
      <w:r w:rsidRPr="00A729D8">
        <w:t>Capital costs</w:t>
      </w:r>
    </w:p>
    <w:tbl>
      <w:tblPr>
        <w:tblStyle w:val="TableGrid"/>
        <w:tblW w:w="0" w:type="auto"/>
        <w:tblLook w:val="04A0" w:firstRow="1" w:lastRow="0" w:firstColumn="1" w:lastColumn="0" w:noHBand="0" w:noVBand="1"/>
      </w:tblPr>
      <w:tblGrid>
        <w:gridCol w:w="6941"/>
        <w:gridCol w:w="2075"/>
      </w:tblGrid>
      <w:tr w:rsidR="005F76FA" w:rsidRPr="00A729D8" w14:paraId="59AC80CE" w14:textId="77777777" w:rsidTr="004F5940">
        <w:tc>
          <w:tcPr>
            <w:tcW w:w="6941" w:type="dxa"/>
          </w:tcPr>
          <w:p w14:paraId="42F214C0" w14:textId="77777777" w:rsidR="005F76FA" w:rsidRPr="00A729D8" w:rsidRDefault="005F76FA" w:rsidP="002106F9">
            <w:pPr>
              <w:ind w:left="720"/>
            </w:pPr>
            <w:r w:rsidRPr="00A729D8">
              <w:t>Cost arising from obtaining (or obtaining the use of) essential equipment for the immediate servicing needs of the response plan</w:t>
            </w:r>
          </w:p>
        </w:tc>
        <w:tc>
          <w:tcPr>
            <w:tcW w:w="2075" w:type="dxa"/>
          </w:tcPr>
          <w:p w14:paraId="5C12D61A" w14:textId="77777777" w:rsidR="005F76FA" w:rsidRPr="00A729D8" w:rsidRDefault="005F76FA" w:rsidP="002106F9">
            <w:pPr>
              <w:jc w:val="center"/>
            </w:pPr>
            <w:r w:rsidRPr="00A729D8">
              <w:t>$</w:t>
            </w:r>
          </w:p>
        </w:tc>
      </w:tr>
    </w:tbl>
    <w:p w14:paraId="49D6451D" w14:textId="77777777" w:rsidR="00B34554" w:rsidRPr="00A729D8" w:rsidRDefault="00B34554" w:rsidP="002106F9">
      <w:pPr>
        <w:pStyle w:val="ScheduleL2"/>
      </w:pPr>
      <w:r w:rsidRPr="00A729D8">
        <w:t>Owner reimbursement costs</w:t>
      </w:r>
    </w:p>
    <w:tbl>
      <w:tblPr>
        <w:tblStyle w:val="TableGrid"/>
        <w:tblW w:w="0" w:type="auto"/>
        <w:tblLook w:val="04A0" w:firstRow="1" w:lastRow="0" w:firstColumn="1" w:lastColumn="0" w:noHBand="0" w:noVBand="1"/>
      </w:tblPr>
      <w:tblGrid>
        <w:gridCol w:w="6941"/>
        <w:gridCol w:w="2075"/>
      </w:tblGrid>
      <w:tr w:rsidR="005F76FA" w:rsidRPr="00A729D8" w14:paraId="19B680A4" w14:textId="77777777" w:rsidTr="004F5940">
        <w:tc>
          <w:tcPr>
            <w:tcW w:w="6941" w:type="dxa"/>
          </w:tcPr>
          <w:p w14:paraId="3C26410D" w14:textId="77777777" w:rsidR="005F76FA" w:rsidRPr="00A729D8" w:rsidRDefault="005F76FA" w:rsidP="002106F9">
            <w:pPr>
              <w:ind w:left="720"/>
            </w:pPr>
            <w:r w:rsidRPr="00A729D8">
              <w:t>Refer to item 3.4 of Schedule 5.</w:t>
            </w:r>
          </w:p>
        </w:tc>
        <w:tc>
          <w:tcPr>
            <w:tcW w:w="2075" w:type="dxa"/>
          </w:tcPr>
          <w:p w14:paraId="229A6F8F" w14:textId="77777777" w:rsidR="005F76FA" w:rsidRPr="00A729D8" w:rsidRDefault="005F76FA" w:rsidP="002106F9">
            <w:pPr>
              <w:jc w:val="center"/>
            </w:pPr>
            <w:r w:rsidRPr="00A729D8">
              <w:t>$</w:t>
            </w:r>
          </w:p>
        </w:tc>
      </w:tr>
    </w:tbl>
    <w:p w14:paraId="0971D631" w14:textId="77777777" w:rsidR="00B34554" w:rsidRPr="00A729D8" w:rsidRDefault="00B34554" w:rsidP="002106F9">
      <w:pPr>
        <w:pStyle w:val="ScheduleL1"/>
      </w:pPr>
      <w:r w:rsidRPr="00A729D8">
        <w:t>Monitoring of expenditure</w:t>
      </w:r>
    </w:p>
    <w:p w14:paraId="6F32DBA2" w14:textId="77777777" w:rsidR="00B34554" w:rsidRPr="00A729D8" w:rsidRDefault="00B34554" w:rsidP="002106F9">
      <w:pPr>
        <w:pStyle w:val="ScheduleL2"/>
      </w:pPr>
      <w:r w:rsidRPr="00A729D8">
        <w:t>NMG to set upper limit of expenditure</w:t>
      </w:r>
    </w:p>
    <w:p w14:paraId="0D20BAC9" w14:textId="77777777" w:rsidR="00B34554" w:rsidRPr="00A729D8" w:rsidRDefault="00B34554" w:rsidP="002106F9">
      <w:r w:rsidRPr="00A729D8">
        <w:t>The NMG will set an upper limit and review points on expenditure by reference to:</w:t>
      </w:r>
    </w:p>
    <w:p w14:paraId="3BAA57E8" w14:textId="77777777" w:rsidR="005F76FA" w:rsidRPr="00A729D8" w:rsidRDefault="00B34554" w:rsidP="00121729">
      <w:pPr>
        <w:pStyle w:val="ListParagraph"/>
        <w:numPr>
          <w:ilvl w:val="0"/>
          <w:numId w:val="134"/>
        </w:numPr>
      </w:pPr>
      <w:r w:rsidRPr="00A729D8">
        <w:t xml:space="preserve">the indicative budget that forms part of the approved </w:t>
      </w:r>
      <w:r w:rsidR="00C02F9A" w:rsidRPr="00A729D8">
        <w:t>R</w:t>
      </w:r>
      <w:r w:rsidRPr="00A729D8">
        <w:t xml:space="preserve">esponse </w:t>
      </w:r>
      <w:r w:rsidR="00C02F9A" w:rsidRPr="00A729D8">
        <w:t>P</w:t>
      </w:r>
      <w:r w:rsidRPr="00A729D8">
        <w:t>lan</w:t>
      </w:r>
    </w:p>
    <w:p w14:paraId="10FB438A" w14:textId="77777777" w:rsidR="00B34554" w:rsidRPr="00A729D8" w:rsidRDefault="00B34554" w:rsidP="00121729">
      <w:pPr>
        <w:pStyle w:val="ListParagraph"/>
        <w:numPr>
          <w:ilvl w:val="0"/>
          <w:numId w:val="134"/>
        </w:numPr>
      </w:pPr>
      <w:r w:rsidRPr="00A729D8">
        <w:t>the willingness of the parties to commit to that limit, having regard to the cost-sharing principles.</w:t>
      </w:r>
    </w:p>
    <w:p w14:paraId="125AB9F6" w14:textId="77777777" w:rsidR="00B34554" w:rsidRPr="00A729D8" w:rsidRDefault="00B34554" w:rsidP="002106F9">
      <w:pPr>
        <w:pStyle w:val="ScheduleL2"/>
      </w:pPr>
      <w:r w:rsidRPr="00A729D8">
        <w:t>Commitment of expenditure by the parties</w:t>
      </w:r>
    </w:p>
    <w:p w14:paraId="3D9CC804" w14:textId="77777777" w:rsidR="00B34554" w:rsidRPr="00A729D8" w:rsidRDefault="00B34554" w:rsidP="002106F9">
      <w:r w:rsidRPr="00A729D8">
        <w:t xml:space="preserve">The parties may commit expenditure without reference to the NMG, provided the budget and actual expenditure reported to the NMG from time to time (in accordance with item 2.1 of this attachment) are within the conditions set for the approved </w:t>
      </w:r>
      <w:r w:rsidR="00C02F9A" w:rsidRPr="00A729D8">
        <w:t>R</w:t>
      </w:r>
      <w:r w:rsidRPr="00A729D8">
        <w:t xml:space="preserve">esponse </w:t>
      </w:r>
      <w:r w:rsidR="00C02F9A" w:rsidRPr="00A729D8">
        <w:t>P</w:t>
      </w:r>
      <w:r w:rsidRPr="00A729D8">
        <w:t>lan.</w:t>
      </w:r>
    </w:p>
    <w:p w14:paraId="42B21D64" w14:textId="77777777" w:rsidR="00B34554" w:rsidRPr="00A729D8" w:rsidRDefault="00B34554" w:rsidP="002106F9">
      <w:pPr>
        <w:pStyle w:val="ScheduleL2"/>
      </w:pPr>
      <w:r w:rsidRPr="00A729D8">
        <w:lastRenderedPageBreak/>
        <w:t>Review of upper limit of expenditure</w:t>
      </w:r>
    </w:p>
    <w:p w14:paraId="461E5A4C" w14:textId="1EEA6490" w:rsidR="00B34554" w:rsidRPr="00A729D8" w:rsidRDefault="00B34554" w:rsidP="002106F9">
      <w:r w:rsidRPr="00A729D8">
        <w:t>The upper limit should be regularly reviewed by the NMG and communicated to the parties</w:t>
      </w:r>
      <w:r w:rsidR="0061444A" w:rsidRPr="00A729D8">
        <w:t xml:space="preserve">, including non-government </w:t>
      </w:r>
      <w:r w:rsidR="005A4D74" w:rsidRPr="00A729D8">
        <w:t xml:space="preserve">entities </w:t>
      </w:r>
      <w:r w:rsidR="0061444A" w:rsidRPr="00A729D8">
        <w:t>that are voting members at NMG,</w:t>
      </w:r>
      <w:r w:rsidRPr="00A729D8">
        <w:t xml:space="preserve"> involved in implement</w:t>
      </w:r>
      <w:r w:rsidR="005F76FA" w:rsidRPr="00A729D8">
        <w:t xml:space="preserve">ing the </w:t>
      </w:r>
      <w:r w:rsidR="00C02F9A" w:rsidRPr="00A729D8">
        <w:t>Response P</w:t>
      </w:r>
      <w:r w:rsidR="005F76FA" w:rsidRPr="00A729D8">
        <w:t>lan.</w:t>
      </w:r>
    </w:p>
    <w:p w14:paraId="157AEEB4" w14:textId="77777777" w:rsidR="00B34554" w:rsidRPr="00A729D8" w:rsidRDefault="00B34554" w:rsidP="002106F9">
      <w:pPr>
        <w:pStyle w:val="ScheduleL2"/>
      </w:pPr>
      <w:r w:rsidRPr="00A729D8">
        <w:t>Effect of upper limit of expenditure</w:t>
      </w:r>
    </w:p>
    <w:p w14:paraId="282421BF" w14:textId="77777777" w:rsidR="00B34554" w:rsidRPr="00A729D8" w:rsidRDefault="00B34554" w:rsidP="002106F9">
      <w:r w:rsidRPr="00A729D8">
        <w:t>Expenditure in excess of the upper limit may not be approv</w:t>
      </w:r>
      <w:r w:rsidR="005F76FA" w:rsidRPr="00A729D8">
        <w:t>ed by the NMG for cost-sharing.</w:t>
      </w:r>
    </w:p>
    <w:p w14:paraId="0D2F5243" w14:textId="77777777" w:rsidR="000C65B9" w:rsidRPr="00A729D8" w:rsidRDefault="000C65B9" w:rsidP="002106F9">
      <w:pPr>
        <w:spacing w:before="0" w:after="160" w:line="252" w:lineRule="auto"/>
        <w:jc w:val="both"/>
        <w:rPr>
          <w:b/>
        </w:rPr>
      </w:pPr>
      <w:r w:rsidRPr="00A729D8">
        <w:br w:type="page"/>
      </w:r>
    </w:p>
    <w:p w14:paraId="6B739ED1" w14:textId="77777777" w:rsidR="00B34554" w:rsidRPr="00A729D8" w:rsidRDefault="00C02F9A" w:rsidP="002106F9">
      <w:pPr>
        <w:pStyle w:val="Heading2"/>
        <w:keepNext w:val="0"/>
        <w:keepLines w:val="0"/>
        <w:numPr>
          <w:ilvl w:val="0"/>
          <w:numId w:val="0"/>
        </w:numPr>
      </w:pPr>
      <w:bookmarkStart w:id="279" w:name="_Toc7528165"/>
      <w:r w:rsidRPr="00A729D8">
        <w:lastRenderedPageBreak/>
        <w:t>Attachment 4</w:t>
      </w:r>
      <w:r w:rsidR="00B34554" w:rsidRPr="00A729D8">
        <w:t>G</w:t>
      </w:r>
      <w:r w:rsidR="000C65B9" w:rsidRPr="00A729D8">
        <w:t xml:space="preserve"> – </w:t>
      </w:r>
      <w:r w:rsidR="00E7297E" w:rsidRPr="00A729D8">
        <w:t>Response Plan</w:t>
      </w:r>
      <w:r w:rsidR="00B34554" w:rsidRPr="00A729D8">
        <w:t xml:space="preserve"> audit requirements</w:t>
      </w:r>
      <w:bookmarkEnd w:id="279"/>
    </w:p>
    <w:p w14:paraId="4DA0A6E5" w14:textId="77777777" w:rsidR="00B34554" w:rsidRPr="00A729D8" w:rsidRDefault="00B34554" w:rsidP="00121729">
      <w:pPr>
        <w:pStyle w:val="ScheduleL1"/>
        <w:numPr>
          <w:ilvl w:val="0"/>
          <w:numId w:val="135"/>
        </w:numPr>
      </w:pPr>
      <w:r w:rsidRPr="00A729D8">
        <w:t>Introduction</w:t>
      </w:r>
    </w:p>
    <w:p w14:paraId="272F797B" w14:textId="77777777" w:rsidR="00B34554" w:rsidRPr="00A729D8" w:rsidRDefault="00B34554" w:rsidP="002106F9">
      <w:r w:rsidRPr="00A729D8">
        <w:t>This attachment sets out</w:t>
      </w:r>
      <w:r w:rsidR="005F76FA" w:rsidRPr="00A729D8">
        <w:t xml:space="preserve"> the detailed requirements for:</w:t>
      </w:r>
    </w:p>
    <w:p w14:paraId="635438CD" w14:textId="77777777" w:rsidR="00B34554" w:rsidRPr="00A729D8" w:rsidRDefault="00B34554" w:rsidP="00121729">
      <w:pPr>
        <w:pStyle w:val="ListParagraph"/>
        <w:numPr>
          <w:ilvl w:val="0"/>
          <w:numId w:val="136"/>
        </w:numPr>
      </w:pPr>
      <w:r w:rsidRPr="00A729D8">
        <w:t xml:space="preserve">efficiency audits obtained by the NMG in accordance with clause </w:t>
      </w:r>
      <w:r w:rsidR="009949A4" w:rsidRPr="00A729D8">
        <w:t>7</w:t>
      </w:r>
      <w:r w:rsidR="000851C9" w:rsidRPr="00A729D8">
        <w:t>.12</w:t>
      </w:r>
      <w:r w:rsidRPr="00A729D8">
        <w:t xml:space="preserve"> of the agreement.</w:t>
      </w:r>
    </w:p>
    <w:p w14:paraId="3113F780" w14:textId="77777777" w:rsidR="00B34554" w:rsidRPr="00A729D8" w:rsidRDefault="00B34554" w:rsidP="00121729">
      <w:pPr>
        <w:pStyle w:val="ListParagraph"/>
        <w:numPr>
          <w:ilvl w:val="0"/>
          <w:numId w:val="136"/>
        </w:numPr>
      </w:pPr>
      <w:r w:rsidRPr="00A729D8">
        <w:t xml:space="preserve">financial audits arranged and obtained by the notifying party in accordance with clause </w:t>
      </w:r>
      <w:r w:rsidR="009949A4" w:rsidRPr="00A729D8">
        <w:t>7</w:t>
      </w:r>
      <w:r w:rsidR="000851C9" w:rsidRPr="00A729D8">
        <w:t>.12</w:t>
      </w:r>
      <w:r w:rsidRPr="00A729D8">
        <w:t xml:space="preserve"> of the agreement.</w:t>
      </w:r>
    </w:p>
    <w:p w14:paraId="660AB9F9" w14:textId="77777777" w:rsidR="00D04914" w:rsidRPr="00A729D8" w:rsidRDefault="00B34554" w:rsidP="002106F9">
      <w:pPr>
        <w:pStyle w:val="ScheduleL1"/>
      </w:pPr>
      <w:r w:rsidRPr="00A729D8">
        <w:t>Efficiency auditing</w:t>
      </w:r>
    </w:p>
    <w:p w14:paraId="7F0672D9" w14:textId="77777777" w:rsidR="00B34554" w:rsidRPr="00A729D8" w:rsidRDefault="00B34554" w:rsidP="002106F9">
      <w:pPr>
        <w:pStyle w:val="ScheduleL2"/>
      </w:pPr>
      <w:r w:rsidRPr="00A729D8">
        <w:t>Role of the efficiency audit</w:t>
      </w:r>
    </w:p>
    <w:p w14:paraId="3570DAF4" w14:textId="77777777" w:rsidR="00B34554" w:rsidRPr="00A729D8" w:rsidRDefault="00B34554" w:rsidP="00DE6CA5">
      <w:r w:rsidRPr="00A729D8">
        <w:t>The efficiency auditor should undertake a systematic and independent ex</w:t>
      </w:r>
      <w:r w:rsidR="005F76FA" w:rsidRPr="00A729D8">
        <w:t>amination to determine whether</w:t>
      </w:r>
      <w:r w:rsidR="00DE6CA5" w:rsidRPr="00A729D8">
        <w:t xml:space="preserve"> </w:t>
      </w:r>
      <w:r w:rsidRPr="00A729D8">
        <w:t xml:space="preserve">activities undertaken by the affected parties comply with the relevant </w:t>
      </w:r>
      <w:r w:rsidR="00E7297E" w:rsidRPr="00A729D8">
        <w:t>Response Plan</w:t>
      </w:r>
      <w:r w:rsidR="00DE6CA5" w:rsidRPr="00A729D8">
        <w:t xml:space="preserve"> and </w:t>
      </w:r>
      <w:r w:rsidRPr="00A729D8">
        <w:t>the plan is implemented effectively and will achieve its objectives.</w:t>
      </w:r>
    </w:p>
    <w:p w14:paraId="458CA0AD" w14:textId="77777777" w:rsidR="00B34554" w:rsidRPr="00A729D8" w:rsidRDefault="00B34554" w:rsidP="002106F9">
      <w:pPr>
        <w:pStyle w:val="ScheduleL2"/>
      </w:pPr>
      <w:r w:rsidRPr="00A729D8">
        <w:t>Matters relevant to efficiency audit</w:t>
      </w:r>
    </w:p>
    <w:p w14:paraId="3EFCE51D" w14:textId="3D7F3E26" w:rsidR="00B34554" w:rsidRPr="00A729D8" w:rsidRDefault="00B34554" w:rsidP="002106F9">
      <w:r w:rsidRPr="00A729D8">
        <w:t>The efficiency auditor must</w:t>
      </w:r>
      <w:r w:rsidR="00DB3BDB" w:rsidRPr="00A729D8">
        <w:t xml:space="preserve"> have regard to</w:t>
      </w:r>
      <w:r w:rsidR="00631260" w:rsidRPr="00A729D8">
        <w:t xml:space="preserve"> whether</w:t>
      </w:r>
      <w:r w:rsidRPr="00A729D8">
        <w:t>:</w:t>
      </w:r>
    </w:p>
    <w:p w14:paraId="06EE6254" w14:textId="7CFF4F4A" w:rsidR="005F76FA" w:rsidRPr="00A729D8" w:rsidRDefault="00B34554" w:rsidP="00121729">
      <w:pPr>
        <w:pStyle w:val="ListParagraph"/>
        <w:numPr>
          <w:ilvl w:val="0"/>
          <w:numId w:val="137"/>
        </w:numPr>
      </w:pPr>
      <w:r w:rsidRPr="00A729D8">
        <w:t>the activities detailed in the national response plan are being implemented as described</w:t>
      </w:r>
    </w:p>
    <w:p w14:paraId="023EED5D" w14:textId="6991CD3B" w:rsidR="005F76FA" w:rsidRPr="00A729D8" w:rsidRDefault="00B34554" w:rsidP="00121729">
      <w:pPr>
        <w:pStyle w:val="ListParagraph"/>
        <w:numPr>
          <w:ilvl w:val="0"/>
          <w:numId w:val="137"/>
        </w:numPr>
      </w:pPr>
      <w:r w:rsidRPr="00A729D8">
        <w:t>the activities of the notifying party are conducted in an effective and efficient manner</w:t>
      </w:r>
    </w:p>
    <w:p w14:paraId="4324A8C8" w14:textId="197B3A4F" w:rsidR="005F76FA" w:rsidRPr="00A729D8" w:rsidRDefault="00B34554" w:rsidP="00121729">
      <w:pPr>
        <w:pStyle w:val="ListParagraph"/>
        <w:numPr>
          <w:ilvl w:val="0"/>
          <w:numId w:val="137"/>
        </w:numPr>
      </w:pPr>
      <w:r w:rsidRPr="00A729D8">
        <w:t>the costs</w:t>
      </w:r>
    </w:p>
    <w:p w14:paraId="706BC9A3" w14:textId="77777777" w:rsidR="005F76FA" w:rsidRPr="00A729D8" w:rsidRDefault="00B34554" w:rsidP="00121729">
      <w:pPr>
        <w:pStyle w:val="ListParagraph"/>
        <w:numPr>
          <w:ilvl w:val="1"/>
          <w:numId w:val="137"/>
        </w:numPr>
      </w:pPr>
      <w:r w:rsidRPr="00A729D8">
        <w:t>incurred by the notifying party, or any other affected party, are in accordance with the plan; and</w:t>
      </w:r>
    </w:p>
    <w:p w14:paraId="72235FE8" w14:textId="77777777" w:rsidR="005F76FA" w:rsidRPr="00A729D8" w:rsidRDefault="00B34554" w:rsidP="00121729">
      <w:pPr>
        <w:pStyle w:val="ListParagraph"/>
        <w:numPr>
          <w:ilvl w:val="1"/>
          <w:numId w:val="137"/>
        </w:numPr>
      </w:pPr>
      <w:r w:rsidRPr="00A729D8">
        <w:t>that those parties agree to cost-sharing</w:t>
      </w:r>
    </w:p>
    <w:p w14:paraId="5223447C" w14:textId="77777777" w:rsidR="005F76FA" w:rsidRPr="00A729D8" w:rsidRDefault="00B34554" w:rsidP="002106F9">
      <w:pPr>
        <w:pStyle w:val="ListParagraph"/>
        <w:ind w:left="1800"/>
      </w:pPr>
      <w:r w:rsidRPr="00A729D8">
        <w:t xml:space="preserve">are valid, accurate and in accordance with item 3 of Schedule </w:t>
      </w:r>
      <w:r w:rsidR="000851C9" w:rsidRPr="00A729D8">
        <w:t>4</w:t>
      </w:r>
    </w:p>
    <w:p w14:paraId="2E0736F8" w14:textId="1BAA11B5" w:rsidR="00B34554" w:rsidRPr="00A729D8" w:rsidRDefault="00B34554" w:rsidP="00121729">
      <w:pPr>
        <w:pStyle w:val="ListParagraph"/>
        <w:numPr>
          <w:ilvl w:val="0"/>
          <w:numId w:val="137"/>
        </w:numPr>
      </w:pPr>
      <w:r w:rsidRPr="00A729D8">
        <w:t xml:space="preserve">if necessary, </w:t>
      </w:r>
      <w:r w:rsidR="005A6FA8" w:rsidRPr="00A729D8">
        <w:t xml:space="preserve">a </w:t>
      </w:r>
      <w:r w:rsidRPr="00A729D8">
        <w:t>recommend</w:t>
      </w:r>
      <w:r w:rsidR="005A6FA8" w:rsidRPr="00A729D8">
        <w:t>ation for</w:t>
      </w:r>
      <w:r w:rsidRPr="00A729D8">
        <w:t xml:space="preserve"> corrective action to modify the response plan</w:t>
      </w:r>
      <w:r w:rsidR="005A6FA8" w:rsidRPr="00A729D8">
        <w:t xml:space="preserve"> is required</w:t>
      </w:r>
      <w:r w:rsidRPr="00A729D8">
        <w:t>.</w:t>
      </w:r>
    </w:p>
    <w:p w14:paraId="65D48D7A" w14:textId="77777777" w:rsidR="00B34554" w:rsidRPr="00A729D8" w:rsidRDefault="00B34554" w:rsidP="002106F9">
      <w:pPr>
        <w:pStyle w:val="ScheduleL2"/>
      </w:pPr>
      <w:r w:rsidRPr="00A729D8">
        <w:t>Frequency of efficiency audits</w:t>
      </w:r>
    </w:p>
    <w:p w14:paraId="264462CE" w14:textId="77777777" w:rsidR="005F76FA" w:rsidRPr="00A729D8" w:rsidRDefault="00B34554" w:rsidP="00121729">
      <w:pPr>
        <w:pStyle w:val="ListParagraph"/>
        <w:numPr>
          <w:ilvl w:val="0"/>
          <w:numId w:val="138"/>
        </w:numPr>
      </w:pPr>
      <w:r w:rsidRPr="00A729D8">
        <w:t>The efficiency auditor will be required to undertake progressive audits during the course of the national response plan’s implementation:</w:t>
      </w:r>
    </w:p>
    <w:p w14:paraId="288F3860" w14:textId="77777777" w:rsidR="005F76FA" w:rsidRPr="00A729D8" w:rsidRDefault="00B34554" w:rsidP="00121729">
      <w:pPr>
        <w:pStyle w:val="ListParagraph"/>
        <w:numPr>
          <w:ilvl w:val="1"/>
          <w:numId w:val="138"/>
        </w:numPr>
      </w:pPr>
      <w:r w:rsidRPr="00A729D8">
        <w:t>as required by the affected parties</w:t>
      </w:r>
    </w:p>
    <w:p w14:paraId="197295EA" w14:textId="77777777" w:rsidR="005F76FA" w:rsidRPr="00A729D8" w:rsidRDefault="00B34554" w:rsidP="00121729">
      <w:pPr>
        <w:pStyle w:val="ListParagraph"/>
        <w:numPr>
          <w:ilvl w:val="1"/>
          <w:numId w:val="138"/>
        </w:numPr>
      </w:pPr>
      <w:r w:rsidRPr="00A729D8">
        <w:t>at the end of each six months (or any other agreed period) from the start of the response.</w:t>
      </w:r>
    </w:p>
    <w:p w14:paraId="5BEE0015" w14:textId="77777777" w:rsidR="00B34554" w:rsidRPr="00A729D8" w:rsidRDefault="00B34554" w:rsidP="00121729">
      <w:pPr>
        <w:pStyle w:val="ListParagraph"/>
        <w:numPr>
          <w:ilvl w:val="0"/>
          <w:numId w:val="138"/>
        </w:numPr>
      </w:pPr>
      <w:r w:rsidRPr="00A729D8">
        <w:t>The efficiency auditor must provide a final report to the NMG within 60 days of proof- of-freedom.</w:t>
      </w:r>
    </w:p>
    <w:p w14:paraId="548609CF" w14:textId="77777777" w:rsidR="00B34554" w:rsidRPr="00A729D8" w:rsidRDefault="00B34554" w:rsidP="002106F9">
      <w:pPr>
        <w:pStyle w:val="ScheduleL2"/>
      </w:pPr>
      <w:r w:rsidRPr="00A729D8">
        <w:t>Compliance with auditing standards</w:t>
      </w:r>
    </w:p>
    <w:p w14:paraId="35331E6B" w14:textId="77777777" w:rsidR="00B34554" w:rsidRPr="00A729D8" w:rsidRDefault="00B34554" w:rsidP="002106F9">
      <w:r w:rsidRPr="00A729D8">
        <w:t>The audit must be conducted in accordance with Australian auditing standards.</w:t>
      </w:r>
    </w:p>
    <w:p w14:paraId="0522CF02" w14:textId="77777777" w:rsidR="00B34554" w:rsidRPr="00A729D8" w:rsidRDefault="00B34554" w:rsidP="002106F9">
      <w:pPr>
        <w:pStyle w:val="ScheduleL1"/>
      </w:pPr>
      <w:r w:rsidRPr="00A729D8">
        <w:lastRenderedPageBreak/>
        <w:t>Financial auditing</w:t>
      </w:r>
    </w:p>
    <w:p w14:paraId="236C34ED" w14:textId="77777777" w:rsidR="00B34554" w:rsidRPr="00A729D8" w:rsidRDefault="00B34554" w:rsidP="002106F9">
      <w:pPr>
        <w:pStyle w:val="ScheduleL2"/>
      </w:pPr>
      <w:r w:rsidRPr="00A729D8">
        <w:t>Matters relevant to the financial auditor</w:t>
      </w:r>
    </w:p>
    <w:p w14:paraId="09374097" w14:textId="77777777" w:rsidR="00B34554" w:rsidRPr="00A729D8" w:rsidRDefault="00B34554" w:rsidP="002106F9">
      <w:r w:rsidRPr="00A729D8">
        <w:t>The financial auditor must have regard to the following:</w:t>
      </w:r>
    </w:p>
    <w:p w14:paraId="27B5A830" w14:textId="77777777" w:rsidR="005F76FA" w:rsidRPr="00A729D8" w:rsidRDefault="00B34554" w:rsidP="00121729">
      <w:pPr>
        <w:pStyle w:val="ListParagraph"/>
        <w:numPr>
          <w:ilvl w:val="0"/>
          <w:numId w:val="139"/>
        </w:numPr>
      </w:pPr>
      <w:r w:rsidRPr="00A729D8">
        <w:t>attestation of financial data incorporated in prescribed financial statements prepared by the affected parties seeking cost-sharing payments, including the expression of an opinion as to whether the financial statements fairly present the financial position and the results of financial operations in terms of this agreement, accounting standards and other administrative guidelines</w:t>
      </w:r>
    </w:p>
    <w:p w14:paraId="7F021047" w14:textId="77777777" w:rsidR="005F76FA" w:rsidRPr="00A729D8" w:rsidRDefault="00B34554" w:rsidP="00121729">
      <w:pPr>
        <w:pStyle w:val="ListParagraph"/>
        <w:numPr>
          <w:ilvl w:val="0"/>
          <w:numId w:val="139"/>
        </w:numPr>
      </w:pPr>
      <w:r w:rsidRPr="00A729D8">
        <w:t>examination of financial systems and transactions, including an evaluation of compliance with this agreement</w:t>
      </w:r>
    </w:p>
    <w:p w14:paraId="0D3761A4" w14:textId="77777777" w:rsidR="005F76FA" w:rsidRPr="00A729D8" w:rsidRDefault="00B34554" w:rsidP="00121729">
      <w:pPr>
        <w:pStyle w:val="ListParagraph"/>
        <w:numPr>
          <w:ilvl w:val="0"/>
          <w:numId w:val="139"/>
        </w:numPr>
      </w:pPr>
      <w:r w:rsidRPr="00A729D8">
        <w:t>reporting of observations or suggestions about any matters arising from audits that the auditor considers should be brought to the attention of the affected parties or the NMG</w:t>
      </w:r>
    </w:p>
    <w:p w14:paraId="20A98F25" w14:textId="77777777" w:rsidR="005F76FA" w:rsidRPr="00A729D8" w:rsidRDefault="00B34554" w:rsidP="00121729">
      <w:pPr>
        <w:pStyle w:val="ListParagraph"/>
        <w:numPr>
          <w:ilvl w:val="0"/>
          <w:numId w:val="139"/>
        </w:numPr>
      </w:pPr>
      <w:r w:rsidRPr="00A729D8">
        <w:t>where they become apparent in the course of the audit, the identification of any potential claims or litigation matters which may involve any affected parties, whether jointly or individually, and the extent of any exposure to such claims or litigation</w:t>
      </w:r>
    </w:p>
    <w:p w14:paraId="23E54B9F" w14:textId="77777777" w:rsidR="00B34554" w:rsidRPr="00A729D8" w:rsidRDefault="00B34554" w:rsidP="00121729">
      <w:pPr>
        <w:pStyle w:val="ListParagraph"/>
        <w:numPr>
          <w:ilvl w:val="0"/>
          <w:numId w:val="139"/>
        </w:numPr>
      </w:pPr>
      <w:r w:rsidRPr="00A729D8">
        <w:t>any other activities and issues that the affected parties may require.</w:t>
      </w:r>
    </w:p>
    <w:p w14:paraId="2E92C9B0" w14:textId="77777777" w:rsidR="00B34554" w:rsidRPr="00A729D8" w:rsidRDefault="00B34554" w:rsidP="002106F9">
      <w:pPr>
        <w:pStyle w:val="ScheduleL2"/>
      </w:pPr>
      <w:r w:rsidRPr="00A729D8">
        <w:t>Financial auditor to have access to records</w:t>
      </w:r>
    </w:p>
    <w:p w14:paraId="50501DE2" w14:textId="77777777" w:rsidR="00B34554" w:rsidRPr="00A729D8" w:rsidRDefault="00B34554" w:rsidP="002106F9">
      <w:r w:rsidRPr="00A729D8">
        <w:t xml:space="preserve">The financial auditor is entitled, at any reasonable time, to full and free access to all documents, records and property relevant to an audit, and should receive the necessary cooperation from all </w:t>
      </w:r>
      <w:r w:rsidR="0061444A" w:rsidRPr="00A729D8">
        <w:t xml:space="preserve">affected </w:t>
      </w:r>
      <w:r w:rsidRPr="00A729D8">
        <w:t>parties in undertaking an audit.</w:t>
      </w:r>
    </w:p>
    <w:p w14:paraId="2C9742BE" w14:textId="77777777" w:rsidR="00B34554" w:rsidRPr="00A729D8" w:rsidRDefault="00B34554" w:rsidP="002106F9">
      <w:pPr>
        <w:pStyle w:val="ScheduleL2"/>
      </w:pPr>
      <w:r w:rsidRPr="00A729D8">
        <w:t>Frequency of financial audits</w:t>
      </w:r>
    </w:p>
    <w:p w14:paraId="41E82C1E" w14:textId="77777777" w:rsidR="00B34554" w:rsidRPr="00A729D8" w:rsidRDefault="00B34554" w:rsidP="002106F9">
      <w:r w:rsidRPr="00A729D8">
        <w:t>A final financial audit report will be provided to all affected parties and the NMG within 60 days of proof-of-freedom (or on another date agreed to by the affected parties).</w:t>
      </w:r>
    </w:p>
    <w:p w14:paraId="02F1647A" w14:textId="77777777" w:rsidR="00B34554" w:rsidRPr="00A729D8" w:rsidRDefault="00B34554" w:rsidP="002106F9">
      <w:pPr>
        <w:pStyle w:val="ScheduleL2"/>
      </w:pPr>
      <w:r w:rsidRPr="00A729D8">
        <w:t>Compliance with auditing standards</w:t>
      </w:r>
    </w:p>
    <w:p w14:paraId="01A84D2D" w14:textId="77777777" w:rsidR="00B34554" w:rsidRPr="00A729D8" w:rsidRDefault="00B34554" w:rsidP="002106F9">
      <w:r w:rsidRPr="00A729D8">
        <w:t>The financial audits must be conducted in accordance with Australian auditing standards.</w:t>
      </w:r>
    </w:p>
    <w:p w14:paraId="30A57B50" w14:textId="77777777" w:rsidR="00B34554" w:rsidRPr="00A729D8" w:rsidRDefault="00B34554" w:rsidP="002106F9">
      <w:r w:rsidRPr="00A729D8">
        <w:t xml:space="preserve"> </w:t>
      </w:r>
    </w:p>
    <w:p w14:paraId="57786CDE" w14:textId="77777777" w:rsidR="004936ED" w:rsidRPr="00A729D8" w:rsidRDefault="004936ED" w:rsidP="002106F9">
      <w:pPr>
        <w:spacing w:before="0" w:after="160" w:line="252" w:lineRule="auto"/>
        <w:rPr>
          <w:rFonts w:eastAsiaTheme="majorEastAsia" w:cstheme="majorBidi"/>
          <w:b/>
          <w:bCs/>
          <w:caps/>
          <w:spacing w:val="4"/>
          <w:szCs w:val="28"/>
        </w:rPr>
      </w:pPr>
      <w:r w:rsidRPr="00A729D8">
        <w:br w:type="page"/>
      </w:r>
    </w:p>
    <w:p w14:paraId="41F57247" w14:textId="77777777" w:rsidR="00B34554" w:rsidRPr="00A729D8" w:rsidRDefault="00B34554" w:rsidP="002106F9">
      <w:pPr>
        <w:pStyle w:val="Heading1"/>
        <w:keepNext w:val="0"/>
        <w:keepLines w:val="0"/>
        <w:numPr>
          <w:ilvl w:val="0"/>
          <w:numId w:val="0"/>
        </w:numPr>
      </w:pPr>
      <w:bookmarkStart w:id="280" w:name="_Toc7528166"/>
      <w:r w:rsidRPr="00A729D8">
        <w:lastRenderedPageBreak/>
        <w:t xml:space="preserve">Schedule </w:t>
      </w:r>
      <w:r w:rsidR="00C02F9A" w:rsidRPr="00A729D8">
        <w:t>5</w:t>
      </w:r>
      <w:r w:rsidR="00EF77A9" w:rsidRPr="00A729D8">
        <w:t xml:space="preserve"> – </w:t>
      </w:r>
      <w:r w:rsidRPr="00A729D8">
        <w:t>Legislative</w:t>
      </w:r>
      <w:r w:rsidR="00EF77A9" w:rsidRPr="00A729D8">
        <w:t xml:space="preserve"> </w:t>
      </w:r>
      <w:r w:rsidRPr="00A729D8">
        <w:t>and administrative arrangements</w:t>
      </w:r>
      <w:bookmarkEnd w:id="280"/>
    </w:p>
    <w:p w14:paraId="002DE610" w14:textId="77777777" w:rsidR="00B34554" w:rsidRPr="00A729D8" w:rsidRDefault="00B34554" w:rsidP="00121729">
      <w:pPr>
        <w:pStyle w:val="ScheduleL1"/>
        <w:numPr>
          <w:ilvl w:val="0"/>
          <w:numId w:val="61"/>
        </w:numPr>
      </w:pPr>
      <w:r w:rsidRPr="00A729D8">
        <w:t>Introduction</w:t>
      </w:r>
    </w:p>
    <w:p w14:paraId="7BDFA63C" w14:textId="77777777" w:rsidR="00B34554" w:rsidRPr="00A729D8" w:rsidRDefault="00B34554" w:rsidP="002106F9">
      <w:r w:rsidRPr="00A729D8">
        <w:t>This schedule outlines the approach parties should adopt in reviewing their legislative and administrative arrangem</w:t>
      </w:r>
      <w:r w:rsidR="0061444A" w:rsidRPr="00A729D8">
        <w:t>ents, as required under clause 9</w:t>
      </w:r>
      <w:r w:rsidRPr="00A729D8">
        <w:t xml:space="preserve"> of the agreement.</w:t>
      </w:r>
    </w:p>
    <w:p w14:paraId="4DF9555E" w14:textId="77777777" w:rsidR="00B34554" w:rsidRPr="00A729D8" w:rsidRDefault="00B34554" w:rsidP="002106F9">
      <w:pPr>
        <w:pStyle w:val="ScheduleL2"/>
      </w:pPr>
      <w:r w:rsidRPr="00A729D8">
        <w:t>Emergency response</w:t>
      </w:r>
    </w:p>
    <w:p w14:paraId="714CCBE4" w14:textId="77777777" w:rsidR="00B34554" w:rsidRPr="00A729D8" w:rsidRDefault="00B34554" w:rsidP="002106F9">
      <w:r w:rsidRPr="00A729D8">
        <w:t>In determining whether the legislative and administrative arrangements support a party’s commitments under this agreement, the parties should consider whether the arrangements:</w:t>
      </w:r>
    </w:p>
    <w:p w14:paraId="2A36D461" w14:textId="77777777" w:rsidR="004936ED" w:rsidRPr="00A729D8" w:rsidRDefault="00B34554" w:rsidP="00121729">
      <w:pPr>
        <w:pStyle w:val="ListParagraph"/>
        <w:numPr>
          <w:ilvl w:val="0"/>
          <w:numId w:val="62"/>
        </w:numPr>
      </w:pPr>
      <w:r w:rsidRPr="00A729D8">
        <w:t>prevent injunctions from being obtained that would restrain or prevent a party from undertaking critical emergency response measures</w:t>
      </w:r>
    </w:p>
    <w:p w14:paraId="147E4C1B" w14:textId="77777777" w:rsidR="004936ED" w:rsidRPr="00A729D8" w:rsidRDefault="00B34554" w:rsidP="00121729">
      <w:pPr>
        <w:pStyle w:val="ListParagraph"/>
        <w:numPr>
          <w:ilvl w:val="0"/>
          <w:numId w:val="62"/>
        </w:numPr>
      </w:pPr>
      <w:r w:rsidRPr="00A729D8">
        <w:t>indemnify their agencies’ staff undertaking action as part of a national response</w:t>
      </w:r>
    </w:p>
    <w:p w14:paraId="4C3A6A7F" w14:textId="77777777" w:rsidR="004936ED" w:rsidRPr="00A729D8" w:rsidRDefault="00B34554" w:rsidP="00121729">
      <w:pPr>
        <w:pStyle w:val="ListParagraph"/>
        <w:numPr>
          <w:ilvl w:val="0"/>
          <w:numId w:val="62"/>
        </w:numPr>
      </w:pPr>
      <w:r w:rsidRPr="00A729D8">
        <w:t>empower their agencies’ staff to enter properties in order to</w:t>
      </w:r>
    </w:p>
    <w:p w14:paraId="781456EF" w14:textId="77777777" w:rsidR="004936ED" w:rsidRPr="00A729D8" w:rsidRDefault="00B34554" w:rsidP="00121729">
      <w:pPr>
        <w:pStyle w:val="ListParagraph"/>
        <w:numPr>
          <w:ilvl w:val="1"/>
          <w:numId w:val="62"/>
        </w:numPr>
      </w:pPr>
      <w:r w:rsidRPr="00A729D8">
        <w:t>determine the presence or absence of a pest or disease</w:t>
      </w:r>
    </w:p>
    <w:p w14:paraId="3F5815FF" w14:textId="77777777" w:rsidR="004936ED" w:rsidRPr="00A729D8" w:rsidRDefault="00B34554" w:rsidP="00121729">
      <w:pPr>
        <w:pStyle w:val="ListParagraph"/>
        <w:numPr>
          <w:ilvl w:val="1"/>
          <w:numId w:val="62"/>
        </w:numPr>
      </w:pPr>
      <w:r w:rsidRPr="00A729D8">
        <w:t xml:space="preserve">confirm the extent of, and manage, an </w:t>
      </w:r>
      <w:r w:rsidR="00747D05" w:rsidRPr="00A729D8">
        <w:t>incident</w:t>
      </w:r>
      <w:r w:rsidRPr="00A729D8">
        <w:t xml:space="preserve"> of a pest or disease</w:t>
      </w:r>
    </w:p>
    <w:p w14:paraId="3150A530" w14:textId="77777777" w:rsidR="004936ED" w:rsidRPr="00A729D8" w:rsidRDefault="00B34554" w:rsidP="00121729">
      <w:pPr>
        <w:pStyle w:val="ListParagraph"/>
        <w:numPr>
          <w:ilvl w:val="1"/>
          <w:numId w:val="62"/>
        </w:numPr>
      </w:pPr>
      <w:r w:rsidRPr="00A729D8">
        <w:t>determine the acceptability of actions aimed at eradicating or controlling pests and diseases</w:t>
      </w:r>
    </w:p>
    <w:p w14:paraId="7DDDFC33" w14:textId="77777777" w:rsidR="004936ED" w:rsidRPr="00A729D8" w:rsidRDefault="00B34554" w:rsidP="00121729">
      <w:pPr>
        <w:pStyle w:val="ListParagraph"/>
        <w:numPr>
          <w:ilvl w:val="1"/>
          <w:numId w:val="62"/>
        </w:numPr>
      </w:pPr>
      <w:r w:rsidRPr="00A729D8">
        <w:t>enforce the control practices re</w:t>
      </w:r>
      <w:r w:rsidR="004936ED" w:rsidRPr="00A729D8">
        <w:t>quired under a national response</w:t>
      </w:r>
    </w:p>
    <w:p w14:paraId="48212198" w14:textId="77777777" w:rsidR="004936ED" w:rsidRPr="00A729D8" w:rsidRDefault="00B34554" w:rsidP="00121729">
      <w:pPr>
        <w:pStyle w:val="ListParagraph"/>
        <w:numPr>
          <w:ilvl w:val="1"/>
          <w:numId w:val="62"/>
        </w:numPr>
      </w:pPr>
      <w:r w:rsidRPr="00A729D8">
        <w:t>conduct control practices; and</w:t>
      </w:r>
    </w:p>
    <w:p w14:paraId="3A12A1CE" w14:textId="77777777" w:rsidR="004936ED" w:rsidRPr="00A729D8" w:rsidRDefault="00B34554" w:rsidP="00121729">
      <w:pPr>
        <w:pStyle w:val="ListParagraph"/>
        <w:numPr>
          <w:ilvl w:val="1"/>
          <w:numId w:val="62"/>
        </w:numPr>
      </w:pPr>
      <w:r w:rsidRPr="00A729D8">
        <w:t>conduct surveillance and monitoring</w:t>
      </w:r>
    </w:p>
    <w:p w14:paraId="77D630A7" w14:textId="77777777" w:rsidR="004936ED" w:rsidRPr="00A729D8" w:rsidRDefault="00B34554" w:rsidP="00121729">
      <w:pPr>
        <w:pStyle w:val="ListParagraph"/>
        <w:numPr>
          <w:ilvl w:val="0"/>
          <w:numId w:val="62"/>
        </w:numPr>
      </w:pPr>
      <w:r w:rsidRPr="00A729D8">
        <w:t>empower their agencies’ staff to</w:t>
      </w:r>
    </w:p>
    <w:p w14:paraId="6F15682F" w14:textId="77777777" w:rsidR="004936ED" w:rsidRPr="00A729D8" w:rsidRDefault="00B34554" w:rsidP="00121729">
      <w:pPr>
        <w:pStyle w:val="ListParagraph"/>
        <w:numPr>
          <w:ilvl w:val="1"/>
          <w:numId w:val="62"/>
        </w:numPr>
      </w:pPr>
      <w:r w:rsidRPr="00A729D8">
        <w:t>inspect, test, treat and disinfect any animal, plant, place, land, water or item</w:t>
      </w:r>
    </w:p>
    <w:p w14:paraId="234AB41C" w14:textId="77777777" w:rsidR="004936ED" w:rsidRPr="00A729D8" w:rsidRDefault="00B34554" w:rsidP="00121729">
      <w:pPr>
        <w:pStyle w:val="ListParagraph"/>
        <w:numPr>
          <w:ilvl w:val="1"/>
          <w:numId w:val="62"/>
        </w:numPr>
      </w:pPr>
      <w:r w:rsidRPr="00A729D8">
        <w:t>take and remove for analysis or examination samples of, or from, any animal, plant, place, land, water or item considered necessary to determine the presence or otherwise of a pest or disease</w:t>
      </w:r>
    </w:p>
    <w:p w14:paraId="03EC5258" w14:textId="77777777" w:rsidR="004936ED" w:rsidRPr="00A729D8" w:rsidRDefault="00B34554" w:rsidP="00121729">
      <w:pPr>
        <w:pStyle w:val="ListParagraph"/>
        <w:numPr>
          <w:ilvl w:val="1"/>
          <w:numId w:val="62"/>
        </w:numPr>
      </w:pPr>
      <w:r w:rsidRPr="00A729D8">
        <w:t>require an owner to provide adequate facilities and assistance to allow the safe and efficient conduct of the activities outlined in items (d)(i) and (ii) of this schedule; and</w:t>
      </w:r>
    </w:p>
    <w:p w14:paraId="1C1FA7FA" w14:textId="77777777" w:rsidR="004936ED" w:rsidRPr="00A729D8" w:rsidRDefault="00B34554" w:rsidP="00121729">
      <w:pPr>
        <w:pStyle w:val="ListParagraph"/>
        <w:numPr>
          <w:ilvl w:val="1"/>
          <w:numId w:val="62"/>
        </w:numPr>
      </w:pPr>
      <w:r w:rsidRPr="00A729D8">
        <w:t>require a person to take reasonable steps to provide information</w:t>
      </w:r>
    </w:p>
    <w:p w14:paraId="057BE988" w14:textId="77777777" w:rsidR="004936ED" w:rsidRPr="00A729D8" w:rsidRDefault="00B34554" w:rsidP="00121729">
      <w:pPr>
        <w:pStyle w:val="ListParagraph"/>
        <w:numPr>
          <w:ilvl w:val="0"/>
          <w:numId w:val="62"/>
        </w:numPr>
      </w:pPr>
      <w:r w:rsidRPr="00A729D8">
        <w:t>empower their agencies to declare any animal, plant, place (including land and bodies of water) or item as ‘infected’ with a pest or disease</w:t>
      </w:r>
    </w:p>
    <w:p w14:paraId="7DBAB35C" w14:textId="77777777" w:rsidR="004936ED" w:rsidRPr="00A729D8" w:rsidRDefault="00B34554" w:rsidP="00121729">
      <w:pPr>
        <w:pStyle w:val="ListParagraph"/>
        <w:numPr>
          <w:ilvl w:val="0"/>
          <w:numId w:val="62"/>
        </w:numPr>
      </w:pPr>
      <w:r w:rsidRPr="00A729D8">
        <w:t>provide for immediate declarations of areas as ‘infected’ with a pest or disease and permit the restriction of movement of animals, plants, people, soil, water or items into, through or out of the declared area</w:t>
      </w:r>
    </w:p>
    <w:p w14:paraId="7E7FD005" w14:textId="77777777" w:rsidR="004936ED" w:rsidRPr="00A729D8" w:rsidRDefault="00B34554" w:rsidP="00121729">
      <w:pPr>
        <w:pStyle w:val="ListParagraph"/>
        <w:numPr>
          <w:ilvl w:val="0"/>
          <w:numId w:val="62"/>
        </w:numPr>
      </w:pPr>
      <w:r w:rsidRPr="00A729D8">
        <w:t>require the decontamination, by means of cleaning, disinfecting or other treatment considered appropriate, of people, animals, plants, places (including land and bodies of water) or items that:</w:t>
      </w:r>
    </w:p>
    <w:p w14:paraId="085C5CE9" w14:textId="77777777" w:rsidR="004936ED" w:rsidRPr="00A729D8" w:rsidRDefault="00B34554" w:rsidP="00121729">
      <w:pPr>
        <w:pStyle w:val="ListParagraph"/>
        <w:numPr>
          <w:ilvl w:val="1"/>
          <w:numId w:val="62"/>
        </w:numPr>
      </w:pPr>
      <w:r w:rsidRPr="00A729D8">
        <w:t>have been declared infected to free them from a pest or disease</w:t>
      </w:r>
    </w:p>
    <w:p w14:paraId="5A650B51" w14:textId="77777777" w:rsidR="004936ED" w:rsidRPr="00A729D8" w:rsidRDefault="00B34554" w:rsidP="00121729">
      <w:pPr>
        <w:pStyle w:val="ListParagraph"/>
        <w:numPr>
          <w:ilvl w:val="1"/>
          <w:numId w:val="62"/>
        </w:numPr>
      </w:pPr>
      <w:r w:rsidRPr="00A729D8">
        <w:lastRenderedPageBreak/>
        <w:t>wish to enter or be brought into an area declared as infected; or</w:t>
      </w:r>
    </w:p>
    <w:p w14:paraId="717016DD" w14:textId="77777777" w:rsidR="004936ED" w:rsidRPr="00A729D8" w:rsidRDefault="00B34554" w:rsidP="00121729">
      <w:pPr>
        <w:pStyle w:val="ListParagraph"/>
        <w:numPr>
          <w:ilvl w:val="1"/>
          <w:numId w:val="62"/>
        </w:numPr>
      </w:pPr>
      <w:r w:rsidRPr="00A729D8">
        <w:t>have recently left an area that has been declared infected, or is suspected to be infected (whether before or after confirmation of a pest or disease being detected)</w:t>
      </w:r>
    </w:p>
    <w:p w14:paraId="742A0076" w14:textId="77777777" w:rsidR="004936ED" w:rsidRPr="00A729D8" w:rsidRDefault="00B34554" w:rsidP="00121729">
      <w:pPr>
        <w:pStyle w:val="ListParagraph"/>
        <w:numPr>
          <w:ilvl w:val="0"/>
          <w:numId w:val="62"/>
        </w:numPr>
      </w:pPr>
      <w:r w:rsidRPr="00A729D8">
        <w:t>permit controls to be placed on the keeping, transport or management of people, animals, plants, soil, water and items through a range of enforcement measures considered necessary to help prevent, control or eradicate a pest or disease</w:t>
      </w:r>
    </w:p>
    <w:p w14:paraId="0A60A987" w14:textId="77777777" w:rsidR="004936ED" w:rsidRPr="00A729D8" w:rsidRDefault="00B34554" w:rsidP="00121729">
      <w:pPr>
        <w:pStyle w:val="ListParagraph"/>
        <w:numPr>
          <w:ilvl w:val="0"/>
          <w:numId w:val="62"/>
        </w:numPr>
      </w:pPr>
      <w:r w:rsidRPr="00A729D8">
        <w:t>permit the immediate destruction of any animal, plant or item, and restrict the purposes for which they may be used</w:t>
      </w:r>
    </w:p>
    <w:p w14:paraId="395460DB" w14:textId="77777777" w:rsidR="004936ED" w:rsidRPr="00A729D8" w:rsidRDefault="00B34554" w:rsidP="00121729">
      <w:pPr>
        <w:pStyle w:val="ListParagraph"/>
        <w:numPr>
          <w:ilvl w:val="0"/>
          <w:numId w:val="62"/>
        </w:numPr>
      </w:pPr>
      <w:r w:rsidRPr="00A729D8">
        <w:t>permit the destruction of animals and plants, regardless of whether they are showing any indication of infection; and require the decontamination of places, people or items to provide a buffer zone</w:t>
      </w:r>
    </w:p>
    <w:p w14:paraId="75148FF7" w14:textId="77777777" w:rsidR="004936ED" w:rsidRPr="00A729D8" w:rsidRDefault="00B34554" w:rsidP="00121729">
      <w:pPr>
        <w:pStyle w:val="ListParagraph"/>
        <w:numPr>
          <w:ilvl w:val="0"/>
          <w:numId w:val="62"/>
        </w:numPr>
      </w:pPr>
      <w:r w:rsidRPr="00A729D8">
        <w:t>require the identification of animals, plants, items and places, and trace the movement of people, animals, plants, items and vehicles</w:t>
      </w:r>
    </w:p>
    <w:p w14:paraId="30E3F1D7" w14:textId="77777777" w:rsidR="004936ED" w:rsidRPr="00A729D8" w:rsidRDefault="00B34554" w:rsidP="00121729">
      <w:pPr>
        <w:pStyle w:val="ListParagraph"/>
        <w:numPr>
          <w:ilvl w:val="0"/>
          <w:numId w:val="62"/>
        </w:numPr>
      </w:pPr>
      <w:r w:rsidRPr="00A729D8">
        <w:t xml:space="preserve">provide a framework for determining the circumstances under which reimbursements could be payable to landholders arising from activities undertaken to control an </w:t>
      </w:r>
      <w:r w:rsidR="00747D05" w:rsidRPr="00A729D8">
        <w:t>incident</w:t>
      </w:r>
      <w:r w:rsidRPr="00A729D8">
        <w:t xml:space="preserve"> of a pest or disease</w:t>
      </w:r>
    </w:p>
    <w:p w14:paraId="33C1895E" w14:textId="77777777" w:rsidR="004936ED" w:rsidRPr="00A729D8" w:rsidRDefault="00B34554" w:rsidP="00121729">
      <w:pPr>
        <w:pStyle w:val="ListParagraph"/>
        <w:numPr>
          <w:ilvl w:val="0"/>
          <w:numId w:val="62"/>
        </w:numPr>
      </w:pPr>
      <w:r w:rsidRPr="00A729D8">
        <w:t xml:space="preserve">activate the powers under other disaster legislation and agencies to help with controlling an </w:t>
      </w:r>
      <w:r w:rsidR="00747D05" w:rsidRPr="00A729D8">
        <w:t>incident</w:t>
      </w:r>
      <w:r w:rsidRPr="00A729D8">
        <w:t xml:space="preserve"> of a pest or disease</w:t>
      </w:r>
    </w:p>
    <w:p w14:paraId="22BFA0D5" w14:textId="77777777" w:rsidR="00B34554" w:rsidRPr="00A729D8" w:rsidRDefault="00B34554" w:rsidP="00121729">
      <w:pPr>
        <w:pStyle w:val="ListParagraph"/>
        <w:numPr>
          <w:ilvl w:val="0"/>
          <w:numId w:val="62"/>
        </w:numPr>
      </w:pPr>
      <w:r w:rsidRPr="00A729D8">
        <w:t xml:space="preserve">enable the appointment, as inspectors or otherwise, of authorised people who are not public sector employees but who need to perform duties or exercise powers during an emergency response to an </w:t>
      </w:r>
      <w:r w:rsidR="00747D05" w:rsidRPr="00A729D8">
        <w:t>incident</w:t>
      </w:r>
      <w:r w:rsidRPr="00A729D8">
        <w:t xml:space="preserve"> of a pest or disease.</w:t>
      </w:r>
    </w:p>
    <w:p w14:paraId="2C89E25F" w14:textId="77777777" w:rsidR="00B34554" w:rsidRPr="00A729D8" w:rsidRDefault="00B34554" w:rsidP="002106F9">
      <w:r w:rsidRPr="00A729D8">
        <w:t xml:space="preserve"> </w:t>
      </w:r>
    </w:p>
    <w:p w14:paraId="40BE2BEE" w14:textId="77777777" w:rsidR="00297590" w:rsidRPr="00A729D8" w:rsidRDefault="00297590" w:rsidP="002106F9">
      <w:pPr>
        <w:spacing w:before="0" w:after="160" w:line="252" w:lineRule="auto"/>
        <w:rPr>
          <w:rFonts w:eastAsiaTheme="majorEastAsia" w:cstheme="majorBidi"/>
          <w:b/>
          <w:bCs/>
          <w:caps/>
          <w:spacing w:val="4"/>
          <w:szCs w:val="28"/>
        </w:rPr>
      </w:pPr>
      <w:r w:rsidRPr="00A729D8">
        <w:br w:type="page"/>
      </w:r>
    </w:p>
    <w:p w14:paraId="5AA825FF" w14:textId="77777777" w:rsidR="00B34554" w:rsidRPr="00A729D8" w:rsidRDefault="00E7297E" w:rsidP="002106F9">
      <w:pPr>
        <w:pStyle w:val="Heading1"/>
        <w:keepNext w:val="0"/>
        <w:keepLines w:val="0"/>
        <w:numPr>
          <w:ilvl w:val="0"/>
          <w:numId w:val="0"/>
        </w:numPr>
      </w:pPr>
      <w:bookmarkStart w:id="281" w:name="_Toc7528167"/>
      <w:r w:rsidRPr="00A729D8">
        <w:lastRenderedPageBreak/>
        <w:t>Schedule 6</w:t>
      </w:r>
      <w:r w:rsidR="00297590" w:rsidRPr="00A729D8">
        <w:t xml:space="preserve"> – </w:t>
      </w:r>
      <w:r w:rsidR="00B34554" w:rsidRPr="00A729D8">
        <w:t>National</w:t>
      </w:r>
      <w:r w:rsidR="00297590" w:rsidRPr="00A729D8">
        <w:t xml:space="preserve"> </w:t>
      </w:r>
      <w:r w:rsidR="00B34554" w:rsidRPr="00A729D8">
        <w:t>Management Group</w:t>
      </w:r>
      <w:bookmarkEnd w:id="281"/>
      <w:r w:rsidR="00B34554" w:rsidRPr="00A729D8">
        <w:t xml:space="preserve"> </w:t>
      </w:r>
      <w:r w:rsidR="00B34554" w:rsidRPr="00A729D8">
        <w:tab/>
      </w:r>
      <w:r w:rsidR="00B34554" w:rsidRPr="00A729D8">
        <w:tab/>
        <w:t xml:space="preserve"> </w:t>
      </w:r>
    </w:p>
    <w:p w14:paraId="7FC68DFC" w14:textId="77777777" w:rsidR="00B34554" w:rsidRPr="00A729D8" w:rsidRDefault="00B34554" w:rsidP="00121729">
      <w:pPr>
        <w:pStyle w:val="ScheduleL1"/>
        <w:numPr>
          <w:ilvl w:val="0"/>
          <w:numId w:val="140"/>
        </w:numPr>
      </w:pPr>
      <w:r w:rsidRPr="00A729D8">
        <w:t>Introduction to the NMG</w:t>
      </w:r>
    </w:p>
    <w:p w14:paraId="7F420164" w14:textId="77777777" w:rsidR="000E145D" w:rsidRPr="00A729D8" w:rsidRDefault="00B34554" w:rsidP="00121729">
      <w:pPr>
        <w:pStyle w:val="ListParagraph"/>
        <w:numPr>
          <w:ilvl w:val="0"/>
          <w:numId w:val="141"/>
        </w:numPr>
      </w:pPr>
      <w:r w:rsidRPr="00A729D8">
        <w:t>This schedule sets out the arrangements for the NMG.</w:t>
      </w:r>
    </w:p>
    <w:p w14:paraId="223C5B7B" w14:textId="77777777" w:rsidR="000E145D" w:rsidRPr="00A729D8" w:rsidRDefault="00B34554" w:rsidP="00121729">
      <w:pPr>
        <w:pStyle w:val="ListParagraph"/>
        <w:numPr>
          <w:ilvl w:val="0"/>
          <w:numId w:val="141"/>
        </w:numPr>
      </w:pPr>
      <w:r w:rsidRPr="00A729D8">
        <w:t xml:space="preserve">The NMG will be the peak, national biosecurity decision-making forum through which parties would seek decisions in the event of an </w:t>
      </w:r>
      <w:r w:rsidR="00747D05" w:rsidRPr="00A729D8">
        <w:t>incident</w:t>
      </w:r>
      <w:r w:rsidRPr="00A729D8">
        <w:t xml:space="preserve"> of a pest or disease. Particular decisions to be made by the NMG include whether the </w:t>
      </w:r>
      <w:r w:rsidR="00747D05" w:rsidRPr="00A729D8">
        <w:t>incident</w:t>
      </w:r>
      <w:r w:rsidRPr="00A729D8">
        <w:t xml:space="preserve"> is of national significance, whether a national response is required, and the approving of the </w:t>
      </w:r>
      <w:r w:rsidR="00E7297E" w:rsidRPr="00A729D8">
        <w:t>Response Plan</w:t>
      </w:r>
      <w:r w:rsidRPr="00A729D8">
        <w:t xml:space="preserve">, and cost-sharing of eligible costs of implementing a </w:t>
      </w:r>
      <w:r w:rsidR="00E7297E" w:rsidRPr="00A729D8">
        <w:t>Response Plan</w:t>
      </w:r>
      <w:r w:rsidRPr="00A729D8">
        <w:t>.</w:t>
      </w:r>
    </w:p>
    <w:p w14:paraId="008E44CB" w14:textId="77777777" w:rsidR="00B34554" w:rsidRPr="00A729D8" w:rsidRDefault="00B34554" w:rsidP="00121729">
      <w:pPr>
        <w:pStyle w:val="ListParagraph"/>
        <w:numPr>
          <w:ilvl w:val="0"/>
          <w:numId w:val="141"/>
        </w:numPr>
      </w:pPr>
      <w:r w:rsidRPr="00A729D8">
        <w:t>This schedule sets out the terms of reference, membership and meeting protocols of the NMG.</w:t>
      </w:r>
    </w:p>
    <w:p w14:paraId="6CF1E1AE" w14:textId="77777777" w:rsidR="00B34554" w:rsidRPr="00A729D8" w:rsidRDefault="00B34554" w:rsidP="002106F9">
      <w:pPr>
        <w:pStyle w:val="ScheduleL1"/>
      </w:pPr>
      <w:r w:rsidRPr="00A729D8">
        <w:t>Terms of reference of the NMG</w:t>
      </w:r>
    </w:p>
    <w:p w14:paraId="166BCA6C" w14:textId="77777777" w:rsidR="00B34554" w:rsidRPr="00A729D8" w:rsidRDefault="00B34554" w:rsidP="002106F9">
      <w:pPr>
        <w:pStyle w:val="ScheduleL2"/>
      </w:pPr>
      <w:r w:rsidRPr="00A729D8">
        <w:t>Overview of the terms of reference</w:t>
      </w:r>
    </w:p>
    <w:p w14:paraId="40415A24" w14:textId="77777777" w:rsidR="000E145D" w:rsidRPr="00A729D8" w:rsidRDefault="00B34554" w:rsidP="00121729">
      <w:pPr>
        <w:pStyle w:val="ListParagraph"/>
        <w:numPr>
          <w:ilvl w:val="0"/>
          <w:numId w:val="142"/>
        </w:numPr>
      </w:pPr>
      <w:r w:rsidRPr="00A729D8">
        <w:t>The NMG will perform the roles set out in the agreement.</w:t>
      </w:r>
    </w:p>
    <w:p w14:paraId="262BE6CE" w14:textId="77777777" w:rsidR="000E145D" w:rsidRPr="00A729D8" w:rsidRDefault="00B34554" w:rsidP="00121729">
      <w:pPr>
        <w:pStyle w:val="ListParagraph"/>
        <w:numPr>
          <w:ilvl w:val="0"/>
          <w:numId w:val="142"/>
        </w:numPr>
      </w:pPr>
      <w:r w:rsidRPr="00A729D8">
        <w:t>This description of the NMG’s terms of reference provides an outline on the exercise of those roles.</w:t>
      </w:r>
    </w:p>
    <w:p w14:paraId="7D422A80" w14:textId="77777777" w:rsidR="000E145D" w:rsidRPr="00A729D8" w:rsidRDefault="00B34554" w:rsidP="00121729">
      <w:pPr>
        <w:pStyle w:val="ListParagraph"/>
        <w:numPr>
          <w:ilvl w:val="0"/>
          <w:numId w:val="142"/>
        </w:numPr>
      </w:pPr>
      <w:r w:rsidRPr="00A729D8">
        <w:t>The NMG’s roles can, in practice, be broken down into the following phases:</w:t>
      </w:r>
    </w:p>
    <w:p w14:paraId="6E655D25" w14:textId="77777777" w:rsidR="000E145D" w:rsidRPr="00A729D8" w:rsidRDefault="000E145D" w:rsidP="00121729">
      <w:pPr>
        <w:pStyle w:val="ListParagraph"/>
        <w:numPr>
          <w:ilvl w:val="1"/>
          <w:numId w:val="142"/>
        </w:numPr>
      </w:pPr>
      <w:r w:rsidRPr="00A729D8">
        <w:t>alert phase</w:t>
      </w:r>
      <w:r w:rsidR="00B34554" w:rsidRPr="00A729D8">
        <w:t xml:space="preserve"> </w:t>
      </w:r>
    </w:p>
    <w:p w14:paraId="41B33CF7" w14:textId="77777777" w:rsidR="000E145D" w:rsidRPr="00A729D8" w:rsidRDefault="000E145D" w:rsidP="00121729">
      <w:pPr>
        <w:pStyle w:val="ListParagraph"/>
        <w:numPr>
          <w:ilvl w:val="1"/>
          <w:numId w:val="142"/>
        </w:numPr>
      </w:pPr>
      <w:r w:rsidRPr="00A729D8">
        <w:t>operational phase</w:t>
      </w:r>
      <w:r w:rsidR="00B34554" w:rsidRPr="00A729D8">
        <w:t xml:space="preserve"> </w:t>
      </w:r>
    </w:p>
    <w:p w14:paraId="1436B88F" w14:textId="77777777" w:rsidR="000E145D" w:rsidRPr="00A729D8" w:rsidRDefault="000E145D" w:rsidP="00121729">
      <w:pPr>
        <w:pStyle w:val="ListParagraph"/>
        <w:numPr>
          <w:ilvl w:val="1"/>
          <w:numId w:val="142"/>
        </w:numPr>
      </w:pPr>
      <w:r w:rsidRPr="00A729D8">
        <w:t>stand-down phase</w:t>
      </w:r>
    </w:p>
    <w:p w14:paraId="1252FDD9" w14:textId="77777777" w:rsidR="00B34554" w:rsidRPr="00A729D8" w:rsidRDefault="00B34554" w:rsidP="00121729">
      <w:pPr>
        <w:pStyle w:val="ListParagraph"/>
        <w:numPr>
          <w:ilvl w:val="0"/>
          <w:numId w:val="142"/>
        </w:numPr>
      </w:pPr>
      <w:r w:rsidRPr="00A729D8">
        <w:t>The NMG will ensure national responses comply with Australia’s international rights and obligations, including those contained in the SPS agreement.</w:t>
      </w:r>
    </w:p>
    <w:p w14:paraId="14E134A4" w14:textId="77777777" w:rsidR="000E145D" w:rsidRPr="00A729D8" w:rsidRDefault="000E145D" w:rsidP="002106F9">
      <w:pPr>
        <w:pStyle w:val="ScheduleL2"/>
      </w:pPr>
      <w:r w:rsidRPr="00A729D8">
        <w:t>Alert phase</w:t>
      </w:r>
      <w:r w:rsidR="00B34554" w:rsidRPr="00A729D8">
        <w:t xml:space="preserve"> </w:t>
      </w:r>
    </w:p>
    <w:p w14:paraId="1EAD4402" w14:textId="77777777" w:rsidR="00B34554" w:rsidRPr="00A729D8" w:rsidRDefault="00B34554" w:rsidP="002106F9">
      <w:r w:rsidRPr="00A729D8">
        <w:t>The NMG will (note that these actions may occur simultaneously):</w:t>
      </w:r>
    </w:p>
    <w:p w14:paraId="7816BEB0" w14:textId="77777777" w:rsidR="000E145D" w:rsidRPr="00A729D8" w:rsidRDefault="00B34554" w:rsidP="00121729">
      <w:pPr>
        <w:pStyle w:val="ListParagraph"/>
        <w:numPr>
          <w:ilvl w:val="0"/>
          <w:numId w:val="143"/>
        </w:numPr>
      </w:pPr>
      <w:r w:rsidRPr="00A729D8">
        <w:t xml:space="preserve">consider advice from the </w:t>
      </w:r>
      <w:r w:rsidR="00B20F48" w:rsidRPr="00A729D8">
        <w:t>NBMCC</w:t>
      </w:r>
      <w:r w:rsidRPr="00A729D8">
        <w:t xml:space="preserve"> and, if appropriate, technical working groups on a notification of an </w:t>
      </w:r>
      <w:r w:rsidR="00747D05" w:rsidRPr="00A729D8">
        <w:t>incident</w:t>
      </w:r>
      <w:r w:rsidRPr="00A729D8">
        <w:t xml:space="preserve"> of a pest or disease</w:t>
      </w:r>
    </w:p>
    <w:p w14:paraId="1B9E6E76" w14:textId="77777777" w:rsidR="000E145D" w:rsidRPr="00A729D8" w:rsidRDefault="00B34554" w:rsidP="00121729">
      <w:pPr>
        <w:pStyle w:val="ListParagraph"/>
        <w:numPr>
          <w:ilvl w:val="0"/>
          <w:numId w:val="143"/>
        </w:numPr>
      </w:pPr>
      <w:r w:rsidRPr="00A729D8">
        <w:t xml:space="preserve">determine whether an emergency response to an </w:t>
      </w:r>
      <w:r w:rsidR="00747D05" w:rsidRPr="00A729D8">
        <w:t>incident</w:t>
      </w:r>
      <w:r w:rsidRPr="00A729D8">
        <w:t xml:space="preserve"> would be covered under a</w:t>
      </w:r>
      <w:r w:rsidR="00E7297E" w:rsidRPr="00A729D8">
        <w:t>n</w:t>
      </w:r>
      <w:r w:rsidRPr="00A729D8">
        <w:t xml:space="preserve"> existing cost-sharing arrangement</w:t>
      </w:r>
    </w:p>
    <w:p w14:paraId="2800568C" w14:textId="77777777" w:rsidR="000E145D" w:rsidRPr="00A729D8" w:rsidRDefault="00B34554" w:rsidP="00121729">
      <w:pPr>
        <w:pStyle w:val="ListParagraph"/>
        <w:numPr>
          <w:ilvl w:val="0"/>
          <w:numId w:val="143"/>
        </w:numPr>
      </w:pPr>
      <w:r w:rsidRPr="00A729D8">
        <w:t>decide whether a national response is required under the agreement, by following the agreed decision-making process to</w:t>
      </w:r>
    </w:p>
    <w:p w14:paraId="3004FCBF" w14:textId="77777777" w:rsidR="000E145D" w:rsidRPr="00A729D8" w:rsidRDefault="00B34554" w:rsidP="00121729">
      <w:pPr>
        <w:pStyle w:val="ListParagraph"/>
        <w:numPr>
          <w:ilvl w:val="1"/>
          <w:numId w:val="143"/>
        </w:numPr>
      </w:pPr>
      <w:r w:rsidRPr="00A729D8">
        <w:t xml:space="preserve">determine if the </w:t>
      </w:r>
      <w:r w:rsidR="00747D05" w:rsidRPr="00A729D8">
        <w:t>incident</w:t>
      </w:r>
      <w:r w:rsidRPr="00A729D8">
        <w:t xml:space="preserve"> of the pest or disease is of national significance</w:t>
      </w:r>
    </w:p>
    <w:p w14:paraId="4A60F497" w14:textId="77777777" w:rsidR="000E145D" w:rsidRPr="00A729D8" w:rsidRDefault="00B34554" w:rsidP="00121729">
      <w:pPr>
        <w:pStyle w:val="ListParagraph"/>
        <w:numPr>
          <w:ilvl w:val="1"/>
          <w:numId w:val="143"/>
        </w:numPr>
      </w:pPr>
      <w:r w:rsidRPr="00A729D8">
        <w:t xml:space="preserve">assess the technical feasibility analysis of </w:t>
      </w:r>
      <w:r w:rsidR="008B219E" w:rsidRPr="00A729D8">
        <w:t xml:space="preserve">a </w:t>
      </w:r>
      <w:r w:rsidRPr="00A729D8">
        <w:t xml:space="preserve">proposed </w:t>
      </w:r>
      <w:r w:rsidR="00E7297E" w:rsidRPr="00A729D8">
        <w:t>emergency eradication</w:t>
      </w:r>
      <w:r w:rsidR="008B219E" w:rsidRPr="00A729D8">
        <w:t xml:space="preserve"> </w:t>
      </w:r>
      <w:r w:rsidRPr="00A729D8">
        <w:t>response prepared by the notifying party</w:t>
      </w:r>
    </w:p>
    <w:p w14:paraId="04943075" w14:textId="77777777" w:rsidR="000E145D" w:rsidRPr="00A729D8" w:rsidRDefault="00B34554" w:rsidP="00121729">
      <w:pPr>
        <w:pStyle w:val="ListParagraph"/>
        <w:numPr>
          <w:ilvl w:val="1"/>
          <w:numId w:val="143"/>
        </w:numPr>
      </w:pPr>
      <w:r w:rsidRPr="00A729D8">
        <w:t>assess the cost of the proposed response and the projected benefits by reviewing the benefit:cost analysis conducted by the notifying party</w:t>
      </w:r>
    </w:p>
    <w:p w14:paraId="4413A5B0" w14:textId="77777777" w:rsidR="000E145D" w:rsidRPr="00A729D8" w:rsidRDefault="00B34554" w:rsidP="00121729">
      <w:pPr>
        <w:pStyle w:val="ListParagraph"/>
        <w:numPr>
          <w:ilvl w:val="1"/>
          <w:numId w:val="143"/>
        </w:numPr>
      </w:pPr>
      <w:r w:rsidRPr="00A729D8">
        <w:t xml:space="preserve">approve draft </w:t>
      </w:r>
      <w:r w:rsidR="008B219E" w:rsidRPr="00A729D8">
        <w:t>R</w:t>
      </w:r>
      <w:r w:rsidRPr="00A729D8">
        <w:t xml:space="preserve">esponse </w:t>
      </w:r>
      <w:r w:rsidR="008B219E" w:rsidRPr="00A729D8">
        <w:t>P</w:t>
      </w:r>
      <w:r w:rsidRPr="00A729D8">
        <w:t>lan</w:t>
      </w:r>
      <w:r w:rsidR="008B219E" w:rsidRPr="00A729D8">
        <w:t>s</w:t>
      </w:r>
      <w:r w:rsidRPr="00A729D8">
        <w:t>, or dec</w:t>
      </w:r>
      <w:r w:rsidR="00931645" w:rsidRPr="00A729D8">
        <w:t>ide on alternative arrangements.</w:t>
      </w:r>
    </w:p>
    <w:p w14:paraId="40C818B8" w14:textId="77777777" w:rsidR="000E145D" w:rsidRPr="00A729D8" w:rsidRDefault="000E145D" w:rsidP="002106F9">
      <w:pPr>
        <w:pStyle w:val="ScheduleL2"/>
      </w:pPr>
      <w:r w:rsidRPr="00A729D8">
        <w:lastRenderedPageBreak/>
        <w:t>Operational phase</w:t>
      </w:r>
    </w:p>
    <w:p w14:paraId="57692522" w14:textId="77777777" w:rsidR="00B34554" w:rsidRPr="00A729D8" w:rsidRDefault="00B34554" w:rsidP="002106F9">
      <w:r w:rsidRPr="00A729D8">
        <w:t xml:space="preserve">Where an </w:t>
      </w:r>
      <w:r w:rsidR="00747D05" w:rsidRPr="00A729D8">
        <w:t>incident</w:t>
      </w:r>
      <w:r w:rsidRPr="00A729D8">
        <w:t xml:space="preserve"> is deemed to be of national significance, and it has been determined that a national response is required, the NMG will:</w:t>
      </w:r>
    </w:p>
    <w:p w14:paraId="77C25E78" w14:textId="77777777" w:rsidR="000E145D" w:rsidRPr="00A729D8" w:rsidRDefault="00B34554" w:rsidP="00121729">
      <w:pPr>
        <w:pStyle w:val="ListParagraph"/>
        <w:numPr>
          <w:ilvl w:val="0"/>
          <w:numId w:val="144"/>
        </w:numPr>
      </w:pPr>
      <w:r w:rsidRPr="00A729D8">
        <w:t xml:space="preserve">decide whether to approve, on advice from the </w:t>
      </w:r>
      <w:r w:rsidR="00B20F48" w:rsidRPr="00A729D8">
        <w:t>NBMCC</w:t>
      </w:r>
      <w:r w:rsidRPr="00A729D8">
        <w:t xml:space="preserve">, the draft </w:t>
      </w:r>
      <w:r w:rsidR="00E7297E" w:rsidRPr="00A729D8">
        <w:t>Response Plan</w:t>
      </w:r>
      <w:r w:rsidRPr="00A729D8">
        <w:t xml:space="preserve"> prepared by the notifying party</w:t>
      </w:r>
    </w:p>
    <w:p w14:paraId="76AF089E" w14:textId="77777777" w:rsidR="000E145D" w:rsidRPr="00A729D8" w:rsidRDefault="00B34554" w:rsidP="00121729">
      <w:pPr>
        <w:pStyle w:val="ListParagraph"/>
        <w:numPr>
          <w:ilvl w:val="0"/>
          <w:numId w:val="144"/>
        </w:numPr>
      </w:pPr>
      <w:r w:rsidRPr="00A729D8">
        <w:t>oversee resource commitments and consider policy issues relating to the national response, including</w:t>
      </w:r>
    </w:p>
    <w:p w14:paraId="33EA8C50" w14:textId="77777777" w:rsidR="000E145D" w:rsidRPr="00A729D8" w:rsidRDefault="00B34554" w:rsidP="00121729">
      <w:pPr>
        <w:pStyle w:val="ListParagraph"/>
        <w:numPr>
          <w:ilvl w:val="1"/>
          <w:numId w:val="144"/>
        </w:numPr>
      </w:pPr>
      <w:r w:rsidRPr="00A729D8">
        <w:t xml:space="preserve">receiving and considering advice from the </w:t>
      </w:r>
      <w:r w:rsidR="00B20F48" w:rsidRPr="00A729D8">
        <w:t>NBMCC</w:t>
      </w:r>
      <w:r w:rsidRPr="00A729D8">
        <w:t xml:space="preserve"> on technical issues</w:t>
      </w:r>
    </w:p>
    <w:p w14:paraId="481596BA" w14:textId="77777777" w:rsidR="000E145D" w:rsidRPr="00A729D8" w:rsidRDefault="00B34554" w:rsidP="00121729">
      <w:pPr>
        <w:pStyle w:val="ListParagraph"/>
        <w:numPr>
          <w:ilvl w:val="1"/>
          <w:numId w:val="144"/>
        </w:numPr>
      </w:pPr>
      <w:r w:rsidRPr="00A729D8">
        <w:t xml:space="preserve">receiving regular reports from the </w:t>
      </w:r>
      <w:r w:rsidR="00B20F48" w:rsidRPr="00A729D8">
        <w:t>NBMCC</w:t>
      </w:r>
      <w:r w:rsidRPr="00A729D8">
        <w:t>, including those for budgeted, committed and actual expenditure</w:t>
      </w:r>
    </w:p>
    <w:p w14:paraId="7F444A36" w14:textId="77777777" w:rsidR="000E145D" w:rsidRPr="00A729D8" w:rsidRDefault="00B34554" w:rsidP="00121729">
      <w:pPr>
        <w:pStyle w:val="ListParagraph"/>
        <w:numPr>
          <w:ilvl w:val="0"/>
          <w:numId w:val="144"/>
        </w:numPr>
      </w:pPr>
      <w:r w:rsidRPr="00A729D8">
        <w:t>set out the agreed limits for cost-sharing under a national response plan, for the purposes of clause 7.7 of this agreement</w:t>
      </w:r>
    </w:p>
    <w:p w14:paraId="79E0085A" w14:textId="77777777" w:rsidR="000E145D" w:rsidRPr="00A729D8" w:rsidRDefault="00B34554" w:rsidP="00121729">
      <w:pPr>
        <w:pStyle w:val="ListParagraph"/>
        <w:numPr>
          <w:ilvl w:val="0"/>
          <w:numId w:val="144"/>
        </w:numPr>
      </w:pPr>
      <w:r w:rsidRPr="00A729D8">
        <w:t xml:space="preserve">monitor the progress of the response, including the costs, and the implementation of biosecurity measures set out in the </w:t>
      </w:r>
      <w:r w:rsidR="006D042B" w:rsidRPr="00A729D8">
        <w:t>R</w:t>
      </w:r>
      <w:r w:rsidRPr="00A729D8">
        <w:t xml:space="preserve">esponse </w:t>
      </w:r>
      <w:r w:rsidR="006D042B" w:rsidRPr="00A729D8">
        <w:t>P</w:t>
      </w:r>
      <w:r w:rsidRPr="00A729D8">
        <w:t>lan</w:t>
      </w:r>
    </w:p>
    <w:p w14:paraId="22AD65F3" w14:textId="77777777" w:rsidR="000E145D" w:rsidRPr="00A729D8" w:rsidRDefault="00B34554" w:rsidP="00121729">
      <w:pPr>
        <w:pStyle w:val="ListParagraph"/>
        <w:numPr>
          <w:ilvl w:val="0"/>
          <w:numId w:val="144"/>
        </w:numPr>
      </w:pPr>
      <w:r w:rsidRPr="00A729D8">
        <w:t xml:space="preserve">if required, set an upper limit on expenditure at a level less than the agreed limit  referred to in item 2.3(c) of this schedule, below which the </w:t>
      </w:r>
      <w:r w:rsidR="00E7297E" w:rsidRPr="00A729D8">
        <w:t>Response Plan</w:t>
      </w:r>
      <w:r w:rsidRPr="00A729D8">
        <w:t xml:space="preserve"> expenditure may be committed without reference to the NMG</w:t>
      </w:r>
    </w:p>
    <w:p w14:paraId="712CDB7D" w14:textId="77777777" w:rsidR="000E145D" w:rsidRPr="00A729D8" w:rsidRDefault="00B34554" w:rsidP="00121729">
      <w:pPr>
        <w:pStyle w:val="ListParagraph"/>
        <w:numPr>
          <w:ilvl w:val="0"/>
          <w:numId w:val="144"/>
        </w:numPr>
      </w:pPr>
      <w:r w:rsidRPr="00A729D8">
        <w:t xml:space="preserve">review the </w:t>
      </w:r>
      <w:r w:rsidR="00E7297E" w:rsidRPr="00A729D8">
        <w:t>Response Plan</w:t>
      </w:r>
      <w:r w:rsidRPr="00A729D8">
        <w:t xml:space="preserve"> if the NMG believes the costs may exceed the agreed limits for cost-sharing specified in the </w:t>
      </w:r>
      <w:r w:rsidR="00A05CDE" w:rsidRPr="00A729D8">
        <w:t>R</w:t>
      </w:r>
      <w:r w:rsidRPr="00A729D8">
        <w:t xml:space="preserve">esponse </w:t>
      </w:r>
      <w:r w:rsidR="00A05CDE" w:rsidRPr="00A729D8">
        <w:t>P</w:t>
      </w:r>
      <w:r w:rsidRPr="00A729D8">
        <w:t>lan</w:t>
      </w:r>
    </w:p>
    <w:p w14:paraId="60ED3DCC" w14:textId="77777777" w:rsidR="000E145D" w:rsidRPr="00A729D8" w:rsidRDefault="00B34554" w:rsidP="00121729">
      <w:pPr>
        <w:pStyle w:val="ListParagraph"/>
        <w:numPr>
          <w:ilvl w:val="0"/>
          <w:numId w:val="144"/>
        </w:numPr>
      </w:pPr>
      <w:r w:rsidRPr="00A729D8">
        <w:t xml:space="preserve">be responsible for other key decisions as set out in the </w:t>
      </w:r>
      <w:r w:rsidR="00A05CDE" w:rsidRPr="00A729D8">
        <w:t>R</w:t>
      </w:r>
      <w:r w:rsidRPr="00A729D8">
        <w:t xml:space="preserve">esponse </w:t>
      </w:r>
      <w:r w:rsidR="00A05CDE" w:rsidRPr="00A729D8">
        <w:t>P</w:t>
      </w:r>
      <w:r w:rsidRPr="00A729D8">
        <w:t>lan</w:t>
      </w:r>
    </w:p>
    <w:p w14:paraId="0868B0D3" w14:textId="77777777" w:rsidR="00B34554" w:rsidRPr="00A729D8" w:rsidRDefault="00B34554" w:rsidP="00121729">
      <w:pPr>
        <w:pStyle w:val="ListParagraph"/>
        <w:numPr>
          <w:ilvl w:val="0"/>
          <w:numId w:val="144"/>
        </w:numPr>
      </w:pPr>
      <w:r w:rsidRPr="00A729D8">
        <w:t xml:space="preserve">report to the Commonwealth, State and Territory Ministers responsible for biosecurity matters in relation to the </w:t>
      </w:r>
      <w:r w:rsidR="00A05CDE" w:rsidRPr="00A729D8">
        <w:t>R</w:t>
      </w:r>
      <w:r w:rsidRPr="00A729D8">
        <w:t>esponse</w:t>
      </w:r>
      <w:r w:rsidR="00A05CDE" w:rsidRPr="00A729D8">
        <w:t xml:space="preserve"> P</w:t>
      </w:r>
      <w:r w:rsidRPr="00A729D8">
        <w:t>lan.</w:t>
      </w:r>
    </w:p>
    <w:p w14:paraId="33544FD7" w14:textId="77777777" w:rsidR="000E145D" w:rsidRPr="00A729D8" w:rsidRDefault="000E145D" w:rsidP="002106F9">
      <w:pPr>
        <w:pStyle w:val="ScheduleL2"/>
      </w:pPr>
      <w:r w:rsidRPr="00A729D8">
        <w:t>Stand-</w:t>
      </w:r>
      <w:r w:rsidR="00E4378A" w:rsidRPr="00A729D8">
        <w:t>down</w:t>
      </w:r>
      <w:r w:rsidRPr="00A729D8">
        <w:t xml:space="preserve"> phase</w:t>
      </w:r>
    </w:p>
    <w:p w14:paraId="4487C5FE" w14:textId="77777777" w:rsidR="00B34554" w:rsidRPr="00A729D8" w:rsidRDefault="00B34554" w:rsidP="002106F9">
      <w:r w:rsidRPr="00A729D8">
        <w:t>The NMG will:</w:t>
      </w:r>
    </w:p>
    <w:p w14:paraId="27C387C7" w14:textId="77777777" w:rsidR="000E145D" w:rsidRPr="00A729D8" w:rsidRDefault="00B34554" w:rsidP="00121729">
      <w:pPr>
        <w:pStyle w:val="ListParagraph"/>
        <w:numPr>
          <w:ilvl w:val="0"/>
          <w:numId w:val="145"/>
        </w:numPr>
      </w:pPr>
      <w:r w:rsidRPr="00A729D8">
        <w:t xml:space="preserve">determine, on the advice from the </w:t>
      </w:r>
      <w:r w:rsidR="00B20F48" w:rsidRPr="00A729D8">
        <w:t>NBMCC</w:t>
      </w:r>
      <w:r w:rsidRPr="00A729D8">
        <w:t xml:space="preserve">, whether an </w:t>
      </w:r>
      <w:r w:rsidR="00747D05" w:rsidRPr="00A729D8">
        <w:t>incident</w:t>
      </w:r>
      <w:r w:rsidRPr="00A729D8">
        <w:t xml:space="preserve"> of a pest or disease that is subject to a </w:t>
      </w:r>
      <w:r w:rsidR="00E7297E" w:rsidRPr="00A729D8">
        <w:t>Response Plan</w:t>
      </w:r>
      <w:r w:rsidRPr="00A729D8">
        <w:t xml:space="preserve"> has been eradicated by determining whether there is proof-of-freedom</w:t>
      </w:r>
    </w:p>
    <w:p w14:paraId="133CA35B" w14:textId="77777777" w:rsidR="000E145D" w:rsidRPr="00A729D8" w:rsidRDefault="00B34554" w:rsidP="00121729">
      <w:pPr>
        <w:pStyle w:val="ListParagraph"/>
        <w:numPr>
          <w:ilvl w:val="0"/>
          <w:numId w:val="145"/>
        </w:numPr>
      </w:pPr>
      <w:r w:rsidRPr="00A729D8">
        <w:t xml:space="preserve">determine, on the advice from the </w:t>
      </w:r>
      <w:r w:rsidR="00B20F48" w:rsidRPr="00A729D8">
        <w:t>NBMCC</w:t>
      </w:r>
      <w:r w:rsidRPr="00A729D8">
        <w:t xml:space="preserve">, the likelihood that the </w:t>
      </w:r>
      <w:r w:rsidR="00E7297E" w:rsidRPr="00A729D8">
        <w:t>Response Plan</w:t>
      </w:r>
      <w:r w:rsidRPr="00A729D8">
        <w:t xml:space="preserve"> will meet its objectives with respect to managing an incident of a pest or disease</w:t>
      </w:r>
    </w:p>
    <w:p w14:paraId="1853872B" w14:textId="77777777" w:rsidR="00E91FD5" w:rsidRPr="00A729D8" w:rsidRDefault="00C2124B" w:rsidP="00121729">
      <w:pPr>
        <w:pStyle w:val="ListParagraph"/>
        <w:numPr>
          <w:ilvl w:val="1"/>
          <w:numId w:val="145"/>
        </w:numPr>
      </w:pPr>
      <w:r w:rsidRPr="00A729D8">
        <w:t xml:space="preserve">The Response Plan could cover objectives for an </w:t>
      </w:r>
      <w:r w:rsidR="00E91FD5" w:rsidRPr="00A729D8">
        <w:t xml:space="preserve">Incident Definition Phase, Transition to Management Phase, Emergency Eradication Phase or Proof of Freedom </w:t>
      </w:r>
      <w:r w:rsidRPr="00A729D8">
        <w:t>Phase</w:t>
      </w:r>
      <w:r w:rsidR="00E91FD5" w:rsidRPr="00A729D8">
        <w:t xml:space="preserve"> </w:t>
      </w:r>
    </w:p>
    <w:p w14:paraId="57753D6F" w14:textId="77777777" w:rsidR="000E145D" w:rsidRPr="00A729D8" w:rsidRDefault="00B34554" w:rsidP="00121729">
      <w:pPr>
        <w:pStyle w:val="ListParagraph"/>
        <w:numPr>
          <w:ilvl w:val="0"/>
          <w:numId w:val="145"/>
        </w:numPr>
      </w:pPr>
      <w:r w:rsidRPr="00A729D8">
        <w:t>review and consider the efficiency audit reports and the financial audit report</w:t>
      </w:r>
    </w:p>
    <w:p w14:paraId="47C2A9BC" w14:textId="77777777" w:rsidR="000E145D" w:rsidRPr="00A729D8" w:rsidRDefault="00B34554" w:rsidP="00121729">
      <w:pPr>
        <w:pStyle w:val="ListParagraph"/>
        <w:numPr>
          <w:ilvl w:val="0"/>
          <w:numId w:val="145"/>
        </w:numPr>
      </w:pPr>
      <w:r w:rsidRPr="00A729D8">
        <w:t xml:space="preserve">review activities that are part of the national response plan and refer any issues to the National Biosecurity Committee or the </w:t>
      </w:r>
      <w:r w:rsidR="00B20F48" w:rsidRPr="00A729D8">
        <w:t>NBMCC</w:t>
      </w:r>
      <w:r w:rsidRPr="00A729D8">
        <w:t xml:space="preserve"> for consideration and advice</w:t>
      </w:r>
    </w:p>
    <w:p w14:paraId="11F6660B" w14:textId="77777777" w:rsidR="00B34554" w:rsidRPr="00A729D8" w:rsidRDefault="00B34554" w:rsidP="00121729">
      <w:pPr>
        <w:pStyle w:val="ListParagraph"/>
        <w:numPr>
          <w:ilvl w:val="0"/>
          <w:numId w:val="145"/>
        </w:numPr>
      </w:pPr>
      <w:r w:rsidRPr="00A729D8">
        <w:t xml:space="preserve">report to the Commonwealth, State and Territory Ministers responsible for biosecurity matters on the outcome of the national response’s activities and review processes. </w:t>
      </w:r>
    </w:p>
    <w:p w14:paraId="34B5782F" w14:textId="77777777" w:rsidR="00B34554" w:rsidRPr="00A729D8" w:rsidRDefault="00B34554" w:rsidP="002106F9">
      <w:pPr>
        <w:pStyle w:val="ScheduleL1"/>
      </w:pPr>
      <w:r w:rsidRPr="00A729D8">
        <w:lastRenderedPageBreak/>
        <w:t>Creation of the NMG</w:t>
      </w:r>
    </w:p>
    <w:p w14:paraId="30D061CA" w14:textId="77777777" w:rsidR="00B34554" w:rsidRPr="00A729D8" w:rsidRDefault="00B34554" w:rsidP="002106F9">
      <w:pPr>
        <w:pStyle w:val="ScheduleL2"/>
      </w:pPr>
      <w:r w:rsidRPr="00A729D8">
        <w:t>Creating the NMG</w:t>
      </w:r>
    </w:p>
    <w:p w14:paraId="45445D7F" w14:textId="77777777" w:rsidR="00E4378A" w:rsidRPr="00A729D8" w:rsidRDefault="00B34554" w:rsidP="00121729">
      <w:pPr>
        <w:pStyle w:val="ListParagraph"/>
        <w:numPr>
          <w:ilvl w:val="0"/>
          <w:numId w:val="146"/>
        </w:numPr>
      </w:pPr>
      <w:r w:rsidRPr="00A729D8">
        <w:t xml:space="preserve">The NMG will be established for the purposes of a particular </w:t>
      </w:r>
      <w:r w:rsidR="00747D05" w:rsidRPr="00A729D8">
        <w:t>incident</w:t>
      </w:r>
      <w:r w:rsidRPr="00A729D8">
        <w:t xml:space="preserve"> of a pest or disease at the request of any party or on the advice of the </w:t>
      </w:r>
      <w:r w:rsidR="00B20F48" w:rsidRPr="00A729D8">
        <w:t>NBMCC</w:t>
      </w:r>
      <w:r w:rsidRPr="00A729D8">
        <w:t>.</w:t>
      </w:r>
    </w:p>
    <w:p w14:paraId="6AC3A62E" w14:textId="77777777" w:rsidR="00B34554" w:rsidRPr="00A729D8" w:rsidRDefault="00B34554" w:rsidP="00121729">
      <w:pPr>
        <w:pStyle w:val="ListParagraph"/>
        <w:numPr>
          <w:ilvl w:val="0"/>
          <w:numId w:val="146"/>
        </w:numPr>
      </w:pPr>
      <w:r w:rsidRPr="00A729D8">
        <w:t xml:space="preserve">The parties to the agreement will establish the NMG for that </w:t>
      </w:r>
      <w:r w:rsidR="00747D05" w:rsidRPr="00A729D8">
        <w:t>incident</w:t>
      </w:r>
      <w:r w:rsidRPr="00A729D8">
        <w:t xml:space="preserve"> by appointing members in the manner described in item 4 of this schedule.</w:t>
      </w:r>
    </w:p>
    <w:p w14:paraId="6ECB12C4" w14:textId="77777777" w:rsidR="00B34554" w:rsidRPr="00A729D8" w:rsidRDefault="00B34554" w:rsidP="002106F9">
      <w:pPr>
        <w:pStyle w:val="ScheduleL2"/>
      </w:pPr>
      <w:r w:rsidRPr="00A729D8">
        <w:t>Dissolution of the NMG</w:t>
      </w:r>
    </w:p>
    <w:p w14:paraId="7F9BE428" w14:textId="77777777" w:rsidR="00B34554" w:rsidRPr="00A729D8" w:rsidRDefault="00B34554" w:rsidP="002106F9">
      <w:r w:rsidRPr="00A729D8">
        <w:t>Once the NMG has:</w:t>
      </w:r>
    </w:p>
    <w:p w14:paraId="1A8CD595" w14:textId="77777777" w:rsidR="00E4378A" w:rsidRPr="00A729D8" w:rsidRDefault="00B34554" w:rsidP="00121729">
      <w:pPr>
        <w:pStyle w:val="ListParagraph"/>
        <w:numPr>
          <w:ilvl w:val="0"/>
          <w:numId w:val="147"/>
        </w:numPr>
      </w:pPr>
      <w:r w:rsidRPr="00A729D8">
        <w:t xml:space="preserve">determined that a national response is not required in relation to an </w:t>
      </w:r>
      <w:r w:rsidR="00747D05" w:rsidRPr="00A729D8">
        <w:t>incident</w:t>
      </w:r>
      <w:r w:rsidRPr="00A729D8">
        <w:t xml:space="preserve">, or an </w:t>
      </w:r>
      <w:r w:rsidR="00747D05" w:rsidRPr="00A729D8">
        <w:t>incident</w:t>
      </w:r>
      <w:r w:rsidRPr="00A729D8">
        <w:t xml:space="preserve"> is notified but not ultimately verified; or</w:t>
      </w:r>
    </w:p>
    <w:p w14:paraId="27EA8322" w14:textId="77777777" w:rsidR="00E4378A" w:rsidRPr="00A729D8" w:rsidRDefault="00B34554" w:rsidP="00121729">
      <w:pPr>
        <w:pStyle w:val="ListParagraph"/>
        <w:numPr>
          <w:ilvl w:val="0"/>
          <w:numId w:val="147"/>
        </w:numPr>
      </w:pPr>
      <w:r w:rsidRPr="00A729D8">
        <w:t>determined that a national response should cease</w:t>
      </w:r>
    </w:p>
    <w:p w14:paraId="6AB56632" w14:textId="77777777" w:rsidR="00E4378A" w:rsidRPr="00A729D8" w:rsidRDefault="00B34554" w:rsidP="00121729">
      <w:pPr>
        <w:pStyle w:val="ListParagraph"/>
        <w:numPr>
          <w:ilvl w:val="1"/>
          <w:numId w:val="147"/>
        </w:numPr>
      </w:pPr>
      <w:r w:rsidRPr="00A729D8">
        <w:t>because the pest or disease has been eradicated; or</w:t>
      </w:r>
    </w:p>
    <w:p w14:paraId="4C1E8ADE" w14:textId="77777777" w:rsidR="00E91FD5" w:rsidRPr="00A729D8" w:rsidRDefault="00B34554" w:rsidP="00121729">
      <w:pPr>
        <w:pStyle w:val="ListParagraph"/>
        <w:numPr>
          <w:ilvl w:val="1"/>
          <w:numId w:val="147"/>
        </w:numPr>
      </w:pPr>
      <w:r w:rsidRPr="00A729D8">
        <w:t xml:space="preserve">the NMG has determined the national response has not been, or will not be, successful in </w:t>
      </w:r>
      <w:r w:rsidR="00AB6045" w:rsidRPr="00A729D8">
        <w:t>meeting its objectives</w:t>
      </w:r>
    </w:p>
    <w:p w14:paraId="4AC24668" w14:textId="77777777" w:rsidR="00B34554" w:rsidRPr="00A729D8" w:rsidRDefault="00B34554" w:rsidP="002106F9">
      <w:pPr>
        <w:ind w:left="720"/>
      </w:pPr>
      <w:r w:rsidRPr="00A729D8">
        <w:t xml:space="preserve">and the NMG has discharged all of its obligations relating to the </w:t>
      </w:r>
      <w:r w:rsidR="00747D05" w:rsidRPr="00A729D8">
        <w:t>incident</w:t>
      </w:r>
      <w:r w:rsidRPr="00A729D8">
        <w:t xml:space="preserve"> of a pest or disease, the NMG for that </w:t>
      </w:r>
      <w:r w:rsidR="00747D05" w:rsidRPr="00A729D8">
        <w:t>incident</w:t>
      </w:r>
      <w:r w:rsidRPr="00A729D8">
        <w:t xml:space="preserve"> will be dissolved.</w:t>
      </w:r>
    </w:p>
    <w:p w14:paraId="1A13E2DE" w14:textId="77777777" w:rsidR="00B34554" w:rsidRPr="00A729D8" w:rsidRDefault="00B34554" w:rsidP="002106F9">
      <w:pPr>
        <w:pStyle w:val="ScheduleL1"/>
      </w:pPr>
      <w:r w:rsidRPr="00A729D8">
        <w:t>Membership</w:t>
      </w:r>
    </w:p>
    <w:p w14:paraId="07F32562" w14:textId="77777777" w:rsidR="00B34554" w:rsidRPr="00A729D8" w:rsidRDefault="00B34554" w:rsidP="002106F9">
      <w:pPr>
        <w:pStyle w:val="ScheduleL2"/>
      </w:pPr>
      <w:r w:rsidRPr="00A729D8">
        <w:t>Representation on the NMG</w:t>
      </w:r>
    </w:p>
    <w:p w14:paraId="15EDE610" w14:textId="77777777" w:rsidR="00B34554" w:rsidRPr="00A729D8" w:rsidRDefault="00B34554" w:rsidP="002106F9">
      <w:r w:rsidRPr="00A729D8">
        <w:t>The NMG will be made up of members representing all parties to the agreement. Composition, participation and voting on NMG decisions shall be in accordance with the arrangements outlined in items 4 and 5 of this schedule.</w:t>
      </w:r>
    </w:p>
    <w:p w14:paraId="629FB5E6" w14:textId="77777777" w:rsidR="00B34554" w:rsidRPr="00A729D8" w:rsidRDefault="00B34554" w:rsidP="002106F9">
      <w:pPr>
        <w:pStyle w:val="ScheduleL2"/>
      </w:pPr>
      <w:r w:rsidRPr="00A729D8">
        <w:t>Flexibility of NMG membership</w:t>
      </w:r>
    </w:p>
    <w:p w14:paraId="24121A57" w14:textId="77777777" w:rsidR="004F5940" w:rsidRPr="00A729D8" w:rsidRDefault="00B34554" w:rsidP="00121729">
      <w:pPr>
        <w:pStyle w:val="ListParagraph"/>
        <w:numPr>
          <w:ilvl w:val="0"/>
          <w:numId w:val="148"/>
        </w:numPr>
      </w:pPr>
      <w:r w:rsidRPr="00A729D8">
        <w:t xml:space="preserve">The NMG will be constituted on an </w:t>
      </w:r>
      <w:r w:rsidR="00747D05" w:rsidRPr="00A729D8">
        <w:t>incident</w:t>
      </w:r>
      <w:r w:rsidRPr="00A729D8">
        <w:t>-by-</w:t>
      </w:r>
      <w:r w:rsidR="00747D05" w:rsidRPr="00A729D8">
        <w:t>incident</w:t>
      </w:r>
      <w:r w:rsidRPr="00A729D8">
        <w:t xml:space="preserve"> basis.</w:t>
      </w:r>
    </w:p>
    <w:p w14:paraId="658930A7" w14:textId="77777777" w:rsidR="004F5940" w:rsidRPr="00A729D8" w:rsidRDefault="00B34554" w:rsidP="00121729">
      <w:pPr>
        <w:pStyle w:val="ListParagraph"/>
        <w:numPr>
          <w:ilvl w:val="0"/>
          <w:numId w:val="148"/>
        </w:numPr>
      </w:pPr>
      <w:r w:rsidRPr="00A729D8">
        <w:t xml:space="preserve">The party agencies that will be represented as members on the NMG will depend on the nature of the </w:t>
      </w:r>
      <w:r w:rsidR="00747D05" w:rsidRPr="00A729D8">
        <w:t>incident</w:t>
      </w:r>
      <w:r w:rsidRPr="00A729D8">
        <w:t xml:space="preserve">. For each </w:t>
      </w:r>
      <w:r w:rsidR="00747D05" w:rsidRPr="00A729D8">
        <w:t>incident</w:t>
      </w:r>
      <w:r w:rsidRPr="00A729D8">
        <w:t xml:space="preserve"> notified to the NMG, the parties will each nominate one lead agency to represent it on the NMG.</w:t>
      </w:r>
    </w:p>
    <w:p w14:paraId="5B1C6795" w14:textId="5CD4F06F" w:rsidR="00B34554" w:rsidRPr="00A729D8" w:rsidRDefault="00B34554" w:rsidP="00121729">
      <w:pPr>
        <w:pStyle w:val="ListParagraph"/>
        <w:numPr>
          <w:ilvl w:val="0"/>
          <w:numId w:val="148"/>
        </w:numPr>
      </w:pPr>
      <w:r w:rsidRPr="00A729D8">
        <w:t xml:space="preserve">Members of the NMG will be </w:t>
      </w:r>
      <w:r w:rsidR="005A6FA8" w:rsidRPr="00A729D8">
        <w:t xml:space="preserve">nominated by their </w:t>
      </w:r>
      <w:r w:rsidRPr="00A729D8">
        <w:t>agency</w:t>
      </w:r>
      <w:r w:rsidR="005A6FA8" w:rsidRPr="00A729D8">
        <w:t xml:space="preserve"> and hold the appropriate decision making and financial delegations</w:t>
      </w:r>
      <w:r w:rsidRPr="00A729D8">
        <w:t xml:space="preserve"> </w:t>
      </w:r>
    </w:p>
    <w:p w14:paraId="6BBEB510" w14:textId="77777777" w:rsidR="00B34554" w:rsidRPr="00A729D8" w:rsidRDefault="00B34554" w:rsidP="002106F9">
      <w:pPr>
        <w:pStyle w:val="ScheduleL2"/>
      </w:pPr>
      <w:r w:rsidRPr="00A729D8">
        <w:t>Composition of the NMG</w:t>
      </w:r>
    </w:p>
    <w:p w14:paraId="0E352346" w14:textId="77777777" w:rsidR="00B34554" w:rsidRPr="00A729D8" w:rsidRDefault="00B34554" w:rsidP="002106F9">
      <w:r w:rsidRPr="00A729D8">
        <w:t xml:space="preserve">The NMG will be composed of the members and attendees as </w:t>
      </w:r>
      <w:r w:rsidR="00D92297" w:rsidRPr="00A729D8">
        <w:t>follows:</w:t>
      </w:r>
    </w:p>
    <w:p w14:paraId="2796DCAB" w14:textId="77777777" w:rsidR="004F5940" w:rsidRPr="00A729D8" w:rsidRDefault="00B34554" w:rsidP="00121729">
      <w:pPr>
        <w:pStyle w:val="ListParagraph"/>
        <w:numPr>
          <w:ilvl w:val="0"/>
          <w:numId w:val="149"/>
        </w:numPr>
      </w:pPr>
      <w:r w:rsidRPr="00A729D8">
        <w:t>Chair</w:t>
      </w:r>
      <w:r w:rsidRPr="00A729D8">
        <w:tab/>
      </w:r>
    </w:p>
    <w:p w14:paraId="619C545A" w14:textId="77777777" w:rsidR="004F5940" w:rsidRPr="00A729D8" w:rsidRDefault="00B34554" w:rsidP="00121729">
      <w:pPr>
        <w:pStyle w:val="ListParagraph"/>
        <w:numPr>
          <w:ilvl w:val="1"/>
          <w:numId w:val="149"/>
        </w:numPr>
      </w:pPr>
      <w:r w:rsidRPr="00A729D8">
        <w:t>One (1) representative of the Commonwealth.</w:t>
      </w:r>
    </w:p>
    <w:p w14:paraId="455CDE6E" w14:textId="77777777" w:rsidR="004F5940" w:rsidRPr="00A729D8" w:rsidRDefault="00B34554" w:rsidP="00121729">
      <w:pPr>
        <w:pStyle w:val="ListParagraph"/>
        <w:numPr>
          <w:ilvl w:val="1"/>
          <w:numId w:val="149"/>
        </w:numPr>
      </w:pPr>
      <w:r w:rsidRPr="00A729D8">
        <w:t xml:space="preserve">The Commonwealth will select a representative for each </w:t>
      </w:r>
      <w:r w:rsidR="00747D05" w:rsidRPr="00A729D8">
        <w:t>incident</w:t>
      </w:r>
      <w:r w:rsidRPr="00A729D8">
        <w:t xml:space="preserve"> of a pest or disease, from the agency it determines most appropriate, to sit as chair of the NMG.</w:t>
      </w:r>
    </w:p>
    <w:p w14:paraId="16CE04B8" w14:textId="77777777" w:rsidR="00B34554" w:rsidRPr="00A729D8" w:rsidRDefault="00B34554" w:rsidP="00121729">
      <w:pPr>
        <w:pStyle w:val="ListParagraph"/>
        <w:numPr>
          <w:ilvl w:val="1"/>
          <w:numId w:val="149"/>
        </w:numPr>
      </w:pPr>
      <w:r w:rsidRPr="00A729D8">
        <w:t>The chair will not vote.</w:t>
      </w:r>
    </w:p>
    <w:p w14:paraId="7897C9C0" w14:textId="77777777" w:rsidR="004F5940" w:rsidRPr="00A729D8" w:rsidRDefault="00B34554" w:rsidP="00121729">
      <w:pPr>
        <w:pStyle w:val="ListParagraph"/>
        <w:numPr>
          <w:ilvl w:val="0"/>
          <w:numId w:val="149"/>
        </w:numPr>
      </w:pPr>
      <w:r w:rsidRPr="00A729D8">
        <w:lastRenderedPageBreak/>
        <w:t>Voting members</w:t>
      </w:r>
    </w:p>
    <w:p w14:paraId="7223D2D1" w14:textId="77777777" w:rsidR="004F5940" w:rsidRPr="00A729D8" w:rsidRDefault="00B34554" w:rsidP="00121729">
      <w:pPr>
        <w:pStyle w:val="ListParagraph"/>
        <w:numPr>
          <w:ilvl w:val="1"/>
          <w:numId w:val="149"/>
        </w:numPr>
      </w:pPr>
      <w:r w:rsidRPr="00A729D8">
        <w:t>Voting members can participate in discussions.</w:t>
      </w:r>
    </w:p>
    <w:p w14:paraId="635B96BB" w14:textId="77777777" w:rsidR="004F5940" w:rsidRPr="00A729D8" w:rsidRDefault="00B34554" w:rsidP="00121729">
      <w:pPr>
        <w:pStyle w:val="ListParagraph"/>
        <w:numPr>
          <w:ilvl w:val="1"/>
          <w:numId w:val="149"/>
        </w:numPr>
      </w:pPr>
      <w:r w:rsidRPr="00A729D8">
        <w:t>Each voting member has one (1) vote on NMG decisions, except decisions about cost- sharing.</w:t>
      </w:r>
    </w:p>
    <w:p w14:paraId="4BB2790C" w14:textId="021804D1" w:rsidR="004F5940" w:rsidRPr="00A729D8" w:rsidRDefault="00B34554" w:rsidP="00121729">
      <w:pPr>
        <w:pStyle w:val="ListParagraph"/>
        <w:numPr>
          <w:ilvl w:val="1"/>
          <w:numId w:val="149"/>
        </w:numPr>
      </w:pPr>
      <w:r w:rsidRPr="00A729D8">
        <w:t xml:space="preserve">Only voting members that represent an affected party, or </w:t>
      </w:r>
      <w:r w:rsidR="00BC4EC3" w:rsidRPr="00A729D8">
        <w:t xml:space="preserve">non-government </w:t>
      </w:r>
      <w:r w:rsidR="005A4D74" w:rsidRPr="00A729D8">
        <w:t xml:space="preserve">entities </w:t>
      </w:r>
      <w:r w:rsidR="00BC4EC3" w:rsidRPr="00A729D8">
        <w:t xml:space="preserve">that are </w:t>
      </w:r>
      <w:r w:rsidR="00711922" w:rsidRPr="00A729D8">
        <w:t>contributing either financially or in kind to a response</w:t>
      </w:r>
      <w:r w:rsidRPr="00A729D8">
        <w:t>, can vote on NMG decisions about cost-sharing.</w:t>
      </w:r>
      <w:r w:rsidRPr="00A729D8">
        <w:tab/>
      </w:r>
    </w:p>
    <w:p w14:paraId="18DA9788" w14:textId="77777777" w:rsidR="004F5940" w:rsidRPr="00A729D8" w:rsidRDefault="00B34554" w:rsidP="00121729">
      <w:pPr>
        <w:pStyle w:val="ListParagraph"/>
        <w:numPr>
          <w:ilvl w:val="1"/>
          <w:numId w:val="149"/>
        </w:numPr>
      </w:pPr>
      <w:r w:rsidRPr="00A729D8">
        <w:t>One (1) representative from each party.</w:t>
      </w:r>
    </w:p>
    <w:p w14:paraId="14F3EB8A" w14:textId="77777777" w:rsidR="004F5940" w:rsidRPr="00A729D8" w:rsidRDefault="00B34554" w:rsidP="002106F9">
      <w:pPr>
        <w:pStyle w:val="ListParagraph"/>
        <w:ind w:left="1800"/>
      </w:pPr>
      <w:r w:rsidRPr="00A729D8">
        <w:t xml:space="preserve">The Commonwealth (in addition to the Chair) and each state and territory party will have one representative as a voting member of the NMG constituted for each </w:t>
      </w:r>
      <w:r w:rsidR="00747D05" w:rsidRPr="00A729D8">
        <w:t>incident</w:t>
      </w:r>
      <w:r w:rsidRPr="00A729D8">
        <w:t xml:space="preserve"> of a pest or disease. That voting member will be the chief executive officer (or their nominated proxy) from the most appropriate agency agreed between the Commonwealth and all parties to be the lead agency for that </w:t>
      </w:r>
      <w:r w:rsidR="00747D05" w:rsidRPr="00A729D8">
        <w:t>incident</w:t>
      </w:r>
      <w:r w:rsidRPr="00A729D8">
        <w:t>. Voting members must liaise with that party’s other agencies and represent a whole-of-government perspective on the NMG.</w:t>
      </w:r>
    </w:p>
    <w:p w14:paraId="6C9FCA46" w14:textId="77777777" w:rsidR="004F5940" w:rsidRPr="00A729D8" w:rsidRDefault="00B34554" w:rsidP="002106F9">
      <w:pPr>
        <w:pStyle w:val="ListParagraph"/>
        <w:ind w:left="1800"/>
      </w:pPr>
      <w:r w:rsidRPr="00A729D8">
        <w:t>Note that while the Commonwealth is represented by two (2) members (one being the chair, the other being a voting member), only the voting member will vote for the Commonwealth.</w:t>
      </w:r>
    </w:p>
    <w:p w14:paraId="491FC1A9" w14:textId="5CEC8A02" w:rsidR="00711922" w:rsidRPr="00A729D8" w:rsidRDefault="00B34554" w:rsidP="00121729">
      <w:pPr>
        <w:pStyle w:val="ListParagraph"/>
        <w:numPr>
          <w:ilvl w:val="1"/>
          <w:numId w:val="149"/>
        </w:numPr>
      </w:pPr>
      <w:r w:rsidRPr="00A729D8">
        <w:t xml:space="preserve">One (1) representative from each </w:t>
      </w:r>
      <w:r w:rsidR="00711922" w:rsidRPr="00A729D8">
        <w:t xml:space="preserve">non-government </w:t>
      </w:r>
      <w:r w:rsidR="005A4D74" w:rsidRPr="00A729D8">
        <w:t xml:space="preserve">entity </w:t>
      </w:r>
      <w:r w:rsidR="00711922" w:rsidRPr="00A729D8">
        <w:t xml:space="preserve">that </w:t>
      </w:r>
      <w:r w:rsidR="006D042B" w:rsidRPr="00A729D8">
        <w:t xml:space="preserve">the </w:t>
      </w:r>
      <w:r w:rsidR="00711922" w:rsidRPr="00A729D8">
        <w:t xml:space="preserve">NMG has </w:t>
      </w:r>
      <w:r w:rsidR="00321184" w:rsidRPr="00A729D8">
        <w:t xml:space="preserve">unanimously </w:t>
      </w:r>
      <w:r w:rsidR="00711922" w:rsidRPr="00A729D8">
        <w:t xml:space="preserve">determined to be a voting member for a particular incident having </w:t>
      </w:r>
      <w:r w:rsidR="00321184" w:rsidRPr="00A729D8">
        <w:t xml:space="preserve">demonstrated </w:t>
      </w:r>
      <w:r w:rsidR="00711922" w:rsidRPr="00A729D8">
        <w:t>the following :</w:t>
      </w:r>
    </w:p>
    <w:p w14:paraId="62554F54" w14:textId="77777777" w:rsidR="00711922" w:rsidRPr="00A729D8" w:rsidRDefault="00321184" w:rsidP="00121729">
      <w:pPr>
        <w:pStyle w:val="ListParagraph"/>
        <w:numPr>
          <w:ilvl w:val="2"/>
          <w:numId w:val="149"/>
        </w:numPr>
      </w:pPr>
      <w:r w:rsidRPr="00A729D8">
        <w:t xml:space="preserve">is </w:t>
      </w:r>
      <w:r w:rsidR="00711922" w:rsidRPr="00A729D8">
        <w:t>ab</w:t>
      </w:r>
      <w:r w:rsidR="006D042B" w:rsidRPr="00A729D8">
        <w:t>le</w:t>
      </w:r>
      <w:r w:rsidR="00711922" w:rsidRPr="00A729D8">
        <w:t xml:space="preserve"> to contribute to the costs of the national response, to the amounts specified at clause</w:t>
      </w:r>
      <w:r w:rsidR="006D042B" w:rsidRPr="00A729D8">
        <w:t xml:space="preserve"> 7</w:t>
      </w:r>
      <w:r w:rsidR="00F4194D" w:rsidRPr="00A729D8">
        <w:t>.2.2 to this agreement</w:t>
      </w:r>
      <w:r w:rsidR="00711922" w:rsidRPr="00A729D8">
        <w:t>, and</w:t>
      </w:r>
    </w:p>
    <w:p w14:paraId="7DD128AC" w14:textId="69621D46" w:rsidR="004F5940" w:rsidRPr="00A729D8" w:rsidRDefault="00321184" w:rsidP="00121729">
      <w:pPr>
        <w:pStyle w:val="ListParagraph"/>
        <w:numPr>
          <w:ilvl w:val="2"/>
          <w:numId w:val="149"/>
        </w:numPr>
      </w:pPr>
      <w:r w:rsidRPr="00A729D8">
        <w:t xml:space="preserve">is committed to, and will </w:t>
      </w:r>
      <w:r w:rsidR="00711922" w:rsidRPr="00A729D8">
        <w:t>adhere to the confidential</w:t>
      </w:r>
      <w:r w:rsidR="00385FA0" w:rsidRPr="00A729D8">
        <w:t>ity</w:t>
      </w:r>
      <w:r w:rsidR="00711922" w:rsidRPr="00A729D8">
        <w:t xml:space="preserve"> provisions set </w:t>
      </w:r>
      <w:r w:rsidR="00F4194D" w:rsidRPr="00A729D8">
        <w:t>by the NEBRA custodian</w:t>
      </w:r>
      <w:r w:rsidRPr="00A729D8">
        <w:t xml:space="preserve">, and </w:t>
      </w:r>
    </w:p>
    <w:p w14:paraId="5C12428C" w14:textId="77777777" w:rsidR="00321184" w:rsidRPr="00A729D8" w:rsidRDefault="00321184" w:rsidP="00121729">
      <w:pPr>
        <w:pStyle w:val="ListParagraph"/>
        <w:numPr>
          <w:ilvl w:val="2"/>
          <w:numId w:val="149"/>
        </w:numPr>
      </w:pPr>
      <w:r w:rsidRPr="00A729D8">
        <w:t>is a suitable representative of a stakeholder group (for example, legal standing as a land custodian), and</w:t>
      </w:r>
    </w:p>
    <w:p w14:paraId="438FDCA3" w14:textId="77777777" w:rsidR="00321184" w:rsidRPr="00A729D8" w:rsidRDefault="00321184" w:rsidP="00121729">
      <w:pPr>
        <w:pStyle w:val="ListParagraph"/>
        <w:numPr>
          <w:ilvl w:val="2"/>
          <w:numId w:val="149"/>
        </w:numPr>
      </w:pPr>
      <w:r w:rsidRPr="00A729D8">
        <w:t>there is no conflict</w:t>
      </w:r>
      <w:r w:rsidR="006D042B" w:rsidRPr="00A729D8">
        <w:t>.</w:t>
      </w:r>
      <w:r w:rsidRPr="00A729D8">
        <w:t xml:space="preserve"> </w:t>
      </w:r>
    </w:p>
    <w:p w14:paraId="011022A6" w14:textId="77777777" w:rsidR="004F5940" w:rsidRPr="00A729D8" w:rsidRDefault="00B34554" w:rsidP="00121729">
      <w:pPr>
        <w:pStyle w:val="ListParagraph"/>
        <w:numPr>
          <w:ilvl w:val="0"/>
          <w:numId w:val="149"/>
        </w:numPr>
      </w:pPr>
      <w:r w:rsidRPr="00A729D8">
        <w:t>Non-voting members</w:t>
      </w:r>
    </w:p>
    <w:p w14:paraId="630DEE14" w14:textId="77777777" w:rsidR="004F5940" w:rsidRPr="00A729D8" w:rsidRDefault="00B34554" w:rsidP="00121729">
      <w:pPr>
        <w:pStyle w:val="ListParagraph"/>
        <w:numPr>
          <w:ilvl w:val="1"/>
          <w:numId w:val="149"/>
        </w:numPr>
      </w:pPr>
      <w:r w:rsidRPr="00A729D8">
        <w:t>Non-voting members can participate in discussions at NMG meetings, but may not vote on any NMG decisions.</w:t>
      </w:r>
    </w:p>
    <w:p w14:paraId="287362D0" w14:textId="77777777" w:rsidR="004F5940" w:rsidRPr="00A729D8" w:rsidRDefault="00B34554" w:rsidP="00121729">
      <w:pPr>
        <w:pStyle w:val="ListParagraph"/>
        <w:numPr>
          <w:ilvl w:val="1"/>
          <w:numId w:val="149"/>
        </w:numPr>
      </w:pPr>
      <w:r w:rsidRPr="00A729D8">
        <w:t>The following may be non-voting members of the NMG:</w:t>
      </w:r>
    </w:p>
    <w:p w14:paraId="6DA299EE" w14:textId="77777777" w:rsidR="004F5940" w:rsidRPr="00A729D8" w:rsidRDefault="00B34554" w:rsidP="00121729">
      <w:pPr>
        <w:pStyle w:val="ListParagraph"/>
        <w:numPr>
          <w:ilvl w:val="2"/>
          <w:numId w:val="149"/>
        </w:numPr>
      </w:pPr>
      <w:r w:rsidRPr="00A729D8">
        <w:t>one (1) representative of each interested, non-lead agency of each affected party, being the chief executive officer of that agency</w:t>
      </w:r>
    </w:p>
    <w:p w14:paraId="11F82D89" w14:textId="79774DA8" w:rsidR="004F5940" w:rsidRPr="00A729D8" w:rsidRDefault="00B34554" w:rsidP="00121729">
      <w:pPr>
        <w:pStyle w:val="ListParagraph"/>
        <w:numPr>
          <w:ilvl w:val="2"/>
          <w:numId w:val="149"/>
        </w:numPr>
      </w:pPr>
      <w:r w:rsidRPr="00A729D8">
        <w:t xml:space="preserve">one (1) representative of each </w:t>
      </w:r>
      <w:r w:rsidR="00CC25A6" w:rsidRPr="00A729D8">
        <w:t xml:space="preserve">non-government </w:t>
      </w:r>
      <w:r w:rsidR="00454F21" w:rsidRPr="00A729D8">
        <w:t>entity</w:t>
      </w:r>
      <w:r w:rsidRPr="00A729D8">
        <w:t xml:space="preserve">, if the </w:t>
      </w:r>
      <w:r w:rsidR="00B138E7" w:rsidRPr="00A729D8">
        <w:t xml:space="preserve">NMG </w:t>
      </w:r>
      <w:r w:rsidRPr="00A729D8">
        <w:t>determines</w:t>
      </w:r>
      <w:r w:rsidR="00B138E7" w:rsidRPr="00A729D8">
        <w:t xml:space="preserve"> through unanimous vote,</w:t>
      </w:r>
      <w:r w:rsidRPr="00A729D8">
        <w:t xml:space="preserve"> that this is appropriate</w:t>
      </w:r>
    </w:p>
    <w:p w14:paraId="78F78DCC" w14:textId="77777777" w:rsidR="004F5940" w:rsidRPr="00A729D8" w:rsidRDefault="00B34554" w:rsidP="00121729">
      <w:pPr>
        <w:pStyle w:val="ListParagraph"/>
        <w:numPr>
          <w:ilvl w:val="2"/>
          <w:numId w:val="149"/>
        </w:numPr>
      </w:pPr>
      <w:r w:rsidRPr="00A729D8">
        <w:t xml:space="preserve">the chair of the </w:t>
      </w:r>
      <w:r w:rsidR="00B20F48" w:rsidRPr="00A729D8">
        <w:t>NBMCC</w:t>
      </w:r>
    </w:p>
    <w:p w14:paraId="4C07D1AE" w14:textId="77777777" w:rsidR="00FC2AC3" w:rsidRPr="00A729D8" w:rsidRDefault="00B34554" w:rsidP="00121729">
      <w:pPr>
        <w:pStyle w:val="ListParagraph"/>
        <w:numPr>
          <w:ilvl w:val="2"/>
          <w:numId w:val="149"/>
        </w:numPr>
      </w:pPr>
      <w:r w:rsidRPr="00A729D8">
        <w:t>the chair of any affected biosecurity sectoral committee</w:t>
      </w:r>
    </w:p>
    <w:p w14:paraId="6303E2BD" w14:textId="77777777" w:rsidR="004F5940" w:rsidRPr="00A729D8" w:rsidRDefault="00E71A16" w:rsidP="00121729">
      <w:pPr>
        <w:pStyle w:val="ListParagraph"/>
        <w:numPr>
          <w:ilvl w:val="2"/>
          <w:numId w:val="149"/>
        </w:numPr>
      </w:pPr>
      <w:r w:rsidRPr="00A729D8">
        <w:t xml:space="preserve">one (1) representative from the </w:t>
      </w:r>
      <w:r w:rsidR="00FC2AC3" w:rsidRPr="00A729D8">
        <w:t>Custodian</w:t>
      </w:r>
      <w:r w:rsidR="00B34554" w:rsidRPr="00A729D8">
        <w:t>.</w:t>
      </w:r>
    </w:p>
    <w:p w14:paraId="271E6765" w14:textId="77777777" w:rsidR="004F5940" w:rsidRPr="00A729D8" w:rsidRDefault="00B34554" w:rsidP="00121729">
      <w:pPr>
        <w:pStyle w:val="ListParagraph"/>
        <w:numPr>
          <w:ilvl w:val="0"/>
          <w:numId w:val="149"/>
        </w:numPr>
      </w:pPr>
      <w:r w:rsidRPr="00A729D8">
        <w:lastRenderedPageBreak/>
        <w:t>Observers</w:t>
      </w:r>
    </w:p>
    <w:p w14:paraId="54715566" w14:textId="77777777" w:rsidR="004F5940" w:rsidRPr="00A729D8" w:rsidRDefault="00B34554" w:rsidP="00121729">
      <w:pPr>
        <w:pStyle w:val="ListParagraph"/>
        <w:numPr>
          <w:ilvl w:val="1"/>
          <w:numId w:val="149"/>
        </w:numPr>
      </w:pPr>
      <w:r w:rsidRPr="00A729D8">
        <w:t>Observers may attend NMG meetings but may not participate in discussions or vote on any NMG decisions.</w:t>
      </w:r>
      <w:r w:rsidRPr="00A729D8">
        <w:tab/>
      </w:r>
    </w:p>
    <w:p w14:paraId="1AE5FD61" w14:textId="77777777" w:rsidR="004F5940" w:rsidRPr="00A729D8" w:rsidRDefault="00B34554" w:rsidP="00121729">
      <w:pPr>
        <w:pStyle w:val="ListParagraph"/>
        <w:numPr>
          <w:ilvl w:val="1"/>
          <w:numId w:val="149"/>
        </w:numPr>
      </w:pPr>
      <w:r w:rsidRPr="00A729D8">
        <w:t>The following may be observers at NMG meetings:</w:t>
      </w:r>
    </w:p>
    <w:p w14:paraId="0436251E" w14:textId="77777777" w:rsidR="004F5940" w:rsidRPr="00A729D8" w:rsidRDefault="00B34554" w:rsidP="00121729">
      <w:pPr>
        <w:pStyle w:val="ListParagraph"/>
        <w:numPr>
          <w:ilvl w:val="2"/>
          <w:numId w:val="149"/>
        </w:numPr>
      </w:pPr>
      <w:r w:rsidRPr="00A729D8">
        <w:t>one (1) staff member from the departments of health of each affected party and the Commonwealth</w:t>
      </w:r>
    </w:p>
    <w:p w14:paraId="2C3AB030" w14:textId="77777777" w:rsidR="004F5940" w:rsidRPr="00A729D8" w:rsidRDefault="00B34554" w:rsidP="00121729">
      <w:pPr>
        <w:pStyle w:val="ListParagraph"/>
        <w:numPr>
          <w:ilvl w:val="2"/>
          <w:numId w:val="149"/>
        </w:numPr>
      </w:pPr>
      <w:r w:rsidRPr="00A729D8">
        <w:t xml:space="preserve">one (1) staff member from other departments of each affected party (if the chair so determines, depending on the nature of the </w:t>
      </w:r>
      <w:r w:rsidR="00747D05" w:rsidRPr="00A729D8">
        <w:t>incident</w:t>
      </w:r>
      <w:r w:rsidRPr="00A729D8">
        <w:t>)</w:t>
      </w:r>
    </w:p>
    <w:p w14:paraId="6285F56E" w14:textId="77777777" w:rsidR="00B34554" w:rsidRPr="00A729D8" w:rsidRDefault="00B34554" w:rsidP="00121729">
      <w:pPr>
        <w:pStyle w:val="ListParagraph"/>
        <w:numPr>
          <w:ilvl w:val="2"/>
          <w:numId w:val="149"/>
        </w:numPr>
      </w:pPr>
      <w:r w:rsidRPr="00A729D8">
        <w:t>advisers to the voting members.</w:t>
      </w:r>
    </w:p>
    <w:p w14:paraId="48256E8D" w14:textId="77777777" w:rsidR="00B34554" w:rsidRPr="00A729D8" w:rsidRDefault="00B34554" w:rsidP="002106F9">
      <w:pPr>
        <w:pStyle w:val="ScheduleL1"/>
      </w:pPr>
      <w:r w:rsidRPr="00A729D8">
        <w:t>Meeting protocols</w:t>
      </w:r>
    </w:p>
    <w:p w14:paraId="5F0EFF26" w14:textId="77777777" w:rsidR="004F5940" w:rsidRPr="00A729D8" w:rsidRDefault="00B34554" w:rsidP="00121729">
      <w:pPr>
        <w:pStyle w:val="ListParagraph"/>
        <w:numPr>
          <w:ilvl w:val="0"/>
          <w:numId w:val="150"/>
        </w:numPr>
      </w:pPr>
      <w:r w:rsidRPr="00A729D8">
        <w:t>The NMG will be convened and meet as necessary:</w:t>
      </w:r>
    </w:p>
    <w:p w14:paraId="5D5F2C2B" w14:textId="77777777" w:rsidR="004F5940" w:rsidRPr="00A729D8" w:rsidRDefault="00B34554" w:rsidP="00121729">
      <w:pPr>
        <w:pStyle w:val="ListParagraph"/>
        <w:numPr>
          <w:ilvl w:val="1"/>
          <w:numId w:val="150"/>
        </w:numPr>
      </w:pPr>
      <w:r w:rsidRPr="00A729D8">
        <w:t xml:space="preserve">to consider policy and financial issues associated with a particular </w:t>
      </w:r>
      <w:r w:rsidR="00747D05" w:rsidRPr="00A729D8">
        <w:t>incident</w:t>
      </w:r>
      <w:r w:rsidRPr="00A729D8">
        <w:t xml:space="preserve"> of a pest or disease and the national response</w:t>
      </w:r>
    </w:p>
    <w:p w14:paraId="272E65E2" w14:textId="77777777" w:rsidR="004F5940" w:rsidRPr="00A729D8" w:rsidRDefault="00B34554" w:rsidP="00121729">
      <w:pPr>
        <w:pStyle w:val="ListParagraph"/>
        <w:numPr>
          <w:ilvl w:val="1"/>
          <w:numId w:val="150"/>
        </w:numPr>
      </w:pPr>
      <w:r w:rsidRPr="00A729D8">
        <w:t xml:space="preserve">to ensure the </w:t>
      </w:r>
      <w:r w:rsidR="00747D05" w:rsidRPr="00A729D8">
        <w:t>incident</w:t>
      </w:r>
      <w:r w:rsidRPr="00A729D8">
        <w:t xml:space="preserve"> and the national response is effectively managed.</w:t>
      </w:r>
    </w:p>
    <w:p w14:paraId="3A075709" w14:textId="77777777" w:rsidR="004F5940" w:rsidRPr="00A729D8" w:rsidRDefault="00B34554" w:rsidP="00121729">
      <w:pPr>
        <w:pStyle w:val="ListParagraph"/>
        <w:numPr>
          <w:ilvl w:val="0"/>
          <w:numId w:val="150"/>
        </w:numPr>
      </w:pPr>
      <w:r w:rsidRPr="00A729D8">
        <w:t>Members set out in item 4.3 of this schedule may be repres</w:t>
      </w:r>
      <w:r w:rsidR="001938B3" w:rsidRPr="00A729D8">
        <w:t xml:space="preserve">ented at meetings by a delegate so long as that delegate is </w:t>
      </w:r>
      <w:r w:rsidR="00E003D8" w:rsidRPr="00A729D8">
        <w:t xml:space="preserve">able </w:t>
      </w:r>
      <w:r w:rsidR="001938B3" w:rsidRPr="00A729D8">
        <w:t xml:space="preserve">to make decisions at the </w:t>
      </w:r>
      <w:r w:rsidR="00E003D8" w:rsidRPr="00A729D8">
        <w:t>meeting.</w:t>
      </w:r>
    </w:p>
    <w:p w14:paraId="46A2B622" w14:textId="77777777" w:rsidR="004F5940" w:rsidRPr="00A729D8" w:rsidRDefault="00B34554" w:rsidP="00121729">
      <w:pPr>
        <w:pStyle w:val="ListParagraph"/>
        <w:numPr>
          <w:ilvl w:val="0"/>
          <w:numId w:val="150"/>
        </w:numPr>
      </w:pPr>
      <w:r w:rsidRPr="00A729D8">
        <w:t>Each party (which will be represented by a voting member) will have one vote on all decisions of the NMG, with the exception of decisions about cost-sharing, regardless of whether the party is an affected party.</w:t>
      </w:r>
    </w:p>
    <w:p w14:paraId="6B32033A" w14:textId="77777777" w:rsidR="004F5940" w:rsidRPr="00A729D8" w:rsidRDefault="00B34554" w:rsidP="00121729">
      <w:pPr>
        <w:pStyle w:val="ListParagraph"/>
        <w:numPr>
          <w:ilvl w:val="0"/>
          <w:numId w:val="150"/>
        </w:numPr>
      </w:pPr>
      <w:r w:rsidRPr="00A729D8">
        <w:t>The Commonwealth’s voting member will vote for the Commonwealth. The chair (also a representative of the Commonwealth) will not vote.</w:t>
      </w:r>
    </w:p>
    <w:p w14:paraId="78B2AFD8" w14:textId="77777777" w:rsidR="004F5940" w:rsidRPr="00A729D8" w:rsidRDefault="00B34554" w:rsidP="00121729">
      <w:pPr>
        <w:pStyle w:val="ListParagraph"/>
        <w:numPr>
          <w:ilvl w:val="0"/>
          <w:numId w:val="150"/>
        </w:numPr>
      </w:pPr>
      <w:r w:rsidRPr="00A729D8">
        <w:t>Where an NMG decision is about cost-sharing, the following applies:</w:t>
      </w:r>
    </w:p>
    <w:p w14:paraId="7A10E155" w14:textId="77777777" w:rsidR="004F5940" w:rsidRPr="00A729D8" w:rsidRDefault="00B34554" w:rsidP="00121729">
      <w:pPr>
        <w:pStyle w:val="ListParagraph"/>
        <w:numPr>
          <w:ilvl w:val="1"/>
          <w:numId w:val="150"/>
        </w:numPr>
      </w:pPr>
      <w:r w:rsidRPr="00A729D8">
        <w:t>only those voting members who represent</w:t>
      </w:r>
    </w:p>
    <w:p w14:paraId="74A1816C" w14:textId="77777777" w:rsidR="004F5940" w:rsidRPr="00A729D8" w:rsidRDefault="00B34554" w:rsidP="00121729">
      <w:pPr>
        <w:pStyle w:val="ListParagraph"/>
        <w:numPr>
          <w:ilvl w:val="2"/>
          <w:numId w:val="150"/>
        </w:numPr>
      </w:pPr>
      <w:r w:rsidRPr="00A729D8">
        <w:t>the Commonwealth</w:t>
      </w:r>
    </w:p>
    <w:p w14:paraId="72EEFCB3" w14:textId="77777777" w:rsidR="004F5940" w:rsidRPr="00A729D8" w:rsidRDefault="00B34554" w:rsidP="00121729">
      <w:pPr>
        <w:pStyle w:val="ListParagraph"/>
        <w:numPr>
          <w:ilvl w:val="2"/>
          <w:numId w:val="150"/>
        </w:numPr>
      </w:pPr>
      <w:r w:rsidRPr="00A729D8">
        <w:t>parties that are affected parties, in relation to the incident, or</w:t>
      </w:r>
    </w:p>
    <w:p w14:paraId="55615197" w14:textId="6200FC09" w:rsidR="004F5940" w:rsidRPr="00A729D8" w:rsidRDefault="002113D6" w:rsidP="00121729">
      <w:pPr>
        <w:pStyle w:val="ListParagraph"/>
        <w:numPr>
          <w:ilvl w:val="2"/>
          <w:numId w:val="150"/>
        </w:numPr>
      </w:pPr>
      <w:r w:rsidRPr="00A729D8">
        <w:t xml:space="preserve">non-government </w:t>
      </w:r>
      <w:r w:rsidR="00454F21" w:rsidRPr="00A729D8">
        <w:t xml:space="preserve">entities </w:t>
      </w:r>
      <w:r w:rsidR="009C76C1" w:rsidRPr="00A729D8">
        <w:t xml:space="preserve">that </w:t>
      </w:r>
      <w:r w:rsidRPr="00A729D8">
        <w:t xml:space="preserve">the </w:t>
      </w:r>
      <w:r w:rsidR="009C76C1" w:rsidRPr="00A729D8">
        <w:t xml:space="preserve">NMG </w:t>
      </w:r>
      <w:r w:rsidRPr="00A729D8">
        <w:t>has determined to be a voting member for that incident, in line with criteria set out in 4.3(b)</w:t>
      </w:r>
      <w:r w:rsidR="00F4194D" w:rsidRPr="00A729D8">
        <w:t>(</w:t>
      </w:r>
      <w:r w:rsidRPr="00A729D8">
        <w:t>v</w:t>
      </w:r>
      <w:r w:rsidR="00F4194D" w:rsidRPr="00A729D8">
        <w:t>) to this schedule</w:t>
      </w:r>
      <w:r w:rsidR="00B34554" w:rsidRPr="00A729D8">
        <w:t>; and</w:t>
      </w:r>
    </w:p>
    <w:p w14:paraId="118403B9" w14:textId="77777777" w:rsidR="004F5940" w:rsidRPr="00A729D8" w:rsidRDefault="00B34554" w:rsidP="00121729">
      <w:pPr>
        <w:pStyle w:val="ListParagraph"/>
        <w:numPr>
          <w:ilvl w:val="1"/>
          <w:numId w:val="150"/>
        </w:numPr>
      </w:pPr>
      <w:r w:rsidRPr="00A729D8">
        <w:t>each member will have one vote on the cost-sharing decision.</w:t>
      </w:r>
    </w:p>
    <w:p w14:paraId="108F78F9" w14:textId="77777777" w:rsidR="004F5940" w:rsidRPr="00A729D8" w:rsidRDefault="00B34554" w:rsidP="00121729">
      <w:pPr>
        <w:pStyle w:val="ListParagraph"/>
        <w:numPr>
          <w:ilvl w:val="0"/>
          <w:numId w:val="150"/>
        </w:numPr>
      </w:pPr>
      <w:r w:rsidRPr="00A729D8">
        <w:t>Decisions must be made by consensus, with the exception of cost-sharing decisions, which must be unanimous.</w:t>
      </w:r>
    </w:p>
    <w:p w14:paraId="6B2094BD" w14:textId="1996A658" w:rsidR="004F5940" w:rsidRPr="00A729D8" w:rsidRDefault="00B34554" w:rsidP="00B92308">
      <w:pPr>
        <w:pStyle w:val="ListParagraph"/>
        <w:numPr>
          <w:ilvl w:val="0"/>
          <w:numId w:val="150"/>
        </w:numPr>
      </w:pPr>
      <w:r w:rsidRPr="00A729D8">
        <w:t>Voting members may be accompanied by advisers with specific expertise. These people, and any other observers, will not participate in discussions or in making decisions.</w:t>
      </w:r>
      <w:r w:rsidR="00B92308" w:rsidRPr="00A729D8">
        <w:t xml:space="preserve"> Through these advisers, the NMG can access advice from a range of experts including on matters such as crisis and issues management.</w:t>
      </w:r>
    </w:p>
    <w:p w14:paraId="5BF6FDE9" w14:textId="77777777" w:rsidR="004F5940" w:rsidRPr="00A729D8" w:rsidRDefault="00B34554" w:rsidP="00121729">
      <w:pPr>
        <w:pStyle w:val="ListParagraph"/>
        <w:numPr>
          <w:ilvl w:val="0"/>
          <w:numId w:val="150"/>
        </w:numPr>
      </w:pPr>
      <w:r w:rsidRPr="00A729D8">
        <w:t>Members of the NMG or their delegates need to be available at short notice (less than 24 hours).</w:t>
      </w:r>
    </w:p>
    <w:p w14:paraId="2D77B92C" w14:textId="77777777" w:rsidR="004F5940" w:rsidRPr="00A729D8" w:rsidRDefault="00B34554" w:rsidP="00121729">
      <w:pPr>
        <w:pStyle w:val="ListParagraph"/>
        <w:numPr>
          <w:ilvl w:val="0"/>
          <w:numId w:val="150"/>
        </w:numPr>
      </w:pPr>
      <w:r w:rsidRPr="00A729D8">
        <w:lastRenderedPageBreak/>
        <w:t xml:space="preserve">The </w:t>
      </w:r>
      <w:r w:rsidR="00B20F48" w:rsidRPr="00A729D8">
        <w:t>NBMCC</w:t>
      </w:r>
      <w:r w:rsidRPr="00A729D8">
        <w:t xml:space="preserve"> will communicate with the NMG via its chair. The chair of the </w:t>
      </w:r>
      <w:r w:rsidR="00B20F48" w:rsidRPr="00A729D8">
        <w:t>NBMCC</w:t>
      </w:r>
      <w:r w:rsidRPr="00A729D8">
        <w:t xml:space="preserve"> will be represented at the NMG as a non-voting member.</w:t>
      </w:r>
    </w:p>
    <w:p w14:paraId="6507AB8B" w14:textId="77777777" w:rsidR="00B34554" w:rsidRPr="00A729D8" w:rsidRDefault="00B34554" w:rsidP="00121729">
      <w:pPr>
        <w:pStyle w:val="ListParagraph"/>
        <w:numPr>
          <w:ilvl w:val="0"/>
          <w:numId w:val="150"/>
        </w:numPr>
      </w:pPr>
      <w:r w:rsidRPr="00A729D8">
        <w:t xml:space="preserve">Secretariat services will be provided by the Commonwealth (from the relevant agency for the </w:t>
      </w:r>
      <w:r w:rsidR="00747D05" w:rsidRPr="00A729D8">
        <w:t>incident</w:t>
      </w:r>
      <w:r w:rsidRPr="00A729D8">
        <w:t>), which will provide reports of meetings to each of the participants, whether voting members, non-voting members or observers.</w:t>
      </w:r>
    </w:p>
    <w:p w14:paraId="724CD62D" w14:textId="77777777" w:rsidR="00297590" w:rsidRPr="00A729D8" w:rsidRDefault="00B34554" w:rsidP="002106F9">
      <w:r w:rsidRPr="00A729D8">
        <w:t xml:space="preserve"> </w:t>
      </w:r>
    </w:p>
    <w:p w14:paraId="08C15EA8" w14:textId="77777777" w:rsidR="00297590" w:rsidRPr="00A729D8" w:rsidRDefault="00297590" w:rsidP="002106F9">
      <w:r w:rsidRPr="00A729D8">
        <w:br w:type="page"/>
      </w:r>
    </w:p>
    <w:p w14:paraId="7D59127E" w14:textId="77777777" w:rsidR="00B34554" w:rsidRPr="00A729D8" w:rsidRDefault="00B34554" w:rsidP="002106F9">
      <w:pPr>
        <w:pStyle w:val="Heading1"/>
        <w:keepNext w:val="0"/>
        <w:keepLines w:val="0"/>
        <w:numPr>
          <w:ilvl w:val="0"/>
          <w:numId w:val="0"/>
        </w:numPr>
      </w:pPr>
      <w:bookmarkStart w:id="282" w:name="_Toc7528168"/>
      <w:r w:rsidRPr="00A729D8">
        <w:lastRenderedPageBreak/>
        <w:t xml:space="preserve">Schedule </w:t>
      </w:r>
      <w:r w:rsidR="00674C8E" w:rsidRPr="00A729D8">
        <w:t>7</w:t>
      </w:r>
      <w:r w:rsidR="00297590" w:rsidRPr="00A729D8">
        <w:t xml:space="preserve"> – </w:t>
      </w:r>
      <w:r w:rsidRPr="00A729D8">
        <w:t>National</w:t>
      </w:r>
      <w:r w:rsidR="00297590" w:rsidRPr="00A729D8">
        <w:t xml:space="preserve"> </w:t>
      </w:r>
      <w:r w:rsidRPr="00A729D8">
        <w:t>Biosecurity Management Consultative Committee</w:t>
      </w:r>
      <w:bookmarkEnd w:id="282"/>
      <w:r w:rsidRPr="00A729D8">
        <w:t xml:space="preserve"> </w:t>
      </w:r>
      <w:r w:rsidRPr="00A729D8">
        <w:tab/>
        <w:t xml:space="preserve"> </w:t>
      </w:r>
    </w:p>
    <w:p w14:paraId="5D276634" w14:textId="77777777" w:rsidR="00B34554" w:rsidRPr="00A729D8" w:rsidRDefault="00B34554" w:rsidP="00121729">
      <w:pPr>
        <w:pStyle w:val="ScheduleL1"/>
        <w:numPr>
          <w:ilvl w:val="0"/>
          <w:numId w:val="151"/>
        </w:numPr>
      </w:pPr>
      <w:r w:rsidRPr="00A729D8">
        <w:t xml:space="preserve">Introduction to the </w:t>
      </w:r>
      <w:r w:rsidR="00B20F48" w:rsidRPr="00A729D8">
        <w:t>NBMCC</w:t>
      </w:r>
    </w:p>
    <w:p w14:paraId="4B88D19A" w14:textId="77777777" w:rsidR="004F5940" w:rsidRPr="00A729D8" w:rsidRDefault="00B34554" w:rsidP="00121729">
      <w:pPr>
        <w:pStyle w:val="ListParagraph"/>
        <w:numPr>
          <w:ilvl w:val="0"/>
          <w:numId w:val="152"/>
        </w:numPr>
      </w:pPr>
      <w:r w:rsidRPr="00A729D8">
        <w:t xml:space="preserve">This schedule sets out the arrangements for the </w:t>
      </w:r>
      <w:r w:rsidR="00B20F48" w:rsidRPr="00A729D8">
        <w:t>NBMCC</w:t>
      </w:r>
      <w:r w:rsidRPr="00A729D8">
        <w:t>.</w:t>
      </w:r>
    </w:p>
    <w:p w14:paraId="5ADDCC52" w14:textId="77777777" w:rsidR="004F5940" w:rsidRPr="00A729D8" w:rsidRDefault="00B34554" w:rsidP="00121729">
      <w:pPr>
        <w:pStyle w:val="ListParagraph"/>
        <w:numPr>
          <w:ilvl w:val="0"/>
          <w:numId w:val="152"/>
        </w:numPr>
      </w:pPr>
      <w:r w:rsidRPr="00A729D8">
        <w:t xml:space="preserve">The </w:t>
      </w:r>
      <w:r w:rsidR="00B20F48" w:rsidRPr="00A729D8">
        <w:t>NBMCC</w:t>
      </w:r>
      <w:r w:rsidRPr="00A729D8">
        <w:t xml:space="preserve"> is a technical committee that will advise the NMG in relation to its biosecurity decision-making responsibilities, and will have a role in coordinating national responses between the parties.</w:t>
      </w:r>
    </w:p>
    <w:p w14:paraId="09F45BA8" w14:textId="77777777" w:rsidR="00B34554" w:rsidRPr="00A729D8" w:rsidRDefault="00B34554" w:rsidP="00121729">
      <w:pPr>
        <w:pStyle w:val="ListParagraph"/>
        <w:numPr>
          <w:ilvl w:val="0"/>
          <w:numId w:val="152"/>
        </w:numPr>
      </w:pPr>
      <w:r w:rsidRPr="00A729D8">
        <w:t xml:space="preserve">This schedule sets out the terms of reference, membership and meeting protocols of the </w:t>
      </w:r>
      <w:r w:rsidR="00B20F48" w:rsidRPr="00A729D8">
        <w:t>NBMCC</w:t>
      </w:r>
      <w:r w:rsidRPr="00A729D8">
        <w:t>.</w:t>
      </w:r>
    </w:p>
    <w:p w14:paraId="7E6CE4CA" w14:textId="77777777" w:rsidR="00B34554" w:rsidRPr="00A729D8" w:rsidRDefault="00B34554" w:rsidP="002106F9">
      <w:pPr>
        <w:pStyle w:val="ScheduleL1"/>
      </w:pPr>
      <w:r w:rsidRPr="00A729D8">
        <w:t xml:space="preserve">Terms of reference of the </w:t>
      </w:r>
      <w:r w:rsidR="00B20F48" w:rsidRPr="00A729D8">
        <w:t>NBMCC</w:t>
      </w:r>
    </w:p>
    <w:p w14:paraId="32921265" w14:textId="77777777" w:rsidR="00B34554" w:rsidRPr="00A729D8" w:rsidRDefault="00B34554" w:rsidP="002106F9">
      <w:pPr>
        <w:pStyle w:val="ScheduleL2"/>
      </w:pPr>
      <w:r w:rsidRPr="00A729D8">
        <w:t>General roles in relation to a national response</w:t>
      </w:r>
    </w:p>
    <w:p w14:paraId="28D86DA8" w14:textId="77777777" w:rsidR="00B34554" w:rsidRPr="00A729D8" w:rsidRDefault="00B34554" w:rsidP="002106F9">
      <w:r w:rsidRPr="00A729D8">
        <w:t xml:space="preserve">The </w:t>
      </w:r>
      <w:r w:rsidR="00B20F48" w:rsidRPr="00A729D8">
        <w:t>NBMCC</w:t>
      </w:r>
      <w:r w:rsidRPr="00A729D8">
        <w:t xml:space="preserve"> will:</w:t>
      </w:r>
    </w:p>
    <w:p w14:paraId="11F38C04" w14:textId="007FC09D" w:rsidR="004F5940" w:rsidRPr="00A729D8" w:rsidRDefault="00B34554" w:rsidP="00121729">
      <w:pPr>
        <w:pStyle w:val="ListParagraph"/>
        <w:numPr>
          <w:ilvl w:val="0"/>
          <w:numId w:val="153"/>
        </w:numPr>
      </w:pPr>
      <w:r w:rsidRPr="00A729D8">
        <w:t xml:space="preserve">receive notification of pest and disease </w:t>
      </w:r>
      <w:r w:rsidR="00747D05" w:rsidRPr="00A729D8">
        <w:t>incident</w:t>
      </w:r>
      <w:r w:rsidRPr="00A729D8">
        <w:t>s</w:t>
      </w:r>
      <w:r w:rsidR="005A6FA8" w:rsidRPr="00A729D8">
        <w:t xml:space="preserve"> following notification to the reporting point by the notifying party</w:t>
      </w:r>
    </w:p>
    <w:p w14:paraId="474F41F4" w14:textId="77777777" w:rsidR="004F5940" w:rsidRPr="00A729D8" w:rsidRDefault="00B34554" w:rsidP="00121729">
      <w:pPr>
        <w:pStyle w:val="ListParagraph"/>
        <w:numPr>
          <w:ilvl w:val="0"/>
          <w:numId w:val="153"/>
        </w:numPr>
      </w:pPr>
      <w:r w:rsidRPr="00A729D8">
        <w:t>provide timely advice to the affected parties via the reporting point on whether it considers an NMG should be convened</w:t>
      </w:r>
    </w:p>
    <w:p w14:paraId="46A218F0" w14:textId="77777777" w:rsidR="004F5940" w:rsidRPr="00A729D8" w:rsidRDefault="00B34554" w:rsidP="00121729">
      <w:pPr>
        <w:pStyle w:val="ListParagraph"/>
        <w:numPr>
          <w:ilvl w:val="0"/>
          <w:numId w:val="153"/>
        </w:numPr>
      </w:pPr>
      <w:r w:rsidRPr="00A729D8">
        <w:t xml:space="preserve">advise the NMG on whether the </w:t>
      </w:r>
      <w:r w:rsidR="00747D05" w:rsidRPr="00A729D8">
        <w:t>incident</w:t>
      </w:r>
      <w:r w:rsidRPr="00A729D8">
        <w:t xml:space="preserve"> requires a national response</w:t>
      </w:r>
    </w:p>
    <w:p w14:paraId="53A38D39" w14:textId="208123CE" w:rsidR="00EE6D29" w:rsidRPr="00A729D8" w:rsidRDefault="00EE6D29" w:rsidP="00121729">
      <w:pPr>
        <w:pStyle w:val="ListParagraph"/>
        <w:numPr>
          <w:ilvl w:val="0"/>
          <w:numId w:val="153"/>
        </w:numPr>
      </w:pPr>
      <w:r w:rsidRPr="00A729D8">
        <w:t xml:space="preserve">consider and </w:t>
      </w:r>
      <w:r w:rsidR="005A6FA8" w:rsidRPr="00A729D8">
        <w:t xml:space="preserve">provide </w:t>
      </w:r>
      <w:r w:rsidRPr="00A729D8">
        <w:t>recommend</w:t>
      </w:r>
      <w:r w:rsidR="005A6FA8" w:rsidRPr="00A729D8">
        <w:t>ations</w:t>
      </w:r>
      <w:r w:rsidRPr="00A729D8">
        <w:t xml:space="preserve"> on </w:t>
      </w:r>
      <w:r w:rsidR="005A6FA8" w:rsidRPr="00A729D8">
        <w:t xml:space="preserve">the </w:t>
      </w:r>
      <w:r w:rsidRPr="00A729D8">
        <w:t>national significance of a pest or disease</w:t>
      </w:r>
      <w:r w:rsidR="005A6FA8" w:rsidRPr="00A729D8">
        <w:t>, the technical feasibility of eradication and the cost benefit of conducting a response</w:t>
      </w:r>
    </w:p>
    <w:p w14:paraId="446D9BF9" w14:textId="77777777" w:rsidR="004F5940" w:rsidRPr="00A729D8" w:rsidRDefault="00B34554" w:rsidP="00121729">
      <w:pPr>
        <w:pStyle w:val="ListParagraph"/>
        <w:numPr>
          <w:ilvl w:val="0"/>
          <w:numId w:val="153"/>
        </w:numPr>
      </w:pPr>
      <w:r w:rsidRPr="00A729D8">
        <w:t xml:space="preserve">consider and recommend </w:t>
      </w:r>
      <w:r w:rsidR="00674C8E" w:rsidRPr="00A729D8">
        <w:t>R</w:t>
      </w:r>
      <w:r w:rsidRPr="00A729D8">
        <w:t xml:space="preserve">esponse </w:t>
      </w:r>
      <w:r w:rsidR="00674C8E" w:rsidRPr="00A729D8">
        <w:t>P</w:t>
      </w:r>
      <w:r w:rsidRPr="00A729D8">
        <w:t>lan</w:t>
      </w:r>
      <w:r w:rsidR="00674C8E" w:rsidRPr="00A729D8">
        <w:t>s</w:t>
      </w:r>
    </w:p>
    <w:p w14:paraId="3C05783F" w14:textId="77777777" w:rsidR="004F5940" w:rsidRPr="00A729D8" w:rsidRDefault="00B34554" w:rsidP="00121729">
      <w:pPr>
        <w:pStyle w:val="ListParagraph"/>
        <w:numPr>
          <w:ilvl w:val="0"/>
          <w:numId w:val="153"/>
        </w:numPr>
      </w:pPr>
      <w:r w:rsidRPr="00A729D8">
        <w:t>consider regular reports on progress of the response and develop a consensus on whether further actions are required</w:t>
      </w:r>
    </w:p>
    <w:p w14:paraId="38E2EC18" w14:textId="77777777" w:rsidR="004F5940" w:rsidRPr="00A729D8" w:rsidRDefault="00B34554" w:rsidP="00121729">
      <w:pPr>
        <w:pStyle w:val="ListParagraph"/>
        <w:numPr>
          <w:ilvl w:val="0"/>
          <w:numId w:val="153"/>
        </w:numPr>
      </w:pPr>
      <w:r w:rsidRPr="00A729D8">
        <w:t>provide regular, consolidated reports to the NMG on the status of the national response</w:t>
      </w:r>
    </w:p>
    <w:p w14:paraId="74881B13" w14:textId="77777777" w:rsidR="00FC2FFA" w:rsidRPr="00A729D8" w:rsidRDefault="00B34554" w:rsidP="00121729">
      <w:pPr>
        <w:pStyle w:val="ListParagraph"/>
        <w:numPr>
          <w:ilvl w:val="0"/>
          <w:numId w:val="153"/>
        </w:numPr>
      </w:pPr>
      <w:r w:rsidRPr="00A729D8">
        <w:t xml:space="preserve">when </w:t>
      </w:r>
      <w:r w:rsidR="00EE6D29" w:rsidRPr="00A729D8">
        <w:t>an</w:t>
      </w:r>
      <w:r w:rsidR="00F165EE" w:rsidRPr="00A729D8">
        <w:t xml:space="preserve"> emergency</w:t>
      </w:r>
      <w:r w:rsidR="00EE6D29" w:rsidRPr="00A729D8">
        <w:t xml:space="preserve"> </w:t>
      </w:r>
      <w:r w:rsidRPr="00A729D8">
        <w:t xml:space="preserve">eradication </w:t>
      </w:r>
      <w:r w:rsidR="00EE6D29" w:rsidRPr="00A729D8">
        <w:t xml:space="preserve">response </w:t>
      </w:r>
      <w:r w:rsidRPr="00A729D8">
        <w:t>is judged to be no longer technically feasible or cost beneficial, provide advice and recommendations to the NMG on</w:t>
      </w:r>
      <w:r w:rsidR="00FC2FFA" w:rsidRPr="00A729D8">
        <w:t>:</w:t>
      </w:r>
    </w:p>
    <w:p w14:paraId="2483973F" w14:textId="77777777" w:rsidR="00FC2FFA" w:rsidRPr="00A729D8" w:rsidRDefault="00FC2FFA" w:rsidP="00121729">
      <w:pPr>
        <w:pStyle w:val="ListParagraph"/>
        <w:numPr>
          <w:ilvl w:val="1"/>
          <w:numId w:val="153"/>
        </w:numPr>
      </w:pPr>
      <w:r w:rsidRPr="00A729D8">
        <w:t>whether a Transition to Management Phase is appropriate and if so, the scope of the Transition to Management Phase and the proposed amendments to</w:t>
      </w:r>
      <w:r w:rsidR="006D042B" w:rsidRPr="00A729D8">
        <w:t xml:space="preserve"> the Response P</w:t>
      </w:r>
      <w:r w:rsidRPr="00A729D8">
        <w:t xml:space="preserve">lan for inclusion of the Transition to Management Phase, or </w:t>
      </w:r>
    </w:p>
    <w:p w14:paraId="674E22BA" w14:textId="5AD1CCD2" w:rsidR="004F5940" w:rsidRPr="00A729D8" w:rsidRDefault="00FC2FFA" w:rsidP="00121729">
      <w:pPr>
        <w:pStyle w:val="ListParagraph"/>
        <w:numPr>
          <w:ilvl w:val="1"/>
          <w:numId w:val="153"/>
        </w:numPr>
      </w:pPr>
      <w:r w:rsidRPr="00A729D8">
        <w:t>whether the NMG should determine that</w:t>
      </w:r>
      <w:r w:rsidR="00B34554" w:rsidRPr="00A729D8">
        <w:t xml:space="preserve"> a national </w:t>
      </w:r>
      <w:r w:rsidR="004F5940" w:rsidRPr="00A729D8">
        <w:t>response should cease</w:t>
      </w:r>
      <w:r w:rsidR="00EE6D29" w:rsidRPr="00A729D8">
        <w:t xml:space="preserve"> </w:t>
      </w:r>
      <w:r w:rsidRPr="00A729D8">
        <w:t>and</w:t>
      </w:r>
      <w:r w:rsidR="005A6FA8" w:rsidRPr="00A729D8">
        <w:t xml:space="preserve"> should consider</w:t>
      </w:r>
      <w:r w:rsidRPr="00A729D8">
        <w:t xml:space="preserve"> options for alternative arrangements outside this </w:t>
      </w:r>
      <w:r w:rsidR="005A6FA8" w:rsidRPr="00A729D8">
        <w:t>agreement</w:t>
      </w:r>
    </w:p>
    <w:p w14:paraId="3B97276A" w14:textId="77777777" w:rsidR="004F5940" w:rsidRPr="00A729D8" w:rsidRDefault="00EE6D29" w:rsidP="00121729">
      <w:pPr>
        <w:pStyle w:val="ListParagraph"/>
        <w:numPr>
          <w:ilvl w:val="0"/>
          <w:numId w:val="153"/>
        </w:numPr>
      </w:pPr>
      <w:r w:rsidRPr="00A729D8">
        <w:t xml:space="preserve">advise the NMG </w:t>
      </w:r>
      <w:r w:rsidR="00B34554" w:rsidRPr="00A729D8">
        <w:t>when a pest or disease has been eradicated</w:t>
      </w:r>
    </w:p>
    <w:p w14:paraId="30CFF24A" w14:textId="77777777" w:rsidR="004F5940" w:rsidRPr="00A729D8" w:rsidRDefault="00B34554" w:rsidP="00121729">
      <w:pPr>
        <w:pStyle w:val="ListParagraph"/>
        <w:numPr>
          <w:ilvl w:val="0"/>
          <w:numId w:val="153"/>
        </w:numPr>
      </w:pPr>
      <w:r w:rsidRPr="00A729D8">
        <w:t xml:space="preserve">advise the NMG when proof-of-freedom has been achieved following successful implementation of a </w:t>
      </w:r>
      <w:r w:rsidR="00E7297E" w:rsidRPr="00A729D8">
        <w:t>Response Plan</w:t>
      </w:r>
    </w:p>
    <w:p w14:paraId="348EC020" w14:textId="77777777" w:rsidR="00B34554" w:rsidRPr="00A729D8" w:rsidRDefault="00B34554" w:rsidP="00121729">
      <w:pPr>
        <w:pStyle w:val="ListParagraph"/>
        <w:numPr>
          <w:ilvl w:val="0"/>
          <w:numId w:val="153"/>
        </w:numPr>
      </w:pPr>
      <w:r w:rsidRPr="00A729D8">
        <w:lastRenderedPageBreak/>
        <w:t>ensure incident responses comply with Australia’s international rights and obligations, including those contained in the SPS agreement.</w:t>
      </w:r>
    </w:p>
    <w:p w14:paraId="636D4ACA" w14:textId="77777777" w:rsidR="00B34554" w:rsidRPr="00A729D8" w:rsidRDefault="00B34554" w:rsidP="00DF5957">
      <w:pPr>
        <w:pStyle w:val="ScheduleL2"/>
        <w:keepNext/>
        <w:ind w:left="788" w:hanging="431"/>
      </w:pPr>
      <w:r w:rsidRPr="00A729D8">
        <w:t>Role in providing technical and expert advice</w:t>
      </w:r>
    </w:p>
    <w:p w14:paraId="72DB05F1" w14:textId="77777777" w:rsidR="00B34554" w:rsidRPr="00A729D8" w:rsidRDefault="00B34554" w:rsidP="002106F9">
      <w:r w:rsidRPr="00A729D8">
        <w:t xml:space="preserve">The </w:t>
      </w:r>
      <w:r w:rsidR="00B20F48" w:rsidRPr="00A729D8">
        <w:t>NBMCC</w:t>
      </w:r>
      <w:r w:rsidRPr="00A729D8">
        <w:t xml:space="preserve"> provides technical and expert advice to the NMG, in accordance with Section </w:t>
      </w:r>
      <w:r w:rsidR="00662703" w:rsidRPr="00A729D8">
        <w:t>5</w:t>
      </w:r>
      <w:r w:rsidRPr="00A729D8">
        <w:t xml:space="preserve"> of the agreement, to support determinations on whether a national response is required, including advice on the following elements:</w:t>
      </w:r>
    </w:p>
    <w:p w14:paraId="577FD13B" w14:textId="77777777" w:rsidR="004F5940" w:rsidRPr="00A729D8" w:rsidRDefault="00B34554" w:rsidP="00121729">
      <w:pPr>
        <w:pStyle w:val="ListParagraph"/>
        <w:numPr>
          <w:ilvl w:val="0"/>
          <w:numId w:val="154"/>
        </w:numPr>
      </w:pPr>
      <w:r w:rsidRPr="00A729D8">
        <w:t>identification of the pest or disease</w:t>
      </w:r>
    </w:p>
    <w:p w14:paraId="5D8AA6D0" w14:textId="77777777" w:rsidR="004F5940" w:rsidRPr="00A729D8" w:rsidRDefault="00B34554" w:rsidP="00121729">
      <w:pPr>
        <w:pStyle w:val="ListParagraph"/>
        <w:numPr>
          <w:ilvl w:val="0"/>
          <w:numId w:val="154"/>
        </w:numPr>
      </w:pPr>
      <w:r w:rsidRPr="00A729D8">
        <w:t>the control technique options</w:t>
      </w:r>
    </w:p>
    <w:p w14:paraId="2B2E665C" w14:textId="77777777" w:rsidR="00B34554" w:rsidRPr="00A729D8" w:rsidRDefault="00B34554" w:rsidP="00121729">
      <w:pPr>
        <w:pStyle w:val="ListParagraph"/>
        <w:numPr>
          <w:ilvl w:val="0"/>
          <w:numId w:val="154"/>
        </w:numPr>
      </w:pPr>
      <w:r w:rsidRPr="00A729D8">
        <w:t>any legislative impediments to undertaking a national response</w:t>
      </w:r>
    </w:p>
    <w:p w14:paraId="2E19A75F" w14:textId="77777777" w:rsidR="00B34554" w:rsidRPr="00A729D8" w:rsidRDefault="00B34554" w:rsidP="00121729">
      <w:pPr>
        <w:pStyle w:val="ListParagraph"/>
        <w:numPr>
          <w:ilvl w:val="0"/>
          <w:numId w:val="154"/>
        </w:numPr>
      </w:pPr>
      <w:r w:rsidRPr="00A729D8">
        <w:t>the resources required to undertake a national response</w:t>
      </w:r>
    </w:p>
    <w:p w14:paraId="2936BA16" w14:textId="77777777" w:rsidR="00B34554" w:rsidRPr="00A729D8" w:rsidRDefault="00B34554" w:rsidP="00121729">
      <w:pPr>
        <w:pStyle w:val="ListParagraph"/>
        <w:numPr>
          <w:ilvl w:val="0"/>
          <w:numId w:val="154"/>
        </w:numPr>
      </w:pPr>
      <w:r w:rsidRPr="00A729D8">
        <w:t>interim control measures that have been put in place by the notifying party and other relevant parties</w:t>
      </w:r>
    </w:p>
    <w:p w14:paraId="338D97EA" w14:textId="77777777" w:rsidR="00B34554" w:rsidRPr="00A729D8" w:rsidRDefault="00B34554" w:rsidP="00121729">
      <w:pPr>
        <w:pStyle w:val="ListParagraph"/>
        <w:numPr>
          <w:ilvl w:val="0"/>
          <w:numId w:val="154"/>
        </w:numPr>
      </w:pPr>
      <w:r w:rsidRPr="00A729D8">
        <w:t>the likely distribution of the pest or disease</w:t>
      </w:r>
    </w:p>
    <w:p w14:paraId="5A09AF24" w14:textId="77777777" w:rsidR="00B34554" w:rsidRPr="00A729D8" w:rsidRDefault="00B34554" w:rsidP="00121729">
      <w:pPr>
        <w:pStyle w:val="ListParagraph"/>
        <w:numPr>
          <w:ilvl w:val="0"/>
          <w:numId w:val="154"/>
        </w:numPr>
      </w:pPr>
      <w:r w:rsidRPr="00A729D8">
        <w:t>the estimated impacts of the pest or disease</w:t>
      </w:r>
    </w:p>
    <w:p w14:paraId="4090EEB1" w14:textId="77777777" w:rsidR="00B34554" w:rsidRPr="00A729D8" w:rsidRDefault="00B34554" w:rsidP="00121729">
      <w:pPr>
        <w:pStyle w:val="ListParagraph"/>
        <w:numPr>
          <w:ilvl w:val="0"/>
          <w:numId w:val="154"/>
        </w:numPr>
      </w:pPr>
      <w:r w:rsidRPr="00A729D8">
        <w:t>endemic pest or disease controls that may limit establishment</w:t>
      </w:r>
    </w:p>
    <w:p w14:paraId="1321C463" w14:textId="77777777" w:rsidR="00B34554" w:rsidRPr="00A729D8" w:rsidRDefault="00B34554" w:rsidP="00121729">
      <w:pPr>
        <w:pStyle w:val="ListParagraph"/>
        <w:numPr>
          <w:ilvl w:val="0"/>
          <w:numId w:val="154"/>
        </w:numPr>
      </w:pPr>
      <w:r w:rsidRPr="00A729D8">
        <w:t>identification of pathways</w:t>
      </w:r>
    </w:p>
    <w:p w14:paraId="1177B367" w14:textId="77777777" w:rsidR="00B34554" w:rsidRPr="00A729D8" w:rsidRDefault="00B34554" w:rsidP="00121729">
      <w:pPr>
        <w:pStyle w:val="ListParagraph"/>
        <w:numPr>
          <w:ilvl w:val="0"/>
          <w:numId w:val="154"/>
        </w:numPr>
      </w:pPr>
      <w:r w:rsidRPr="00A729D8">
        <w:t xml:space="preserve">the level of confidence that all areas affected by the </w:t>
      </w:r>
      <w:r w:rsidR="00747D05" w:rsidRPr="00A729D8">
        <w:t>incident</w:t>
      </w:r>
      <w:r w:rsidRPr="00A729D8">
        <w:t xml:space="preserve"> have been identified</w:t>
      </w:r>
    </w:p>
    <w:p w14:paraId="382A3B0E" w14:textId="77777777" w:rsidR="00B34554" w:rsidRPr="00A729D8" w:rsidRDefault="00B34554" w:rsidP="00121729">
      <w:pPr>
        <w:pStyle w:val="ListParagraph"/>
        <w:numPr>
          <w:ilvl w:val="0"/>
          <w:numId w:val="154"/>
        </w:numPr>
      </w:pPr>
      <w:r w:rsidRPr="00A729D8">
        <w:t>surveillance activities in place to confirm proof-of-freedom</w:t>
      </w:r>
    </w:p>
    <w:p w14:paraId="47284A3F" w14:textId="77777777" w:rsidR="00B34554" w:rsidRPr="00A729D8" w:rsidRDefault="00B34554" w:rsidP="00121729">
      <w:pPr>
        <w:pStyle w:val="ListParagraph"/>
        <w:numPr>
          <w:ilvl w:val="0"/>
          <w:numId w:val="154"/>
        </w:numPr>
      </w:pPr>
      <w:r w:rsidRPr="00A729D8">
        <w:t>community consultation activities.</w:t>
      </w:r>
    </w:p>
    <w:p w14:paraId="069C4D3C" w14:textId="77777777" w:rsidR="00B34554" w:rsidRPr="00A729D8" w:rsidRDefault="00B34554" w:rsidP="002106F9">
      <w:pPr>
        <w:pStyle w:val="ScheduleL1"/>
      </w:pPr>
      <w:r w:rsidRPr="00A729D8">
        <w:t xml:space="preserve">Creation or selection of the </w:t>
      </w:r>
      <w:r w:rsidR="00B20F48" w:rsidRPr="00A729D8">
        <w:t>NBMCC</w:t>
      </w:r>
    </w:p>
    <w:p w14:paraId="354BA375" w14:textId="543A27E3" w:rsidR="004F5940" w:rsidRPr="00A729D8" w:rsidRDefault="00B34554" w:rsidP="00121729">
      <w:pPr>
        <w:pStyle w:val="ListParagraph"/>
        <w:numPr>
          <w:ilvl w:val="0"/>
          <w:numId w:val="155"/>
        </w:numPr>
      </w:pPr>
      <w:r w:rsidRPr="00A729D8">
        <w:t xml:space="preserve">Upon notification being received </w:t>
      </w:r>
      <w:r w:rsidR="005A6FA8" w:rsidRPr="00A729D8">
        <w:t xml:space="preserve">by the reporting point </w:t>
      </w:r>
      <w:r w:rsidRPr="00A729D8">
        <w:t xml:space="preserve">from the notifying party of an </w:t>
      </w:r>
      <w:r w:rsidR="00747D05" w:rsidRPr="00A729D8">
        <w:t>incident</w:t>
      </w:r>
      <w:r w:rsidRPr="00A729D8">
        <w:t xml:space="preserve"> of a pest or disease, the parties to the agreement will establish or select a </w:t>
      </w:r>
      <w:r w:rsidR="00B20F48" w:rsidRPr="00A729D8">
        <w:t>NBMCC</w:t>
      </w:r>
      <w:r w:rsidRPr="00A729D8">
        <w:t xml:space="preserve"> for that </w:t>
      </w:r>
      <w:r w:rsidR="00747D05" w:rsidRPr="00A729D8">
        <w:t>incident</w:t>
      </w:r>
      <w:r w:rsidRPr="00A729D8">
        <w:t>.</w:t>
      </w:r>
    </w:p>
    <w:p w14:paraId="31CA7CDF" w14:textId="77777777" w:rsidR="004F5940" w:rsidRPr="00A729D8" w:rsidRDefault="00B34554" w:rsidP="00121729">
      <w:pPr>
        <w:pStyle w:val="ListParagraph"/>
        <w:numPr>
          <w:ilvl w:val="0"/>
          <w:numId w:val="155"/>
        </w:numPr>
      </w:pPr>
      <w:r w:rsidRPr="00A729D8">
        <w:t xml:space="preserve">The </w:t>
      </w:r>
      <w:r w:rsidR="00B20F48" w:rsidRPr="00A729D8">
        <w:t>NBMCC</w:t>
      </w:r>
      <w:r w:rsidRPr="00A729D8">
        <w:t xml:space="preserve"> will be established or selected, in accordance with this item, for the purposes of a particular pest or disease </w:t>
      </w:r>
      <w:r w:rsidR="00747D05" w:rsidRPr="00A729D8">
        <w:t>incident</w:t>
      </w:r>
      <w:r w:rsidRPr="00A729D8">
        <w:t>.</w:t>
      </w:r>
    </w:p>
    <w:p w14:paraId="402547C9" w14:textId="77777777" w:rsidR="004F5940" w:rsidRPr="00A729D8" w:rsidRDefault="00B34554" w:rsidP="00121729">
      <w:pPr>
        <w:pStyle w:val="ListParagraph"/>
        <w:numPr>
          <w:ilvl w:val="0"/>
          <w:numId w:val="155"/>
        </w:numPr>
      </w:pPr>
      <w:r w:rsidRPr="00A729D8">
        <w:t xml:space="preserve">If an existing consultative committee formed through agreement by ministers or operating in accordance with agreed arrangements could appropriately be used, it will be used as the </w:t>
      </w:r>
      <w:r w:rsidR="00B20F48" w:rsidRPr="00A729D8">
        <w:t>NBMCC</w:t>
      </w:r>
      <w:r w:rsidRPr="00A729D8">
        <w:t xml:space="preserve"> for that </w:t>
      </w:r>
      <w:r w:rsidR="00747D05" w:rsidRPr="00A729D8">
        <w:t>incident</w:t>
      </w:r>
      <w:r w:rsidRPr="00A729D8">
        <w:t>. Existing consultative committees include the:</w:t>
      </w:r>
    </w:p>
    <w:p w14:paraId="713FBC83" w14:textId="77777777" w:rsidR="004F5940" w:rsidRPr="00A729D8" w:rsidRDefault="00B34554" w:rsidP="00121729">
      <w:pPr>
        <w:pStyle w:val="ListParagraph"/>
        <w:numPr>
          <w:ilvl w:val="1"/>
          <w:numId w:val="155"/>
        </w:numPr>
      </w:pPr>
      <w:r w:rsidRPr="00A729D8">
        <w:t>Consultative Committee for Emergency Animal Diseases</w:t>
      </w:r>
    </w:p>
    <w:p w14:paraId="352FED45" w14:textId="77777777" w:rsidR="004F5940" w:rsidRPr="00A729D8" w:rsidRDefault="00B34554" w:rsidP="00121729">
      <w:pPr>
        <w:pStyle w:val="ListParagraph"/>
        <w:numPr>
          <w:ilvl w:val="1"/>
          <w:numId w:val="155"/>
        </w:numPr>
      </w:pPr>
      <w:r w:rsidRPr="00A729D8">
        <w:t>Communicable Diseases Network of Australia</w:t>
      </w:r>
    </w:p>
    <w:p w14:paraId="0AAE3754" w14:textId="77777777" w:rsidR="004F5940" w:rsidRPr="00A729D8" w:rsidRDefault="00B34554" w:rsidP="00121729">
      <w:pPr>
        <w:pStyle w:val="ListParagraph"/>
        <w:numPr>
          <w:ilvl w:val="1"/>
          <w:numId w:val="155"/>
        </w:numPr>
      </w:pPr>
      <w:r w:rsidRPr="00A729D8">
        <w:t>Consultative Committee for Emergency Plant Pests</w:t>
      </w:r>
    </w:p>
    <w:p w14:paraId="3D1E4725" w14:textId="77777777" w:rsidR="004F5940" w:rsidRPr="00A729D8" w:rsidRDefault="00B34554" w:rsidP="00121729">
      <w:pPr>
        <w:pStyle w:val="ListParagraph"/>
        <w:numPr>
          <w:ilvl w:val="1"/>
          <w:numId w:val="155"/>
        </w:numPr>
      </w:pPr>
      <w:r w:rsidRPr="00A729D8">
        <w:t>Consultative Committee on Introduced Marine Pest Emergencies</w:t>
      </w:r>
    </w:p>
    <w:p w14:paraId="4D9C3AD8" w14:textId="77777777" w:rsidR="004F5940" w:rsidRPr="00A729D8" w:rsidRDefault="00B34554" w:rsidP="00121729">
      <w:pPr>
        <w:pStyle w:val="ListParagraph"/>
        <w:numPr>
          <w:ilvl w:val="1"/>
          <w:numId w:val="155"/>
        </w:numPr>
      </w:pPr>
      <w:r w:rsidRPr="00A729D8">
        <w:t>Aquatic Consultative Committee on Emergency Animal Disease</w:t>
      </w:r>
    </w:p>
    <w:p w14:paraId="7D8A5997" w14:textId="77777777" w:rsidR="004F5940" w:rsidRPr="00A729D8" w:rsidRDefault="00B34554" w:rsidP="00121729">
      <w:pPr>
        <w:pStyle w:val="ListParagraph"/>
        <w:numPr>
          <w:ilvl w:val="1"/>
          <w:numId w:val="155"/>
        </w:numPr>
      </w:pPr>
      <w:r w:rsidRPr="00A729D8">
        <w:t xml:space="preserve">And other committees established from time to time by Commonwealth, State and Territory Ministers responsible for biosecurity matters and </w:t>
      </w:r>
      <w:r w:rsidRPr="00A729D8">
        <w:lastRenderedPageBreak/>
        <w:t>operating in accordance with approved terms of reference and operating procedures.</w:t>
      </w:r>
    </w:p>
    <w:p w14:paraId="3F9BEFFD" w14:textId="77777777" w:rsidR="004F5940" w:rsidRPr="00A729D8" w:rsidRDefault="00B34554" w:rsidP="00121729">
      <w:pPr>
        <w:pStyle w:val="ListParagraph"/>
        <w:numPr>
          <w:ilvl w:val="0"/>
          <w:numId w:val="155"/>
        </w:numPr>
      </w:pPr>
      <w:r w:rsidRPr="00A729D8">
        <w:t>Where:</w:t>
      </w:r>
    </w:p>
    <w:p w14:paraId="5C5299BF" w14:textId="77777777" w:rsidR="004F5940" w:rsidRPr="00A729D8" w:rsidRDefault="00B34554" w:rsidP="00121729">
      <w:pPr>
        <w:pStyle w:val="ListParagraph"/>
        <w:numPr>
          <w:ilvl w:val="1"/>
          <w:numId w:val="155"/>
        </w:numPr>
      </w:pPr>
      <w:r w:rsidRPr="00A729D8">
        <w:t xml:space="preserve">it is not possible to assign a pest or disease </w:t>
      </w:r>
      <w:r w:rsidR="00747D05" w:rsidRPr="00A729D8">
        <w:t>incident</w:t>
      </w:r>
      <w:r w:rsidRPr="00A729D8">
        <w:t xml:space="preserve"> to an existing consultative committee as the </w:t>
      </w:r>
      <w:r w:rsidR="00B20F48" w:rsidRPr="00A729D8">
        <w:t>NBMCC</w:t>
      </w:r>
      <w:r w:rsidRPr="00A729D8">
        <w:t xml:space="preserve"> or</w:t>
      </w:r>
    </w:p>
    <w:p w14:paraId="67E1103F" w14:textId="77777777" w:rsidR="004F5940" w:rsidRPr="00A729D8" w:rsidRDefault="00B34554" w:rsidP="00121729">
      <w:pPr>
        <w:pStyle w:val="ListParagraph"/>
        <w:numPr>
          <w:ilvl w:val="1"/>
          <w:numId w:val="155"/>
        </w:numPr>
      </w:pPr>
      <w:r w:rsidRPr="00A729D8">
        <w:t xml:space="preserve">the parties determine that it would not be appropriate to use an existing consultative committee as the </w:t>
      </w:r>
      <w:r w:rsidR="00B20F48" w:rsidRPr="00A729D8">
        <w:t>NBMCC</w:t>
      </w:r>
      <w:r w:rsidRPr="00A729D8">
        <w:t xml:space="preserve"> for an </w:t>
      </w:r>
      <w:r w:rsidR="00747D05" w:rsidRPr="00A729D8">
        <w:t>incident</w:t>
      </w:r>
    </w:p>
    <w:p w14:paraId="40393540" w14:textId="29352C41" w:rsidR="00B34554" w:rsidRPr="00A729D8" w:rsidRDefault="00B34554" w:rsidP="002106F9">
      <w:pPr>
        <w:ind w:left="1800"/>
      </w:pPr>
      <w:r w:rsidRPr="00A729D8">
        <w:t xml:space="preserve">the parties must create an </w:t>
      </w:r>
      <w:r w:rsidR="005A6FA8" w:rsidRPr="00A729D8">
        <w:t>incident</w:t>
      </w:r>
      <w:r w:rsidR="00443EF6" w:rsidRPr="00A729D8">
        <w:t xml:space="preserve"> </w:t>
      </w:r>
      <w:r w:rsidR="005A6FA8" w:rsidRPr="00A729D8">
        <w:t>specific</w:t>
      </w:r>
      <w:r w:rsidRPr="00A729D8">
        <w:t xml:space="preserve"> </w:t>
      </w:r>
      <w:r w:rsidR="00B20F48" w:rsidRPr="00A729D8">
        <w:t>NBMCC</w:t>
      </w:r>
      <w:r w:rsidRPr="00A729D8">
        <w:t>.</w:t>
      </w:r>
    </w:p>
    <w:p w14:paraId="6DBCB575" w14:textId="77777777" w:rsidR="00B34554" w:rsidRPr="00A729D8" w:rsidRDefault="00B34554" w:rsidP="002106F9">
      <w:pPr>
        <w:pStyle w:val="ScheduleL1"/>
      </w:pPr>
      <w:r w:rsidRPr="00A729D8">
        <w:t>Membership</w:t>
      </w:r>
    </w:p>
    <w:p w14:paraId="7B8A4834" w14:textId="77777777" w:rsidR="00B34554" w:rsidRPr="00A729D8" w:rsidRDefault="00B34554" w:rsidP="002106F9">
      <w:pPr>
        <w:pStyle w:val="ScheduleL2"/>
      </w:pPr>
      <w:r w:rsidRPr="00A729D8">
        <w:t>Flexibility of membership of existing consultative committees</w:t>
      </w:r>
    </w:p>
    <w:p w14:paraId="0300F917" w14:textId="77777777" w:rsidR="004F5940" w:rsidRPr="00A729D8" w:rsidRDefault="00B34554" w:rsidP="00121729">
      <w:pPr>
        <w:pStyle w:val="ListParagraph"/>
        <w:numPr>
          <w:ilvl w:val="0"/>
          <w:numId w:val="156"/>
        </w:numPr>
      </w:pPr>
      <w:r w:rsidRPr="00A729D8">
        <w:t xml:space="preserve">Where it is possible to use an existing consultative committee as the </w:t>
      </w:r>
      <w:r w:rsidR="00B20F48" w:rsidRPr="00A729D8">
        <w:t>NBMCC</w:t>
      </w:r>
      <w:r w:rsidRPr="00A729D8">
        <w:t xml:space="preserve"> for a pest or disease </w:t>
      </w:r>
      <w:r w:rsidR="00747D05" w:rsidRPr="00A729D8">
        <w:t>incident</w:t>
      </w:r>
      <w:r w:rsidRPr="00A729D8">
        <w:t xml:space="preserve">, the membership should be flexible to enable the appropriate representation for that specific </w:t>
      </w:r>
      <w:r w:rsidR="00747D05" w:rsidRPr="00A729D8">
        <w:t>incident</w:t>
      </w:r>
      <w:r w:rsidRPr="00A729D8">
        <w:t>.</w:t>
      </w:r>
    </w:p>
    <w:p w14:paraId="5760A71E" w14:textId="77777777" w:rsidR="00B34554" w:rsidRPr="00A729D8" w:rsidRDefault="00B34554" w:rsidP="00121729">
      <w:pPr>
        <w:pStyle w:val="ListParagraph"/>
        <w:numPr>
          <w:ilvl w:val="0"/>
          <w:numId w:val="156"/>
        </w:numPr>
      </w:pPr>
      <w:r w:rsidRPr="00A729D8">
        <w:t xml:space="preserve">The membership of the new consultative committee must be sufficiently flexible to allow the appropriate agencies (primary production, environment and natural resource management) relating to a specific </w:t>
      </w:r>
      <w:r w:rsidR="00747D05" w:rsidRPr="00A729D8">
        <w:t>incident</w:t>
      </w:r>
      <w:r w:rsidRPr="00A729D8">
        <w:t xml:space="preserve"> to represent the affected parties on the </w:t>
      </w:r>
      <w:r w:rsidR="00B20F48" w:rsidRPr="00A729D8">
        <w:t>NBMCC</w:t>
      </w:r>
      <w:r w:rsidRPr="00A729D8">
        <w:t>.</w:t>
      </w:r>
    </w:p>
    <w:p w14:paraId="31F819D8" w14:textId="77777777" w:rsidR="00B34554" w:rsidRPr="00A729D8" w:rsidRDefault="00B34554" w:rsidP="002106F9">
      <w:pPr>
        <w:pStyle w:val="ScheduleL2"/>
      </w:pPr>
      <w:r w:rsidRPr="00A729D8">
        <w:t xml:space="preserve">Composition of the </w:t>
      </w:r>
      <w:r w:rsidR="00B20F48" w:rsidRPr="00A729D8">
        <w:t>NBMCC</w:t>
      </w:r>
    </w:p>
    <w:p w14:paraId="16044C30" w14:textId="77777777" w:rsidR="00B34554" w:rsidRPr="00A729D8" w:rsidRDefault="00B34554" w:rsidP="002106F9">
      <w:r w:rsidRPr="00A729D8">
        <w:t xml:space="preserve">The </w:t>
      </w:r>
      <w:r w:rsidR="00B20F48" w:rsidRPr="00A729D8">
        <w:t>NBMCC</w:t>
      </w:r>
      <w:r w:rsidRPr="00A729D8">
        <w:t xml:space="preserve"> membership will comprise the following:</w:t>
      </w:r>
    </w:p>
    <w:p w14:paraId="3DEB8350" w14:textId="77777777" w:rsidR="004F5940" w:rsidRPr="00A729D8" w:rsidRDefault="00B34554" w:rsidP="00121729">
      <w:pPr>
        <w:pStyle w:val="ListParagraph"/>
        <w:numPr>
          <w:ilvl w:val="0"/>
          <w:numId w:val="175"/>
        </w:numPr>
      </w:pPr>
      <w:r w:rsidRPr="00A729D8">
        <w:t>Chair</w:t>
      </w:r>
      <w:r w:rsidRPr="00A729D8">
        <w:tab/>
      </w:r>
    </w:p>
    <w:p w14:paraId="0F195E8B" w14:textId="77777777" w:rsidR="004F5940" w:rsidRPr="00A729D8" w:rsidRDefault="00B34554" w:rsidP="00121729">
      <w:pPr>
        <w:pStyle w:val="ListParagraph"/>
        <w:numPr>
          <w:ilvl w:val="1"/>
          <w:numId w:val="175"/>
        </w:numPr>
      </w:pPr>
      <w:r w:rsidRPr="00A729D8">
        <w:t>One</w:t>
      </w:r>
      <w:r w:rsidR="00297590" w:rsidRPr="00A729D8">
        <w:t xml:space="preserve"> </w:t>
      </w:r>
      <w:r w:rsidRPr="00A729D8">
        <w:t>(1) representative of the Commonwealth.</w:t>
      </w:r>
    </w:p>
    <w:p w14:paraId="5B4CC31A" w14:textId="77777777" w:rsidR="004F5940" w:rsidRPr="00A729D8" w:rsidRDefault="00B34554" w:rsidP="002106F9">
      <w:pPr>
        <w:pStyle w:val="ListParagraph"/>
        <w:ind w:left="1800"/>
      </w:pPr>
      <w:r w:rsidRPr="00A729D8">
        <w:t xml:space="preserve">The Commonwealth will select a representative for each pest or disease </w:t>
      </w:r>
      <w:r w:rsidR="00747D05" w:rsidRPr="00A729D8">
        <w:t>incident</w:t>
      </w:r>
      <w:r w:rsidRPr="00A729D8">
        <w:t xml:space="preserve"> from the agency it determines most appropriate to sit as chair of the </w:t>
      </w:r>
      <w:r w:rsidR="00B20F48" w:rsidRPr="00A729D8">
        <w:t>NBMCC</w:t>
      </w:r>
      <w:r w:rsidRPr="00A729D8">
        <w:t xml:space="preserve"> for that </w:t>
      </w:r>
      <w:r w:rsidR="00747D05" w:rsidRPr="00A729D8">
        <w:t>incident</w:t>
      </w:r>
      <w:r w:rsidRPr="00A729D8">
        <w:t>.</w:t>
      </w:r>
    </w:p>
    <w:p w14:paraId="2AE596A9" w14:textId="77777777" w:rsidR="004F5940" w:rsidRPr="00A729D8" w:rsidRDefault="00B34554" w:rsidP="00121729">
      <w:pPr>
        <w:pStyle w:val="ListParagraph"/>
        <w:numPr>
          <w:ilvl w:val="1"/>
          <w:numId w:val="175"/>
        </w:numPr>
      </w:pPr>
      <w:r w:rsidRPr="00A729D8">
        <w:t>The chair will not vote.</w:t>
      </w:r>
    </w:p>
    <w:p w14:paraId="44D19F8B" w14:textId="77777777" w:rsidR="004F5940" w:rsidRPr="00A729D8" w:rsidRDefault="00B34554" w:rsidP="00121729">
      <w:pPr>
        <w:pStyle w:val="ListParagraph"/>
        <w:numPr>
          <w:ilvl w:val="0"/>
          <w:numId w:val="175"/>
        </w:numPr>
      </w:pPr>
      <w:r w:rsidRPr="00A729D8">
        <w:t>Members</w:t>
      </w:r>
    </w:p>
    <w:p w14:paraId="38E282A5" w14:textId="77777777" w:rsidR="004F5940" w:rsidRPr="00A729D8" w:rsidRDefault="00B34554" w:rsidP="00121729">
      <w:pPr>
        <w:pStyle w:val="ListParagraph"/>
        <w:numPr>
          <w:ilvl w:val="1"/>
          <w:numId w:val="175"/>
        </w:numPr>
      </w:pPr>
      <w:r w:rsidRPr="00A729D8">
        <w:t>Members can participate in discussions.</w:t>
      </w:r>
    </w:p>
    <w:p w14:paraId="64BAC40A" w14:textId="1A3D8BAA" w:rsidR="004F5940" w:rsidRPr="00A729D8" w:rsidRDefault="00B34554" w:rsidP="00121729">
      <w:pPr>
        <w:pStyle w:val="ListParagraph"/>
        <w:numPr>
          <w:ilvl w:val="1"/>
          <w:numId w:val="175"/>
        </w:numPr>
      </w:pPr>
      <w:r w:rsidRPr="00A729D8">
        <w:t xml:space="preserve">Each party has one (1) vote on </w:t>
      </w:r>
      <w:r w:rsidR="00217A6F" w:rsidRPr="00A729D8">
        <w:t xml:space="preserve">the </w:t>
      </w:r>
      <w:r w:rsidR="00B20F48" w:rsidRPr="00A729D8">
        <w:t>NBMCC</w:t>
      </w:r>
      <w:r w:rsidRPr="00A729D8">
        <w:t xml:space="preserve"> </w:t>
      </w:r>
      <w:r w:rsidR="00217A6F" w:rsidRPr="00A729D8">
        <w:t>recommendation to be provided to the NMG</w:t>
      </w:r>
      <w:r w:rsidRPr="00A729D8">
        <w:t>.</w:t>
      </w:r>
      <w:r w:rsidRPr="00A729D8">
        <w:tab/>
      </w:r>
    </w:p>
    <w:p w14:paraId="6BFF9423" w14:textId="77777777" w:rsidR="004F5940" w:rsidRPr="00A729D8" w:rsidRDefault="00B34554" w:rsidP="00121729">
      <w:pPr>
        <w:pStyle w:val="ListParagraph"/>
        <w:numPr>
          <w:ilvl w:val="1"/>
          <w:numId w:val="175"/>
        </w:numPr>
      </w:pPr>
      <w:r w:rsidRPr="00A729D8">
        <w:t>One (1) representative of each party, including the Commonwealth (in addition to the chair).</w:t>
      </w:r>
    </w:p>
    <w:p w14:paraId="46E3011E" w14:textId="77777777" w:rsidR="00055496" w:rsidRPr="00A729D8" w:rsidRDefault="00B34554" w:rsidP="00121729">
      <w:pPr>
        <w:pStyle w:val="ListParagraph"/>
        <w:numPr>
          <w:ilvl w:val="1"/>
          <w:numId w:val="175"/>
        </w:numPr>
      </w:pPr>
      <w:r w:rsidRPr="00A729D8">
        <w:t xml:space="preserve">Each party will have one representative on the </w:t>
      </w:r>
      <w:r w:rsidR="00B20F48" w:rsidRPr="00A729D8">
        <w:t>NBMCC</w:t>
      </w:r>
      <w:r w:rsidRPr="00A729D8">
        <w:t xml:space="preserve"> constituted for each pest or disease </w:t>
      </w:r>
      <w:r w:rsidR="00747D05" w:rsidRPr="00A729D8">
        <w:t>incident</w:t>
      </w:r>
      <w:r w:rsidRPr="00A729D8">
        <w:t>. That member will be a representative from the agency that the party determines as the most appropriate. Each party’s representative member must liaise with that party’s other agencies and provide a</w:t>
      </w:r>
      <w:r w:rsidR="004F5940" w:rsidRPr="00A729D8">
        <w:t xml:space="preserve"> </w:t>
      </w:r>
      <w:r w:rsidRPr="00A729D8">
        <w:t xml:space="preserve">whole-of-government perspective on the </w:t>
      </w:r>
      <w:r w:rsidR="00B20F48" w:rsidRPr="00A729D8">
        <w:t>NBMCC</w:t>
      </w:r>
      <w:r w:rsidRPr="00A729D8">
        <w:t xml:space="preserve"> and ensure that those other agencies are kept informed.</w:t>
      </w:r>
    </w:p>
    <w:p w14:paraId="0DAEC63A" w14:textId="77EF8D28" w:rsidR="00055496" w:rsidRPr="00A729D8" w:rsidRDefault="00FC2AC3" w:rsidP="00121729">
      <w:pPr>
        <w:pStyle w:val="ListParagraph"/>
        <w:numPr>
          <w:ilvl w:val="1"/>
          <w:numId w:val="175"/>
        </w:numPr>
      </w:pPr>
      <w:r w:rsidRPr="00A729D8">
        <w:lastRenderedPageBreak/>
        <w:t xml:space="preserve">One member for each non-government </w:t>
      </w:r>
      <w:r w:rsidR="00454F21" w:rsidRPr="00A729D8">
        <w:t xml:space="preserve">entity </w:t>
      </w:r>
      <w:r w:rsidRPr="00A729D8">
        <w:t>determined by the NMG, in accordance with clause 4.3 (b)(v) in schedule 6, to be a voting</w:t>
      </w:r>
      <w:r w:rsidR="005A6FA8" w:rsidRPr="00A729D8">
        <w:t xml:space="preserve"> </w:t>
      </w:r>
      <w:r w:rsidRPr="00A729D8">
        <w:t>member at the NMG for a particular incident.</w:t>
      </w:r>
    </w:p>
    <w:p w14:paraId="04F748E2" w14:textId="77777777" w:rsidR="00055496" w:rsidRPr="00A729D8" w:rsidRDefault="00B34554" w:rsidP="00121729">
      <w:pPr>
        <w:pStyle w:val="ListParagraph"/>
        <w:numPr>
          <w:ilvl w:val="1"/>
          <w:numId w:val="175"/>
        </w:numPr>
      </w:pPr>
      <w:r w:rsidRPr="00A729D8">
        <w:t>Two (2) representatives from the Department of Agriculture</w:t>
      </w:r>
      <w:r w:rsidR="00E645EE" w:rsidRPr="00A729D8">
        <w:t xml:space="preserve"> and Water Resources</w:t>
      </w:r>
    </w:p>
    <w:p w14:paraId="1DB3C737" w14:textId="18269D3A" w:rsidR="00055496" w:rsidRPr="00A729D8" w:rsidRDefault="00B34554" w:rsidP="00121729">
      <w:pPr>
        <w:pStyle w:val="ListParagraph"/>
        <w:numPr>
          <w:ilvl w:val="1"/>
          <w:numId w:val="175"/>
        </w:numPr>
      </w:pPr>
      <w:r w:rsidRPr="00A729D8">
        <w:t>One (1) representative from CSIRO</w:t>
      </w:r>
      <w:r w:rsidR="005A6FA8" w:rsidRPr="00A729D8">
        <w:t xml:space="preserve"> or other relevant research organisation</w:t>
      </w:r>
      <w:r w:rsidRPr="00A729D8">
        <w:t>.</w:t>
      </w:r>
    </w:p>
    <w:p w14:paraId="14EE5CE7" w14:textId="77777777" w:rsidR="00FC2AC3" w:rsidRPr="00A729D8" w:rsidRDefault="00FC2AC3" w:rsidP="00121729">
      <w:pPr>
        <w:pStyle w:val="ListParagraph"/>
        <w:numPr>
          <w:ilvl w:val="1"/>
          <w:numId w:val="175"/>
        </w:numPr>
      </w:pPr>
      <w:r w:rsidRPr="00A729D8">
        <w:t>One (1) representatives from the Custodian</w:t>
      </w:r>
    </w:p>
    <w:p w14:paraId="176ECE2E" w14:textId="3C0725AD" w:rsidR="004F5940" w:rsidRPr="00A729D8" w:rsidRDefault="00B34554" w:rsidP="002106F9">
      <w:pPr>
        <w:ind w:left="1440"/>
      </w:pPr>
      <w:r w:rsidRPr="00A729D8">
        <w:t>Note that while the Commonwealth, in effect, has five</w:t>
      </w:r>
      <w:r w:rsidR="004F5940" w:rsidRPr="00A729D8">
        <w:t xml:space="preserve"> </w:t>
      </w:r>
      <w:r w:rsidRPr="00A729D8">
        <w:t>(5) representatives (the chair, and members representing the Commonwealth as a party, DA</w:t>
      </w:r>
      <w:r w:rsidR="00217A6F" w:rsidRPr="00A729D8">
        <w:t>WR</w:t>
      </w:r>
      <w:r w:rsidRPr="00A729D8">
        <w:t xml:space="preserve"> and CSIRO), the Commonweal</w:t>
      </w:r>
      <w:r w:rsidR="004F5940" w:rsidRPr="00A729D8">
        <w:t>th will have only one (1) vote</w:t>
      </w:r>
      <w:r w:rsidR="005A6FA8" w:rsidRPr="00A729D8">
        <w:t xml:space="preserve"> </w:t>
      </w:r>
      <w:r w:rsidR="00217A6F" w:rsidRPr="00A729D8">
        <w:t>on the recommendations the NBMCC will make to the NMG</w:t>
      </w:r>
      <w:r w:rsidR="004F5940" w:rsidRPr="00A729D8">
        <w:t>.</w:t>
      </w:r>
    </w:p>
    <w:p w14:paraId="10E88066" w14:textId="77777777" w:rsidR="004F5940" w:rsidRPr="00A729D8" w:rsidRDefault="00B34554" w:rsidP="00121729">
      <w:pPr>
        <w:pStyle w:val="ListParagraph"/>
        <w:numPr>
          <w:ilvl w:val="0"/>
          <w:numId w:val="175"/>
        </w:numPr>
      </w:pPr>
      <w:r w:rsidRPr="00A729D8">
        <w:t>Observers</w:t>
      </w:r>
    </w:p>
    <w:p w14:paraId="429279AF" w14:textId="793D3848" w:rsidR="004F5940" w:rsidRPr="00A729D8" w:rsidRDefault="00B34554" w:rsidP="00121729">
      <w:pPr>
        <w:pStyle w:val="ListParagraph"/>
        <w:numPr>
          <w:ilvl w:val="1"/>
          <w:numId w:val="175"/>
        </w:numPr>
      </w:pPr>
      <w:r w:rsidRPr="00A729D8">
        <w:t xml:space="preserve">Observers may attend </w:t>
      </w:r>
      <w:r w:rsidR="00B20F48" w:rsidRPr="00A729D8">
        <w:t>NBMCC</w:t>
      </w:r>
      <w:r w:rsidRPr="00A729D8">
        <w:t xml:space="preserve"> meetings but may not participate in discussions or vote on any </w:t>
      </w:r>
      <w:r w:rsidR="00B20F48" w:rsidRPr="00A729D8">
        <w:t>NBMCC</w:t>
      </w:r>
      <w:r w:rsidR="00882293" w:rsidRPr="00A729D8">
        <w:t xml:space="preserve"> </w:t>
      </w:r>
      <w:r w:rsidR="00443EF6" w:rsidRPr="00A729D8">
        <w:t>recommendations</w:t>
      </w:r>
      <w:r w:rsidR="004F5940" w:rsidRPr="00A729D8">
        <w:t>.</w:t>
      </w:r>
    </w:p>
    <w:p w14:paraId="085303FF" w14:textId="77777777" w:rsidR="004F5940" w:rsidRPr="00A729D8" w:rsidRDefault="00B34554" w:rsidP="00121729">
      <w:pPr>
        <w:pStyle w:val="ListParagraph"/>
        <w:numPr>
          <w:ilvl w:val="1"/>
          <w:numId w:val="175"/>
        </w:numPr>
      </w:pPr>
      <w:r w:rsidRPr="00A729D8">
        <w:t xml:space="preserve">Members may be accompanied by advisers who have specific expertise, including health department staff (or others depending on the nature of the </w:t>
      </w:r>
      <w:r w:rsidR="00747D05" w:rsidRPr="00A729D8">
        <w:t>incident</w:t>
      </w:r>
      <w:r w:rsidRPr="00A729D8">
        <w:t xml:space="preserve"> in question), if appropriate.</w:t>
      </w:r>
    </w:p>
    <w:p w14:paraId="73CD03CF" w14:textId="77777777" w:rsidR="00B34554" w:rsidRPr="00A729D8" w:rsidRDefault="00B34554" w:rsidP="00121729">
      <w:pPr>
        <w:pStyle w:val="ListParagraph"/>
        <w:numPr>
          <w:ilvl w:val="1"/>
          <w:numId w:val="175"/>
        </w:numPr>
      </w:pPr>
      <w:r w:rsidRPr="00A729D8">
        <w:t xml:space="preserve">The chair may determine that an affected stakeholder may have a representative on the </w:t>
      </w:r>
      <w:r w:rsidR="00B20F48" w:rsidRPr="00A729D8">
        <w:t>NBMCC</w:t>
      </w:r>
      <w:r w:rsidRPr="00A729D8">
        <w:t xml:space="preserve"> as an observer</w:t>
      </w:r>
      <w:r w:rsidR="00E645EE" w:rsidRPr="00A729D8">
        <w:t xml:space="preserve">, </w:t>
      </w:r>
    </w:p>
    <w:p w14:paraId="1B18028E" w14:textId="77777777" w:rsidR="00B34554" w:rsidRPr="00A729D8" w:rsidRDefault="00B20F48" w:rsidP="002106F9">
      <w:pPr>
        <w:pStyle w:val="ScheduleL1"/>
      </w:pPr>
      <w:r w:rsidRPr="00A729D8">
        <w:t>NBMCC</w:t>
      </w:r>
      <w:r w:rsidR="00B34554" w:rsidRPr="00A729D8">
        <w:t xml:space="preserve"> meeting protocols</w:t>
      </w:r>
    </w:p>
    <w:p w14:paraId="0326B9DC" w14:textId="77777777" w:rsidR="00B34554" w:rsidRPr="00A729D8" w:rsidRDefault="00B20F48" w:rsidP="00121729">
      <w:pPr>
        <w:pStyle w:val="ListParagraph"/>
        <w:numPr>
          <w:ilvl w:val="0"/>
          <w:numId w:val="157"/>
        </w:numPr>
      </w:pPr>
      <w:r w:rsidRPr="00A729D8">
        <w:t>NBMCC</w:t>
      </w:r>
      <w:r w:rsidR="00B34554" w:rsidRPr="00A729D8">
        <w:t>s will be convened and meet as necessary.</w:t>
      </w:r>
    </w:p>
    <w:p w14:paraId="7FB4F034" w14:textId="3CA52B93" w:rsidR="00B34554" w:rsidRPr="00A729D8" w:rsidRDefault="00B34554" w:rsidP="00121729">
      <w:pPr>
        <w:pStyle w:val="ListParagraph"/>
        <w:numPr>
          <w:ilvl w:val="0"/>
          <w:numId w:val="157"/>
        </w:numPr>
      </w:pPr>
      <w:r w:rsidRPr="00A729D8">
        <w:t>Members may be represented at meetings by a</w:t>
      </w:r>
      <w:r w:rsidR="00022750" w:rsidRPr="00A729D8">
        <w:t xml:space="preserve">n </w:t>
      </w:r>
      <w:r w:rsidR="00633A7B" w:rsidRPr="00A729D8">
        <w:t>appropriate</w:t>
      </w:r>
      <w:r w:rsidRPr="00A729D8">
        <w:t xml:space="preserve"> delegate</w:t>
      </w:r>
      <w:r w:rsidR="009C76C1" w:rsidRPr="00A729D8">
        <w:t xml:space="preserve"> who has the appropriate delegation to make decisions </w:t>
      </w:r>
      <w:r w:rsidR="00882293" w:rsidRPr="00A729D8">
        <w:t>on the recommendations to be provided to the NMG</w:t>
      </w:r>
      <w:r w:rsidRPr="00A729D8">
        <w:t>.</w:t>
      </w:r>
    </w:p>
    <w:p w14:paraId="5B6FFF71" w14:textId="77777777" w:rsidR="00B34554" w:rsidRPr="00A729D8" w:rsidRDefault="00B34554" w:rsidP="00121729">
      <w:pPr>
        <w:pStyle w:val="ListParagraph"/>
        <w:numPr>
          <w:ilvl w:val="0"/>
          <w:numId w:val="157"/>
        </w:numPr>
      </w:pPr>
      <w:r w:rsidRPr="00A729D8">
        <w:t>Members or their delegates need to be available at short notice (less than 24 hours).</w:t>
      </w:r>
    </w:p>
    <w:p w14:paraId="72A768E4" w14:textId="7581C6D2" w:rsidR="00B34554" w:rsidRPr="00A729D8" w:rsidRDefault="00B34554" w:rsidP="00121729">
      <w:pPr>
        <w:pStyle w:val="ListParagraph"/>
        <w:numPr>
          <w:ilvl w:val="0"/>
          <w:numId w:val="157"/>
        </w:numPr>
      </w:pPr>
      <w:r w:rsidRPr="00A729D8">
        <w:t xml:space="preserve">All </w:t>
      </w:r>
      <w:r w:rsidR="00B20F48" w:rsidRPr="00A729D8">
        <w:t>NBMCC</w:t>
      </w:r>
      <w:r w:rsidRPr="00A729D8">
        <w:t xml:space="preserve"> decisions</w:t>
      </w:r>
      <w:r w:rsidR="00882293" w:rsidRPr="00A729D8">
        <w:t>,</w:t>
      </w:r>
      <w:r w:rsidRPr="00A729D8">
        <w:t xml:space="preserve"> </w:t>
      </w:r>
      <w:r w:rsidR="00882293" w:rsidRPr="00A729D8">
        <w:t xml:space="preserve">on the recommendations it will make to the NMG, </w:t>
      </w:r>
      <w:r w:rsidRPr="00A729D8">
        <w:t>must be made by the consensus of its members.</w:t>
      </w:r>
    </w:p>
    <w:p w14:paraId="1B6FE0AD" w14:textId="6D218E61" w:rsidR="00B34554" w:rsidRPr="00A729D8" w:rsidRDefault="00B34554" w:rsidP="00121729">
      <w:pPr>
        <w:pStyle w:val="ListParagraph"/>
        <w:numPr>
          <w:ilvl w:val="0"/>
          <w:numId w:val="157"/>
        </w:numPr>
      </w:pPr>
      <w:r w:rsidRPr="00A729D8">
        <w:t>The Commonwealth and each party have a single vote</w:t>
      </w:r>
      <w:r w:rsidR="00882293" w:rsidRPr="00A729D8">
        <w:t xml:space="preserve"> on the recommendations to be made to the NMG</w:t>
      </w:r>
      <w:r w:rsidRPr="00A729D8">
        <w:t>. All Commonwealth agencies, such as DA</w:t>
      </w:r>
      <w:r w:rsidR="00E645EE" w:rsidRPr="00A729D8">
        <w:t>WR</w:t>
      </w:r>
      <w:r w:rsidRPr="00A729D8">
        <w:t xml:space="preserve"> and CSIRO, and the chair, are incorporated within the Commonwealth vote</w:t>
      </w:r>
      <w:r w:rsidR="00882293" w:rsidRPr="00A729D8">
        <w:t xml:space="preserve"> on the recommendations to be made to the NMG</w:t>
      </w:r>
      <w:r w:rsidRPr="00A729D8">
        <w:t>.</w:t>
      </w:r>
    </w:p>
    <w:p w14:paraId="2E0B0B6A" w14:textId="77777777" w:rsidR="00B34554" w:rsidRPr="00A729D8" w:rsidRDefault="00B34554" w:rsidP="00121729">
      <w:pPr>
        <w:pStyle w:val="ListParagraph"/>
        <w:numPr>
          <w:ilvl w:val="0"/>
          <w:numId w:val="157"/>
        </w:numPr>
      </w:pPr>
      <w:r w:rsidRPr="00A729D8">
        <w:t>The number of observers/resource persons must be kept to the essential minimum.</w:t>
      </w:r>
    </w:p>
    <w:p w14:paraId="78C1AEAE" w14:textId="5E8B2F57" w:rsidR="00B34554" w:rsidRPr="00A729D8" w:rsidRDefault="00B34554" w:rsidP="00121729">
      <w:pPr>
        <w:pStyle w:val="ListParagraph"/>
        <w:numPr>
          <w:ilvl w:val="0"/>
          <w:numId w:val="157"/>
        </w:numPr>
      </w:pPr>
      <w:r w:rsidRPr="00A729D8">
        <w:t xml:space="preserve">Observers will not be party to </w:t>
      </w:r>
      <w:r w:rsidR="00882293" w:rsidRPr="00A729D8">
        <w:t xml:space="preserve">the </w:t>
      </w:r>
      <w:r w:rsidRPr="00A729D8">
        <w:t>decisions</w:t>
      </w:r>
      <w:r w:rsidR="00882293" w:rsidRPr="00A729D8">
        <w:t xml:space="preserve"> the NBMCC makes in relation to its recommendations to the NMG</w:t>
      </w:r>
      <w:r w:rsidRPr="00A729D8">
        <w:t>.</w:t>
      </w:r>
    </w:p>
    <w:p w14:paraId="39574CDC" w14:textId="77777777" w:rsidR="00B34554" w:rsidRPr="00A729D8" w:rsidRDefault="00B34554" w:rsidP="00121729">
      <w:pPr>
        <w:pStyle w:val="ListParagraph"/>
        <w:numPr>
          <w:ilvl w:val="0"/>
          <w:numId w:val="157"/>
        </w:numPr>
      </w:pPr>
      <w:r w:rsidRPr="00A729D8">
        <w:t>All attendees must be announced and recorded as ‘present’ in the minutes.</w:t>
      </w:r>
    </w:p>
    <w:p w14:paraId="652C734E" w14:textId="77777777" w:rsidR="00B34554" w:rsidRPr="00A729D8" w:rsidRDefault="00B34554" w:rsidP="00121729">
      <w:pPr>
        <w:pStyle w:val="ListParagraph"/>
        <w:numPr>
          <w:ilvl w:val="0"/>
          <w:numId w:val="157"/>
        </w:numPr>
      </w:pPr>
      <w:r w:rsidRPr="00A729D8">
        <w:t xml:space="preserve">Members are responsible for ensuring that the observers they invite abide by the requirements of the </w:t>
      </w:r>
      <w:r w:rsidR="00B20F48" w:rsidRPr="00A729D8">
        <w:t>NBMCC</w:t>
      </w:r>
      <w:r w:rsidRPr="00A729D8">
        <w:t xml:space="preserve"> as detailed in this schedule.</w:t>
      </w:r>
    </w:p>
    <w:p w14:paraId="755059F0" w14:textId="77777777" w:rsidR="00B34554" w:rsidRPr="00A729D8" w:rsidRDefault="00B34554" w:rsidP="00121729">
      <w:pPr>
        <w:pStyle w:val="ListParagraph"/>
        <w:numPr>
          <w:ilvl w:val="0"/>
          <w:numId w:val="157"/>
        </w:numPr>
      </w:pPr>
      <w:r w:rsidRPr="00A729D8">
        <w:lastRenderedPageBreak/>
        <w:t xml:space="preserve">Communication with the NMG will be via the chair of the </w:t>
      </w:r>
      <w:r w:rsidR="00B20F48" w:rsidRPr="00A729D8">
        <w:t>NBMCC</w:t>
      </w:r>
      <w:r w:rsidRPr="00A729D8">
        <w:t>.</w:t>
      </w:r>
    </w:p>
    <w:p w14:paraId="26974DE4" w14:textId="7123097D" w:rsidR="00B34554" w:rsidRPr="00A729D8" w:rsidRDefault="00B34554" w:rsidP="00121729">
      <w:pPr>
        <w:pStyle w:val="ListParagraph"/>
        <w:numPr>
          <w:ilvl w:val="0"/>
          <w:numId w:val="157"/>
        </w:numPr>
      </w:pPr>
      <w:r w:rsidRPr="00A729D8">
        <w:t>Secretariat services will be provided by the Commonwealth (from the relevant agency).</w:t>
      </w:r>
    </w:p>
    <w:p w14:paraId="1593E77E" w14:textId="77777777" w:rsidR="00B34554" w:rsidRPr="00A729D8" w:rsidRDefault="00B34554" w:rsidP="00DF5957">
      <w:pPr>
        <w:pStyle w:val="ScheduleL1"/>
        <w:keepNext/>
        <w:ind w:left="357" w:hanging="357"/>
      </w:pPr>
      <w:r w:rsidRPr="00A729D8">
        <w:t xml:space="preserve">Specialist or working groups to assist the </w:t>
      </w:r>
      <w:r w:rsidR="00B20F48" w:rsidRPr="00A729D8">
        <w:t>NBMCC</w:t>
      </w:r>
    </w:p>
    <w:p w14:paraId="66248112" w14:textId="77777777" w:rsidR="000B1167" w:rsidRPr="00A729D8" w:rsidRDefault="00B34554" w:rsidP="002106F9">
      <w:r w:rsidRPr="00A729D8">
        <w:t xml:space="preserve">The </w:t>
      </w:r>
      <w:r w:rsidR="00B20F48" w:rsidRPr="00A729D8">
        <w:t>NBMCC</w:t>
      </w:r>
      <w:r w:rsidRPr="00A729D8">
        <w:t xml:space="preserve"> may, if it requires, establish individual, technical specialists </w:t>
      </w:r>
      <w:r w:rsidR="004F5940" w:rsidRPr="00A729D8">
        <w:t>or working groups to advise it.</w:t>
      </w:r>
    </w:p>
    <w:p w14:paraId="21788780" w14:textId="77777777" w:rsidR="00297590" w:rsidRPr="00A729D8" w:rsidRDefault="00297590" w:rsidP="002106F9">
      <w:r w:rsidRPr="00A729D8">
        <w:br w:type="page"/>
      </w:r>
    </w:p>
    <w:p w14:paraId="27F30BEC" w14:textId="77777777" w:rsidR="00B34554" w:rsidRPr="00A729D8" w:rsidRDefault="00B34554" w:rsidP="002106F9">
      <w:pPr>
        <w:pStyle w:val="Heading1"/>
        <w:keepNext w:val="0"/>
        <w:keepLines w:val="0"/>
        <w:numPr>
          <w:ilvl w:val="0"/>
          <w:numId w:val="0"/>
        </w:numPr>
      </w:pPr>
      <w:bookmarkStart w:id="283" w:name="_Toc7528169"/>
      <w:r w:rsidRPr="00A729D8">
        <w:lastRenderedPageBreak/>
        <w:t>SIGNING PAGE</w:t>
      </w:r>
      <w:bookmarkEnd w:id="283"/>
      <w:r w:rsidRPr="00A729D8">
        <w:t xml:space="preserve"> </w:t>
      </w:r>
      <w:r w:rsidRPr="00A729D8">
        <w:tab/>
      </w:r>
    </w:p>
    <w:p w14:paraId="321D2F15" w14:textId="77777777" w:rsidR="00B34554" w:rsidRPr="00A729D8" w:rsidRDefault="00B34554" w:rsidP="002106F9">
      <w:r w:rsidRPr="00A729D8">
        <w:t>SIGNED FOR AN ON BEHALF OF EACH OF THE PARTIES:</w:t>
      </w:r>
    </w:p>
    <w:p w14:paraId="24A40402" w14:textId="77777777" w:rsidR="00B34554" w:rsidRPr="00A729D8" w:rsidRDefault="00B34554" w:rsidP="002106F9"/>
    <w:p w14:paraId="433A903A" w14:textId="77777777" w:rsidR="00B34554" w:rsidRPr="00A729D8" w:rsidRDefault="00B34554" w:rsidP="002106F9">
      <w:r w:rsidRPr="00A729D8">
        <w:t>Signed for and on behalf of the Commonwealth of Australia by</w:t>
      </w:r>
    </w:p>
    <w:p w14:paraId="38BBD032" w14:textId="77777777" w:rsidR="00B34554" w:rsidRPr="00A729D8" w:rsidRDefault="00B34554" w:rsidP="002106F9"/>
    <w:p w14:paraId="182EE0D0" w14:textId="77777777" w:rsidR="00B34554" w:rsidRPr="00A729D8" w:rsidRDefault="001B1E60" w:rsidP="002106F9">
      <w:r w:rsidRPr="00A729D8">
        <w:t>xxxxx</w:t>
      </w:r>
    </w:p>
    <w:p w14:paraId="59734C73" w14:textId="77777777" w:rsidR="00B34554" w:rsidRPr="00A729D8" w:rsidRDefault="00B34554" w:rsidP="002106F9">
      <w:r w:rsidRPr="00A729D8">
        <w:t>Prime Minister of the Commonwealth of Australia</w:t>
      </w:r>
    </w:p>
    <w:p w14:paraId="3748BD28" w14:textId="77777777" w:rsidR="00B34554" w:rsidRPr="00A729D8" w:rsidRDefault="00B34554" w:rsidP="002106F9"/>
    <w:p w14:paraId="7C8D7827" w14:textId="77777777" w:rsidR="00B34554" w:rsidRPr="00A729D8" w:rsidRDefault="00B34554" w:rsidP="002106F9">
      <w:r w:rsidRPr="00A729D8">
        <w:t>Signed</w:t>
      </w:r>
      <w:r w:rsidRPr="00A729D8">
        <w:tab/>
        <w:t>for</w:t>
      </w:r>
      <w:r w:rsidR="001B1E60" w:rsidRPr="00A729D8">
        <w:t xml:space="preserve"> </w:t>
      </w:r>
      <w:r w:rsidRPr="00A729D8">
        <w:t>and</w:t>
      </w:r>
      <w:r w:rsidRPr="00A729D8">
        <w:tab/>
        <w:t>on</w:t>
      </w:r>
      <w:r w:rsidR="001B1E60" w:rsidRPr="00A729D8">
        <w:t xml:space="preserve"> </w:t>
      </w:r>
      <w:r w:rsidRPr="00A729D8">
        <w:t>behalf</w:t>
      </w:r>
      <w:r w:rsidR="001B1E60" w:rsidRPr="00A729D8">
        <w:t xml:space="preserve"> </w:t>
      </w:r>
      <w:r w:rsidRPr="00A729D8">
        <w:t>of</w:t>
      </w:r>
      <w:r w:rsidR="001B1E60" w:rsidRPr="00A729D8">
        <w:t xml:space="preserve"> </w:t>
      </w:r>
      <w:r w:rsidRPr="00A729D8">
        <w:t>the State of New South Wales by</w:t>
      </w:r>
    </w:p>
    <w:p w14:paraId="5A475B17" w14:textId="77777777" w:rsidR="00B34554" w:rsidRPr="00A729D8" w:rsidRDefault="00B34554" w:rsidP="002106F9"/>
    <w:p w14:paraId="7E7E62FC" w14:textId="77777777" w:rsidR="001B1E60" w:rsidRPr="00A729D8" w:rsidRDefault="001B1E60" w:rsidP="002106F9">
      <w:r w:rsidRPr="00A729D8">
        <w:t>xxxxx</w:t>
      </w:r>
    </w:p>
    <w:p w14:paraId="51A85163" w14:textId="77777777" w:rsidR="00B34554" w:rsidRPr="00A729D8" w:rsidRDefault="00B34554" w:rsidP="002106F9">
      <w:r w:rsidRPr="00A729D8">
        <w:t>Premier of the State of New South Wales</w:t>
      </w:r>
      <w:r w:rsidRPr="00A729D8">
        <w:tab/>
      </w:r>
    </w:p>
    <w:p w14:paraId="414715E9" w14:textId="77777777" w:rsidR="001B1E60" w:rsidRPr="00A729D8" w:rsidRDefault="001B1E60" w:rsidP="002106F9"/>
    <w:p w14:paraId="5F206867" w14:textId="77777777" w:rsidR="00B34554" w:rsidRPr="00A729D8" w:rsidRDefault="001B1E60" w:rsidP="002106F9">
      <w:r w:rsidRPr="00A729D8">
        <w:t>S</w:t>
      </w:r>
      <w:r w:rsidR="00B34554" w:rsidRPr="00A729D8">
        <w:t>igned</w:t>
      </w:r>
      <w:r w:rsidR="00B34554" w:rsidRPr="00A729D8">
        <w:tab/>
        <w:t>for</w:t>
      </w:r>
      <w:r w:rsidRPr="00A729D8">
        <w:t xml:space="preserve"> </w:t>
      </w:r>
      <w:r w:rsidR="00B34554" w:rsidRPr="00A729D8">
        <w:t>and</w:t>
      </w:r>
      <w:r w:rsidR="00B34554" w:rsidRPr="00A729D8">
        <w:tab/>
        <w:t>on</w:t>
      </w:r>
      <w:r w:rsidRPr="00A729D8">
        <w:t xml:space="preserve"> </w:t>
      </w:r>
      <w:r w:rsidR="00B34554" w:rsidRPr="00A729D8">
        <w:t>behalf</w:t>
      </w:r>
      <w:r w:rsidRPr="00A729D8">
        <w:t xml:space="preserve"> </w:t>
      </w:r>
      <w:r w:rsidR="00B34554" w:rsidRPr="00A729D8">
        <w:t>of</w:t>
      </w:r>
      <w:r w:rsidRPr="00A729D8">
        <w:t xml:space="preserve"> </w:t>
      </w:r>
      <w:r w:rsidR="00B34554" w:rsidRPr="00A729D8">
        <w:t>the State of Victoria by</w:t>
      </w:r>
    </w:p>
    <w:p w14:paraId="795232AC" w14:textId="77777777" w:rsidR="00B34554" w:rsidRPr="00A729D8" w:rsidRDefault="00B34554" w:rsidP="002106F9">
      <w:r w:rsidRPr="00A729D8">
        <w:t xml:space="preserve"> </w:t>
      </w:r>
    </w:p>
    <w:p w14:paraId="616EE8F8" w14:textId="77777777" w:rsidR="001B1E60" w:rsidRPr="00A729D8" w:rsidRDefault="001B1E60" w:rsidP="002106F9">
      <w:r w:rsidRPr="00A729D8">
        <w:t>xxxxx</w:t>
      </w:r>
    </w:p>
    <w:p w14:paraId="76EC4EED" w14:textId="77777777" w:rsidR="00B34554" w:rsidRPr="00A729D8" w:rsidRDefault="00B34554" w:rsidP="002106F9">
      <w:r w:rsidRPr="00A729D8">
        <w:t>Premier of the State of Victoria</w:t>
      </w:r>
    </w:p>
    <w:p w14:paraId="629CDC52" w14:textId="77777777" w:rsidR="00B34554" w:rsidRPr="00A729D8" w:rsidRDefault="00B34554" w:rsidP="002106F9"/>
    <w:p w14:paraId="36BD2A4E" w14:textId="77777777" w:rsidR="00B34554" w:rsidRPr="00A729D8" w:rsidRDefault="00B34554" w:rsidP="002106F9">
      <w:r w:rsidRPr="00A729D8">
        <w:t>Signed</w:t>
      </w:r>
      <w:r w:rsidRPr="00A729D8">
        <w:tab/>
        <w:t>for</w:t>
      </w:r>
      <w:r w:rsidR="001B1E60" w:rsidRPr="00A729D8">
        <w:t xml:space="preserve"> </w:t>
      </w:r>
      <w:r w:rsidRPr="00A729D8">
        <w:t>and</w:t>
      </w:r>
      <w:r w:rsidRPr="00A729D8">
        <w:tab/>
        <w:t>on</w:t>
      </w:r>
      <w:r w:rsidR="001B1E60" w:rsidRPr="00A729D8">
        <w:t xml:space="preserve"> </w:t>
      </w:r>
      <w:r w:rsidRPr="00A729D8">
        <w:t>behalf</w:t>
      </w:r>
      <w:r w:rsidR="001B1E60" w:rsidRPr="00A729D8">
        <w:t xml:space="preserve"> </w:t>
      </w:r>
      <w:r w:rsidRPr="00A729D8">
        <w:t>of</w:t>
      </w:r>
      <w:r w:rsidR="001B1E60" w:rsidRPr="00A729D8">
        <w:t xml:space="preserve"> </w:t>
      </w:r>
      <w:r w:rsidRPr="00A729D8">
        <w:t>the State of Queensland by</w:t>
      </w:r>
    </w:p>
    <w:p w14:paraId="120CB720" w14:textId="77777777" w:rsidR="00B34554" w:rsidRPr="00A729D8" w:rsidRDefault="00B34554" w:rsidP="002106F9">
      <w:r w:rsidRPr="00A729D8">
        <w:t xml:space="preserve"> </w:t>
      </w:r>
    </w:p>
    <w:p w14:paraId="0CD9F05D" w14:textId="77777777" w:rsidR="001B1E60" w:rsidRPr="00A729D8" w:rsidRDefault="001B1E60" w:rsidP="002106F9">
      <w:r w:rsidRPr="00A729D8">
        <w:t>xxxxx</w:t>
      </w:r>
    </w:p>
    <w:p w14:paraId="1FE6D9EF" w14:textId="77777777" w:rsidR="00B34554" w:rsidRPr="00A729D8" w:rsidRDefault="00B34554" w:rsidP="002106F9">
      <w:r w:rsidRPr="00A729D8">
        <w:t>Premier of the State of Queensland</w:t>
      </w:r>
      <w:r w:rsidRPr="00A729D8">
        <w:tab/>
      </w:r>
    </w:p>
    <w:p w14:paraId="76435780" w14:textId="77777777" w:rsidR="001B1E60" w:rsidRPr="00A729D8" w:rsidRDefault="001B1E60" w:rsidP="002106F9"/>
    <w:p w14:paraId="1080B3C0" w14:textId="77777777" w:rsidR="00B34554" w:rsidRPr="00A729D8" w:rsidRDefault="00B34554" w:rsidP="002106F9">
      <w:r w:rsidRPr="00A729D8">
        <w:t>Signed</w:t>
      </w:r>
      <w:r w:rsidRPr="00A729D8">
        <w:tab/>
        <w:t>for</w:t>
      </w:r>
      <w:r w:rsidR="001B1E60" w:rsidRPr="00A729D8">
        <w:t xml:space="preserve"> and</w:t>
      </w:r>
      <w:r w:rsidR="001B1E60" w:rsidRPr="00A729D8">
        <w:tab/>
        <w:t xml:space="preserve">on </w:t>
      </w:r>
      <w:r w:rsidRPr="00A729D8">
        <w:t>behalf</w:t>
      </w:r>
      <w:r w:rsidR="001B1E60" w:rsidRPr="00A729D8">
        <w:t xml:space="preserve"> </w:t>
      </w:r>
      <w:r w:rsidRPr="00A729D8">
        <w:t>of</w:t>
      </w:r>
      <w:r w:rsidR="001B1E60" w:rsidRPr="00A729D8">
        <w:t xml:space="preserve"> </w:t>
      </w:r>
      <w:r w:rsidRPr="00A729D8">
        <w:t>the State of Western Australia by</w:t>
      </w:r>
    </w:p>
    <w:p w14:paraId="347C961B" w14:textId="77777777" w:rsidR="00B34554" w:rsidRPr="00A729D8" w:rsidRDefault="00B34554" w:rsidP="002106F9">
      <w:r w:rsidRPr="00A729D8">
        <w:t xml:space="preserve"> </w:t>
      </w:r>
    </w:p>
    <w:p w14:paraId="2A975CFB" w14:textId="77777777" w:rsidR="001B1E60" w:rsidRPr="00A729D8" w:rsidRDefault="001B1E60" w:rsidP="002106F9">
      <w:r w:rsidRPr="00A729D8">
        <w:t>xxxxx</w:t>
      </w:r>
    </w:p>
    <w:p w14:paraId="0BD6D47D" w14:textId="77777777" w:rsidR="00B34554" w:rsidRPr="00A729D8" w:rsidRDefault="00B34554" w:rsidP="002106F9">
      <w:r w:rsidRPr="00A729D8">
        <w:t>Premier of the State of Western Australia</w:t>
      </w:r>
    </w:p>
    <w:p w14:paraId="4BA287F1" w14:textId="77777777" w:rsidR="001B1E60" w:rsidRPr="00A729D8" w:rsidRDefault="001B1E60" w:rsidP="002106F9"/>
    <w:p w14:paraId="3545FBCC" w14:textId="77777777" w:rsidR="00B34554" w:rsidRPr="00A729D8" w:rsidRDefault="00B34554" w:rsidP="002106F9">
      <w:r w:rsidRPr="00A729D8">
        <w:t>Signed</w:t>
      </w:r>
      <w:r w:rsidRPr="00A729D8">
        <w:tab/>
        <w:t>for</w:t>
      </w:r>
      <w:r w:rsidR="001B1E60" w:rsidRPr="00A729D8">
        <w:t xml:space="preserve"> </w:t>
      </w:r>
      <w:r w:rsidRPr="00A729D8">
        <w:t>and</w:t>
      </w:r>
      <w:r w:rsidRPr="00A729D8">
        <w:tab/>
        <w:t>on</w:t>
      </w:r>
      <w:r w:rsidR="001B1E60" w:rsidRPr="00A729D8">
        <w:t xml:space="preserve"> </w:t>
      </w:r>
      <w:r w:rsidRPr="00A729D8">
        <w:t>behalf</w:t>
      </w:r>
      <w:r w:rsidR="001B1E60" w:rsidRPr="00A729D8">
        <w:t xml:space="preserve"> of </w:t>
      </w:r>
      <w:r w:rsidRPr="00A729D8">
        <w:t>the State of South Australia by</w:t>
      </w:r>
    </w:p>
    <w:p w14:paraId="58D99361" w14:textId="77777777" w:rsidR="00B34554" w:rsidRPr="00A729D8" w:rsidRDefault="00B34554" w:rsidP="002106F9">
      <w:r w:rsidRPr="00A729D8">
        <w:t xml:space="preserve"> </w:t>
      </w:r>
    </w:p>
    <w:p w14:paraId="2DF7DB03" w14:textId="77777777" w:rsidR="001B1E60" w:rsidRPr="00A729D8" w:rsidRDefault="001B1E60" w:rsidP="002106F9">
      <w:r w:rsidRPr="00A729D8">
        <w:t>xxxxx</w:t>
      </w:r>
    </w:p>
    <w:p w14:paraId="1899D5B6" w14:textId="77777777" w:rsidR="00B34554" w:rsidRPr="00A729D8" w:rsidRDefault="00B34554" w:rsidP="002106F9">
      <w:r w:rsidRPr="00A729D8">
        <w:t>Premier of the State of South Australia</w:t>
      </w:r>
      <w:r w:rsidRPr="00A729D8">
        <w:tab/>
      </w:r>
    </w:p>
    <w:p w14:paraId="60A875DD" w14:textId="77777777" w:rsidR="001B1E60" w:rsidRPr="00A729D8" w:rsidRDefault="001B1E60" w:rsidP="002106F9"/>
    <w:p w14:paraId="39BE9BD1" w14:textId="77777777" w:rsidR="00B34554" w:rsidRPr="00A729D8" w:rsidRDefault="00B34554" w:rsidP="002106F9">
      <w:r w:rsidRPr="00A729D8">
        <w:t>Signed</w:t>
      </w:r>
      <w:r w:rsidRPr="00A729D8">
        <w:tab/>
        <w:t>for</w:t>
      </w:r>
      <w:r w:rsidR="001B1E60" w:rsidRPr="00A729D8">
        <w:t xml:space="preserve"> </w:t>
      </w:r>
      <w:r w:rsidRPr="00A729D8">
        <w:t>and</w:t>
      </w:r>
      <w:r w:rsidRPr="00A729D8">
        <w:tab/>
        <w:t>on</w:t>
      </w:r>
      <w:r w:rsidR="001B1E60" w:rsidRPr="00A729D8">
        <w:t xml:space="preserve"> </w:t>
      </w:r>
      <w:r w:rsidRPr="00A729D8">
        <w:t>behalf</w:t>
      </w:r>
      <w:r w:rsidR="001B1E60" w:rsidRPr="00A729D8">
        <w:t xml:space="preserve"> </w:t>
      </w:r>
      <w:r w:rsidRPr="00A729D8">
        <w:t>of</w:t>
      </w:r>
      <w:r w:rsidR="001B1E60" w:rsidRPr="00A729D8">
        <w:t xml:space="preserve"> </w:t>
      </w:r>
      <w:r w:rsidRPr="00A729D8">
        <w:t>the State of Tasmania by</w:t>
      </w:r>
    </w:p>
    <w:p w14:paraId="606C766B" w14:textId="77777777" w:rsidR="00B34554" w:rsidRPr="00A729D8" w:rsidRDefault="00B34554" w:rsidP="002106F9"/>
    <w:p w14:paraId="3C07CA60" w14:textId="77777777" w:rsidR="001B1E60" w:rsidRPr="00A729D8" w:rsidRDefault="001B1E60" w:rsidP="002106F9">
      <w:r w:rsidRPr="00A729D8">
        <w:t>xxxxx</w:t>
      </w:r>
    </w:p>
    <w:p w14:paraId="11EBA71C" w14:textId="77777777" w:rsidR="00B34554" w:rsidRPr="00A729D8" w:rsidRDefault="00B34554" w:rsidP="002106F9">
      <w:r w:rsidRPr="00A729D8">
        <w:t>Premier of the State of Tasmania</w:t>
      </w:r>
    </w:p>
    <w:p w14:paraId="187695AC" w14:textId="77777777" w:rsidR="00B34554" w:rsidRPr="00A729D8" w:rsidRDefault="00B34554" w:rsidP="002106F9"/>
    <w:p w14:paraId="18589950" w14:textId="77777777" w:rsidR="00B34554" w:rsidRPr="00A729D8" w:rsidRDefault="00B34554" w:rsidP="002106F9">
      <w:r w:rsidRPr="00A729D8">
        <w:t>Signed for and on behalf of the Australian Capital Territory by</w:t>
      </w:r>
    </w:p>
    <w:p w14:paraId="19FE63E3" w14:textId="77777777" w:rsidR="00B34554" w:rsidRPr="00A729D8" w:rsidRDefault="00B34554" w:rsidP="002106F9">
      <w:r w:rsidRPr="00A729D8">
        <w:t xml:space="preserve"> </w:t>
      </w:r>
    </w:p>
    <w:p w14:paraId="4F4ABC6D" w14:textId="77777777" w:rsidR="001B1E60" w:rsidRPr="00A729D8" w:rsidRDefault="001B1E60" w:rsidP="002106F9">
      <w:r w:rsidRPr="00A729D8">
        <w:t>xxxxx</w:t>
      </w:r>
    </w:p>
    <w:p w14:paraId="012B8DF3" w14:textId="77777777" w:rsidR="00B34554" w:rsidRPr="00A729D8" w:rsidRDefault="00B34554" w:rsidP="002106F9">
      <w:r w:rsidRPr="00A729D8">
        <w:t>Chief Minister of the Australian Capital Territory</w:t>
      </w:r>
      <w:r w:rsidRPr="00A729D8">
        <w:tab/>
      </w:r>
    </w:p>
    <w:p w14:paraId="7EF1496A" w14:textId="77777777" w:rsidR="001B1E60" w:rsidRPr="00A729D8" w:rsidRDefault="001B1E60" w:rsidP="002106F9"/>
    <w:p w14:paraId="099A52CF" w14:textId="77777777" w:rsidR="00B34554" w:rsidRPr="00A729D8" w:rsidRDefault="00B34554" w:rsidP="002106F9">
      <w:r w:rsidRPr="00A729D8">
        <w:t>Signed for and on behalf of the Northern Territory of Australia by</w:t>
      </w:r>
    </w:p>
    <w:p w14:paraId="0067926A" w14:textId="77777777" w:rsidR="00B34554" w:rsidRPr="00A729D8" w:rsidRDefault="00B34554" w:rsidP="002106F9"/>
    <w:p w14:paraId="20689D5D" w14:textId="77777777" w:rsidR="001B1E60" w:rsidRPr="00A729D8" w:rsidRDefault="001B1E60" w:rsidP="002106F9">
      <w:r w:rsidRPr="00A729D8">
        <w:t>xxxxx</w:t>
      </w:r>
    </w:p>
    <w:p w14:paraId="6869BCBF" w14:textId="77777777" w:rsidR="00B34554" w:rsidRDefault="00B34554" w:rsidP="002106F9">
      <w:r w:rsidRPr="00A729D8">
        <w:t>Chief Minister of the Northern Territory of Australia</w:t>
      </w:r>
    </w:p>
    <w:sectPr w:rsidR="00B34554" w:rsidSect="00A87B4F">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E493C" w14:textId="77777777" w:rsidR="00543738" w:rsidRDefault="00543738" w:rsidP="00F54C08">
      <w:pPr>
        <w:spacing w:before="0" w:after="0" w:line="240" w:lineRule="auto"/>
      </w:pPr>
      <w:r>
        <w:separator/>
      </w:r>
    </w:p>
  </w:endnote>
  <w:endnote w:type="continuationSeparator" w:id="0">
    <w:p w14:paraId="73F4645C" w14:textId="77777777" w:rsidR="00543738" w:rsidRDefault="00543738" w:rsidP="00F54C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E0655" w14:textId="6E2F22A4" w:rsidR="00543738" w:rsidRDefault="00543738">
    <w:pPr>
      <w:pStyle w:val="Footer"/>
    </w:pPr>
    <w:r>
      <w:rPr>
        <w:noProof/>
      </w:rPr>
      <w:fldChar w:fldCharType="begin"/>
    </w:r>
    <w:r>
      <w:rPr>
        <w:noProof/>
      </w:rPr>
      <w:instrText xml:space="preserve"> FILENAME   \* MERGEFORMAT </w:instrText>
    </w:r>
    <w:r>
      <w:rPr>
        <w:noProof/>
      </w:rPr>
      <w:fldChar w:fldCharType="separate"/>
    </w:r>
    <w:r>
      <w:rPr>
        <w:noProof/>
      </w:rPr>
      <w:t xml:space="preserve">DRAFT for </w:t>
    </w:r>
    <w:r w:rsidR="007647FF">
      <w:rPr>
        <w:noProof/>
      </w:rPr>
      <w:t xml:space="preserve">2019 </w:t>
    </w:r>
    <w:r w:rsidR="007647FF">
      <w:rPr>
        <w:noProof/>
      </w:rPr>
      <w:t xml:space="preserve">public consultation </w:t>
    </w:r>
    <w:r>
      <w:rPr>
        <w:noProof/>
      </w:rPr>
      <w:fldChar w:fldCharType="end"/>
    </w:r>
    <w:r>
      <w:ptab w:relativeTo="margin" w:alignment="center" w:leader="none"/>
    </w:r>
    <w:r>
      <w:ptab w:relativeTo="margin" w:alignment="right" w:leader="none"/>
    </w:r>
    <w:r>
      <w:fldChar w:fldCharType="begin"/>
    </w:r>
    <w:r>
      <w:instrText xml:space="preserve"> PAGE  \* Arabic  \* MERGEFORMAT </w:instrText>
    </w:r>
    <w:r>
      <w:fldChar w:fldCharType="separate"/>
    </w:r>
    <w:r w:rsidR="007647FF">
      <w:rPr>
        <w:noProof/>
      </w:rPr>
      <w:t>20</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33952" w14:textId="77777777" w:rsidR="00543738" w:rsidRDefault="00543738" w:rsidP="00F54C08">
      <w:pPr>
        <w:spacing w:before="0" w:after="0" w:line="240" w:lineRule="auto"/>
      </w:pPr>
      <w:r>
        <w:separator/>
      </w:r>
    </w:p>
  </w:footnote>
  <w:footnote w:type="continuationSeparator" w:id="0">
    <w:p w14:paraId="1F01A216" w14:textId="77777777" w:rsidR="00543738" w:rsidRDefault="00543738" w:rsidP="00F54C08">
      <w:pPr>
        <w:spacing w:before="0" w:after="0" w:line="240" w:lineRule="auto"/>
      </w:pPr>
      <w:r>
        <w:continuationSeparator/>
      </w:r>
    </w:p>
  </w:footnote>
  <w:footnote w:id="1">
    <w:p w14:paraId="402DCE04" w14:textId="77777777" w:rsidR="00543738" w:rsidRDefault="00543738">
      <w:pPr>
        <w:pStyle w:val="FootnoteText"/>
      </w:pPr>
      <w:r>
        <w:rPr>
          <w:rStyle w:val="FootnoteReference"/>
        </w:rPr>
        <w:footnoteRef/>
      </w:r>
      <w:r>
        <w:t xml:space="preserve"> In such cases, for example, risk assessments could not take into account cultural impacts of a pest or disease incident as these fall outside the scope of the SPS Agreement.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9AAD8" w14:textId="33BDC3D9" w:rsidR="00543738" w:rsidRPr="00F54C08" w:rsidRDefault="007647FF" w:rsidP="00F54C08">
    <w:pPr>
      <w:pStyle w:val="Header"/>
      <w:jc w:val="center"/>
      <w:rPr>
        <w:color w:val="C00000"/>
      </w:rPr>
    </w:pPr>
    <w:r>
      <w:rPr>
        <w:color w:val="C00000"/>
      </w:rPr>
      <w:t xml:space="preserve">Consultation </w:t>
    </w:r>
    <w:r w:rsidR="00543738">
      <w:rPr>
        <w:color w:val="C00000"/>
      </w:rPr>
      <w:t xml:space="preserve">Draft Only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92F"/>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1C4717F"/>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01D45337"/>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01D878D2"/>
    <w:multiLevelType w:val="hybridMultilevel"/>
    <w:tmpl w:val="1C36A46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2814E35"/>
    <w:multiLevelType w:val="hybridMultilevel"/>
    <w:tmpl w:val="3E22051E"/>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2A17DA2"/>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02BE5B66"/>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 w15:restartNumberingAfterBreak="0">
    <w:nsid w:val="02F10F9A"/>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 w15:restartNumberingAfterBreak="0">
    <w:nsid w:val="03E51C63"/>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 w15:restartNumberingAfterBreak="0">
    <w:nsid w:val="0442013C"/>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 w15:restartNumberingAfterBreak="0">
    <w:nsid w:val="05F11DBA"/>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061B5BC1"/>
    <w:multiLevelType w:val="hybridMultilevel"/>
    <w:tmpl w:val="7D964A18"/>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638518A"/>
    <w:multiLevelType w:val="hybridMultilevel"/>
    <w:tmpl w:val="D9FC2F7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6730FA9"/>
    <w:multiLevelType w:val="multilevel"/>
    <w:tmpl w:val="48B47302"/>
    <w:lvl w:ilvl="0">
      <w:start w:val="1"/>
      <w:numFmt w:val="decimal"/>
      <w:pStyle w:val="ScheduleL1"/>
      <w:lvlText w:val="%1."/>
      <w:lvlJc w:val="left"/>
      <w:pPr>
        <w:ind w:left="360" w:hanging="360"/>
      </w:pPr>
    </w:lvl>
    <w:lvl w:ilvl="1">
      <w:start w:val="1"/>
      <w:numFmt w:val="decimal"/>
      <w:pStyle w:val="Schedule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70B56BA"/>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 w15:restartNumberingAfterBreak="0">
    <w:nsid w:val="08333351"/>
    <w:multiLevelType w:val="hybridMultilevel"/>
    <w:tmpl w:val="43265590"/>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08E44BD7"/>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095D5850"/>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0A087E65"/>
    <w:multiLevelType w:val="hybridMultilevel"/>
    <w:tmpl w:val="574EDAB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0A923A5F"/>
    <w:multiLevelType w:val="multilevel"/>
    <w:tmpl w:val="2CAC2ED2"/>
    <w:lvl w:ilvl="0">
      <w:start w:val="1"/>
      <w:numFmt w:val="decimal"/>
      <w:pStyle w:val="Heading1"/>
      <w:lvlText w:val="%1"/>
      <w:lvlJc w:val="left"/>
      <w:pPr>
        <w:ind w:left="432" w:hanging="432"/>
      </w:pPr>
    </w:lvl>
    <w:lvl w:ilvl="1">
      <w:start w:val="1"/>
      <w:numFmt w:val="decimal"/>
      <w:pStyle w:val="Heading2"/>
      <w:lvlText w:val="%1.%2"/>
      <w:lvlJc w:val="left"/>
      <w:pPr>
        <w:ind w:left="859"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0D2754D8"/>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0EE63F2B"/>
    <w:multiLevelType w:val="hybridMultilevel"/>
    <w:tmpl w:val="4A589CF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0EFD3287"/>
    <w:multiLevelType w:val="hybridMultilevel"/>
    <w:tmpl w:val="1C36A46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0F3C2328"/>
    <w:multiLevelType w:val="hybridMultilevel"/>
    <w:tmpl w:val="CBD43056"/>
    <w:lvl w:ilvl="0" w:tplc="0C090017">
      <w:start w:val="1"/>
      <w:numFmt w:val="lowerLetter"/>
      <w:lvlText w:val="%1)"/>
      <w:lvlJc w:val="left"/>
      <w:pPr>
        <w:ind w:left="-360" w:hanging="360"/>
      </w:pPr>
    </w:lvl>
    <w:lvl w:ilvl="1" w:tplc="27508CDA">
      <w:start w:val="1"/>
      <w:numFmt w:val="lowerLetter"/>
      <w:lvlText w:val="(%2)"/>
      <w:lvlJc w:val="left"/>
      <w:pPr>
        <w:ind w:left="720" w:hanging="720"/>
      </w:pPr>
      <w:rPr>
        <w:rFonts w:hint="default"/>
      </w:r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4" w15:restartNumberingAfterBreak="0">
    <w:nsid w:val="108B516F"/>
    <w:multiLevelType w:val="hybridMultilevel"/>
    <w:tmpl w:val="93582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0CF0392"/>
    <w:multiLevelType w:val="hybridMultilevel"/>
    <w:tmpl w:val="8ABE153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2AE427F"/>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14C863B3"/>
    <w:multiLevelType w:val="hybridMultilevel"/>
    <w:tmpl w:val="180CD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63822BD"/>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9" w15:restartNumberingAfterBreak="0">
    <w:nsid w:val="165978B7"/>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17DD2471"/>
    <w:multiLevelType w:val="hybridMultilevel"/>
    <w:tmpl w:val="D698404C"/>
    <w:lvl w:ilvl="0" w:tplc="2E4ECFC4">
      <w:start w:val="1"/>
      <w:numFmt w:val="lowerRoman"/>
      <w:pStyle w:val="ListParaLevel2"/>
      <w:lvlText w:val="%1."/>
      <w:lvlJc w:val="right"/>
      <w:pPr>
        <w:ind w:left="163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9451A06"/>
    <w:multiLevelType w:val="hybridMultilevel"/>
    <w:tmpl w:val="64A8DCD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1991774D"/>
    <w:multiLevelType w:val="hybridMultilevel"/>
    <w:tmpl w:val="4E4AC44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1BFD693F"/>
    <w:multiLevelType w:val="hybridMultilevel"/>
    <w:tmpl w:val="EB60708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1D7B3A3E"/>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1EB95A85"/>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6" w15:restartNumberingAfterBreak="0">
    <w:nsid w:val="1FC04E1A"/>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7" w15:restartNumberingAfterBreak="0">
    <w:nsid w:val="224C7763"/>
    <w:multiLevelType w:val="hybridMultilevel"/>
    <w:tmpl w:val="C4E6538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22597B27"/>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228D30EC"/>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0" w15:restartNumberingAfterBreak="0">
    <w:nsid w:val="22D753D7"/>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23120FB8"/>
    <w:multiLevelType w:val="hybridMultilevel"/>
    <w:tmpl w:val="88024E5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244B16EF"/>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3" w15:restartNumberingAfterBreak="0">
    <w:nsid w:val="24532EB9"/>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15:restartNumberingAfterBreak="0">
    <w:nsid w:val="24557765"/>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5" w15:restartNumberingAfterBreak="0">
    <w:nsid w:val="246A26B1"/>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6" w15:restartNumberingAfterBreak="0">
    <w:nsid w:val="257F295C"/>
    <w:multiLevelType w:val="hybridMultilevel"/>
    <w:tmpl w:val="B1E65C3A"/>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289762AD"/>
    <w:multiLevelType w:val="hybridMultilevel"/>
    <w:tmpl w:val="1C36A46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28B97DA4"/>
    <w:multiLevelType w:val="multilevel"/>
    <w:tmpl w:val="AC5CF4CE"/>
    <w:lvl w:ilvl="0">
      <w:start w:val="1"/>
      <w:numFmt w:val="decimal"/>
      <w:pStyle w:val="MELegal1"/>
      <w:lvlText w:val="%1."/>
      <w:lvlJc w:val="left"/>
      <w:pPr>
        <w:tabs>
          <w:tab w:val="num" w:pos="455"/>
        </w:tabs>
        <w:ind w:left="455"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680"/>
        </w:tabs>
        <w:ind w:left="1361" w:hanging="68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lowerRoman"/>
      <w:pStyle w:val="MELegal4"/>
      <w:lvlText w:val="(%4)"/>
      <w:lvlJc w:val="left"/>
      <w:pPr>
        <w:tabs>
          <w:tab w:val="num" w:pos="720"/>
        </w:tabs>
        <w:ind w:left="680" w:hanging="680"/>
      </w:pPr>
      <w:rPr>
        <w:rFonts w:cs="Times New Roman" w:hint="default"/>
      </w:rPr>
    </w:lvl>
    <w:lvl w:ilvl="4">
      <w:start w:val="1"/>
      <w:numFmt w:val="upperLetter"/>
      <w:pStyle w:val="MELegal5"/>
      <w:lvlText w:val="(%5)"/>
      <w:lvlJc w:val="left"/>
      <w:pPr>
        <w:tabs>
          <w:tab w:val="num" w:pos="2497"/>
        </w:tabs>
        <w:ind w:left="2497" w:hanging="681"/>
      </w:pPr>
      <w:rPr>
        <w:rFonts w:cs="Times New Roman" w:hint="default"/>
        <w:i w:val="0"/>
      </w:rPr>
    </w:lvl>
    <w:lvl w:ilvl="5">
      <w:start w:val="1"/>
      <w:numFmt w:val="upperRoman"/>
      <w:pStyle w:val="MELegal6"/>
      <w:lvlText w:val="(%6)"/>
      <w:lvlJc w:val="left"/>
      <w:pPr>
        <w:tabs>
          <w:tab w:val="num" w:pos="3217"/>
        </w:tabs>
        <w:ind w:left="3177" w:hanging="680"/>
      </w:pPr>
      <w:rPr>
        <w:rFonts w:cs="Times New Roman" w:hint="default"/>
      </w:rPr>
    </w:lvl>
    <w:lvl w:ilvl="6">
      <w:start w:val="1"/>
      <w:numFmt w:val="none"/>
      <w:lvlText w:val="%7"/>
      <w:lvlJc w:val="left"/>
      <w:pPr>
        <w:tabs>
          <w:tab w:val="num" w:pos="4878"/>
        </w:tabs>
        <w:ind w:left="4878" w:hanging="850"/>
      </w:pPr>
      <w:rPr>
        <w:rFonts w:cs="Times New Roman" w:hint="default"/>
      </w:rPr>
    </w:lvl>
    <w:lvl w:ilvl="7">
      <w:start w:val="1"/>
      <w:numFmt w:val="none"/>
      <w:suff w:val="nothing"/>
      <w:lvlText w:val="%8"/>
      <w:lvlJc w:val="left"/>
      <w:pPr>
        <w:ind w:left="-225"/>
      </w:pPr>
      <w:rPr>
        <w:rFonts w:cs="Times New Roman" w:hint="default"/>
      </w:rPr>
    </w:lvl>
    <w:lvl w:ilvl="8">
      <w:start w:val="1"/>
      <w:numFmt w:val="none"/>
      <w:suff w:val="nothing"/>
      <w:lvlText w:val="%9"/>
      <w:lvlJc w:val="left"/>
      <w:pPr>
        <w:ind w:left="-225"/>
      </w:pPr>
      <w:rPr>
        <w:rFonts w:cs="Times New Roman" w:hint="default"/>
      </w:rPr>
    </w:lvl>
  </w:abstractNum>
  <w:abstractNum w:abstractNumId="49" w15:restartNumberingAfterBreak="0">
    <w:nsid w:val="28FF7374"/>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0" w15:restartNumberingAfterBreak="0">
    <w:nsid w:val="29F67613"/>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1" w15:restartNumberingAfterBreak="0">
    <w:nsid w:val="2B41157D"/>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2" w15:restartNumberingAfterBreak="0">
    <w:nsid w:val="2B482F82"/>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3" w15:restartNumberingAfterBreak="0">
    <w:nsid w:val="2B8E26FC"/>
    <w:multiLevelType w:val="hybridMultilevel"/>
    <w:tmpl w:val="B9D6CF2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CBB3F75"/>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5" w15:restartNumberingAfterBreak="0">
    <w:nsid w:val="2DBF2D04"/>
    <w:multiLevelType w:val="hybridMultilevel"/>
    <w:tmpl w:val="4A88ABB2"/>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2ED25E45"/>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7" w15:restartNumberingAfterBreak="0">
    <w:nsid w:val="30085DBE"/>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8" w15:restartNumberingAfterBreak="0">
    <w:nsid w:val="301C4FD2"/>
    <w:multiLevelType w:val="hybridMultilevel"/>
    <w:tmpl w:val="E968B8D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093433E"/>
    <w:multiLevelType w:val="hybridMultilevel"/>
    <w:tmpl w:val="B412C7D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31357AD0"/>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1" w15:restartNumberingAfterBreak="0">
    <w:nsid w:val="318A494B"/>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2" w15:restartNumberingAfterBreak="0">
    <w:nsid w:val="31CC277F"/>
    <w:multiLevelType w:val="hybridMultilevel"/>
    <w:tmpl w:val="FDFC56E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31FA0718"/>
    <w:multiLevelType w:val="hybridMultilevel"/>
    <w:tmpl w:val="7D964A18"/>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324126AE"/>
    <w:multiLevelType w:val="hybridMultilevel"/>
    <w:tmpl w:val="7C02DD04"/>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5" w15:restartNumberingAfterBreak="0">
    <w:nsid w:val="333C2FCA"/>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6" w15:restartNumberingAfterBreak="0">
    <w:nsid w:val="3458598E"/>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7" w15:restartNumberingAfterBreak="0">
    <w:nsid w:val="354A0AD9"/>
    <w:multiLevelType w:val="hybridMultilevel"/>
    <w:tmpl w:val="7D964A18"/>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362724C0"/>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9" w15:restartNumberingAfterBreak="0">
    <w:nsid w:val="369D72B1"/>
    <w:multiLevelType w:val="hybridMultilevel"/>
    <w:tmpl w:val="819E087E"/>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0" w15:restartNumberingAfterBreak="0">
    <w:nsid w:val="36B443AA"/>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1" w15:restartNumberingAfterBreak="0">
    <w:nsid w:val="37336A61"/>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2" w15:restartNumberingAfterBreak="0">
    <w:nsid w:val="39622B1B"/>
    <w:multiLevelType w:val="hybridMultilevel"/>
    <w:tmpl w:val="7C02DD04"/>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39B51502"/>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4" w15:restartNumberingAfterBreak="0">
    <w:nsid w:val="3BDE693A"/>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5" w15:restartNumberingAfterBreak="0">
    <w:nsid w:val="3C5679B2"/>
    <w:multiLevelType w:val="hybridMultilevel"/>
    <w:tmpl w:val="1C36A46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3C9D0EC8"/>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7" w15:restartNumberingAfterBreak="0">
    <w:nsid w:val="3CE552EB"/>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8" w15:restartNumberingAfterBreak="0">
    <w:nsid w:val="3CFC5F90"/>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9" w15:restartNumberingAfterBreak="0">
    <w:nsid w:val="3D39653B"/>
    <w:multiLevelType w:val="hybridMultilevel"/>
    <w:tmpl w:val="92DCA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0" w15:restartNumberingAfterBreak="0">
    <w:nsid w:val="3E771CE1"/>
    <w:multiLevelType w:val="multilevel"/>
    <w:tmpl w:val="94DADAF2"/>
    <w:lvl w:ilvl="0">
      <w:start w:val="1"/>
      <w:numFmt w:val="lowerLetter"/>
      <w:lvlText w:val="(%1)"/>
      <w:lvlJc w:val="left"/>
      <w:pPr>
        <w:tabs>
          <w:tab w:val="num" w:pos="681"/>
        </w:tabs>
        <w:ind w:left="681" w:hanging="681"/>
      </w:pPr>
      <w:rPr>
        <w:rFonts w:ascii="Times New Roman" w:hAnsi="Times New Roman" w:cs="Times New Roman" w:hint="default"/>
        <w:b w:val="0"/>
        <w:i w:val="0"/>
        <w:sz w:val="22"/>
      </w:rPr>
    </w:lvl>
    <w:lvl w:ilvl="1">
      <w:start w:val="1"/>
      <w:numFmt w:val="lowerRoman"/>
      <w:pStyle w:val="DefinitionL2"/>
      <w:lvlText w:val="(%2)"/>
      <w:lvlJc w:val="left"/>
      <w:pPr>
        <w:tabs>
          <w:tab w:val="num" w:pos="1367"/>
        </w:tabs>
        <w:ind w:left="1367" w:hanging="680"/>
      </w:pPr>
      <w:rPr>
        <w:rFonts w:ascii="Times New Roman" w:hAnsi="Times New Roman" w:cs="Times New Roman" w:hint="default"/>
        <w:b w:val="0"/>
        <w:i w:val="0"/>
        <w:sz w:val="22"/>
      </w:rPr>
    </w:lvl>
    <w:lvl w:ilvl="2">
      <w:start w:val="1"/>
      <w:numFmt w:val="decimal"/>
      <w:lvlText w:val="%1.%2.%3"/>
      <w:lvlJc w:val="left"/>
      <w:pPr>
        <w:tabs>
          <w:tab w:val="num" w:pos="-748"/>
        </w:tabs>
        <w:ind w:left="-748" w:hanging="720"/>
      </w:pPr>
      <w:rPr>
        <w:rFonts w:cs="Times New Roman" w:hint="default"/>
      </w:rPr>
    </w:lvl>
    <w:lvl w:ilvl="3">
      <w:start w:val="1"/>
      <w:numFmt w:val="decimal"/>
      <w:lvlText w:val="%1.%2.%3.%4"/>
      <w:lvlJc w:val="left"/>
      <w:pPr>
        <w:tabs>
          <w:tab w:val="num" w:pos="-604"/>
        </w:tabs>
        <w:ind w:left="-604" w:hanging="864"/>
      </w:pPr>
      <w:rPr>
        <w:rFonts w:cs="Times New Roman" w:hint="default"/>
      </w:rPr>
    </w:lvl>
    <w:lvl w:ilvl="4">
      <w:start w:val="1"/>
      <w:numFmt w:val="decimal"/>
      <w:lvlText w:val="%1.%2.%3.%4.%5"/>
      <w:lvlJc w:val="left"/>
      <w:pPr>
        <w:tabs>
          <w:tab w:val="num" w:pos="-460"/>
        </w:tabs>
        <w:ind w:left="-460" w:hanging="1008"/>
      </w:pPr>
      <w:rPr>
        <w:rFonts w:cs="Times New Roman" w:hint="default"/>
      </w:rPr>
    </w:lvl>
    <w:lvl w:ilvl="5">
      <w:start w:val="1"/>
      <w:numFmt w:val="decimal"/>
      <w:lvlText w:val="%1.%2.%3.%4.%5.%6"/>
      <w:lvlJc w:val="left"/>
      <w:pPr>
        <w:tabs>
          <w:tab w:val="num" w:pos="-316"/>
        </w:tabs>
        <w:ind w:left="-316" w:hanging="1152"/>
      </w:pPr>
      <w:rPr>
        <w:rFonts w:cs="Times New Roman" w:hint="default"/>
      </w:rPr>
    </w:lvl>
    <w:lvl w:ilvl="6">
      <w:start w:val="1"/>
      <w:numFmt w:val="decimal"/>
      <w:lvlText w:val="%1.%2.%3.%4.%5.%6.%7"/>
      <w:lvlJc w:val="left"/>
      <w:pPr>
        <w:tabs>
          <w:tab w:val="num" w:pos="-172"/>
        </w:tabs>
        <w:ind w:left="-172" w:hanging="1296"/>
      </w:pPr>
      <w:rPr>
        <w:rFonts w:cs="Times New Roman" w:hint="default"/>
      </w:rPr>
    </w:lvl>
    <w:lvl w:ilvl="7">
      <w:start w:val="1"/>
      <w:numFmt w:val="decimal"/>
      <w:lvlText w:val="%1.%2.%3.%4.%5.%6.%7.%8"/>
      <w:lvlJc w:val="left"/>
      <w:pPr>
        <w:tabs>
          <w:tab w:val="num" w:pos="-28"/>
        </w:tabs>
        <w:ind w:left="-28" w:hanging="1440"/>
      </w:pPr>
      <w:rPr>
        <w:rFonts w:cs="Times New Roman" w:hint="default"/>
      </w:rPr>
    </w:lvl>
    <w:lvl w:ilvl="8">
      <w:start w:val="1"/>
      <w:numFmt w:val="decimal"/>
      <w:lvlText w:val="%1.%2.%3.%4.%5.%6.%7.%8.%9"/>
      <w:lvlJc w:val="left"/>
      <w:pPr>
        <w:tabs>
          <w:tab w:val="num" w:pos="116"/>
        </w:tabs>
        <w:ind w:left="116" w:hanging="1584"/>
      </w:pPr>
      <w:rPr>
        <w:rFonts w:cs="Times New Roman" w:hint="default"/>
      </w:rPr>
    </w:lvl>
  </w:abstractNum>
  <w:abstractNum w:abstractNumId="81" w15:restartNumberingAfterBreak="0">
    <w:nsid w:val="3F6B370D"/>
    <w:multiLevelType w:val="hybridMultilevel"/>
    <w:tmpl w:val="71FC6C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3FF9772A"/>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3" w15:restartNumberingAfterBreak="0">
    <w:nsid w:val="410D4B9B"/>
    <w:multiLevelType w:val="hybridMultilevel"/>
    <w:tmpl w:val="9A72B57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4" w15:restartNumberingAfterBreak="0">
    <w:nsid w:val="427E237A"/>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5" w15:restartNumberingAfterBreak="0">
    <w:nsid w:val="42B441E9"/>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6" w15:restartNumberingAfterBreak="0">
    <w:nsid w:val="42E87C0F"/>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7" w15:restartNumberingAfterBreak="0">
    <w:nsid w:val="43EF7294"/>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8" w15:restartNumberingAfterBreak="0">
    <w:nsid w:val="454935B0"/>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9" w15:restartNumberingAfterBreak="0">
    <w:nsid w:val="46377D01"/>
    <w:multiLevelType w:val="hybridMultilevel"/>
    <w:tmpl w:val="99D40110"/>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0" w15:restartNumberingAfterBreak="0">
    <w:nsid w:val="475D074E"/>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1" w15:restartNumberingAfterBreak="0">
    <w:nsid w:val="47A0762E"/>
    <w:multiLevelType w:val="hybridMultilevel"/>
    <w:tmpl w:val="0C7411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2" w15:restartNumberingAfterBreak="0">
    <w:nsid w:val="47F13A68"/>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3" w15:restartNumberingAfterBreak="0">
    <w:nsid w:val="4922537B"/>
    <w:multiLevelType w:val="hybridMultilevel"/>
    <w:tmpl w:val="C4EC29B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15:restartNumberingAfterBreak="0">
    <w:nsid w:val="498C33C4"/>
    <w:multiLevelType w:val="hybridMultilevel"/>
    <w:tmpl w:val="7C02DD04"/>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5" w15:restartNumberingAfterBreak="0">
    <w:nsid w:val="49C832DE"/>
    <w:multiLevelType w:val="hybridMultilevel"/>
    <w:tmpl w:val="6C6A975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6" w15:restartNumberingAfterBreak="0">
    <w:nsid w:val="49E80A0A"/>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7" w15:restartNumberingAfterBreak="0">
    <w:nsid w:val="4A5C63B4"/>
    <w:multiLevelType w:val="hybridMultilevel"/>
    <w:tmpl w:val="750A8488"/>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8" w15:restartNumberingAfterBreak="0">
    <w:nsid w:val="4C384236"/>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9" w15:restartNumberingAfterBreak="0">
    <w:nsid w:val="4C7854D9"/>
    <w:multiLevelType w:val="hybridMultilevel"/>
    <w:tmpl w:val="7F683F24"/>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0" w15:restartNumberingAfterBreak="0">
    <w:nsid w:val="4C896C9E"/>
    <w:multiLevelType w:val="hybridMultilevel"/>
    <w:tmpl w:val="CA607D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CDA1394"/>
    <w:multiLevelType w:val="hybridMultilevel"/>
    <w:tmpl w:val="73F2926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2" w15:restartNumberingAfterBreak="0">
    <w:nsid w:val="4D9A625F"/>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3" w15:restartNumberingAfterBreak="0">
    <w:nsid w:val="4EBD002C"/>
    <w:multiLevelType w:val="hybridMultilevel"/>
    <w:tmpl w:val="4C90C7A0"/>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4" w15:restartNumberingAfterBreak="0">
    <w:nsid w:val="4F540107"/>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5" w15:restartNumberingAfterBreak="0">
    <w:nsid w:val="4FD43378"/>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6" w15:restartNumberingAfterBreak="0">
    <w:nsid w:val="4FEA00B9"/>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7" w15:restartNumberingAfterBreak="0">
    <w:nsid w:val="50CD1DDF"/>
    <w:multiLevelType w:val="hybridMultilevel"/>
    <w:tmpl w:val="4300C4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2206847"/>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09" w15:restartNumberingAfterBreak="0">
    <w:nsid w:val="52F12961"/>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0" w15:restartNumberingAfterBreak="0">
    <w:nsid w:val="5358215C"/>
    <w:multiLevelType w:val="hybridMultilevel"/>
    <w:tmpl w:val="F2CAE7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3FA534D"/>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2" w15:restartNumberingAfterBreak="0">
    <w:nsid w:val="54B5720E"/>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3" w15:restartNumberingAfterBreak="0">
    <w:nsid w:val="54FB5F6B"/>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4" w15:restartNumberingAfterBreak="0">
    <w:nsid w:val="554928D5"/>
    <w:multiLevelType w:val="hybridMultilevel"/>
    <w:tmpl w:val="7DA49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59B5B77"/>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6" w15:restartNumberingAfterBreak="0">
    <w:nsid w:val="55DF024D"/>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7" w15:restartNumberingAfterBreak="0">
    <w:nsid w:val="56A25A21"/>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8" w15:restartNumberingAfterBreak="0">
    <w:nsid w:val="57BB7BBE"/>
    <w:multiLevelType w:val="hybridMultilevel"/>
    <w:tmpl w:val="1C36A46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9" w15:restartNumberingAfterBreak="0">
    <w:nsid w:val="581F5478"/>
    <w:multiLevelType w:val="hybridMultilevel"/>
    <w:tmpl w:val="B23883F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0" w15:restartNumberingAfterBreak="0">
    <w:nsid w:val="59043EAD"/>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1" w15:restartNumberingAfterBreak="0">
    <w:nsid w:val="597C326A"/>
    <w:multiLevelType w:val="hybridMultilevel"/>
    <w:tmpl w:val="F1807B38"/>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2" w15:restartNumberingAfterBreak="0">
    <w:nsid w:val="5988721B"/>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3" w15:restartNumberingAfterBreak="0">
    <w:nsid w:val="5D554C8E"/>
    <w:multiLevelType w:val="hybridMultilevel"/>
    <w:tmpl w:val="CA607D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D782051"/>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5" w15:restartNumberingAfterBreak="0">
    <w:nsid w:val="5F256A53"/>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6" w15:restartNumberingAfterBreak="0">
    <w:nsid w:val="60335A29"/>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7" w15:restartNumberingAfterBreak="0">
    <w:nsid w:val="6125044B"/>
    <w:multiLevelType w:val="hybridMultilevel"/>
    <w:tmpl w:val="7F683F24"/>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8" w15:restartNumberingAfterBreak="0">
    <w:nsid w:val="61315B8F"/>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9" w15:restartNumberingAfterBreak="0">
    <w:nsid w:val="61497538"/>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0" w15:restartNumberingAfterBreak="0">
    <w:nsid w:val="62BE6A8F"/>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1" w15:restartNumberingAfterBreak="0">
    <w:nsid w:val="637B3198"/>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2" w15:restartNumberingAfterBreak="0">
    <w:nsid w:val="63946263"/>
    <w:multiLevelType w:val="hybridMultilevel"/>
    <w:tmpl w:val="B71E777A"/>
    <w:lvl w:ilvl="0" w:tplc="0C090001">
      <w:start w:val="1"/>
      <w:numFmt w:val="bullet"/>
      <w:lvlText w:val=""/>
      <w:lvlJc w:val="left"/>
      <w:pPr>
        <w:ind w:left="360" w:hanging="360"/>
      </w:pPr>
      <w:rPr>
        <w:rFonts w:ascii="Symbol" w:hAnsi="Symbol" w:hint="default"/>
      </w:rPr>
    </w:lvl>
    <w:lvl w:ilvl="1" w:tplc="EFAC1D2A">
      <w:start w:val="5"/>
      <w:numFmt w:val="bullet"/>
      <w:lvlText w:val="•"/>
      <w:lvlJc w:val="left"/>
      <w:pPr>
        <w:ind w:left="1440" w:hanging="72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3" w15:restartNumberingAfterBreak="0">
    <w:nsid w:val="65605219"/>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4" w15:restartNumberingAfterBreak="0">
    <w:nsid w:val="65E25FF9"/>
    <w:multiLevelType w:val="hybridMultilevel"/>
    <w:tmpl w:val="57CC85A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5" w15:restartNumberingAfterBreak="0">
    <w:nsid w:val="66006798"/>
    <w:multiLevelType w:val="hybridMultilevel"/>
    <w:tmpl w:val="651C3AE0"/>
    <w:lvl w:ilvl="0" w:tplc="0C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6" w15:restartNumberingAfterBreak="0">
    <w:nsid w:val="68902B69"/>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7" w15:restartNumberingAfterBreak="0">
    <w:nsid w:val="69FD5C65"/>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8" w15:restartNumberingAfterBreak="0">
    <w:nsid w:val="6B1C6D3F"/>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9" w15:restartNumberingAfterBreak="0">
    <w:nsid w:val="6BC64A03"/>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0" w15:restartNumberingAfterBreak="0">
    <w:nsid w:val="6C2923C6"/>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1" w15:restartNumberingAfterBreak="0">
    <w:nsid w:val="6C4F4F1B"/>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2" w15:restartNumberingAfterBreak="0">
    <w:nsid w:val="6D45363F"/>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3" w15:restartNumberingAfterBreak="0">
    <w:nsid w:val="6D76277F"/>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4" w15:restartNumberingAfterBreak="0">
    <w:nsid w:val="6D797D00"/>
    <w:multiLevelType w:val="hybridMultilevel"/>
    <w:tmpl w:val="4300C4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D9F4BDE"/>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6" w15:restartNumberingAfterBreak="0">
    <w:nsid w:val="6EB44C1A"/>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7" w15:restartNumberingAfterBreak="0">
    <w:nsid w:val="6F91701C"/>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8" w15:restartNumberingAfterBreak="0">
    <w:nsid w:val="71A0464F"/>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9" w15:restartNumberingAfterBreak="0">
    <w:nsid w:val="722A0F04"/>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0" w15:restartNumberingAfterBreak="0">
    <w:nsid w:val="732B09C3"/>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1" w15:restartNumberingAfterBreak="0">
    <w:nsid w:val="74A364E6"/>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2" w15:restartNumberingAfterBreak="0">
    <w:nsid w:val="74FE7DD2"/>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3" w15:restartNumberingAfterBreak="0">
    <w:nsid w:val="787C7013"/>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4" w15:restartNumberingAfterBreak="0">
    <w:nsid w:val="79202273"/>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5" w15:restartNumberingAfterBreak="0">
    <w:nsid w:val="7A530F56"/>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6" w15:restartNumberingAfterBreak="0">
    <w:nsid w:val="7B913D77"/>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7" w15:restartNumberingAfterBreak="0">
    <w:nsid w:val="7BCB5C8E"/>
    <w:multiLevelType w:val="hybridMultilevel"/>
    <w:tmpl w:val="E73C9B76"/>
    <w:lvl w:ilvl="0" w:tplc="DE002FA0">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8" w15:restartNumberingAfterBreak="0">
    <w:nsid w:val="7C824871"/>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9" w15:restartNumberingAfterBreak="0">
    <w:nsid w:val="7D103152"/>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0" w15:restartNumberingAfterBreak="0">
    <w:nsid w:val="7D4817F1"/>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1" w15:restartNumberingAfterBreak="0">
    <w:nsid w:val="7E8873D7"/>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2" w15:restartNumberingAfterBreak="0">
    <w:nsid w:val="7ECF2847"/>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3" w15:restartNumberingAfterBreak="0">
    <w:nsid w:val="7F2500E3"/>
    <w:multiLevelType w:val="multilevel"/>
    <w:tmpl w:val="5CFCC244"/>
    <w:lvl w:ilvl="0">
      <w:start w:val="1"/>
      <w:numFmt w:val="lowerLetter"/>
      <w:lvlText w:val="%1)"/>
      <w:lvlJc w:val="left"/>
      <w:pPr>
        <w:ind w:left="1080" w:hanging="343"/>
      </w:pPr>
      <w:rPr>
        <w:rFonts w:hint="default"/>
      </w:rPr>
    </w:lvl>
    <w:lvl w:ilvl="1">
      <w:start w:val="1"/>
      <w:numFmt w:val="lowerRoman"/>
      <w:lvlText w:val="%2."/>
      <w:lvlJc w:val="left"/>
      <w:pPr>
        <w:ind w:left="1800" w:hanging="360"/>
      </w:pPr>
      <w:rPr>
        <w:rFonts w:hint="default"/>
      </w:rPr>
    </w:lvl>
    <w:lvl w:ilvl="2">
      <w:start w:val="1"/>
      <w:numFmt w:val="upp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19"/>
  </w:num>
  <w:num w:numId="2">
    <w:abstractNumId w:val="46"/>
  </w:num>
  <w:num w:numId="3">
    <w:abstractNumId w:val="23"/>
  </w:num>
  <w:num w:numId="4">
    <w:abstractNumId w:val="30"/>
  </w:num>
  <w:num w:numId="5">
    <w:abstractNumId w:val="91"/>
  </w:num>
  <w:num w:numId="6">
    <w:abstractNumId w:val="100"/>
  </w:num>
  <w:num w:numId="7">
    <w:abstractNumId w:val="58"/>
  </w:num>
  <w:num w:numId="8">
    <w:abstractNumId w:val="110"/>
  </w:num>
  <w:num w:numId="9">
    <w:abstractNumId w:val="53"/>
  </w:num>
  <w:num w:numId="10">
    <w:abstractNumId w:val="107"/>
  </w:num>
  <w:num w:numId="11">
    <w:abstractNumId w:val="97"/>
  </w:num>
  <w:num w:numId="12">
    <w:abstractNumId w:val="67"/>
  </w:num>
  <w:num w:numId="13">
    <w:abstractNumId w:val="31"/>
  </w:num>
  <w:num w:numId="14">
    <w:abstractNumId w:val="121"/>
  </w:num>
  <w:num w:numId="15">
    <w:abstractNumId w:val="64"/>
  </w:num>
  <w:num w:numId="16">
    <w:abstractNumId w:val="21"/>
  </w:num>
  <w:num w:numId="17">
    <w:abstractNumId w:val="41"/>
  </w:num>
  <w:num w:numId="18">
    <w:abstractNumId w:val="99"/>
  </w:num>
  <w:num w:numId="19">
    <w:abstractNumId w:val="83"/>
  </w:num>
  <w:num w:numId="20">
    <w:abstractNumId w:val="15"/>
  </w:num>
  <w:num w:numId="21">
    <w:abstractNumId w:val="18"/>
  </w:num>
  <w:num w:numId="22">
    <w:abstractNumId w:val="59"/>
  </w:num>
  <w:num w:numId="23">
    <w:abstractNumId w:val="33"/>
  </w:num>
  <w:num w:numId="24">
    <w:abstractNumId w:val="103"/>
  </w:num>
  <w:num w:numId="25">
    <w:abstractNumId w:val="135"/>
  </w:num>
  <w:num w:numId="26">
    <w:abstractNumId w:val="89"/>
  </w:num>
  <w:num w:numId="27">
    <w:abstractNumId w:val="12"/>
  </w:num>
  <w:num w:numId="28">
    <w:abstractNumId w:val="32"/>
  </w:num>
  <w:num w:numId="29">
    <w:abstractNumId w:val="119"/>
  </w:num>
  <w:num w:numId="30">
    <w:abstractNumId w:val="101"/>
  </w:num>
  <w:num w:numId="31">
    <w:abstractNumId w:val="55"/>
  </w:num>
  <w:num w:numId="32">
    <w:abstractNumId w:val="95"/>
  </w:num>
  <w:num w:numId="33">
    <w:abstractNumId w:val="4"/>
  </w:num>
  <w:num w:numId="34">
    <w:abstractNumId w:val="93"/>
  </w:num>
  <w:num w:numId="35">
    <w:abstractNumId w:val="37"/>
  </w:num>
  <w:num w:numId="36">
    <w:abstractNumId w:val="62"/>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9"/>
  </w:num>
  <w:num w:numId="40">
    <w:abstractNumId w:val="151"/>
  </w:num>
  <w:num w:numId="41">
    <w:abstractNumId w:val="139"/>
  </w:num>
  <w:num w:numId="42">
    <w:abstractNumId w:val="78"/>
  </w:num>
  <w:num w:numId="43">
    <w:abstractNumId w:val="154"/>
  </w:num>
  <w:num w:numId="44">
    <w:abstractNumId w:val="163"/>
  </w:num>
  <w:num w:numId="45">
    <w:abstractNumId w:val="51"/>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num>
  <w:num w:numId="50">
    <w:abstractNumId w:val="40"/>
  </w:num>
  <w:num w:numId="51">
    <w:abstractNumId w:val="84"/>
  </w:num>
  <w:num w:numId="52">
    <w:abstractNumId w:val="56"/>
  </w:num>
  <w:num w:numId="53">
    <w:abstractNumId w:val="77"/>
  </w:num>
  <w:num w:numId="54">
    <w:abstractNumId w:val="146"/>
  </w:num>
  <w:num w:numId="55">
    <w:abstractNumId w:val="44"/>
  </w:num>
  <w:num w:numId="56">
    <w:abstractNumId w:val="92"/>
  </w:num>
  <w:num w:numId="57">
    <w:abstractNumId w:val="113"/>
  </w:num>
  <w:num w:numId="58">
    <w:abstractNumId w:val="29"/>
  </w:num>
  <w:num w:numId="59">
    <w:abstractNumId w:val="160"/>
  </w:num>
  <w:num w:numId="60">
    <w:abstractNumId w:val="116"/>
  </w:num>
  <w:num w:numId="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3"/>
  </w:num>
  <w:num w:numId="63">
    <w:abstractNumId w:val="106"/>
  </w:num>
  <w:num w:numId="64">
    <w:abstractNumId w:val="2"/>
  </w:num>
  <w:num w:numId="65">
    <w:abstractNumId w:val="85"/>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6"/>
  </w:num>
  <w:num w:numId="68">
    <w:abstractNumId w:val="155"/>
  </w:num>
  <w:num w:numId="69">
    <w:abstractNumId w:val="161"/>
  </w:num>
  <w:num w:numId="70">
    <w:abstractNumId w:val="73"/>
  </w:num>
  <w:num w:numId="71">
    <w:abstractNumId w:val="42"/>
  </w:num>
  <w:num w:numId="72">
    <w:abstractNumId w:val="34"/>
  </w:num>
  <w:num w:numId="73">
    <w:abstractNumId w:val="132"/>
  </w:num>
  <w:num w:numId="74">
    <w:abstractNumId w:val="81"/>
  </w:num>
  <w:num w:numId="75">
    <w:abstractNumId w:val="27"/>
  </w:num>
  <w:num w:numId="76">
    <w:abstractNumId w:val="79"/>
  </w:num>
  <w:num w:numId="77">
    <w:abstractNumId w:val="49"/>
  </w:num>
  <w:num w:numId="78">
    <w:abstractNumId w:val="61"/>
  </w:num>
  <w:num w:numId="79">
    <w:abstractNumId w:val="108"/>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3"/>
  </w:num>
  <w:num w:numId="82">
    <w:abstractNumId w:val="117"/>
  </w:num>
  <w:num w:numId="83">
    <w:abstractNumId w:val="156"/>
  </w:num>
  <w:num w:numId="84">
    <w:abstractNumId w:val="90"/>
  </w:num>
  <w:num w:numId="85">
    <w:abstractNumId w:val="130"/>
  </w:num>
  <w:num w:numId="86">
    <w:abstractNumId w:val="112"/>
  </w:num>
  <w:num w:numId="87">
    <w:abstractNumId w:val="141"/>
  </w:num>
  <w:num w:numId="88">
    <w:abstractNumId w:val="109"/>
  </w:num>
  <w:num w:numId="89">
    <w:abstractNumId w:val="43"/>
  </w:num>
  <w:num w:numId="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num>
  <w:num w:numId="92">
    <w:abstractNumId w:val="147"/>
  </w:num>
  <w:num w:numId="93">
    <w:abstractNumId w:val="136"/>
  </w:num>
  <w:num w:numId="94">
    <w:abstractNumId w:val="36"/>
  </w:num>
  <w:num w:numId="95">
    <w:abstractNumId w:val="148"/>
  </w:num>
  <w:num w:numId="96">
    <w:abstractNumId w:val="50"/>
  </w:num>
  <w:num w:numId="97">
    <w:abstractNumId w:val="125"/>
  </w:num>
  <w:num w:numId="98">
    <w:abstractNumId w:val="38"/>
  </w:num>
  <w:num w:numId="99">
    <w:abstractNumId w:val="60"/>
  </w:num>
  <w:num w:numId="100">
    <w:abstractNumId w:val="9"/>
  </w:num>
  <w:num w:numId="101">
    <w:abstractNumId w:val="68"/>
  </w:num>
  <w:num w:numId="102">
    <w:abstractNumId w:val="142"/>
  </w:num>
  <w:num w:numId="103">
    <w:abstractNumId w:val="152"/>
  </w:num>
  <w:num w:numId="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31"/>
  </w:num>
  <w:num w:numId="106">
    <w:abstractNumId w:val="128"/>
  </w:num>
  <w:num w:numId="107">
    <w:abstractNumId w:val="115"/>
  </w:num>
  <w:num w:numId="108">
    <w:abstractNumId w:val="1"/>
  </w:num>
  <w:num w:numId="109">
    <w:abstractNumId w:val="137"/>
  </w:num>
  <w:num w:numId="110">
    <w:abstractNumId w:val="143"/>
  </w:num>
  <w:num w:numId="111">
    <w:abstractNumId w:val="114"/>
  </w:num>
  <w:num w:numId="112">
    <w:abstractNumId w:val="120"/>
  </w:num>
  <w:num w:numId="113">
    <w:abstractNumId w:val="76"/>
  </w:num>
  <w:num w:numId="114">
    <w:abstractNumId w:val="111"/>
  </w:num>
  <w:num w:numId="115">
    <w:abstractNumId w:val="88"/>
  </w:num>
  <w:num w:numId="116">
    <w:abstractNumId w:val="105"/>
  </w:num>
  <w:num w:numId="1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num>
  <w:num w:numId="119">
    <w:abstractNumId w:val="70"/>
  </w:num>
  <w:num w:numId="120">
    <w:abstractNumId w:val="39"/>
  </w:num>
  <w:num w:numId="121">
    <w:abstractNumId w:val="20"/>
  </w:num>
  <w:num w:numId="122">
    <w:abstractNumId w:val="54"/>
  </w:num>
  <w:num w:numId="123">
    <w:abstractNumId w:val="138"/>
  </w:num>
  <w:num w:numId="124">
    <w:abstractNumId w:val="24"/>
  </w:num>
  <w:num w:numId="125">
    <w:abstractNumId w:val="129"/>
  </w:num>
  <w:num w:numId="126">
    <w:abstractNumId w:val="158"/>
  </w:num>
  <w:num w:numId="127">
    <w:abstractNumId w:val="86"/>
  </w:num>
  <w:num w:numId="128">
    <w:abstractNumId w:val="6"/>
  </w:num>
  <w:num w:numId="129">
    <w:abstractNumId w:val="104"/>
  </w:num>
  <w:num w:numId="1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2"/>
  </w:num>
  <w:num w:numId="132">
    <w:abstractNumId w:val="17"/>
  </w:num>
  <w:num w:numId="133">
    <w:abstractNumId w:val="102"/>
  </w:num>
  <w:num w:numId="134">
    <w:abstractNumId w:val="0"/>
  </w:num>
  <w:num w:numId="1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7"/>
  </w:num>
  <w:num w:numId="137">
    <w:abstractNumId w:val="65"/>
  </w:num>
  <w:num w:numId="138">
    <w:abstractNumId w:val="74"/>
  </w:num>
  <w:num w:numId="139">
    <w:abstractNumId w:val="140"/>
  </w:num>
  <w:num w:numId="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62"/>
  </w:num>
  <w:num w:numId="142">
    <w:abstractNumId w:val="10"/>
  </w:num>
  <w:num w:numId="143">
    <w:abstractNumId w:val="150"/>
  </w:num>
  <w:num w:numId="144">
    <w:abstractNumId w:val="145"/>
  </w:num>
  <w:num w:numId="145">
    <w:abstractNumId w:val="122"/>
  </w:num>
  <w:num w:numId="146">
    <w:abstractNumId w:val="71"/>
  </w:num>
  <w:num w:numId="147">
    <w:abstractNumId w:val="52"/>
  </w:num>
  <w:num w:numId="148">
    <w:abstractNumId w:val="45"/>
  </w:num>
  <w:num w:numId="149">
    <w:abstractNumId w:val="149"/>
  </w:num>
  <w:num w:numId="150">
    <w:abstractNumId w:val="96"/>
  </w:num>
  <w:num w:numId="1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4"/>
  </w:num>
  <w:num w:numId="153">
    <w:abstractNumId w:val="5"/>
  </w:num>
  <w:num w:numId="154">
    <w:abstractNumId w:val="57"/>
  </w:num>
  <w:num w:numId="155">
    <w:abstractNumId w:val="98"/>
  </w:num>
  <w:num w:numId="156">
    <w:abstractNumId w:val="28"/>
  </w:num>
  <w:num w:numId="157">
    <w:abstractNumId w:val="7"/>
  </w:num>
  <w:num w:numId="158">
    <w:abstractNumId w:val="25"/>
  </w:num>
  <w:num w:numId="159">
    <w:abstractNumId w:val="157"/>
  </w:num>
  <w:num w:numId="160">
    <w:abstractNumId w:val="94"/>
  </w:num>
  <w:num w:numId="161">
    <w:abstractNumId w:val="118"/>
  </w:num>
  <w:num w:numId="162">
    <w:abstractNumId w:val="3"/>
  </w:num>
  <w:num w:numId="163">
    <w:abstractNumId w:val="75"/>
  </w:num>
  <w:num w:numId="164">
    <w:abstractNumId w:val="22"/>
  </w:num>
  <w:num w:numId="165">
    <w:abstractNumId w:val="72"/>
  </w:num>
  <w:num w:numId="166">
    <w:abstractNumId w:val="63"/>
  </w:num>
  <w:num w:numId="167">
    <w:abstractNumId w:val="134"/>
  </w:num>
  <w:num w:numId="168">
    <w:abstractNumId w:val="69"/>
  </w:num>
  <w:num w:numId="169">
    <w:abstractNumId w:val="11"/>
  </w:num>
  <w:num w:numId="170">
    <w:abstractNumId w:val="123"/>
  </w:num>
  <w:num w:numId="171">
    <w:abstractNumId w:val="127"/>
  </w:num>
  <w:num w:numId="172">
    <w:abstractNumId w:val="80"/>
  </w:num>
  <w:num w:numId="173">
    <w:abstractNumId w:val="48"/>
  </w:num>
  <w:num w:numId="174">
    <w:abstractNumId w:val="47"/>
  </w:num>
  <w:num w:numId="175">
    <w:abstractNumId w:val="14"/>
  </w:num>
  <w:num w:numId="176">
    <w:abstractNumId w:val="144"/>
  </w:num>
  <w:num w:numId="177">
    <w:abstractNumId w:val="19"/>
  </w:num>
  <w:num w:numId="178">
    <w:abstractNumId w:val="19"/>
  </w:num>
  <w:num w:numId="179">
    <w:abstractNumId w:val="26"/>
  </w:num>
  <w:num w:numId="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9"/>
  </w:num>
  <w:num w:numId="182">
    <w:abstractNumId w:val="19"/>
  </w:num>
  <w:num w:numId="183">
    <w:abstractNumId w:val="1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oNotTrackMoves/>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54"/>
    <w:rsid w:val="00007D0B"/>
    <w:rsid w:val="00014CBC"/>
    <w:rsid w:val="00021571"/>
    <w:rsid w:val="00022750"/>
    <w:rsid w:val="00025451"/>
    <w:rsid w:val="000306EC"/>
    <w:rsid w:val="00034738"/>
    <w:rsid w:val="0003487E"/>
    <w:rsid w:val="0003642C"/>
    <w:rsid w:val="000370DB"/>
    <w:rsid w:val="000410EA"/>
    <w:rsid w:val="00042074"/>
    <w:rsid w:val="00043155"/>
    <w:rsid w:val="000444C2"/>
    <w:rsid w:val="000446C2"/>
    <w:rsid w:val="00054D4E"/>
    <w:rsid w:val="00055496"/>
    <w:rsid w:val="00070AF7"/>
    <w:rsid w:val="000713FA"/>
    <w:rsid w:val="00072459"/>
    <w:rsid w:val="00072E57"/>
    <w:rsid w:val="000759D0"/>
    <w:rsid w:val="00076E3B"/>
    <w:rsid w:val="00077774"/>
    <w:rsid w:val="00077DE8"/>
    <w:rsid w:val="0008028A"/>
    <w:rsid w:val="00080660"/>
    <w:rsid w:val="00080B81"/>
    <w:rsid w:val="000851C9"/>
    <w:rsid w:val="0008523A"/>
    <w:rsid w:val="000908BC"/>
    <w:rsid w:val="00090D7F"/>
    <w:rsid w:val="000913CE"/>
    <w:rsid w:val="00092D7D"/>
    <w:rsid w:val="00095BEE"/>
    <w:rsid w:val="00096528"/>
    <w:rsid w:val="000A0CA3"/>
    <w:rsid w:val="000A22ED"/>
    <w:rsid w:val="000A4A87"/>
    <w:rsid w:val="000B1167"/>
    <w:rsid w:val="000B1ED4"/>
    <w:rsid w:val="000C65B9"/>
    <w:rsid w:val="000D1649"/>
    <w:rsid w:val="000D4E20"/>
    <w:rsid w:val="000D5829"/>
    <w:rsid w:val="000E145D"/>
    <w:rsid w:val="000E21D4"/>
    <w:rsid w:val="000E40DA"/>
    <w:rsid w:val="000E48B3"/>
    <w:rsid w:val="000F0E1B"/>
    <w:rsid w:val="000F193E"/>
    <w:rsid w:val="000F1CE2"/>
    <w:rsid w:val="000F6BCC"/>
    <w:rsid w:val="000F79B4"/>
    <w:rsid w:val="00103F5E"/>
    <w:rsid w:val="00104EFD"/>
    <w:rsid w:val="00107F2B"/>
    <w:rsid w:val="0011567D"/>
    <w:rsid w:val="00121729"/>
    <w:rsid w:val="001233AF"/>
    <w:rsid w:val="001242B7"/>
    <w:rsid w:val="001313FD"/>
    <w:rsid w:val="001338F3"/>
    <w:rsid w:val="00133A32"/>
    <w:rsid w:val="00135F3C"/>
    <w:rsid w:val="0014448A"/>
    <w:rsid w:val="00146B7E"/>
    <w:rsid w:val="00155A07"/>
    <w:rsid w:val="001568C0"/>
    <w:rsid w:val="00160ECB"/>
    <w:rsid w:val="00164469"/>
    <w:rsid w:val="0016606A"/>
    <w:rsid w:val="0016799A"/>
    <w:rsid w:val="001707B3"/>
    <w:rsid w:val="001749E0"/>
    <w:rsid w:val="00177941"/>
    <w:rsid w:val="00184197"/>
    <w:rsid w:val="001938B3"/>
    <w:rsid w:val="0019559C"/>
    <w:rsid w:val="001B1E60"/>
    <w:rsid w:val="001C7B7E"/>
    <w:rsid w:val="001C7C2D"/>
    <w:rsid w:val="001D3EBD"/>
    <w:rsid w:val="001D70FB"/>
    <w:rsid w:val="001D73E2"/>
    <w:rsid w:val="001E1C44"/>
    <w:rsid w:val="001E5104"/>
    <w:rsid w:val="001E57B0"/>
    <w:rsid w:val="001F7772"/>
    <w:rsid w:val="00206B0C"/>
    <w:rsid w:val="002106F9"/>
    <w:rsid w:val="002113D6"/>
    <w:rsid w:val="00215E25"/>
    <w:rsid w:val="002179C7"/>
    <w:rsid w:val="00217A6F"/>
    <w:rsid w:val="00220899"/>
    <w:rsid w:val="00230442"/>
    <w:rsid w:val="00231B58"/>
    <w:rsid w:val="00235FCC"/>
    <w:rsid w:val="00240C77"/>
    <w:rsid w:val="00242634"/>
    <w:rsid w:val="0024646B"/>
    <w:rsid w:val="00253F33"/>
    <w:rsid w:val="00254872"/>
    <w:rsid w:val="00261EA1"/>
    <w:rsid w:val="00270284"/>
    <w:rsid w:val="00272953"/>
    <w:rsid w:val="00272F83"/>
    <w:rsid w:val="0027341C"/>
    <w:rsid w:val="0027447E"/>
    <w:rsid w:val="00280195"/>
    <w:rsid w:val="00280700"/>
    <w:rsid w:val="00283AAA"/>
    <w:rsid w:val="002851D3"/>
    <w:rsid w:val="00287032"/>
    <w:rsid w:val="00292B17"/>
    <w:rsid w:val="0029552F"/>
    <w:rsid w:val="00297590"/>
    <w:rsid w:val="00297F65"/>
    <w:rsid w:val="002A006A"/>
    <w:rsid w:val="002A0FE6"/>
    <w:rsid w:val="002A1FE2"/>
    <w:rsid w:val="002A6DC6"/>
    <w:rsid w:val="002B2F52"/>
    <w:rsid w:val="002B593B"/>
    <w:rsid w:val="002C1386"/>
    <w:rsid w:val="002C6346"/>
    <w:rsid w:val="002D4193"/>
    <w:rsid w:val="002D7372"/>
    <w:rsid w:val="002D7BE3"/>
    <w:rsid w:val="002E3248"/>
    <w:rsid w:val="002E62DC"/>
    <w:rsid w:val="002F0EE3"/>
    <w:rsid w:val="002F3EE1"/>
    <w:rsid w:val="0030103D"/>
    <w:rsid w:val="00306C14"/>
    <w:rsid w:val="00310647"/>
    <w:rsid w:val="003132BE"/>
    <w:rsid w:val="0031572B"/>
    <w:rsid w:val="003178AF"/>
    <w:rsid w:val="00321184"/>
    <w:rsid w:val="003245E1"/>
    <w:rsid w:val="00324C05"/>
    <w:rsid w:val="0032519F"/>
    <w:rsid w:val="00326B89"/>
    <w:rsid w:val="00327395"/>
    <w:rsid w:val="00330E8C"/>
    <w:rsid w:val="0033559C"/>
    <w:rsid w:val="00336515"/>
    <w:rsid w:val="003453E1"/>
    <w:rsid w:val="00352F7A"/>
    <w:rsid w:val="0035395C"/>
    <w:rsid w:val="00357BE3"/>
    <w:rsid w:val="003665D7"/>
    <w:rsid w:val="00367EAC"/>
    <w:rsid w:val="00373741"/>
    <w:rsid w:val="0038381A"/>
    <w:rsid w:val="00384E70"/>
    <w:rsid w:val="00385FA0"/>
    <w:rsid w:val="00393F73"/>
    <w:rsid w:val="00394FBA"/>
    <w:rsid w:val="003977AF"/>
    <w:rsid w:val="003A2061"/>
    <w:rsid w:val="003A5F35"/>
    <w:rsid w:val="003B114B"/>
    <w:rsid w:val="003B2073"/>
    <w:rsid w:val="003C1A06"/>
    <w:rsid w:val="003C2611"/>
    <w:rsid w:val="003C387A"/>
    <w:rsid w:val="003C487D"/>
    <w:rsid w:val="003D14C5"/>
    <w:rsid w:val="003D68AC"/>
    <w:rsid w:val="003D6BC7"/>
    <w:rsid w:val="003D6BEE"/>
    <w:rsid w:val="003E342C"/>
    <w:rsid w:val="003E595F"/>
    <w:rsid w:val="003E7D5A"/>
    <w:rsid w:val="0040107C"/>
    <w:rsid w:val="00402008"/>
    <w:rsid w:val="00402827"/>
    <w:rsid w:val="0040312C"/>
    <w:rsid w:val="004056B3"/>
    <w:rsid w:val="00413373"/>
    <w:rsid w:val="004142CE"/>
    <w:rsid w:val="00420A2C"/>
    <w:rsid w:val="0043157E"/>
    <w:rsid w:val="00434D7C"/>
    <w:rsid w:val="00442DAA"/>
    <w:rsid w:val="0044394D"/>
    <w:rsid w:val="00443EF6"/>
    <w:rsid w:val="00454460"/>
    <w:rsid w:val="00454F21"/>
    <w:rsid w:val="00463E1B"/>
    <w:rsid w:val="004642AC"/>
    <w:rsid w:val="004642DF"/>
    <w:rsid w:val="00464FF0"/>
    <w:rsid w:val="004658EE"/>
    <w:rsid w:val="004764FD"/>
    <w:rsid w:val="00493272"/>
    <w:rsid w:val="004936ED"/>
    <w:rsid w:val="00494E96"/>
    <w:rsid w:val="00495A61"/>
    <w:rsid w:val="004B192A"/>
    <w:rsid w:val="004B225C"/>
    <w:rsid w:val="004B4832"/>
    <w:rsid w:val="004B5845"/>
    <w:rsid w:val="004B79BE"/>
    <w:rsid w:val="004C1668"/>
    <w:rsid w:val="004C3F41"/>
    <w:rsid w:val="004D1909"/>
    <w:rsid w:val="004D7700"/>
    <w:rsid w:val="004E520C"/>
    <w:rsid w:val="004F3AAF"/>
    <w:rsid w:val="004F47A0"/>
    <w:rsid w:val="004F5940"/>
    <w:rsid w:val="00503C67"/>
    <w:rsid w:val="00505812"/>
    <w:rsid w:val="0050785C"/>
    <w:rsid w:val="005105E7"/>
    <w:rsid w:val="00512672"/>
    <w:rsid w:val="00513C11"/>
    <w:rsid w:val="005164BE"/>
    <w:rsid w:val="005175B7"/>
    <w:rsid w:val="0052568A"/>
    <w:rsid w:val="00526FE4"/>
    <w:rsid w:val="00527C19"/>
    <w:rsid w:val="005351CF"/>
    <w:rsid w:val="005406ED"/>
    <w:rsid w:val="00541266"/>
    <w:rsid w:val="00543738"/>
    <w:rsid w:val="005450B5"/>
    <w:rsid w:val="00546338"/>
    <w:rsid w:val="005463C8"/>
    <w:rsid w:val="005500D9"/>
    <w:rsid w:val="0055077E"/>
    <w:rsid w:val="00552CD2"/>
    <w:rsid w:val="00553EC6"/>
    <w:rsid w:val="0055669E"/>
    <w:rsid w:val="00557770"/>
    <w:rsid w:val="0056057D"/>
    <w:rsid w:val="00560C55"/>
    <w:rsid w:val="005633C9"/>
    <w:rsid w:val="0056520D"/>
    <w:rsid w:val="0056560F"/>
    <w:rsid w:val="00567A96"/>
    <w:rsid w:val="0057283D"/>
    <w:rsid w:val="005827C9"/>
    <w:rsid w:val="00582DF0"/>
    <w:rsid w:val="005862C0"/>
    <w:rsid w:val="0059788E"/>
    <w:rsid w:val="005A02B2"/>
    <w:rsid w:val="005A1F27"/>
    <w:rsid w:val="005A4D74"/>
    <w:rsid w:val="005A6385"/>
    <w:rsid w:val="005A6FA8"/>
    <w:rsid w:val="005C0C44"/>
    <w:rsid w:val="005C1C99"/>
    <w:rsid w:val="005C49C5"/>
    <w:rsid w:val="005C5F1F"/>
    <w:rsid w:val="005C654C"/>
    <w:rsid w:val="005D1274"/>
    <w:rsid w:val="005D1343"/>
    <w:rsid w:val="005D3134"/>
    <w:rsid w:val="005D4DC6"/>
    <w:rsid w:val="005D605A"/>
    <w:rsid w:val="005E4DF9"/>
    <w:rsid w:val="005E6AD3"/>
    <w:rsid w:val="005E73BA"/>
    <w:rsid w:val="005F3CFC"/>
    <w:rsid w:val="005F726F"/>
    <w:rsid w:val="005F76FA"/>
    <w:rsid w:val="005F79D7"/>
    <w:rsid w:val="0060034F"/>
    <w:rsid w:val="006033D7"/>
    <w:rsid w:val="006121B1"/>
    <w:rsid w:val="0061444A"/>
    <w:rsid w:val="00617131"/>
    <w:rsid w:val="006228D1"/>
    <w:rsid w:val="006249E7"/>
    <w:rsid w:val="00631260"/>
    <w:rsid w:val="00633A7B"/>
    <w:rsid w:val="00634F89"/>
    <w:rsid w:val="00642FFE"/>
    <w:rsid w:val="00646AC3"/>
    <w:rsid w:val="0066157A"/>
    <w:rsid w:val="00662703"/>
    <w:rsid w:val="006700ED"/>
    <w:rsid w:val="006733E2"/>
    <w:rsid w:val="00674C69"/>
    <w:rsid w:val="00674C8E"/>
    <w:rsid w:val="006754A3"/>
    <w:rsid w:val="00675752"/>
    <w:rsid w:val="0067647E"/>
    <w:rsid w:val="00683E1A"/>
    <w:rsid w:val="00690681"/>
    <w:rsid w:val="00692B0B"/>
    <w:rsid w:val="00694CBD"/>
    <w:rsid w:val="00695230"/>
    <w:rsid w:val="006959D6"/>
    <w:rsid w:val="006A08D8"/>
    <w:rsid w:val="006B28B6"/>
    <w:rsid w:val="006C09EF"/>
    <w:rsid w:val="006C4DDB"/>
    <w:rsid w:val="006D042B"/>
    <w:rsid w:val="006D1371"/>
    <w:rsid w:val="006D5F02"/>
    <w:rsid w:val="006E0D53"/>
    <w:rsid w:val="006E45C9"/>
    <w:rsid w:val="006E4E8B"/>
    <w:rsid w:val="007003D8"/>
    <w:rsid w:val="007012A9"/>
    <w:rsid w:val="00702FF3"/>
    <w:rsid w:val="0071098F"/>
    <w:rsid w:val="00710F60"/>
    <w:rsid w:val="00711922"/>
    <w:rsid w:val="00723A44"/>
    <w:rsid w:val="00724EF7"/>
    <w:rsid w:val="00736298"/>
    <w:rsid w:val="00740580"/>
    <w:rsid w:val="00747D05"/>
    <w:rsid w:val="00751DDD"/>
    <w:rsid w:val="00752E77"/>
    <w:rsid w:val="0075390E"/>
    <w:rsid w:val="00756D44"/>
    <w:rsid w:val="007647FF"/>
    <w:rsid w:val="00765ED4"/>
    <w:rsid w:val="00765FAA"/>
    <w:rsid w:val="00766682"/>
    <w:rsid w:val="00772C24"/>
    <w:rsid w:val="00775EDA"/>
    <w:rsid w:val="00776B3E"/>
    <w:rsid w:val="00780930"/>
    <w:rsid w:val="00786625"/>
    <w:rsid w:val="00786734"/>
    <w:rsid w:val="00790953"/>
    <w:rsid w:val="0079505F"/>
    <w:rsid w:val="00797958"/>
    <w:rsid w:val="007C1124"/>
    <w:rsid w:val="007C2FFD"/>
    <w:rsid w:val="007C35C3"/>
    <w:rsid w:val="007D27A2"/>
    <w:rsid w:val="007D5792"/>
    <w:rsid w:val="007D6F13"/>
    <w:rsid w:val="007D701E"/>
    <w:rsid w:val="007D70FB"/>
    <w:rsid w:val="007E2E23"/>
    <w:rsid w:val="007E585A"/>
    <w:rsid w:val="007E7C47"/>
    <w:rsid w:val="008022F4"/>
    <w:rsid w:val="00805CE1"/>
    <w:rsid w:val="00813B18"/>
    <w:rsid w:val="00813D6E"/>
    <w:rsid w:val="008149E9"/>
    <w:rsid w:val="00816D61"/>
    <w:rsid w:val="00820518"/>
    <w:rsid w:val="0082071C"/>
    <w:rsid w:val="00821D32"/>
    <w:rsid w:val="00840ECB"/>
    <w:rsid w:val="008425CB"/>
    <w:rsid w:val="00847272"/>
    <w:rsid w:val="008515ED"/>
    <w:rsid w:val="008528A1"/>
    <w:rsid w:val="0085307E"/>
    <w:rsid w:val="0085494E"/>
    <w:rsid w:val="00854F63"/>
    <w:rsid w:val="00866935"/>
    <w:rsid w:val="00882293"/>
    <w:rsid w:val="008822D8"/>
    <w:rsid w:val="008857D2"/>
    <w:rsid w:val="00887835"/>
    <w:rsid w:val="008972F9"/>
    <w:rsid w:val="008A0ADE"/>
    <w:rsid w:val="008A559F"/>
    <w:rsid w:val="008B219E"/>
    <w:rsid w:val="008B336C"/>
    <w:rsid w:val="008C1422"/>
    <w:rsid w:val="008C4FDE"/>
    <w:rsid w:val="008D0A08"/>
    <w:rsid w:val="008D22F6"/>
    <w:rsid w:val="008D3F96"/>
    <w:rsid w:val="008D4523"/>
    <w:rsid w:val="008D7DF1"/>
    <w:rsid w:val="008E0C05"/>
    <w:rsid w:val="008E2C55"/>
    <w:rsid w:val="008E49EF"/>
    <w:rsid w:val="008E6421"/>
    <w:rsid w:val="008F3649"/>
    <w:rsid w:val="008F4BE5"/>
    <w:rsid w:val="008F7D5D"/>
    <w:rsid w:val="00904C29"/>
    <w:rsid w:val="009101F9"/>
    <w:rsid w:val="00910B98"/>
    <w:rsid w:val="009179D7"/>
    <w:rsid w:val="00920C2C"/>
    <w:rsid w:val="00931430"/>
    <w:rsid w:val="00931645"/>
    <w:rsid w:val="00936A76"/>
    <w:rsid w:val="00941FEE"/>
    <w:rsid w:val="009463A8"/>
    <w:rsid w:val="00950ECF"/>
    <w:rsid w:val="00952E9C"/>
    <w:rsid w:val="00955E21"/>
    <w:rsid w:val="00957DB0"/>
    <w:rsid w:val="009632B5"/>
    <w:rsid w:val="00965356"/>
    <w:rsid w:val="009663CF"/>
    <w:rsid w:val="00970E36"/>
    <w:rsid w:val="009713A7"/>
    <w:rsid w:val="00974B80"/>
    <w:rsid w:val="00976A40"/>
    <w:rsid w:val="009829E4"/>
    <w:rsid w:val="00983429"/>
    <w:rsid w:val="00984352"/>
    <w:rsid w:val="00986823"/>
    <w:rsid w:val="00987C48"/>
    <w:rsid w:val="009949A4"/>
    <w:rsid w:val="0099790B"/>
    <w:rsid w:val="00997BAE"/>
    <w:rsid w:val="009B251D"/>
    <w:rsid w:val="009B6E64"/>
    <w:rsid w:val="009B7D31"/>
    <w:rsid w:val="009C312C"/>
    <w:rsid w:val="009C6022"/>
    <w:rsid w:val="009C67ED"/>
    <w:rsid w:val="009C76C1"/>
    <w:rsid w:val="009D026B"/>
    <w:rsid w:val="009D09DE"/>
    <w:rsid w:val="009D2E66"/>
    <w:rsid w:val="009D3B2A"/>
    <w:rsid w:val="009D411D"/>
    <w:rsid w:val="009D51CE"/>
    <w:rsid w:val="009E1E8D"/>
    <w:rsid w:val="009E47DE"/>
    <w:rsid w:val="009E4AD0"/>
    <w:rsid w:val="009E5AD9"/>
    <w:rsid w:val="009E5CA4"/>
    <w:rsid w:val="009E6431"/>
    <w:rsid w:val="009F1BEB"/>
    <w:rsid w:val="009F5D84"/>
    <w:rsid w:val="00A03952"/>
    <w:rsid w:val="00A05CDE"/>
    <w:rsid w:val="00A05FD7"/>
    <w:rsid w:val="00A07A9A"/>
    <w:rsid w:val="00A123FC"/>
    <w:rsid w:val="00A134E0"/>
    <w:rsid w:val="00A17541"/>
    <w:rsid w:val="00A21E00"/>
    <w:rsid w:val="00A23095"/>
    <w:rsid w:val="00A24D98"/>
    <w:rsid w:val="00A256D3"/>
    <w:rsid w:val="00A279D9"/>
    <w:rsid w:val="00A27B56"/>
    <w:rsid w:val="00A3095A"/>
    <w:rsid w:val="00A36888"/>
    <w:rsid w:val="00A37142"/>
    <w:rsid w:val="00A41EF4"/>
    <w:rsid w:val="00A4545A"/>
    <w:rsid w:val="00A618C1"/>
    <w:rsid w:val="00A63B17"/>
    <w:rsid w:val="00A64EDA"/>
    <w:rsid w:val="00A66540"/>
    <w:rsid w:val="00A717F0"/>
    <w:rsid w:val="00A729D8"/>
    <w:rsid w:val="00A75363"/>
    <w:rsid w:val="00A87B4F"/>
    <w:rsid w:val="00A90F73"/>
    <w:rsid w:val="00A91475"/>
    <w:rsid w:val="00A968D3"/>
    <w:rsid w:val="00A970AD"/>
    <w:rsid w:val="00AA4F90"/>
    <w:rsid w:val="00AB00D6"/>
    <w:rsid w:val="00AB4906"/>
    <w:rsid w:val="00AB6045"/>
    <w:rsid w:val="00AC4C97"/>
    <w:rsid w:val="00AC5C9E"/>
    <w:rsid w:val="00AC737F"/>
    <w:rsid w:val="00AD10AB"/>
    <w:rsid w:val="00AD2C4F"/>
    <w:rsid w:val="00AD79D4"/>
    <w:rsid w:val="00AE11F0"/>
    <w:rsid w:val="00AE34E7"/>
    <w:rsid w:val="00AF1E28"/>
    <w:rsid w:val="00AF43C9"/>
    <w:rsid w:val="00AF758A"/>
    <w:rsid w:val="00B00A51"/>
    <w:rsid w:val="00B0492D"/>
    <w:rsid w:val="00B138E7"/>
    <w:rsid w:val="00B20F48"/>
    <w:rsid w:val="00B22840"/>
    <w:rsid w:val="00B24B6F"/>
    <w:rsid w:val="00B34554"/>
    <w:rsid w:val="00B352AC"/>
    <w:rsid w:val="00B44529"/>
    <w:rsid w:val="00B44C7C"/>
    <w:rsid w:val="00B45C85"/>
    <w:rsid w:val="00B4664B"/>
    <w:rsid w:val="00B537FA"/>
    <w:rsid w:val="00B56A7A"/>
    <w:rsid w:val="00B571C6"/>
    <w:rsid w:val="00B618A7"/>
    <w:rsid w:val="00B6736B"/>
    <w:rsid w:val="00B70DCF"/>
    <w:rsid w:val="00B72358"/>
    <w:rsid w:val="00B72800"/>
    <w:rsid w:val="00B77DE5"/>
    <w:rsid w:val="00B77DE7"/>
    <w:rsid w:val="00B800FD"/>
    <w:rsid w:val="00B92308"/>
    <w:rsid w:val="00B93C1F"/>
    <w:rsid w:val="00BA1992"/>
    <w:rsid w:val="00BA55E0"/>
    <w:rsid w:val="00BA67A8"/>
    <w:rsid w:val="00BA7369"/>
    <w:rsid w:val="00BC3DD3"/>
    <w:rsid w:val="00BC4EC3"/>
    <w:rsid w:val="00BC7273"/>
    <w:rsid w:val="00BC7C7A"/>
    <w:rsid w:val="00BD0040"/>
    <w:rsid w:val="00BD019E"/>
    <w:rsid w:val="00BD12E4"/>
    <w:rsid w:val="00BD4059"/>
    <w:rsid w:val="00BE7534"/>
    <w:rsid w:val="00BF231A"/>
    <w:rsid w:val="00C00D5F"/>
    <w:rsid w:val="00C02290"/>
    <w:rsid w:val="00C028C7"/>
    <w:rsid w:val="00C02F9A"/>
    <w:rsid w:val="00C04B47"/>
    <w:rsid w:val="00C14B6A"/>
    <w:rsid w:val="00C17361"/>
    <w:rsid w:val="00C2124B"/>
    <w:rsid w:val="00C34774"/>
    <w:rsid w:val="00C372D6"/>
    <w:rsid w:val="00C41398"/>
    <w:rsid w:val="00C4160B"/>
    <w:rsid w:val="00C4264C"/>
    <w:rsid w:val="00C50EBF"/>
    <w:rsid w:val="00C6103F"/>
    <w:rsid w:val="00C62633"/>
    <w:rsid w:val="00C629AC"/>
    <w:rsid w:val="00C673D3"/>
    <w:rsid w:val="00C83AB2"/>
    <w:rsid w:val="00C8663F"/>
    <w:rsid w:val="00C87440"/>
    <w:rsid w:val="00CA0D70"/>
    <w:rsid w:val="00CB0655"/>
    <w:rsid w:val="00CB79CB"/>
    <w:rsid w:val="00CC25A6"/>
    <w:rsid w:val="00CC4DBB"/>
    <w:rsid w:val="00CD0579"/>
    <w:rsid w:val="00CD1536"/>
    <w:rsid w:val="00CD2049"/>
    <w:rsid w:val="00CD326F"/>
    <w:rsid w:val="00CE20C9"/>
    <w:rsid w:val="00CE4DF3"/>
    <w:rsid w:val="00CE6266"/>
    <w:rsid w:val="00CF2744"/>
    <w:rsid w:val="00CF41DB"/>
    <w:rsid w:val="00CF7B30"/>
    <w:rsid w:val="00D01D44"/>
    <w:rsid w:val="00D039FC"/>
    <w:rsid w:val="00D04914"/>
    <w:rsid w:val="00D06A30"/>
    <w:rsid w:val="00D0718F"/>
    <w:rsid w:val="00D10E1D"/>
    <w:rsid w:val="00D115AD"/>
    <w:rsid w:val="00D131D2"/>
    <w:rsid w:val="00D14093"/>
    <w:rsid w:val="00D144BD"/>
    <w:rsid w:val="00D15D2F"/>
    <w:rsid w:val="00D223EC"/>
    <w:rsid w:val="00D2556D"/>
    <w:rsid w:val="00D33995"/>
    <w:rsid w:val="00D3553E"/>
    <w:rsid w:val="00D36B0D"/>
    <w:rsid w:val="00D37C44"/>
    <w:rsid w:val="00D46DAE"/>
    <w:rsid w:val="00D546BE"/>
    <w:rsid w:val="00D60650"/>
    <w:rsid w:val="00D60E3A"/>
    <w:rsid w:val="00D7044F"/>
    <w:rsid w:val="00D7233B"/>
    <w:rsid w:val="00D7471F"/>
    <w:rsid w:val="00D756FD"/>
    <w:rsid w:val="00D91EDD"/>
    <w:rsid w:val="00D92297"/>
    <w:rsid w:val="00D95E76"/>
    <w:rsid w:val="00DA0BB7"/>
    <w:rsid w:val="00DA0E03"/>
    <w:rsid w:val="00DA327A"/>
    <w:rsid w:val="00DB34BD"/>
    <w:rsid w:val="00DB3741"/>
    <w:rsid w:val="00DB3BDB"/>
    <w:rsid w:val="00DB6E9D"/>
    <w:rsid w:val="00DC4732"/>
    <w:rsid w:val="00DD0988"/>
    <w:rsid w:val="00DD381A"/>
    <w:rsid w:val="00DD61C4"/>
    <w:rsid w:val="00DD72D3"/>
    <w:rsid w:val="00DE4303"/>
    <w:rsid w:val="00DE6069"/>
    <w:rsid w:val="00DE6A60"/>
    <w:rsid w:val="00DE6CA5"/>
    <w:rsid w:val="00DF5957"/>
    <w:rsid w:val="00DF645E"/>
    <w:rsid w:val="00E003D8"/>
    <w:rsid w:val="00E004B4"/>
    <w:rsid w:val="00E01CEB"/>
    <w:rsid w:val="00E05CEB"/>
    <w:rsid w:val="00E07D2D"/>
    <w:rsid w:val="00E11AB7"/>
    <w:rsid w:val="00E127D6"/>
    <w:rsid w:val="00E13CA9"/>
    <w:rsid w:val="00E22743"/>
    <w:rsid w:val="00E251E2"/>
    <w:rsid w:val="00E25DF7"/>
    <w:rsid w:val="00E2651B"/>
    <w:rsid w:val="00E378A9"/>
    <w:rsid w:val="00E4251D"/>
    <w:rsid w:val="00E4378A"/>
    <w:rsid w:val="00E45268"/>
    <w:rsid w:val="00E5108E"/>
    <w:rsid w:val="00E52F1C"/>
    <w:rsid w:val="00E645EE"/>
    <w:rsid w:val="00E66A66"/>
    <w:rsid w:val="00E71A16"/>
    <w:rsid w:val="00E72613"/>
    <w:rsid w:val="00E7297E"/>
    <w:rsid w:val="00E743E2"/>
    <w:rsid w:val="00E744EB"/>
    <w:rsid w:val="00E76824"/>
    <w:rsid w:val="00E85F70"/>
    <w:rsid w:val="00E91FD5"/>
    <w:rsid w:val="00E9294D"/>
    <w:rsid w:val="00E947D2"/>
    <w:rsid w:val="00EA16C9"/>
    <w:rsid w:val="00EA71EF"/>
    <w:rsid w:val="00EB1643"/>
    <w:rsid w:val="00EB493B"/>
    <w:rsid w:val="00EC078D"/>
    <w:rsid w:val="00EC3241"/>
    <w:rsid w:val="00EC6848"/>
    <w:rsid w:val="00ED49E6"/>
    <w:rsid w:val="00ED73AA"/>
    <w:rsid w:val="00ED7C7B"/>
    <w:rsid w:val="00EE1A1F"/>
    <w:rsid w:val="00EE6D29"/>
    <w:rsid w:val="00EF195D"/>
    <w:rsid w:val="00EF77A9"/>
    <w:rsid w:val="00F02651"/>
    <w:rsid w:val="00F0340A"/>
    <w:rsid w:val="00F13BDE"/>
    <w:rsid w:val="00F14393"/>
    <w:rsid w:val="00F1605B"/>
    <w:rsid w:val="00F165EE"/>
    <w:rsid w:val="00F24695"/>
    <w:rsid w:val="00F31997"/>
    <w:rsid w:val="00F408F6"/>
    <w:rsid w:val="00F4194D"/>
    <w:rsid w:val="00F43040"/>
    <w:rsid w:val="00F4526D"/>
    <w:rsid w:val="00F465A9"/>
    <w:rsid w:val="00F54C08"/>
    <w:rsid w:val="00F61755"/>
    <w:rsid w:val="00F67B5E"/>
    <w:rsid w:val="00F75C2A"/>
    <w:rsid w:val="00F77763"/>
    <w:rsid w:val="00F80AFF"/>
    <w:rsid w:val="00F85E41"/>
    <w:rsid w:val="00F963D5"/>
    <w:rsid w:val="00F97B87"/>
    <w:rsid w:val="00FA3A9E"/>
    <w:rsid w:val="00FA7AA3"/>
    <w:rsid w:val="00FB1B3A"/>
    <w:rsid w:val="00FB2C0F"/>
    <w:rsid w:val="00FB3DA0"/>
    <w:rsid w:val="00FB72D1"/>
    <w:rsid w:val="00FC116A"/>
    <w:rsid w:val="00FC2AC3"/>
    <w:rsid w:val="00FC2FFA"/>
    <w:rsid w:val="00FC3DC0"/>
    <w:rsid w:val="00FC70FB"/>
    <w:rsid w:val="00FC72DD"/>
    <w:rsid w:val="00FD2FF8"/>
    <w:rsid w:val="00FE03A9"/>
    <w:rsid w:val="00FE435B"/>
    <w:rsid w:val="00FE566A"/>
    <w:rsid w:val="00FF0151"/>
    <w:rsid w:val="00FF22F0"/>
    <w:rsid w:val="00FF3180"/>
    <w:rsid w:val="00FF44CB"/>
    <w:rsid w:val="00FF47D0"/>
    <w:rsid w:val="00FF7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4E1AA5"/>
  <w15:chartTrackingRefBased/>
  <w15:docId w15:val="{2E3B3A6A-8B35-4896-A5F6-BF0154C8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8C1"/>
    <w:pPr>
      <w:spacing w:before="120" w:after="120" w:line="276" w:lineRule="auto"/>
      <w:jc w:val="left"/>
    </w:pPr>
    <w:rPr>
      <w:rFonts w:ascii="Arial" w:hAnsi="Arial"/>
    </w:rPr>
  </w:style>
  <w:style w:type="paragraph" w:styleId="Heading1">
    <w:name w:val="heading 1"/>
    <w:basedOn w:val="Normal"/>
    <w:next w:val="Normal"/>
    <w:link w:val="Heading1Char"/>
    <w:uiPriority w:val="9"/>
    <w:qFormat/>
    <w:rsid w:val="00297590"/>
    <w:pPr>
      <w:keepNext/>
      <w:keepLines/>
      <w:numPr>
        <w:numId w:val="1"/>
      </w:numPr>
      <w:spacing w:before="480" w:after="240"/>
      <w:outlineLvl w:val="0"/>
    </w:pPr>
    <w:rPr>
      <w:rFonts w:eastAsiaTheme="majorEastAsia" w:cstheme="majorBidi"/>
      <w:b/>
      <w:bCs/>
      <w:caps/>
      <w:spacing w:val="4"/>
      <w:szCs w:val="28"/>
    </w:rPr>
  </w:style>
  <w:style w:type="paragraph" w:styleId="Heading2">
    <w:name w:val="heading 2"/>
    <w:basedOn w:val="Normal"/>
    <w:next w:val="Normal"/>
    <w:link w:val="Heading2Char"/>
    <w:uiPriority w:val="9"/>
    <w:unhideWhenUsed/>
    <w:qFormat/>
    <w:rsid w:val="00014CBC"/>
    <w:pPr>
      <w:keepNext/>
      <w:keepLines/>
      <w:numPr>
        <w:ilvl w:val="1"/>
        <w:numId w:val="1"/>
      </w:numPr>
      <w:spacing w:before="240"/>
      <w:ind w:left="718"/>
      <w:outlineLvl w:val="1"/>
    </w:pPr>
    <w:rPr>
      <w:rFonts w:eastAsiaTheme="majorEastAsia" w:cstheme="majorBidi"/>
      <w:b/>
      <w:bCs/>
      <w:szCs w:val="28"/>
    </w:rPr>
  </w:style>
  <w:style w:type="paragraph" w:styleId="Heading3">
    <w:name w:val="heading 3"/>
    <w:basedOn w:val="Normal"/>
    <w:next w:val="Normal"/>
    <w:link w:val="Heading3Char"/>
    <w:uiPriority w:val="9"/>
    <w:unhideWhenUsed/>
    <w:qFormat/>
    <w:rsid w:val="00014CBC"/>
    <w:pPr>
      <w:keepNext/>
      <w:keepLines/>
      <w:numPr>
        <w:ilvl w:val="2"/>
        <w:numId w:val="1"/>
      </w:numPr>
      <w:spacing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qFormat/>
    <w:rsid w:val="00F963D5"/>
    <w:pPr>
      <w:keepNext/>
      <w:keepLines/>
      <w:numPr>
        <w:ilvl w:val="3"/>
        <w:numId w:val="1"/>
      </w:numPr>
      <w:spacing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F963D5"/>
    <w:pPr>
      <w:keepNext/>
      <w:keepLines/>
      <w:numPr>
        <w:ilvl w:val="4"/>
        <w:numId w:val="1"/>
      </w:numPr>
      <w:spacing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F963D5"/>
    <w:pPr>
      <w:keepNext/>
      <w:keepLines/>
      <w:numPr>
        <w:ilvl w:val="5"/>
        <w:numId w:val="1"/>
      </w:numPr>
      <w:spacing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F963D5"/>
    <w:pPr>
      <w:keepNext/>
      <w:keepLines/>
      <w:numPr>
        <w:ilvl w:val="6"/>
        <w:numId w:val="1"/>
      </w:numPr>
      <w:spacing w:after="0"/>
      <w:outlineLvl w:val="6"/>
    </w:pPr>
    <w:rPr>
      <w:i/>
      <w:iCs/>
    </w:rPr>
  </w:style>
  <w:style w:type="paragraph" w:styleId="Heading8">
    <w:name w:val="heading 8"/>
    <w:basedOn w:val="Normal"/>
    <w:next w:val="Normal"/>
    <w:link w:val="Heading8Char"/>
    <w:uiPriority w:val="9"/>
    <w:unhideWhenUsed/>
    <w:qFormat/>
    <w:rsid w:val="00F963D5"/>
    <w:pPr>
      <w:keepNext/>
      <w:keepLines/>
      <w:numPr>
        <w:ilvl w:val="7"/>
        <w:numId w:val="1"/>
      </w:numPr>
      <w:spacing w:after="0"/>
      <w:outlineLvl w:val="7"/>
    </w:pPr>
    <w:rPr>
      <w:b/>
      <w:bCs/>
    </w:rPr>
  </w:style>
  <w:style w:type="paragraph" w:styleId="Heading9">
    <w:name w:val="heading 9"/>
    <w:basedOn w:val="Normal"/>
    <w:next w:val="Normal"/>
    <w:link w:val="Heading9Char"/>
    <w:uiPriority w:val="9"/>
    <w:unhideWhenUsed/>
    <w:qFormat/>
    <w:rsid w:val="00F963D5"/>
    <w:pPr>
      <w:keepNext/>
      <w:keepLines/>
      <w:numPr>
        <w:ilvl w:val="8"/>
        <w:numId w:val="1"/>
      </w:numPr>
      <w:spacing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90"/>
    <w:rPr>
      <w:rFonts w:ascii="Arial" w:eastAsiaTheme="majorEastAsia" w:hAnsi="Arial" w:cstheme="majorBidi"/>
      <w:b/>
      <w:bCs/>
      <w:caps/>
      <w:spacing w:val="4"/>
      <w:szCs w:val="28"/>
    </w:rPr>
  </w:style>
  <w:style w:type="character" w:customStyle="1" w:styleId="Heading2Char">
    <w:name w:val="Heading 2 Char"/>
    <w:basedOn w:val="DefaultParagraphFont"/>
    <w:link w:val="Heading2"/>
    <w:uiPriority w:val="9"/>
    <w:rsid w:val="00014CBC"/>
    <w:rPr>
      <w:rFonts w:ascii="Arial" w:eastAsiaTheme="majorEastAsia" w:hAnsi="Arial" w:cstheme="majorBidi"/>
      <w:b/>
      <w:bCs/>
      <w:szCs w:val="28"/>
    </w:rPr>
  </w:style>
  <w:style w:type="character" w:customStyle="1" w:styleId="Heading3Char">
    <w:name w:val="Heading 3 Char"/>
    <w:basedOn w:val="DefaultParagraphFont"/>
    <w:link w:val="Heading3"/>
    <w:uiPriority w:val="9"/>
    <w:rsid w:val="00014CBC"/>
    <w:rPr>
      <w:rFonts w:ascii="Arial" w:eastAsiaTheme="majorEastAsia" w:hAnsi="Arial" w:cstheme="majorBidi"/>
      <w:spacing w:val="4"/>
      <w:szCs w:val="24"/>
    </w:rPr>
  </w:style>
  <w:style w:type="character" w:customStyle="1" w:styleId="Heading4Char">
    <w:name w:val="Heading 4 Char"/>
    <w:basedOn w:val="DefaultParagraphFont"/>
    <w:link w:val="Heading4"/>
    <w:uiPriority w:val="9"/>
    <w:rsid w:val="00F963D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F963D5"/>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F963D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F963D5"/>
    <w:rPr>
      <w:rFonts w:ascii="Arial" w:hAnsi="Arial"/>
      <w:i/>
      <w:iCs/>
    </w:rPr>
  </w:style>
  <w:style w:type="character" w:customStyle="1" w:styleId="Heading8Char">
    <w:name w:val="Heading 8 Char"/>
    <w:basedOn w:val="DefaultParagraphFont"/>
    <w:link w:val="Heading8"/>
    <w:uiPriority w:val="9"/>
    <w:rsid w:val="00F963D5"/>
    <w:rPr>
      <w:rFonts w:ascii="Arial" w:hAnsi="Arial"/>
      <w:b/>
      <w:bCs/>
    </w:rPr>
  </w:style>
  <w:style w:type="character" w:customStyle="1" w:styleId="Heading9Char">
    <w:name w:val="Heading 9 Char"/>
    <w:basedOn w:val="DefaultParagraphFont"/>
    <w:link w:val="Heading9"/>
    <w:uiPriority w:val="9"/>
    <w:rsid w:val="00F963D5"/>
    <w:rPr>
      <w:rFonts w:ascii="Arial" w:hAnsi="Arial"/>
      <w:i/>
      <w:iCs/>
    </w:rPr>
  </w:style>
  <w:style w:type="paragraph" w:styleId="Caption">
    <w:name w:val="caption"/>
    <w:basedOn w:val="Normal"/>
    <w:next w:val="Normal"/>
    <w:uiPriority w:val="35"/>
    <w:semiHidden/>
    <w:unhideWhenUsed/>
    <w:qFormat/>
    <w:rsid w:val="00F963D5"/>
    <w:rPr>
      <w:b/>
      <w:bCs/>
      <w:sz w:val="18"/>
      <w:szCs w:val="18"/>
    </w:rPr>
  </w:style>
  <w:style w:type="paragraph" w:styleId="Title">
    <w:name w:val="Title"/>
    <w:basedOn w:val="Normal"/>
    <w:next w:val="Normal"/>
    <w:link w:val="TitleChar"/>
    <w:uiPriority w:val="10"/>
    <w:qFormat/>
    <w:rsid w:val="00EB1643"/>
    <w:pPr>
      <w:spacing w:before="0" w:after="240" w:line="240" w:lineRule="auto"/>
      <w:contextualSpacing/>
      <w:jc w:val="center"/>
    </w:pPr>
    <w:rPr>
      <w:rFonts w:asciiTheme="majorHAnsi" w:eastAsiaTheme="majorEastAsia" w:hAnsiTheme="majorHAnsi" w:cstheme="majorBidi"/>
      <w:b/>
      <w:bCs/>
      <w:spacing w:val="-7"/>
      <w:sz w:val="48"/>
      <w:szCs w:val="48"/>
      <w:u w:val="single"/>
    </w:rPr>
  </w:style>
  <w:style w:type="character" w:customStyle="1" w:styleId="TitleChar">
    <w:name w:val="Title Char"/>
    <w:basedOn w:val="DefaultParagraphFont"/>
    <w:link w:val="Title"/>
    <w:uiPriority w:val="10"/>
    <w:rsid w:val="00EB1643"/>
    <w:rPr>
      <w:rFonts w:asciiTheme="majorHAnsi" w:eastAsiaTheme="majorEastAsia" w:hAnsiTheme="majorHAnsi" w:cstheme="majorBidi"/>
      <w:b/>
      <w:bCs/>
      <w:spacing w:val="-7"/>
      <w:sz w:val="48"/>
      <w:szCs w:val="48"/>
      <w:u w:val="single"/>
    </w:rPr>
  </w:style>
  <w:style w:type="paragraph" w:styleId="Subtitle">
    <w:name w:val="Subtitle"/>
    <w:basedOn w:val="Normal"/>
    <w:next w:val="Normal"/>
    <w:link w:val="SubtitleChar"/>
    <w:uiPriority w:val="11"/>
    <w:rsid w:val="00F963D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963D5"/>
    <w:rPr>
      <w:rFonts w:asciiTheme="majorHAnsi" w:eastAsiaTheme="majorEastAsia" w:hAnsiTheme="majorHAnsi" w:cstheme="majorBidi"/>
      <w:sz w:val="24"/>
      <w:szCs w:val="24"/>
    </w:rPr>
  </w:style>
  <w:style w:type="character" w:styleId="Strong">
    <w:name w:val="Strong"/>
    <w:basedOn w:val="DefaultParagraphFont"/>
    <w:uiPriority w:val="22"/>
    <w:rsid w:val="00F963D5"/>
    <w:rPr>
      <w:b/>
      <w:bCs/>
      <w:color w:val="auto"/>
    </w:rPr>
  </w:style>
  <w:style w:type="character" w:styleId="Emphasis">
    <w:name w:val="Emphasis"/>
    <w:basedOn w:val="DefaultParagraphFont"/>
    <w:uiPriority w:val="20"/>
    <w:rsid w:val="00F963D5"/>
    <w:rPr>
      <w:i/>
      <w:iCs/>
      <w:color w:val="auto"/>
    </w:rPr>
  </w:style>
  <w:style w:type="paragraph" w:styleId="NoSpacing">
    <w:name w:val="No Spacing"/>
    <w:uiPriority w:val="1"/>
    <w:qFormat/>
    <w:rsid w:val="00F963D5"/>
    <w:pPr>
      <w:spacing w:after="0" w:line="240" w:lineRule="auto"/>
    </w:pPr>
  </w:style>
  <w:style w:type="paragraph" w:styleId="Quote">
    <w:name w:val="Quote"/>
    <w:basedOn w:val="Normal"/>
    <w:next w:val="Normal"/>
    <w:link w:val="QuoteChar"/>
    <w:uiPriority w:val="29"/>
    <w:rsid w:val="00F963D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963D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F963D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963D5"/>
    <w:rPr>
      <w:rFonts w:asciiTheme="majorHAnsi" w:eastAsiaTheme="majorEastAsia" w:hAnsiTheme="majorHAnsi" w:cstheme="majorBidi"/>
      <w:sz w:val="26"/>
      <w:szCs w:val="26"/>
    </w:rPr>
  </w:style>
  <w:style w:type="character" w:styleId="SubtleEmphasis">
    <w:name w:val="Subtle Emphasis"/>
    <w:basedOn w:val="DefaultParagraphFont"/>
    <w:uiPriority w:val="19"/>
    <w:rsid w:val="00F963D5"/>
    <w:rPr>
      <w:i/>
      <w:iCs/>
      <w:color w:val="auto"/>
    </w:rPr>
  </w:style>
  <w:style w:type="character" w:styleId="IntenseEmphasis">
    <w:name w:val="Intense Emphasis"/>
    <w:basedOn w:val="DefaultParagraphFont"/>
    <w:uiPriority w:val="21"/>
    <w:rsid w:val="00F963D5"/>
    <w:rPr>
      <w:b/>
      <w:bCs/>
      <w:i/>
      <w:iCs/>
      <w:color w:val="auto"/>
    </w:rPr>
  </w:style>
  <w:style w:type="character" w:styleId="SubtleReference">
    <w:name w:val="Subtle Reference"/>
    <w:basedOn w:val="DefaultParagraphFont"/>
    <w:uiPriority w:val="31"/>
    <w:rsid w:val="00F963D5"/>
    <w:rPr>
      <w:smallCaps/>
      <w:color w:val="auto"/>
      <w:u w:val="single" w:color="7F7F7F" w:themeColor="text1" w:themeTint="80"/>
    </w:rPr>
  </w:style>
  <w:style w:type="character" w:styleId="IntenseReference">
    <w:name w:val="Intense Reference"/>
    <w:basedOn w:val="DefaultParagraphFont"/>
    <w:uiPriority w:val="32"/>
    <w:rsid w:val="00F963D5"/>
    <w:rPr>
      <w:b/>
      <w:bCs/>
      <w:smallCaps/>
      <w:color w:val="auto"/>
      <w:u w:val="single"/>
    </w:rPr>
  </w:style>
  <w:style w:type="character" w:styleId="BookTitle">
    <w:name w:val="Book Title"/>
    <w:basedOn w:val="DefaultParagraphFont"/>
    <w:uiPriority w:val="33"/>
    <w:rsid w:val="00F963D5"/>
    <w:rPr>
      <w:b/>
      <w:bCs/>
      <w:smallCaps/>
      <w:color w:val="auto"/>
    </w:rPr>
  </w:style>
  <w:style w:type="paragraph" w:styleId="TOCHeading">
    <w:name w:val="TOC Heading"/>
    <w:basedOn w:val="Heading1"/>
    <w:next w:val="Normal"/>
    <w:uiPriority w:val="39"/>
    <w:unhideWhenUsed/>
    <w:qFormat/>
    <w:rsid w:val="00F963D5"/>
    <w:pPr>
      <w:outlineLvl w:val="9"/>
    </w:pPr>
  </w:style>
  <w:style w:type="paragraph" w:styleId="ListParagraph">
    <w:name w:val="List Paragraph"/>
    <w:aliases w:val="List Para Level 1,List Paragraph1,Recommendation,List Paragraph11,NFP GP Bulleted List,FooterText,numbered,Paragraphe de liste1,Bulletr List Paragraph,列出段落,列出段落1,List Paragraph2,List Paragraph21,Listeafsnit1,Parágrafo da Lista1,リスト段落1,L"/>
    <w:basedOn w:val="Normal"/>
    <w:link w:val="ListParagraphChar"/>
    <w:uiPriority w:val="1"/>
    <w:qFormat/>
    <w:rsid w:val="00B34554"/>
  </w:style>
  <w:style w:type="paragraph" w:styleId="Header">
    <w:name w:val="header"/>
    <w:basedOn w:val="Normal"/>
    <w:link w:val="HeaderChar"/>
    <w:uiPriority w:val="99"/>
    <w:unhideWhenUsed/>
    <w:rsid w:val="00F54C08"/>
    <w:pPr>
      <w:tabs>
        <w:tab w:val="center" w:pos="4513"/>
        <w:tab w:val="right" w:pos="9026"/>
      </w:tabs>
      <w:spacing w:before="0" w:after="0" w:line="240" w:lineRule="auto"/>
    </w:pPr>
  </w:style>
  <w:style w:type="paragraph" w:customStyle="1" w:styleId="ListParaLevel2">
    <w:name w:val="List Para Level 2"/>
    <w:basedOn w:val="ListParagraph"/>
    <w:uiPriority w:val="99"/>
    <w:qFormat/>
    <w:rsid w:val="00095BEE"/>
    <w:pPr>
      <w:numPr>
        <w:numId w:val="4"/>
      </w:numPr>
      <w:ind w:left="1815" w:hanging="397"/>
    </w:pPr>
  </w:style>
  <w:style w:type="character" w:customStyle="1" w:styleId="HeaderChar">
    <w:name w:val="Header Char"/>
    <w:basedOn w:val="DefaultParagraphFont"/>
    <w:link w:val="Header"/>
    <w:uiPriority w:val="99"/>
    <w:rsid w:val="00F54C08"/>
    <w:rPr>
      <w:rFonts w:ascii="Arial" w:hAnsi="Arial"/>
    </w:rPr>
  </w:style>
  <w:style w:type="paragraph" w:styleId="Footer">
    <w:name w:val="footer"/>
    <w:basedOn w:val="Normal"/>
    <w:link w:val="FooterChar"/>
    <w:uiPriority w:val="99"/>
    <w:unhideWhenUsed/>
    <w:rsid w:val="00F54C0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54C08"/>
    <w:rPr>
      <w:rFonts w:ascii="Arial" w:hAnsi="Arial"/>
    </w:rPr>
  </w:style>
  <w:style w:type="paragraph" w:styleId="TOC1">
    <w:name w:val="toc 1"/>
    <w:basedOn w:val="Normal"/>
    <w:next w:val="Normal"/>
    <w:autoRedefine/>
    <w:uiPriority w:val="39"/>
    <w:unhideWhenUsed/>
    <w:rsid w:val="0082071C"/>
    <w:pPr>
      <w:spacing w:after="100"/>
    </w:pPr>
  </w:style>
  <w:style w:type="paragraph" w:styleId="TOC2">
    <w:name w:val="toc 2"/>
    <w:basedOn w:val="Normal"/>
    <w:next w:val="Normal"/>
    <w:autoRedefine/>
    <w:uiPriority w:val="39"/>
    <w:unhideWhenUsed/>
    <w:rsid w:val="0082071C"/>
    <w:pPr>
      <w:spacing w:after="100"/>
      <w:ind w:left="220"/>
    </w:pPr>
  </w:style>
  <w:style w:type="paragraph" w:styleId="TOC3">
    <w:name w:val="toc 3"/>
    <w:basedOn w:val="Normal"/>
    <w:next w:val="Normal"/>
    <w:autoRedefine/>
    <w:uiPriority w:val="39"/>
    <w:unhideWhenUsed/>
    <w:rsid w:val="0082071C"/>
    <w:pPr>
      <w:spacing w:after="100"/>
      <w:ind w:left="440"/>
    </w:pPr>
  </w:style>
  <w:style w:type="character" w:styleId="Hyperlink">
    <w:name w:val="Hyperlink"/>
    <w:basedOn w:val="DefaultParagraphFont"/>
    <w:uiPriority w:val="99"/>
    <w:unhideWhenUsed/>
    <w:rsid w:val="0082071C"/>
    <w:rPr>
      <w:color w:val="0563C1" w:themeColor="hyperlink"/>
      <w:u w:val="single"/>
    </w:rPr>
  </w:style>
  <w:style w:type="paragraph" w:customStyle="1" w:styleId="ScheduleL1">
    <w:name w:val="Schedule L1"/>
    <w:basedOn w:val="Normal"/>
    <w:qFormat/>
    <w:rsid w:val="00014CBC"/>
    <w:pPr>
      <w:numPr>
        <w:numId w:val="37"/>
      </w:numPr>
      <w:spacing w:before="240"/>
    </w:pPr>
    <w:rPr>
      <w:b/>
    </w:rPr>
  </w:style>
  <w:style w:type="paragraph" w:customStyle="1" w:styleId="ScheduleL2">
    <w:name w:val="Schedule L2"/>
    <w:basedOn w:val="ScheduleL1"/>
    <w:next w:val="Normal"/>
    <w:qFormat/>
    <w:rsid w:val="00014CBC"/>
    <w:pPr>
      <w:numPr>
        <w:ilvl w:val="1"/>
      </w:numPr>
    </w:pPr>
  </w:style>
  <w:style w:type="paragraph" w:styleId="TOC4">
    <w:name w:val="toc 4"/>
    <w:basedOn w:val="Normal"/>
    <w:next w:val="Normal"/>
    <w:autoRedefine/>
    <w:uiPriority w:val="39"/>
    <w:unhideWhenUsed/>
    <w:rsid w:val="006700ED"/>
    <w:pPr>
      <w:spacing w:before="0" w:after="100" w:line="259" w:lineRule="auto"/>
      <w:ind w:left="660"/>
    </w:pPr>
    <w:rPr>
      <w:rFonts w:asciiTheme="minorHAnsi" w:hAnsiTheme="minorHAnsi"/>
      <w:lang w:eastAsia="en-AU"/>
    </w:rPr>
  </w:style>
  <w:style w:type="paragraph" w:styleId="TOC5">
    <w:name w:val="toc 5"/>
    <w:basedOn w:val="Normal"/>
    <w:next w:val="Normal"/>
    <w:autoRedefine/>
    <w:uiPriority w:val="39"/>
    <w:unhideWhenUsed/>
    <w:rsid w:val="006700ED"/>
    <w:pPr>
      <w:spacing w:before="0" w:after="100" w:line="259" w:lineRule="auto"/>
      <w:ind w:left="880"/>
    </w:pPr>
    <w:rPr>
      <w:rFonts w:asciiTheme="minorHAnsi" w:hAnsiTheme="minorHAnsi"/>
      <w:lang w:eastAsia="en-AU"/>
    </w:rPr>
  </w:style>
  <w:style w:type="paragraph" w:styleId="TOC6">
    <w:name w:val="toc 6"/>
    <w:basedOn w:val="Normal"/>
    <w:next w:val="Normal"/>
    <w:autoRedefine/>
    <w:uiPriority w:val="39"/>
    <w:unhideWhenUsed/>
    <w:rsid w:val="006700ED"/>
    <w:pPr>
      <w:spacing w:before="0" w:after="100" w:line="259" w:lineRule="auto"/>
      <w:ind w:left="1100"/>
    </w:pPr>
    <w:rPr>
      <w:rFonts w:asciiTheme="minorHAnsi" w:hAnsiTheme="minorHAnsi"/>
      <w:lang w:eastAsia="en-AU"/>
    </w:rPr>
  </w:style>
  <w:style w:type="paragraph" w:styleId="TOC7">
    <w:name w:val="toc 7"/>
    <w:basedOn w:val="Normal"/>
    <w:next w:val="Normal"/>
    <w:autoRedefine/>
    <w:uiPriority w:val="39"/>
    <w:unhideWhenUsed/>
    <w:rsid w:val="006700ED"/>
    <w:pPr>
      <w:spacing w:before="0" w:after="100" w:line="259" w:lineRule="auto"/>
      <w:ind w:left="1320"/>
    </w:pPr>
    <w:rPr>
      <w:rFonts w:asciiTheme="minorHAnsi" w:hAnsiTheme="minorHAnsi"/>
      <w:lang w:eastAsia="en-AU"/>
    </w:rPr>
  </w:style>
  <w:style w:type="paragraph" w:styleId="TOC8">
    <w:name w:val="toc 8"/>
    <w:basedOn w:val="Normal"/>
    <w:next w:val="Normal"/>
    <w:autoRedefine/>
    <w:uiPriority w:val="39"/>
    <w:unhideWhenUsed/>
    <w:rsid w:val="006700ED"/>
    <w:pPr>
      <w:spacing w:before="0" w:after="100" w:line="259" w:lineRule="auto"/>
      <w:ind w:left="1540"/>
    </w:pPr>
    <w:rPr>
      <w:rFonts w:asciiTheme="minorHAnsi" w:hAnsiTheme="minorHAnsi"/>
      <w:lang w:eastAsia="en-AU"/>
    </w:rPr>
  </w:style>
  <w:style w:type="paragraph" w:styleId="TOC9">
    <w:name w:val="toc 9"/>
    <w:basedOn w:val="Normal"/>
    <w:next w:val="Normal"/>
    <w:autoRedefine/>
    <w:uiPriority w:val="39"/>
    <w:unhideWhenUsed/>
    <w:rsid w:val="006700ED"/>
    <w:pPr>
      <w:spacing w:before="0" w:after="100" w:line="259" w:lineRule="auto"/>
      <w:ind w:left="1760"/>
    </w:pPr>
    <w:rPr>
      <w:rFonts w:asciiTheme="minorHAnsi" w:hAnsiTheme="minorHAnsi"/>
      <w:lang w:eastAsia="en-AU"/>
    </w:rPr>
  </w:style>
  <w:style w:type="table" w:styleId="TableGrid">
    <w:name w:val="Table Grid"/>
    <w:basedOn w:val="TableNormal"/>
    <w:uiPriority w:val="39"/>
    <w:rsid w:val="0014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3B18"/>
    <w:rPr>
      <w:sz w:val="16"/>
      <w:szCs w:val="16"/>
    </w:rPr>
  </w:style>
  <w:style w:type="paragraph" w:styleId="CommentText">
    <w:name w:val="annotation text"/>
    <w:basedOn w:val="Normal"/>
    <w:link w:val="CommentTextChar"/>
    <w:uiPriority w:val="99"/>
    <w:unhideWhenUsed/>
    <w:rsid w:val="00813B18"/>
    <w:pPr>
      <w:spacing w:line="240" w:lineRule="auto"/>
    </w:pPr>
    <w:rPr>
      <w:sz w:val="20"/>
      <w:szCs w:val="20"/>
    </w:rPr>
  </w:style>
  <w:style w:type="character" w:customStyle="1" w:styleId="CommentTextChar">
    <w:name w:val="Comment Text Char"/>
    <w:basedOn w:val="DefaultParagraphFont"/>
    <w:link w:val="CommentText"/>
    <w:uiPriority w:val="99"/>
    <w:rsid w:val="00813B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13B18"/>
    <w:rPr>
      <w:b/>
      <w:bCs/>
    </w:rPr>
  </w:style>
  <w:style w:type="character" w:customStyle="1" w:styleId="CommentSubjectChar">
    <w:name w:val="Comment Subject Char"/>
    <w:basedOn w:val="CommentTextChar"/>
    <w:link w:val="CommentSubject"/>
    <w:uiPriority w:val="99"/>
    <w:semiHidden/>
    <w:rsid w:val="00813B18"/>
    <w:rPr>
      <w:rFonts w:ascii="Arial" w:hAnsi="Arial"/>
      <w:b/>
      <w:bCs/>
      <w:sz w:val="20"/>
      <w:szCs w:val="20"/>
    </w:rPr>
  </w:style>
  <w:style w:type="paragraph" w:styleId="BalloonText">
    <w:name w:val="Balloon Text"/>
    <w:basedOn w:val="Normal"/>
    <w:link w:val="BalloonTextChar"/>
    <w:uiPriority w:val="99"/>
    <w:semiHidden/>
    <w:unhideWhenUsed/>
    <w:rsid w:val="00813B1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B18"/>
    <w:rPr>
      <w:rFonts w:ascii="Segoe UI" w:hAnsi="Segoe UI" w:cs="Segoe UI"/>
      <w:sz w:val="18"/>
      <w:szCs w:val="18"/>
    </w:rPr>
  </w:style>
  <w:style w:type="paragraph" w:styleId="FootnoteText">
    <w:name w:val="footnote text"/>
    <w:basedOn w:val="Normal"/>
    <w:link w:val="FootnoteTextChar"/>
    <w:uiPriority w:val="99"/>
    <w:semiHidden/>
    <w:unhideWhenUsed/>
    <w:rsid w:val="00494E9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94E96"/>
    <w:rPr>
      <w:rFonts w:ascii="Arial" w:hAnsi="Arial"/>
      <w:sz w:val="20"/>
      <w:szCs w:val="20"/>
    </w:rPr>
  </w:style>
  <w:style w:type="character" w:styleId="FootnoteReference">
    <w:name w:val="footnote reference"/>
    <w:basedOn w:val="DefaultParagraphFont"/>
    <w:uiPriority w:val="99"/>
    <w:semiHidden/>
    <w:unhideWhenUsed/>
    <w:rsid w:val="00494E96"/>
    <w:rPr>
      <w:vertAlign w:val="superscript"/>
    </w:rPr>
  </w:style>
  <w:style w:type="paragraph" w:styleId="BodyText">
    <w:name w:val="Body Text"/>
    <w:basedOn w:val="Normal"/>
    <w:link w:val="BodyTextChar"/>
    <w:uiPriority w:val="1"/>
    <w:qFormat/>
    <w:rsid w:val="00A05FD7"/>
    <w:pPr>
      <w:widowControl w:val="0"/>
      <w:spacing w:before="0" w:after="0" w:line="240" w:lineRule="auto"/>
      <w:ind w:left="1499" w:hanging="681"/>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A05FD7"/>
    <w:rPr>
      <w:rFonts w:ascii="Times New Roman" w:eastAsia="Times New Roman" w:hAnsi="Times New Roman"/>
      <w:lang w:val="en-US"/>
    </w:rPr>
  </w:style>
  <w:style w:type="paragraph" w:styleId="Revision">
    <w:name w:val="Revision"/>
    <w:hidden/>
    <w:uiPriority w:val="99"/>
    <w:semiHidden/>
    <w:rsid w:val="00D91EDD"/>
    <w:pPr>
      <w:spacing w:after="0" w:line="240" w:lineRule="auto"/>
      <w:jc w:val="left"/>
    </w:pPr>
    <w:rPr>
      <w:rFonts w:ascii="Arial" w:hAnsi="Arial"/>
    </w:rPr>
  </w:style>
  <w:style w:type="paragraph" w:customStyle="1" w:styleId="StyleLeft12cm">
    <w:name w:val="Style Left:  1.2 cm"/>
    <w:basedOn w:val="Normal"/>
    <w:rsid w:val="001E57B0"/>
    <w:pPr>
      <w:spacing w:before="240" w:line="240" w:lineRule="auto"/>
      <w:ind w:left="709"/>
    </w:pPr>
    <w:rPr>
      <w:rFonts w:ascii="Times New Roman" w:eastAsia="Times New Roman" w:hAnsi="Times New Roman" w:cs="Arial"/>
      <w:szCs w:val="20"/>
    </w:rPr>
  </w:style>
  <w:style w:type="paragraph" w:customStyle="1" w:styleId="MELegal1">
    <w:name w:val="ME Legal 1"/>
    <w:basedOn w:val="Normal"/>
    <w:next w:val="Normal"/>
    <w:rsid w:val="001E57B0"/>
    <w:pPr>
      <w:keepNext/>
      <w:keepLines/>
      <w:numPr>
        <w:numId w:val="173"/>
      </w:numPr>
      <w:spacing w:before="360" w:line="240" w:lineRule="auto"/>
      <w:outlineLvl w:val="0"/>
    </w:pPr>
    <w:rPr>
      <w:rFonts w:eastAsia="Times New Roman" w:cs="Arial"/>
      <w:spacing w:val="-10"/>
      <w:w w:val="95"/>
      <w:sz w:val="32"/>
      <w:szCs w:val="32"/>
    </w:rPr>
  </w:style>
  <w:style w:type="paragraph" w:customStyle="1" w:styleId="MELegal2">
    <w:name w:val="ME Legal 2"/>
    <w:basedOn w:val="Normal"/>
    <w:next w:val="Normal"/>
    <w:rsid w:val="001E57B0"/>
    <w:pPr>
      <w:keepNext/>
      <w:numPr>
        <w:ilvl w:val="1"/>
        <w:numId w:val="173"/>
      </w:numPr>
      <w:spacing w:before="240" w:line="240" w:lineRule="auto"/>
      <w:outlineLvl w:val="1"/>
    </w:pPr>
    <w:rPr>
      <w:rFonts w:eastAsia="Times New Roman" w:cs="Arial"/>
      <w:b/>
      <w:bCs/>
      <w:w w:val="95"/>
      <w:sz w:val="24"/>
      <w:szCs w:val="24"/>
    </w:rPr>
  </w:style>
  <w:style w:type="paragraph" w:customStyle="1" w:styleId="MELegal3">
    <w:name w:val="ME Legal 3"/>
    <w:basedOn w:val="Normal"/>
    <w:next w:val="Normal"/>
    <w:rsid w:val="001E57B0"/>
    <w:pPr>
      <w:numPr>
        <w:ilvl w:val="2"/>
        <w:numId w:val="173"/>
      </w:numPr>
      <w:tabs>
        <w:tab w:val="left" w:pos="1361"/>
      </w:tabs>
      <w:spacing w:before="240" w:line="240" w:lineRule="auto"/>
      <w:outlineLvl w:val="2"/>
    </w:pPr>
    <w:rPr>
      <w:rFonts w:ascii="Times New Roman" w:eastAsia="Times New Roman" w:hAnsi="Times New Roman" w:cs="Times New Roman"/>
      <w:lang w:eastAsia="en-AU"/>
    </w:rPr>
  </w:style>
  <w:style w:type="paragraph" w:customStyle="1" w:styleId="MELegal4">
    <w:name w:val="ME Legal 4"/>
    <w:basedOn w:val="Normal"/>
    <w:next w:val="Normal"/>
    <w:rsid w:val="001E57B0"/>
    <w:pPr>
      <w:numPr>
        <w:ilvl w:val="3"/>
        <w:numId w:val="173"/>
      </w:numPr>
      <w:tabs>
        <w:tab w:val="left" w:pos="1979"/>
        <w:tab w:val="left" w:pos="2081"/>
      </w:tabs>
      <w:spacing w:before="240" w:line="240" w:lineRule="auto"/>
      <w:outlineLvl w:val="3"/>
    </w:pPr>
    <w:rPr>
      <w:rFonts w:ascii="Times New Roman" w:eastAsia="Times New Roman" w:hAnsi="Times New Roman" w:cs="Times New Roman"/>
    </w:rPr>
  </w:style>
  <w:style w:type="paragraph" w:customStyle="1" w:styleId="MELegal5">
    <w:name w:val="ME Legal 5"/>
    <w:basedOn w:val="Normal"/>
    <w:next w:val="Normal"/>
    <w:rsid w:val="001E57B0"/>
    <w:pPr>
      <w:numPr>
        <w:ilvl w:val="4"/>
        <w:numId w:val="173"/>
      </w:numPr>
      <w:tabs>
        <w:tab w:val="left" w:pos="2722"/>
      </w:tabs>
      <w:spacing w:before="240" w:line="240" w:lineRule="auto"/>
      <w:outlineLvl w:val="4"/>
    </w:pPr>
    <w:rPr>
      <w:rFonts w:ascii="Times New Roman" w:eastAsia="Times New Roman" w:hAnsi="Times New Roman" w:cs="Times New Roman"/>
    </w:rPr>
  </w:style>
  <w:style w:type="paragraph" w:customStyle="1" w:styleId="MELegal6">
    <w:name w:val="ME Legal 6"/>
    <w:basedOn w:val="Normal"/>
    <w:next w:val="Normal"/>
    <w:rsid w:val="001E57B0"/>
    <w:pPr>
      <w:numPr>
        <w:ilvl w:val="5"/>
        <w:numId w:val="173"/>
      </w:numPr>
      <w:spacing w:before="240" w:line="240" w:lineRule="auto"/>
      <w:outlineLvl w:val="5"/>
    </w:pPr>
    <w:rPr>
      <w:rFonts w:ascii="Times New Roman" w:eastAsia="Times New Roman" w:hAnsi="Times New Roman" w:cs="Times New Roman"/>
    </w:rPr>
  </w:style>
  <w:style w:type="paragraph" w:customStyle="1" w:styleId="StyleLeft12cmhanging14cm">
    <w:name w:val="Style Left:  1.2cm hanging 1.4cm"/>
    <w:basedOn w:val="StyleLeft12cm"/>
    <w:rsid w:val="001E57B0"/>
    <w:pPr>
      <w:tabs>
        <w:tab w:val="left" w:pos="2041"/>
      </w:tabs>
      <w:ind w:left="1474" w:hanging="794"/>
    </w:pPr>
  </w:style>
  <w:style w:type="paragraph" w:customStyle="1" w:styleId="DefinitionL2">
    <w:name w:val="Definition L2"/>
    <w:basedOn w:val="Normal"/>
    <w:rsid w:val="001E57B0"/>
    <w:pPr>
      <w:numPr>
        <w:ilvl w:val="1"/>
        <w:numId w:val="172"/>
      </w:numPr>
      <w:spacing w:before="0" w:after="0" w:line="240" w:lineRule="auto"/>
    </w:pPr>
    <w:rPr>
      <w:rFonts w:ascii="Times" w:eastAsia="Times New Roman" w:hAnsi="Times New Roman" w:cs="Times New Roman"/>
      <w:color w:val="000000"/>
      <w:sz w:val="24"/>
      <w:szCs w:val="28"/>
    </w:rPr>
  </w:style>
  <w:style w:type="paragraph" w:customStyle="1" w:styleId="StyleLeft26cm">
    <w:name w:val="Style Left:  2.6cm"/>
    <w:basedOn w:val="StyleLeft12cmhanging14cm"/>
    <w:rsid w:val="001E57B0"/>
    <w:pPr>
      <w:tabs>
        <w:tab w:val="clear" w:pos="2041"/>
      </w:tabs>
      <w:ind w:firstLine="0"/>
    </w:pPr>
  </w:style>
  <w:style w:type="character" w:customStyle="1" w:styleId="ListParagraphChar">
    <w:name w:val="List Paragraph Char"/>
    <w:aliases w:val="List Para Level 1 Char,List Paragraph1 Char,Recommendation Char,List Paragraph11 Char,NFP GP Bulleted List Char,FooterText Char,numbered Char,Paragraphe de liste1 Char,Bulletr List Paragraph Char,列出段落 Char,列出段落1 Char,リスト段落1 Char"/>
    <w:link w:val="ListParagraph"/>
    <w:uiPriority w:val="1"/>
    <w:rsid w:val="00025451"/>
    <w:rPr>
      <w:rFonts w:ascii="Arial" w:hAnsi="Arial"/>
    </w:rPr>
  </w:style>
  <w:style w:type="paragraph" w:customStyle="1" w:styleId="Default">
    <w:name w:val="Default"/>
    <w:rsid w:val="00ED49E6"/>
    <w:pPr>
      <w:autoSpaceDE w:val="0"/>
      <w:autoSpaceDN w:val="0"/>
      <w:adjustRightInd w:val="0"/>
      <w:spacing w:after="0" w:line="240" w:lineRule="auto"/>
      <w:jc w:val="left"/>
    </w:pPr>
    <w:rPr>
      <w:rFonts w:ascii="Arial" w:eastAsiaTheme="minorHAnsi" w:hAnsi="Arial" w:cs="Arial"/>
      <w:color w:val="000000"/>
      <w:sz w:val="24"/>
      <w:szCs w:val="24"/>
    </w:rPr>
  </w:style>
  <w:style w:type="paragraph" w:styleId="NormalWeb">
    <w:name w:val="Normal (Web)"/>
    <w:basedOn w:val="Normal"/>
    <w:uiPriority w:val="99"/>
    <w:semiHidden/>
    <w:unhideWhenUsed/>
    <w:rsid w:val="009101F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80416">
      <w:bodyDiv w:val="1"/>
      <w:marLeft w:val="0"/>
      <w:marRight w:val="0"/>
      <w:marTop w:val="0"/>
      <w:marBottom w:val="0"/>
      <w:divBdr>
        <w:top w:val="none" w:sz="0" w:space="0" w:color="auto"/>
        <w:left w:val="none" w:sz="0" w:space="0" w:color="auto"/>
        <w:bottom w:val="none" w:sz="0" w:space="0" w:color="auto"/>
        <w:right w:val="none" w:sz="0" w:space="0" w:color="auto"/>
      </w:divBdr>
    </w:div>
    <w:div w:id="804852423">
      <w:bodyDiv w:val="1"/>
      <w:marLeft w:val="0"/>
      <w:marRight w:val="0"/>
      <w:marTop w:val="0"/>
      <w:marBottom w:val="0"/>
      <w:divBdr>
        <w:top w:val="none" w:sz="0" w:space="0" w:color="auto"/>
        <w:left w:val="none" w:sz="0" w:space="0" w:color="auto"/>
        <w:bottom w:val="none" w:sz="0" w:space="0" w:color="auto"/>
        <w:right w:val="none" w:sz="0" w:space="0" w:color="auto"/>
      </w:divBdr>
    </w:div>
    <w:div w:id="1126386163">
      <w:bodyDiv w:val="1"/>
      <w:marLeft w:val="0"/>
      <w:marRight w:val="0"/>
      <w:marTop w:val="0"/>
      <w:marBottom w:val="0"/>
      <w:divBdr>
        <w:top w:val="none" w:sz="0" w:space="0" w:color="auto"/>
        <w:left w:val="none" w:sz="0" w:space="0" w:color="auto"/>
        <w:bottom w:val="none" w:sz="0" w:space="0" w:color="auto"/>
        <w:right w:val="none" w:sz="0" w:space="0" w:color="auto"/>
      </w:divBdr>
    </w:div>
    <w:div w:id="1492982523">
      <w:bodyDiv w:val="1"/>
      <w:marLeft w:val="0"/>
      <w:marRight w:val="0"/>
      <w:marTop w:val="0"/>
      <w:marBottom w:val="0"/>
      <w:divBdr>
        <w:top w:val="none" w:sz="0" w:space="0" w:color="auto"/>
        <w:left w:val="none" w:sz="0" w:space="0" w:color="auto"/>
        <w:bottom w:val="none" w:sz="0" w:space="0" w:color="auto"/>
        <w:right w:val="none" w:sz="0" w:space="0" w:color="auto"/>
      </w:divBdr>
    </w:div>
    <w:div w:id="1513454078">
      <w:bodyDiv w:val="1"/>
      <w:marLeft w:val="0"/>
      <w:marRight w:val="0"/>
      <w:marTop w:val="0"/>
      <w:marBottom w:val="0"/>
      <w:divBdr>
        <w:top w:val="none" w:sz="0" w:space="0" w:color="auto"/>
        <w:left w:val="none" w:sz="0" w:space="0" w:color="auto"/>
        <w:bottom w:val="none" w:sz="0" w:space="0" w:color="auto"/>
        <w:right w:val="none" w:sz="0" w:space="0" w:color="auto"/>
      </w:divBdr>
    </w:div>
    <w:div w:id="1755933858">
      <w:bodyDiv w:val="1"/>
      <w:marLeft w:val="0"/>
      <w:marRight w:val="0"/>
      <w:marTop w:val="0"/>
      <w:marBottom w:val="0"/>
      <w:divBdr>
        <w:top w:val="none" w:sz="0" w:space="0" w:color="auto"/>
        <w:left w:val="none" w:sz="0" w:space="0" w:color="auto"/>
        <w:bottom w:val="none" w:sz="0" w:space="0" w:color="auto"/>
        <w:right w:val="none" w:sz="0" w:space="0" w:color="auto"/>
      </w:divBdr>
    </w:div>
    <w:div w:id="1857235386">
      <w:bodyDiv w:val="1"/>
      <w:marLeft w:val="0"/>
      <w:marRight w:val="0"/>
      <w:marTop w:val="0"/>
      <w:marBottom w:val="0"/>
      <w:divBdr>
        <w:top w:val="none" w:sz="0" w:space="0" w:color="auto"/>
        <w:left w:val="none" w:sz="0" w:space="0" w:color="auto"/>
        <w:bottom w:val="none" w:sz="0" w:space="0" w:color="auto"/>
        <w:right w:val="none" w:sz="0" w:space="0" w:color="auto"/>
      </w:divBdr>
    </w:div>
    <w:div w:id="189523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gov.au"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g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D17DA7F-8B1B-4704-A9DE-2297A9994A74}">
  <ds:schemaRefs>
    <ds:schemaRef ds:uri="http://schemas.openxmlformats.org/officeDocument/2006/bibliography"/>
  </ds:schemaRefs>
</ds:datastoreItem>
</file>

<file path=customXml/itemProps2.xml><?xml version="1.0" encoding="utf-8"?>
<ds:datastoreItem xmlns:ds="http://schemas.openxmlformats.org/officeDocument/2006/customXml" ds:itemID="{D2CEA961-C77E-4D4D-9932-1361F2EB6740}"/>
</file>

<file path=customXml/itemProps3.xml><?xml version="1.0" encoding="utf-8"?>
<ds:datastoreItem xmlns:ds="http://schemas.openxmlformats.org/officeDocument/2006/customXml" ds:itemID="{76DDB38F-3EB3-41A0-80B2-7E32AAEB5D73}"/>
</file>

<file path=customXml/itemProps4.xml><?xml version="1.0" encoding="utf-8"?>
<ds:datastoreItem xmlns:ds="http://schemas.openxmlformats.org/officeDocument/2006/customXml" ds:itemID="{F1A817AE-78F4-4C2F-A8E1-4DA06953629A}"/>
</file>

<file path=docProps/app.xml><?xml version="1.0" encoding="utf-8"?>
<Properties xmlns="http://schemas.openxmlformats.org/officeDocument/2006/extended-properties" xmlns:vt="http://schemas.openxmlformats.org/officeDocument/2006/docPropsVTypes">
  <Template>Normal</Template>
  <TotalTime>81</TotalTime>
  <Pages>101</Pages>
  <Words>29139</Words>
  <Characters>166095</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194845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Ipkendanz, Chris</dc:creator>
  <cp:keywords/>
  <dc:description/>
  <cp:lastModifiedBy>Kate Fitzpatrick</cp:lastModifiedBy>
  <cp:revision>12</cp:revision>
  <cp:lastPrinted>2019-02-19T00:33:00Z</cp:lastPrinted>
  <dcterms:created xsi:type="dcterms:W3CDTF">2019-04-29T05:57:00Z</dcterms:created>
  <dcterms:modified xsi:type="dcterms:W3CDTF">2019-05-21T03:43:00Z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