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39D" w:rsidRDefault="0004139D">
      <w:pPr>
        <w:spacing w:line="2408" w:lineRule="exact"/>
        <w:rPr>
          <w:rFonts w:ascii="Times New Roman" w:eastAsia="Times New Roman" w:hAnsi="Times New Roman" w:cs="Times New Roman"/>
          <w:sz w:val="20"/>
          <w:szCs w:val="20"/>
        </w:rPr>
      </w:pPr>
    </w:p>
    <w:p w:rsidR="00016C4F" w:rsidRPr="00383039" w:rsidRDefault="00016C4F" w:rsidP="00016C4F">
      <w:pPr>
        <w:ind w:left="1440"/>
        <w:rPr>
          <w:rFonts w:asciiTheme="majorHAnsi" w:hAnsiTheme="majorHAnsi"/>
          <w:b/>
          <w:lang w:eastAsia="ja-JP"/>
        </w:rPr>
      </w:pPr>
      <w:r w:rsidRPr="00383039">
        <w:rPr>
          <w:rFonts w:asciiTheme="majorHAnsi" w:hAnsiTheme="majorHAnsi"/>
          <w:b/>
          <w:lang w:eastAsia="ja-JP"/>
        </w:rPr>
        <w:t xml:space="preserve">Revised Commonwealth Fisheries Harvest Strategy Policy </w:t>
      </w:r>
    </w:p>
    <w:p w:rsidR="00016C4F" w:rsidRPr="00383039" w:rsidRDefault="00016C4F" w:rsidP="00016C4F">
      <w:pPr>
        <w:ind w:left="1440"/>
        <w:rPr>
          <w:rFonts w:asciiTheme="majorHAnsi" w:hAnsiTheme="majorHAnsi"/>
          <w:lang w:eastAsia="ja-JP"/>
        </w:rPr>
      </w:pPr>
    </w:p>
    <w:p w:rsidR="00016C4F" w:rsidRPr="00383039" w:rsidRDefault="00016C4F" w:rsidP="00016C4F">
      <w:pPr>
        <w:ind w:left="1440"/>
        <w:rPr>
          <w:rFonts w:asciiTheme="majorHAnsi" w:hAnsiTheme="majorHAnsi"/>
          <w:lang w:eastAsia="ja-JP"/>
        </w:rPr>
      </w:pPr>
      <w:r w:rsidRPr="00383039">
        <w:rPr>
          <w:rFonts w:asciiTheme="majorHAnsi" w:hAnsiTheme="majorHAnsi"/>
          <w:b/>
          <w:lang w:eastAsia="ja-JP"/>
        </w:rPr>
        <w:t>Submission No.:</w:t>
      </w:r>
      <w:r w:rsidRPr="00383039">
        <w:rPr>
          <w:rFonts w:asciiTheme="majorHAnsi" w:hAnsiTheme="majorHAnsi"/>
          <w:lang w:eastAsia="ja-JP"/>
        </w:rPr>
        <w:t xml:space="preserve"> 03</w:t>
      </w:r>
    </w:p>
    <w:p w:rsidR="00016C4F" w:rsidRPr="00383039" w:rsidRDefault="00016C4F" w:rsidP="00016C4F">
      <w:pPr>
        <w:ind w:left="1440"/>
        <w:rPr>
          <w:rFonts w:asciiTheme="majorHAnsi" w:hAnsiTheme="majorHAnsi"/>
          <w:lang w:eastAsia="ja-JP"/>
        </w:rPr>
      </w:pPr>
    </w:p>
    <w:p w:rsidR="00016C4F" w:rsidRPr="00383039" w:rsidRDefault="00016C4F" w:rsidP="00016C4F">
      <w:pPr>
        <w:ind w:left="1440"/>
        <w:rPr>
          <w:rFonts w:asciiTheme="majorHAnsi" w:hAnsiTheme="majorHAnsi"/>
          <w:lang w:eastAsia="ja-JP"/>
        </w:rPr>
      </w:pPr>
      <w:r w:rsidRPr="00383039">
        <w:rPr>
          <w:rFonts w:asciiTheme="majorHAnsi" w:hAnsiTheme="majorHAnsi"/>
          <w:b/>
          <w:lang w:eastAsia="ja-JP"/>
        </w:rPr>
        <w:t>Submission by:</w:t>
      </w:r>
      <w:r w:rsidRPr="00383039">
        <w:rPr>
          <w:rFonts w:asciiTheme="majorHAnsi" w:hAnsiTheme="majorHAnsi"/>
          <w:lang w:eastAsia="ja-JP"/>
        </w:rPr>
        <w:t xml:space="preserve"> Tuna Australia </w:t>
      </w:r>
    </w:p>
    <w:p w:rsidR="00016C4F" w:rsidRPr="00383039" w:rsidRDefault="00016C4F" w:rsidP="00016C4F">
      <w:pPr>
        <w:ind w:left="1440"/>
        <w:rPr>
          <w:rFonts w:asciiTheme="majorHAnsi" w:hAnsiTheme="majorHAnsi"/>
          <w:lang w:eastAsia="ja-JP"/>
        </w:rPr>
      </w:pPr>
    </w:p>
    <w:p w:rsidR="00016C4F" w:rsidRPr="00383039" w:rsidRDefault="00016C4F" w:rsidP="00016C4F">
      <w:pPr>
        <w:ind w:left="1440"/>
        <w:rPr>
          <w:rFonts w:asciiTheme="majorHAnsi" w:hAnsiTheme="majorHAnsi"/>
          <w:b/>
          <w:lang w:eastAsia="ja-JP"/>
        </w:rPr>
      </w:pPr>
      <w:r w:rsidRPr="00383039">
        <w:rPr>
          <w:rFonts w:asciiTheme="majorHAnsi" w:hAnsiTheme="majorHAnsi"/>
          <w:b/>
          <w:lang w:eastAsia="ja-JP"/>
        </w:rPr>
        <w:t xml:space="preserve">Submission: </w:t>
      </w:r>
    </w:p>
    <w:p w:rsidR="00016C4F" w:rsidRDefault="00016C4F">
      <w:pPr>
        <w:pStyle w:val="BodyText"/>
        <w:jc w:val="both"/>
      </w:pPr>
    </w:p>
    <w:p w:rsidR="0004139D" w:rsidRPr="00383039" w:rsidRDefault="00016C4F">
      <w:pPr>
        <w:pStyle w:val="BodyText"/>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Dear Fisheries Branch,</w:t>
      </w:r>
    </w:p>
    <w:p w:rsidR="0004139D" w:rsidRPr="00383039" w:rsidRDefault="0004139D">
      <w:pPr>
        <w:rPr>
          <w:rFonts w:asciiTheme="majorHAnsi" w:hAnsiTheme="majorHAnsi"/>
          <w:lang w:eastAsia="ja-JP"/>
        </w:rPr>
      </w:pPr>
    </w:p>
    <w:p w:rsidR="0004139D" w:rsidRPr="00383039" w:rsidRDefault="0004139D">
      <w:pPr>
        <w:spacing w:before="10"/>
        <w:rPr>
          <w:rFonts w:asciiTheme="majorHAnsi" w:hAnsiTheme="majorHAnsi"/>
          <w:lang w:eastAsia="ja-JP"/>
        </w:rPr>
      </w:pPr>
    </w:p>
    <w:p w:rsidR="0004139D" w:rsidRPr="00383039" w:rsidRDefault="00016C4F">
      <w:pPr>
        <w:pStyle w:val="Heading1"/>
        <w:ind w:left="3182" w:firstLine="0"/>
        <w:rPr>
          <w:rFonts w:asciiTheme="majorHAnsi" w:eastAsiaTheme="minorHAnsi" w:hAnsiTheme="majorHAnsi"/>
          <w:b w:val="0"/>
          <w:bCs w:val="0"/>
          <w:sz w:val="22"/>
          <w:szCs w:val="22"/>
          <w:lang w:eastAsia="ja-JP"/>
        </w:rPr>
      </w:pPr>
      <w:r w:rsidRPr="00383039">
        <w:rPr>
          <w:rFonts w:asciiTheme="majorHAnsi" w:eastAsiaTheme="minorHAnsi" w:hAnsiTheme="majorHAnsi"/>
          <w:b w:val="0"/>
          <w:bCs w:val="0"/>
          <w:sz w:val="22"/>
          <w:szCs w:val="22"/>
          <w:lang w:eastAsia="ja-JP"/>
        </w:rPr>
        <w:t>Harvest Strategy Policy – DRAFT for Consultation</w:t>
      </w:r>
    </w:p>
    <w:p w:rsidR="0004139D" w:rsidRPr="00383039" w:rsidRDefault="0004139D">
      <w:pPr>
        <w:rPr>
          <w:rFonts w:asciiTheme="majorHAnsi" w:hAnsiTheme="majorHAnsi"/>
          <w:lang w:eastAsia="ja-JP"/>
        </w:rPr>
      </w:pPr>
    </w:p>
    <w:p w:rsidR="0004139D" w:rsidRPr="00383039" w:rsidRDefault="0004139D">
      <w:pPr>
        <w:spacing w:before="10"/>
        <w:rPr>
          <w:rFonts w:asciiTheme="majorHAnsi" w:hAnsiTheme="majorHAnsi"/>
          <w:lang w:eastAsia="ja-JP"/>
        </w:rPr>
      </w:pPr>
    </w:p>
    <w:p w:rsidR="0004139D" w:rsidRPr="00383039" w:rsidRDefault="00016C4F">
      <w:pPr>
        <w:pStyle w:val="BodyText"/>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Thank you for extending an invite to comment on the Harvest Strategy Policy.</w:t>
      </w:r>
    </w:p>
    <w:p w:rsidR="0004139D" w:rsidRPr="00383039" w:rsidRDefault="00016C4F">
      <w:pPr>
        <w:pStyle w:val="BodyText"/>
        <w:spacing w:before="120"/>
        <w:ind w:right="111"/>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Tuna Australia (TA) represents stakeholders of the Eastern Tuna and Billfish Fishery (ETBF), the Western Tuna and Billfish Fishery (WTBF) and associate members supporting both fisheries.</w:t>
      </w:r>
    </w:p>
    <w:p w:rsidR="0004139D" w:rsidRPr="00383039" w:rsidRDefault="00016C4F">
      <w:pPr>
        <w:pStyle w:val="BodyText"/>
        <w:spacing w:before="120"/>
        <w:ind w:right="103"/>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The ETBF and WTBF are currently managed in a manner consistent with the principles of ecologically sustainable development and have regard to the impact of fishing activities on target and non-target species and the long-term sustainability of the marine environment.</w:t>
      </w:r>
    </w:p>
    <w:p w:rsidR="0004139D" w:rsidRPr="00383039" w:rsidRDefault="0004139D">
      <w:pPr>
        <w:rPr>
          <w:rFonts w:asciiTheme="majorHAnsi" w:hAnsiTheme="majorHAnsi"/>
          <w:lang w:eastAsia="ja-JP"/>
        </w:rPr>
      </w:pPr>
    </w:p>
    <w:p w:rsidR="0004139D" w:rsidRPr="00383039" w:rsidRDefault="0004139D">
      <w:pPr>
        <w:spacing w:before="10"/>
        <w:rPr>
          <w:rFonts w:asciiTheme="majorHAnsi" w:hAnsiTheme="majorHAnsi"/>
          <w:lang w:eastAsia="ja-JP"/>
        </w:rPr>
      </w:pPr>
    </w:p>
    <w:p w:rsidR="0004139D" w:rsidRPr="00383039" w:rsidRDefault="00016C4F">
      <w:pPr>
        <w:pStyle w:val="BodyText"/>
        <w:jc w:val="both"/>
        <w:rPr>
          <w:rFonts w:asciiTheme="majorHAnsi" w:eastAsiaTheme="minorHAnsi" w:hAnsiTheme="majorHAnsi"/>
          <w:b/>
          <w:sz w:val="22"/>
          <w:szCs w:val="22"/>
          <w:lang w:eastAsia="ja-JP"/>
        </w:rPr>
      </w:pPr>
      <w:r w:rsidRPr="00383039">
        <w:rPr>
          <w:rFonts w:asciiTheme="majorHAnsi" w:eastAsiaTheme="minorHAnsi" w:hAnsiTheme="majorHAnsi"/>
          <w:b/>
          <w:sz w:val="22"/>
          <w:szCs w:val="22"/>
          <w:lang w:eastAsia="ja-JP"/>
        </w:rPr>
        <w:t>Specific comments about the Harvest Strategy Policy are as follows</w:t>
      </w:r>
    </w:p>
    <w:p w:rsidR="0004139D" w:rsidRPr="00383039" w:rsidRDefault="00016C4F">
      <w:pPr>
        <w:pStyle w:val="ListParagraph"/>
        <w:numPr>
          <w:ilvl w:val="0"/>
          <w:numId w:val="1"/>
        </w:numPr>
        <w:tabs>
          <w:tab w:val="left" w:pos="1712"/>
        </w:tabs>
        <w:spacing w:before="117"/>
        <w:jc w:val="both"/>
        <w:rPr>
          <w:rFonts w:asciiTheme="majorHAnsi" w:hAnsiTheme="majorHAnsi"/>
          <w:lang w:eastAsia="ja-JP"/>
        </w:rPr>
      </w:pPr>
      <w:r w:rsidRPr="00383039">
        <w:rPr>
          <w:rFonts w:asciiTheme="majorHAnsi" w:hAnsiTheme="majorHAnsi"/>
          <w:lang w:eastAsia="ja-JP"/>
        </w:rPr>
        <w:t>Species Categorization – Secondary Commercial</w:t>
      </w:r>
    </w:p>
    <w:p w:rsidR="0004139D" w:rsidRPr="00383039" w:rsidRDefault="00016C4F">
      <w:pPr>
        <w:pStyle w:val="BodyText"/>
        <w:spacing w:before="120"/>
        <w:ind w:left="1351" w:right="99"/>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The secondary commercial category is not justified in context of the information put forward in the strategy. Categories should be structured consistent with current Ecological Risk Assessments, and how the fishery is managed.</w:t>
      </w:r>
    </w:p>
    <w:p w:rsidR="0004139D" w:rsidRPr="00383039" w:rsidRDefault="00016C4F">
      <w:pPr>
        <w:pStyle w:val="BodyText"/>
        <w:spacing w:before="120"/>
        <w:ind w:left="1351"/>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Categories currently used are as follows</w:t>
      </w:r>
    </w:p>
    <w:p w:rsidR="0004139D" w:rsidRPr="00383039" w:rsidRDefault="00016C4F">
      <w:pPr>
        <w:pStyle w:val="ListParagraph"/>
        <w:numPr>
          <w:ilvl w:val="1"/>
          <w:numId w:val="1"/>
        </w:numPr>
        <w:tabs>
          <w:tab w:val="left" w:pos="2072"/>
        </w:tabs>
        <w:spacing w:before="120" w:line="293" w:lineRule="exact"/>
        <w:rPr>
          <w:rFonts w:asciiTheme="majorHAnsi" w:hAnsiTheme="majorHAnsi"/>
          <w:lang w:eastAsia="ja-JP"/>
        </w:rPr>
      </w:pPr>
      <w:r w:rsidRPr="00383039">
        <w:rPr>
          <w:rFonts w:asciiTheme="majorHAnsi" w:hAnsiTheme="majorHAnsi"/>
          <w:lang w:eastAsia="ja-JP"/>
        </w:rPr>
        <w:t>Commercial target species (i.e. SFR or quoted species),</w:t>
      </w:r>
    </w:p>
    <w:p w:rsidR="0004139D" w:rsidRPr="00383039" w:rsidRDefault="00016C4F">
      <w:pPr>
        <w:pStyle w:val="ListParagraph"/>
        <w:numPr>
          <w:ilvl w:val="1"/>
          <w:numId w:val="1"/>
        </w:numPr>
        <w:tabs>
          <w:tab w:val="left" w:pos="2072"/>
        </w:tabs>
        <w:spacing w:line="293" w:lineRule="exact"/>
        <w:ind w:right="4063"/>
        <w:rPr>
          <w:rFonts w:asciiTheme="majorHAnsi" w:hAnsiTheme="majorHAnsi"/>
          <w:lang w:eastAsia="ja-JP"/>
        </w:rPr>
      </w:pPr>
      <w:r w:rsidRPr="00383039">
        <w:rPr>
          <w:rFonts w:asciiTheme="majorHAnsi" w:hAnsiTheme="majorHAnsi"/>
          <w:lang w:eastAsia="ja-JP"/>
        </w:rPr>
        <w:t>By-Product,</w:t>
      </w:r>
    </w:p>
    <w:p w:rsidR="0004139D" w:rsidRPr="00383039" w:rsidRDefault="00016C4F">
      <w:pPr>
        <w:pStyle w:val="ListParagraph"/>
        <w:numPr>
          <w:ilvl w:val="1"/>
          <w:numId w:val="1"/>
        </w:numPr>
        <w:tabs>
          <w:tab w:val="left" w:pos="2072"/>
        </w:tabs>
        <w:spacing w:line="293" w:lineRule="exact"/>
        <w:ind w:right="4063"/>
        <w:rPr>
          <w:rFonts w:asciiTheme="majorHAnsi" w:hAnsiTheme="majorHAnsi"/>
          <w:lang w:eastAsia="ja-JP"/>
        </w:rPr>
      </w:pPr>
      <w:r w:rsidRPr="00383039">
        <w:rPr>
          <w:rFonts w:asciiTheme="majorHAnsi" w:hAnsiTheme="majorHAnsi"/>
          <w:lang w:eastAsia="ja-JP"/>
        </w:rPr>
        <w:t>By-Catch and</w:t>
      </w:r>
    </w:p>
    <w:p w:rsidR="0004139D" w:rsidRPr="00383039" w:rsidRDefault="00016C4F">
      <w:pPr>
        <w:pStyle w:val="ListParagraph"/>
        <w:numPr>
          <w:ilvl w:val="1"/>
          <w:numId w:val="1"/>
        </w:numPr>
        <w:tabs>
          <w:tab w:val="left" w:pos="2072"/>
        </w:tabs>
        <w:spacing w:line="294" w:lineRule="exact"/>
        <w:ind w:right="4063"/>
        <w:rPr>
          <w:rFonts w:asciiTheme="majorHAnsi" w:hAnsiTheme="majorHAnsi"/>
          <w:lang w:eastAsia="ja-JP"/>
        </w:rPr>
      </w:pPr>
      <w:r w:rsidRPr="00383039">
        <w:rPr>
          <w:rFonts w:asciiTheme="majorHAnsi" w:hAnsiTheme="majorHAnsi"/>
          <w:lang w:eastAsia="ja-JP"/>
        </w:rPr>
        <w:t>Threatened and Protected Species.</w:t>
      </w:r>
    </w:p>
    <w:p w:rsidR="0004139D" w:rsidRPr="00383039" w:rsidRDefault="00016C4F" w:rsidP="00016C4F">
      <w:pPr>
        <w:pStyle w:val="BodyText"/>
        <w:spacing w:before="115"/>
        <w:ind w:left="1351" w:right="100"/>
        <w:jc w:val="both"/>
        <w:rPr>
          <w:rFonts w:asciiTheme="majorHAnsi" w:eastAsiaTheme="minorHAnsi" w:hAnsiTheme="majorHAnsi"/>
          <w:sz w:val="22"/>
          <w:szCs w:val="22"/>
          <w:lang w:eastAsia="ja-JP"/>
        </w:rPr>
        <w:sectPr w:rsidR="0004139D" w:rsidRPr="00383039">
          <w:type w:val="continuous"/>
          <w:pgSz w:w="11900" w:h="16850"/>
          <w:pgMar w:top="0" w:right="740" w:bottom="280" w:left="0" w:header="720" w:footer="720" w:gutter="0"/>
          <w:cols w:space="720"/>
        </w:sectPr>
      </w:pPr>
      <w:r w:rsidRPr="00383039">
        <w:rPr>
          <w:rFonts w:asciiTheme="majorHAnsi" w:eastAsiaTheme="minorHAnsi" w:hAnsiTheme="majorHAnsi"/>
          <w:sz w:val="22"/>
          <w:szCs w:val="22"/>
          <w:lang w:eastAsia="ja-JP"/>
        </w:rPr>
        <w:t>Furthermore, introducing a secondary commercial category would create regulatory burden due to the research requirement and scientific assessment processes and resulting fishery management arrangements.</w:t>
      </w:r>
    </w:p>
    <w:p w:rsidR="0004139D" w:rsidRPr="00383039" w:rsidRDefault="0004139D" w:rsidP="00016C4F">
      <w:pPr>
        <w:spacing w:before="47"/>
        <w:ind w:right="453"/>
        <w:rPr>
          <w:rFonts w:asciiTheme="majorHAnsi" w:hAnsiTheme="majorHAnsi"/>
          <w:lang w:eastAsia="ja-JP"/>
        </w:rPr>
      </w:pPr>
    </w:p>
    <w:p w:rsidR="0004139D" w:rsidRPr="00383039" w:rsidRDefault="00016C4F">
      <w:pPr>
        <w:pStyle w:val="Heading1"/>
        <w:numPr>
          <w:ilvl w:val="0"/>
          <w:numId w:val="1"/>
        </w:numPr>
        <w:tabs>
          <w:tab w:val="left" w:pos="832"/>
        </w:tabs>
        <w:spacing w:before="69"/>
        <w:ind w:left="831" w:right="563"/>
        <w:jc w:val="left"/>
        <w:rPr>
          <w:rFonts w:asciiTheme="majorHAnsi" w:eastAsiaTheme="minorHAnsi" w:hAnsiTheme="majorHAnsi"/>
          <w:b w:val="0"/>
          <w:bCs w:val="0"/>
          <w:sz w:val="22"/>
          <w:szCs w:val="22"/>
          <w:lang w:eastAsia="ja-JP"/>
        </w:rPr>
      </w:pPr>
      <w:r w:rsidRPr="00383039">
        <w:rPr>
          <w:rFonts w:asciiTheme="majorHAnsi" w:eastAsiaTheme="minorHAnsi" w:hAnsiTheme="majorHAnsi"/>
          <w:b w:val="0"/>
          <w:bCs w:val="0"/>
          <w:sz w:val="22"/>
          <w:szCs w:val="22"/>
          <w:lang w:eastAsia="ja-JP"/>
        </w:rPr>
        <w:t>Reference points and proxies</w:t>
      </w:r>
    </w:p>
    <w:p w:rsidR="0004139D" w:rsidRPr="00383039" w:rsidRDefault="00016C4F">
      <w:pPr>
        <w:pStyle w:val="BodyText"/>
        <w:spacing w:before="120"/>
        <w:ind w:left="471" w:right="563"/>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Justification/reference for proxy reference points need to be included in the document.</w:t>
      </w:r>
    </w:p>
    <w:p w:rsidR="0004139D" w:rsidRPr="00383039" w:rsidRDefault="00016C4F">
      <w:pPr>
        <w:pStyle w:val="Heading1"/>
        <w:numPr>
          <w:ilvl w:val="0"/>
          <w:numId w:val="1"/>
        </w:numPr>
        <w:tabs>
          <w:tab w:val="left" w:pos="832"/>
        </w:tabs>
        <w:spacing w:before="120"/>
        <w:ind w:left="831" w:right="563"/>
        <w:jc w:val="left"/>
        <w:rPr>
          <w:rFonts w:asciiTheme="majorHAnsi" w:eastAsiaTheme="minorHAnsi" w:hAnsiTheme="majorHAnsi"/>
          <w:b w:val="0"/>
          <w:bCs w:val="0"/>
          <w:sz w:val="22"/>
          <w:szCs w:val="22"/>
          <w:lang w:eastAsia="ja-JP"/>
        </w:rPr>
      </w:pPr>
      <w:r w:rsidRPr="00383039">
        <w:rPr>
          <w:rFonts w:asciiTheme="majorHAnsi" w:eastAsiaTheme="minorHAnsi" w:hAnsiTheme="majorHAnsi"/>
          <w:b w:val="0"/>
          <w:bCs w:val="0"/>
          <w:sz w:val="22"/>
          <w:szCs w:val="22"/>
          <w:lang w:eastAsia="ja-JP"/>
        </w:rPr>
        <w:t>Discarding</w:t>
      </w:r>
    </w:p>
    <w:p w:rsidR="0004139D" w:rsidRPr="00383039" w:rsidRDefault="00016C4F">
      <w:pPr>
        <w:pStyle w:val="BodyText"/>
        <w:spacing w:before="120"/>
        <w:ind w:left="471" w:right="563"/>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Discarding occurs for a range of reasons including</w:t>
      </w:r>
    </w:p>
    <w:p w:rsidR="0004139D" w:rsidRPr="00383039" w:rsidRDefault="00016C4F">
      <w:pPr>
        <w:pStyle w:val="ListParagraph"/>
        <w:numPr>
          <w:ilvl w:val="1"/>
          <w:numId w:val="1"/>
        </w:numPr>
        <w:tabs>
          <w:tab w:val="left" w:pos="1192"/>
        </w:tabs>
        <w:spacing w:before="120" w:line="293" w:lineRule="exact"/>
        <w:ind w:left="1191" w:right="563"/>
        <w:rPr>
          <w:rFonts w:asciiTheme="majorHAnsi" w:hAnsiTheme="majorHAnsi"/>
          <w:lang w:eastAsia="ja-JP"/>
        </w:rPr>
      </w:pPr>
      <w:r w:rsidRPr="00383039">
        <w:rPr>
          <w:rFonts w:asciiTheme="majorHAnsi" w:hAnsiTheme="majorHAnsi"/>
          <w:lang w:eastAsia="ja-JP"/>
        </w:rPr>
        <w:t>Damaged catch as a result of predation, and</w:t>
      </w:r>
    </w:p>
    <w:p w:rsidR="0004139D" w:rsidRPr="00383039" w:rsidRDefault="00016C4F">
      <w:pPr>
        <w:pStyle w:val="ListParagraph"/>
        <w:numPr>
          <w:ilvl w:val="1"/>
          <w:numId w:val="1"/>
        </w:numPr>
        <w:tabs>
          <w:tab w:val="left" w:pos="1192"/>
        </w:tabs>
        <w:ind w:left="1191" w:right="563"/>
        <w:rPr>
          <w:rFonts w:asciiTheme="majorHAnsi" w:hAnsiTheme="majorHAnsi"/>
          <w:lang w:eastAsia="ja-JP"/>
        </w:rPr>
      </w:pPr>
      <w:r w:rsidRPr="00383039">
        <w:rPr>
          <w:rFonts w:asciiTheme="majorHAnsi" w:hAnsiTheme="majorHAnsi"/>
          <w:lang w:eastAsia="ja-JP"/>
        </w:rPr>
        <w:t>Managing catch as a direct result of fishery inter-annual variations and episodic events resulting in fish being released live and vigorous.</w:t>
      </w:r>
    </w:p>
    <w:p w:rsidR="0004139D" w:rsidRPr="00383039" w:rsidRDefault="00016C4F">
      <w:pPr>
        <w:pStyle w:val="BodyText"/>
        <w:spacing w:before="117"/>
        <w:ind w:left="111" w:right="563" w:firstLine="360"/>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This needs to be reflected in the strategy in addition to issues associated with high grading.</w:t>
      </w:r>
    </w:p>
    <w:p w:rsidR="0004139D" w:rsidRPr="00383039" w:rsidRDefault="0004139D">
      <w:pPr>
        <w:rPr>
          <w:rFonts w:asciiTheme="majorHAnsi" w:hAnsiTheme="majorHAnsi"/>
          <w:lang w:eastAsia="ja-JP"/>
        </w:rPr>
      </w:pPr>
      <w:bookmarkStart w:id="0" w:name="_GoBack"/>
      <w:bookmarkEnd w:id="0"/>
    </w:p>
    <w:p w:rsidR="0004139D" w:rsidRPr="00383039" w:rsidRDefault="0004139D">
      <w:pPr>
        <w:spacing w:before="10"/>
        <w:rPr>
          <w:rFonts w:asciiTheme="majorHAnsi" w:hAnsiTheme="majorHAnsi"/>
          <w:lang w:eastAsia="ja-JP"/>
        </w:rPr>
      </w:pPr>
    </w:p>
    <w:p w:rsidR="0004139D" w:rsidRPr="00383039" w:rsidRDefault="00016C4F">
      <w:pPr>
        <w:pStyle w:val="BodyText"/>
        <w:ind w:left="111" w:right="560"/>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Australian Fisheries are well managed and currently meet or exceed ecological sustainable development reporting requirements. In some international spheres Australia is perceived to over-manage fisheries. The content and application of the harvest strategy needs very careful consideration in context of Australia’s negotiating position in international forums. Is Australia setting the bar too high and undermining its capacity to influence?</w:t>
      </w:r>
    </w:p>
    <w:p w:rsidR="0004139D" w:rsidRPr="00383039" w:rsidRDefault="00016C4F">
      <w:pPr>
        <w:pStyle w:val="BodyText"/>
        <w:spacing w:before="120"/>
        <w:ind w:left="111" w:right="558"/>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Management costs this year were restructured according to the 2017 Cost Recovery Implementation Statement. This resulted in a 16% and 12% rise respectively in ETBF and WTBF fishery management costs. Of concern in this harvest strategy is the regulatory burden associated with additional reporting and management processes, resulting in further industry management costs.</w:t>
      </w:r>
    </w:p>
    <w:p w:rsidR="0004139D" w:rsidRPr="00383039" w:rsidRDefault="00016C4F">
      <w:pPr>
        <w:pStyle w:val="BodyText"/>
        <w:spacing w:before="120"/>
        <w:ind w:left="111" w:right="563"/>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 xml:space="preserve">In summary, implementing efficient and cost effective fisheries management is </w:t>
      </w:r>
      <w:proofErr w:type="gramStart"/>
      <w:r w:rsidRPr="00383039">
        <w:rPr>
          <w:rFonts w:asciiTheme="majorHAnsi" w:eastAsiaTheme="minorHAnsi" w:hAnsiTheme="majorHAnsi"/>
          <w:sz w:val="22"/>
          <w:szCs w:val="22"/>
          <w:lang w:eastAsia="ja-JP"/>
        </w:rPr>
        <w:t>a  clear</w:t>
      </w:r>
      <w:proofErr w:type="gramEnd"/>
      <w:r w:rsidRPr="00383039">
        <w:rPr>
          <w:rFonts w:asciiTheme="majorHAnsi" w:eastAsiaTheme="minorHAnsi" w:hAnsiTheme="majorHAnsi"/>
          <w:sz w:val="22"/>
          <w:szCs w:val="22"/>
          <w:lang w:eastAsia="ja-JP"/>
        </w:rPr>
        <w:t xml:space="preserve"> objective of the Australian government and is supported by industry. However, industry cannot support aspects of the DRAFT Harvest Strategy Policy where</w:t>
      </w:r>
    </w:p>
    <w:p w:rsidR="0004139D" w:rsidRPr="00383039" w:rsidRDefault="00016C4F">
      <w:pPr>
        <w:pStyle w:val="ListParagraph"/>
        <w:numPr>
          <w:ilvl w:val="0"/>
          <w:numId w:val="2"/>
        </w:numPr>
        <w:tabs>
          <w:tab w:val="left" w:pos="832"/>
        </w:tabs>
        <w:spacing w:before="120"/>
        <w:ind w:right="563"/>
        <w:rPr>
          <w:rFonts w:asciiTheme="majorHAnsi" w:hAnsiTheme="majorHAnsi"/>
          <w:lang w:eastAsia="ja-JP"/>
        </w:rPr>
      </w:pPr>
      <w:r w:rsidRPr="00383039">
        <w:rPr>
          <w:rFonts w:asciiTheme="majorHAnsi" w:hAnsiTheme="majorHAnsi"/>
          <w:lang w:eastAsia="ja-JP"/>
        </w:rPr>
        <w:t>Industry currently meets or exceeds current arrangements/criteria;</w:t>
      </w:r>
    </w:p>
    <w:p w:rsidR="0004139D" w:rsidRPr="00383039" w:rsidRDefault="00016C4F">
      <w:pPr>
        <w:pStyle w:val="ListParagraph"/>
        <w:numPr>
          <w:ilvl w:val="0"/>
          <w:numId w:val="2"/>
        </w:numPr>
        <w:tabs>
          <w:tab w:val="left" w:pos="832"/>
        </w:tabs>
        <w:ind w:right="563"/>
        <w:rPr>
          <w:rFonts w:asciiTheme="majorHAnsi" w:hAnsiTheme="majorHAnsi"/>
          <w:lang w:eastAsia="ja-JP"/>
        </w:rPr>
      </w:pPr>
      <w:r w:rsidRPr="00383039">
        <w:rPr>
          <w:rFonts w:asciiTheme="majorHAnsi" w:hAnsiTheme="majorHAnsi"/>
          <w:lang w:eastAsia="ja-JP"/>
        </w:rPr>
        <w:t>The strategy may compromise Australia’s negotiating position, and</w:t>
      </w:r>
    </w:p>
    <w:p w:rsidR="0004139D" w:rsidRPr="00383039" w:rsidRDefault="00016C4F">
      <w:pPr>
        <w:pStyle w:val="ListParagraph"/>
        <w:numPr>
          <w:ilvl w:val="0"/>
          <w:numId w:val="2"/>
        </w:numPr>
        <w:tabs>
          <w:tab w:val="left" w:pos="832"/>
        </w:tabs>
        <w:ind w:right="563"/>
        <w:rPr>
          <w:rFonts w:asciiTheme="majorHAnsi" w:hAnsiTheme="majorHAnsi"/>
          <w:lang w:eastAsia="ja-JP"/>
        </w:rPr>
      </w:pPr>
      <w:r w:rsidRPr="00383039">
        <w:rPr>
          <w:rFonts w:asciiTheme="majorHAnsi" w:hAnsiTheme="majorHAnsi"/>
          <w:lang w:eastAsia="ja-JP"/>
        </w:rPr>
        <w:t>Proposed changes will result in regulatory burden and increase fishery management costs.</w:t>
      </w:r>
    </w:p>
    <w:p w:rsidR="0004139D" w:rsidRPr="00383039" w:rsidRDefault="0004139D">
      <w:pPr>
        <w:rPr>
          <w:rFonts w:asciiTheme="majorHAnsi" w:hAnsiTheme="majorHAnsi"/>
          <w:lang w:eastAsia="ja-JP"/>
        </w:rPr>
      </w:pPr>
    </w:p>
    <w:p w:rsidR="0004139D" w:rsidRPr="00383039" w:rsidRDefault="0004139D">
      <w:pPr>
        <w:rPr>
          <w:rFonts w:asciiTheme="majorHAnsi" w:hAnsiTheme="majorHAnsi"/>
          <w:lang w:eastAsia="ja-JP"/>
        </w:rPr>
      </w:pPr>
    </w:p>
    <w:p w:rsidR="0004139D" w:rsidRPr="00383039" w:rsidRDefault="0004139D">
      <w:pPr>
        <w:spacing w:before="4"/>
        <w:rPr>
          <w:rFonts w:asciiTheme="majorHAnsi" w:hAnsiTheme="majorHAnsi"/>
          <w:lang w:eastAsia="ja-JP"/>
        </w:rPr>
      </w:pPr>
    </w:p>
    <w:p w:rsidR="0004139D" w:rsidRPr="00383039" w:rsidRDefault="00016C4F">
      <w:pPr>
        <w:pStyle w:val="BodyText"/>
        <w:ind w:left="111"/>
        <w:jc w:val="both"/>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Yours Faithfully</w:t>
      </w:r>
    </w:p>
    <w:p w:rsidR="0004139D" w:rsidRPr="00383039" w:rsidRDefault="0004139D">
      <w:pPr>
        <w:spacing w:before="4"/>
        <w:rPr>
          <w:rFonts w:asciiTheme="majorHAnsi" w:hAnsiTheme="majorHAnsi"/>
          <w:lang w:eastAsia="ja-JP"/>
        </w:rPr>
      </w:pPr>
    </w:p>
    <w:p w:rsidR="00016C4F" w:rsidRPr="00383039" w:rsidRDefault="00016C4F">
      <w:pPr>
        <w:pStyle w:val="BodyText"/>
        <w:spacing w:before="120" w:line="343" w:lineRule="auto"/>
        <w:ind w:left="111" w:right="8078"/>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 xml:space="preserve">Chief Executive Officer </w:t>
      </w:r>
    </w:p>
    <w:p w:rsidR="0004139D" w:rsidRPr="00383039" w:rsidRDefault="00016C4F">
      <w:pPr>
        <w:pStyle w:val="BodyText"/>
        <w:spacing w:before="120" w:line="343" w:lineRule="auto"/>
        <w:ind w:left="111" w:right="8078"/>
        <w:rPr>
          <w:rFonts w:asciiTheme="majorHAnsi" w:eastAsiaTheme="minorHAnsi" w:hAnsiTheme="majorHAnsi"/>
          <w:sz w:val="22"/>
          <w:szCs w:val="22"/>
          <w:lang w:eastAsia="ja-JP"/>
        </w:rPr>
      </w:pPr>
      <w:r w:rsidRPr="00383039">
        <w:rPr>
          <w:rFonts w:asciiTheme="majorHAnsi" w:eastAsiaTheme="minorHAnsi" w:hAnsiTheme="majorHAnsi"/>
          <w:sz w:val="22"/>
          <w:szCs w:val="22"/>
          <w:lang w:eastAsia="ja-JP"/>
        </w:rPr>
        <w:t>9 June 2017</w:t>
      </w:r>
    </w:p>
    <w:p w:rsidR="0004139D" w:rsidRDefault="0004139D">
      <w:pPr>
        <w:rPr>
          <w:rFonts w:ascii="Arial" w:eastAsia="Arial" w:hAnsi="Arial" w:cs="Arial"/>
          <w:sz w:val="20"/>
          <w:szCs w:val="20"/>
        </w:rPr>
      </w:pPr>
    </w:p>
    <w:p w:rsidR="0004139D" w:rsidRDefault="0004139D">
      <w:pPr>
        <w:spacing w:before="11"/>
        <w:rPr>
          <w:rFonts w:ascii="Arial" w:eastAsia="Arial" w:hAnsi="Arial" w:cs="Arial"/>
          <w:sz w:val="21"/>
          <w:szCs w:val="21"/>
        </w:rPr>
      </w:pPr>
    </w:p>
    <w:p w:rsidR="0004139D" w:rsidRDefault="0004139D">
      <w:pPr>
        <w:spacing w:before="109"/>
        <w:ind w:right="1605"/>
        <w:jc w:val="right"/>
        <w:rPr>
          <w:rFonts w:ascii="Calibri" w:eastAsia="Calibri" w:hAnsi="Calibri" w:cs="Calibri"/>
          <w:sz w:val="16"/>
          <w:szCs w:val="16"/>
        </w:rPr>
      </w:pPr>
    </w:p>
    <w:sectPr w:rsidR="0004139D">
      <w:pgSz w:w="11900" w:h="16850"/>
      <w:pgMar w:top="660" w:right="2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12879"/>
    <w:multiLevelType w:val="hybridMultilevel"/>
    <w:tmpl w:val="D64C9E54"/>
    <w:lvl w:ilvl="0" w:tplc="781E924C">
      <w:start w:val="1"/>
      <w:numFmt w:val="decimal"/>
      <w:lvlText w:val="%1."/>
      <w:lvlJc w:val="left"/>
      <w:pPr>
        <w:ind w:left="1711" w:hanging="360"/>
        <w:jc w:val="right"/>
      </w:pPr>
      <w:rPr>
        <w:rFonts w:ascii="Arial" w:eastAsia="Arial" w:hAnsi="Arial" w:hint="default"/>
        <w:b/>
        <w:bCs/>
        <w:w w:val="100"/>
        <w:sz w:val="24"/>
        <w:szCs w:val="24"/>
      </w:rPr>
    </w:lvl>
    <w:lvl w:ilvl="1" w:tplc="D1B49922">
      <w:start w:val="1"/>
      <w:numFmt w:val="bullet"/>
      <w:lvlText w:val=""/>
      <w:lvlJc w:val="left"/>
      <w:pPr>
        <w:ind w:left="2071" w:hanging="360"/>
      </w:pPr>
      <w:rPr>
        <w:rFonts w:ascii="Symbol" w:eastAsia="Symbol" w:hAnsi="Symbol" w:hint="default"/>
        <w:w w:val="100"/>
        <w:sz w:val="24"/>
        <w:szCs w:val="24"/>
      </w:rPr>
    </w:lvl>
    <w:lvl w:ilvl="2" w:tplc="135E5074">
      <w:start w:val="1"/>
      <w:numFmt w:val="bullet"/>
      <w:lvlText w:val="•"/>
      <w:lvlJc w:val="left"/>
      <w:pPr>
        <w:ind w:left="2080" w:hanging="360"/>
      </w:pPr>
      <w:rPr>
        <w:rFonts w:hint="default"/>
      </w:rPr>
    </w:lvl>
    <w:lvl w:ilvl="3" w:tplc="EF52BBDC">
      <w:start w:val="1"/>
      <w:numFmt w:val="bullet"/>
      <w:lvlText w:val="•"/>
      <w:lvlJc w:val="left"/>
      <w:pPr>
        <w:ind w:left="3104" w:hanging="360"/>
      </w:pPr>
      <w:rPr>
        <w:rFonts w:hint="default"/>
      </w:rPr>
    </w:lvl>
    <w:lvl w:ilvl="4" w:tplc="8820982C">
      <w:start w:val="1"/>
      <w:numFmt w:val="bullet"/>
      <w:lvlText w:val="•"/>
      <w:lvlJc w:val="left"/>
      <w:pPr>
        <w:ind w:left="4129" w:hanging="360"/>
      </w:pPr>
      <w:rPr>
        <w:rFonts w:hint="default"/>
      </w:rPr>
    </w:lvl>
    <w:lvl w:ilvl="5" w:tplc="4AFE59E6">
      <w:start w:val="1"/>
      <w:numFmt w:val="bullet"/>
      <w:lvlText w:val="•"/>
      <w:lvlJc w:val="left"/>
      <w:pPr>
        <w:ind w:left="5154" w:hanging="360"/>
      </w:pPr>
      <w:rPr>
        <w:rFonts w:hint="default"/>
      </w:rPr>
    </w:lvl>
    <w:lvl w:ilvl="6" w:tplc="4D123FF6">
      <w:start w:val="1"/>
      <w:numFmt w:val="bullet"/>
      <w:lvlText w:val="•"/>
      <w:lvlJc w:val="left"/>
      <w:pPr>
        <w:ind w:left="6179" w:hanging="360"/>
      </w:pPr>
      <w:rPr>
        <w:rFonts w:hint="default"/>
      </w:rPr>
    </w:lvl>
    <w:lvl w:ilvl="7" w:tplc="3A6A3F2A">
      <w:start w:val="1"/>
      <w:numFmt w:val="bullet"/>
      <w:lvlText w:val="•"/>
      <w:lvlJc w:val="left"/>
      <w:pPr>
        <w:ind w:left="7204" w:hanging="360"/>
      </w:pPr>
      <w:rPr>
        <w:rFonts w:hint="default"/>
      </w:rPr>
    </w:lvl>
    <w:lvl w:ilvl="8" w:tplc="84842584">
      <w:start w:val="1"/>
      <w:numFmt w:val="bullet"/>
      <w:lvlText w:val="•"/>
      <w:lvlJc w:val="left"/>
      <w:pPr>
        <w:ind w:left="8229" w:hanging="360"/>
      </w:pPr>
      <w:rPr>
        <w:rFonts w:hint="default"/>
      </w:rPr>
    </w:lvl>
  </w:abstractNum>
  <w:abstractNum w:abstractNumId="1" w15:restartNumberingAfterBreak="0">
    <w:nsid w:val="41714071"/>
    <w:multiLevelType w:val="hybridMultilevel"/>
    <w:tmpl w:val="C5CE0CC4"/>
    <w:lvl w:ilvl="0" w:tplc="143EE36C">
      <w:start w:val="1"/>
      <w:numFmt w:val="decimal"/>
      <w:lvlText w:val="%1."/>
      <w:lvlJc w:val="left"/>
      <w:pPr>
        <w:ind w:left="831" w:hanging="360"/>
      </w:pPr>
      <w:rPr>
        <w:rFonts w:ascii="Arial" w:eastAsia="Arial" w:hAnsi="Arial" w:hint="default"/>
        <w:w w:val="100"/>
        <w:sz w:val="24"/>
        <w:szCs w:val="24"/>
      </w:rPr>
    </w:lvl>
    <w:lvl w:ilvl="1" w:tplc="50DC8A34">
      <w:start w:val="1"/>
      <w:numFmt w:val="bullet"/>
      <w:lvlText w:val="•"/>
      <w:lvlJc w:val="left"/>
      <w:pPr>
        <w:ind w:left="7940" w:hanging="360"/>
      </w:pPr>
      <w:rPr>
        <w:rFonts w:hint="default"/>
      </w:rPr>
    </w:lvl>
    <w:lvl w:ilvl="2" w:tplc="571AF0DE">
      <w:start w:val="1"/>
      <w:numFmt w:val="bullet"/>
      <w:lvlText w:val="•"/>
      <w:lvlJc w:val="left"/>
      <w:pPr>
        <w:ind w:left="8251" w:hanging="360"/>
      </w:pPr>
      <w:rPr>
        <w:rFonts w:hint="default"/>
      </w:rPr>
    </w:lvl>
    <w:lvl w:ilvl="3" w:tplc="FA4E2CE6">
      <w:start w:val="1"/>
      <w:numFmt w:val="bullet"/>
      <w:lvlText w:val="•"/>
      <w:lvlJc w:val="left"/>
      <w:pPr>
        <w:ind w:left="8562" w:hanging="360"/>
      </w:pPr>
      <w:rPr>
        <w:rFonts w:hint="default"/>
      </w:rPr>
    </w:lvl>
    <w:lvl w:ilvl="4" w:tplc="FACAB706">
      <w:start w:val="1"/>
      <w:numFmt w:val="bullet"/>
      <w:lvlText w:val="•"/>
      <w:lvlJc w:val="left"/>
      <w:pPr>
        <w:ind w:left="8873" w:hanging="360"/>
      </w:pPr>
      <w:rPr>
        <w:rFonts w:hint="default"/>
      </w:rPr>
    </w:lvl>
    <w:lvl w:ilvl="5" w:tplc="F9442D64">
      <w:start w:val="1"/>
      <w:numFmt w:val="bullet"/>
      <w:lvlText w:val="•"/>
      <w:lvlJc w:val="left"/>
      <w:pPr>
        <w:ind w:left="9184" w:hanging="360"/>
      </w:pPr>
      <w:rPr>
        <w:rFonts w:hint="default"/>
      </w:rPr>
    </w:lvl>
    <w:lvl w:ilvl="6" w:tplc="A5D68B54">
      <w:start w:val="1"/>
      <w:numFmt w:val="bullet"/>
      <w:lvlText w:val="•"/>
      <w:lvlJc w:val="left"/>
      <w:pPr>
        <w:ind w:left="9495" w:hanging="360"/>
      </w:pPr>
      <w:rPr>
        <w:rFonts w:hint="default"/>
      </w:rPr>
    </w:lvl>
    <w:lvl w:ilvl="7" w:tplc="B67C4AFA">
      <w:start w:val="1"/>
      <w:numFmt w:val="bullet"/>
      <w:lvlText w:val="•"/>
      <w:lvlJc w:val="left"/>
      <w:pPr>
        <w:ind w:left="9806" w:hanging="360"/>
      </w:pPr>
      <w:rPr>
        <w:rFonts w:hint="default"/>
      </w:rPr>
    </w:lvl>
    <w:lvl w:ilvl="8" w:tplc="CA28F5E8">
      <w:start w:val="1"/>
      <w:numFmt w:val="bullet"/>
      <w:lvlText w:val="•"/>
      <w:lvlJc w:val="left"/>
      <w:pPr>
        <w:ind w:left="1011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4139D"/>
    <w:rsid w:val="00016C4F"/>
    <w:rsid w:val="0004139D"/>
    <w:rsid w:val="00383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0DAE4-D912-4420-881A-154544D4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831"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9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550580C-6BFB-4B0D-BD4C-746C1E0A5086}"/>
</file>

<file path=customXml/itemProps2.xml><?xml version="1.0" encoding="utf-8"?>
<ds:datastoreItem xmlns:ds="http://schemas.openxmlformats.org/officeDocument/2006/customXml" ds:itemID="{0C9D9E37-9C7C-44E1-A626-7238288F7E68}"/>
</file>

<file path=customXml/itemProps3.xml><?xml version="1.0" encoding="utf-8"?>
<ds:datastoreItem xmlns:ds="http://schemas.openxmlformats.org/officeDocument/2006/customXml" ds:itemID="{84509970-52F2-4619-9BED-DB9977F6F7E7}"/>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Parle, Jack</cp:lastModifiedBy>
  <cp:revision>3</cp:revision>
  <dcterms:created xsi:type="dcterms:W3CDTF">2017-07-19T09:37:00Z</dcterms:created>
  <dcterms:modified xsi:type="dcterms:W3CDTF">2017-07-18T23:44:00Z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www.convertapi.com   </vt:lpwstr>
  </property>
  <property fmtid="{D5CDD505-2E9C-101B-9397-08002B2CF9AE}" pid="4" name="LastSaved">
    <vt:filetime>2017-07-18T00:00:00Z</vt:filetime>
  </property>
  <property fmtid="{D5CDD505-2E9C-101B-9397-08002B2CF9AE}" pid="5" name="ContentTypeId">
    <vt:lpwstr>0x01010078F6B24EF29B14488A4D3E054F39A21B</vt:lpwstr>
  </property>
</Properties>
</file>