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BF34F5" w14:textId="10401447" w:rsidR="00E14EB3" w:rsidRDefault="00DB0A03" w:rsidP="00E14EB3">
      <w:pPr>
        <w:spacing w:after="386" w:line="259" w:lineRule="auto"/>
        <w:ind w:right="13"/>
        <w:jc w:val="center"/>
      </w:pPr>
      <w:r>
        <w:rPr>
          <w:caps/>
          <w:noProof/>
          <w:lang w:eastAsia="en-AU"/>
        </w:rPr>
        <w:drawing>
          <wp:inline distT="0" distB="0" distL="0" distR="0" wp14:anchorId="05569102" wp14:editId="3995CB69">
            <wp:extent cx="2465705" cy="1371600"/>
            <wp:effectExtent l="0" t="0" r="0" b="0"/>
            <wp:docPr id="5" name="Picture 2"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r w:rsidR="00E14EB3">
        <w:rPr>
          <w:rFonts w:ascii="Times New Roman" w:eastAsia="Times New Roman" w:hAnsi="Times New Roman"/>
          <w:sz w:val="24"/>
        </w:rPr>
        <w:t xml:space="preserve"> </w:t>
      </w:r>
    </w:p>
    <w:p w14:paraId="005F8329" w14:textId="77777777" w:rsidR="00E14EB3" w:rsidRPr="00C81E41" w:rsidRDefault="00E14EB3" w:rsidP="00C81E41">
      <w:pPr>
        <w:pStyle w:val="Heading1"/>
      </w:pPr>
      <w:r w:rsidRPr="00C81E41">
        <w:t>Australian Government response to the Senate Environment and Communications References Committee report:</w:t>
      </w:r>
    </w:p>
    <w:p w14:paraId="6B375B70" w14:textId="0CA50A42" w:rsidR="00E14EB3" w:rsidRPr="00C81E41" w:rsidRDefault="00E14EB3" w:rsidP="00C81E41">
      <w:pPr>
        <w:pStyle w:val="Heading1"/>
      </w:pPr>
      <w:r w:rsidRPr="00C81E41">
        <w:t xml:space="preserve">Factory freezer trawlers in </w:t>
      </w:r>
      <w:r w:rsidR="00A36539" w:rsidRPr="00C81E41">
        <w:t>the Commonwealth Small Pelagic F</w:t>
      </w:r>
      <w:r w:rsidRPr="00C81E41">
        <w:t>ishery</w:t>
      </w:r>
    </w:p>
    <w:p w14:paraId="4BC28A47" w14:textId="77777777" w:rsidR="00C81E41" w:rsidRDefault="00C81E41" w:rsidP="00E14EB3">
      <w:pPr>
        <w:spacing w:before="0"/>
        <w:jc w:val="right"/>
        <w:rPr>
          <w:rFonts w:ascii="Times New Roman" w:eastAsia="Times New Roman" w:hAnsi="Times New Roman"/>
          <w:sz w:val="28"/>
        </w:rPr>
      </w:pPr>
    </w:p>
    <w:p w14:paraId="013FA0C3" w14:textId="77777777" w:rsidR="00C81E41" w:rsidRDefault="00C81E41" w:rsidP="00E14EB3">
      <w:pPr>
        <w:spacing w:before="0"/>
        <w:jc w:val="right"/>
        <w:rPr>
          <w:rFonts w:ascii="Times New Roman" w:eastAsia="Times New Roman" w:hAnsi="Times New Roman"/>
          <w:sz w:val="28"/>
        </w:rPr>
      </w:pPr>
    </w:p>
    <w:p w14:paraId="0106F996" w14:textId="77777777" w:rsidR="00C81E41" w:rsidRDefault="00C81E41" w:rsidP="00E14EB3">
      <w:pPr>
        <w:spacing w:before="0"/>
        <w:jc w:val="right"/>
        <w:rPr>
          <w:rFonts w:ascii="Times New Roman" w:eastAsia="Times New Roman" w:hAnsi="Times New Roman"/>
          <w:sz w:val="28"/>
        </w:rPr>
      </w:pPr>
    </w:p>
    <w:p w14:paraId="03A1B16F" w14:textId="77777777" w:rsidR="00C81E41" w:rsidRDefault="00C81E41" w:rsidP="00E14EB3">
      <w:pPr>
        <w:spacing w:before="0"/>
        <w:jc w:val="right"/>
        <w:rPr>
          <w:rFonts w:ascii="Times New Roman" w:eastAsia="Times New Roman" w:hAnsi="Times New Roman"/>
          <w:sz w:val="28"/>
        </w:rPr>
      </w:pPr>
    </w:p>
    <w:p w14:paraId="6D20A84D" w14:textId="77777777" w:rsidR="00C81E41" w:rsidRDefault="00C81E41" w:rsidP="00E14EB3">
      <w:pPr>
        <w:spacing w:before="0"/>
        <w:jc w:val="right"/>
        <w:rPr>
          <w:rFonts w:ascii="Times New Roman" w:eastAsia="Times New Roman" w:hAnsi="Times New Roman"/>
          <w:sz w:val="28"/>
        </w:rPr>
      </w:pPr>
    </w:p>
    <w:p w14:paraId="18E593A6" w14:textId="77777777" w:rsidR="00C81E41" w:rsidRDefault="00C81E41" w:rsidP="00E14EB3">
      <w:pPr>
        <w:spacing w:before="0"/>
        <w:jc w:val="right"/>
        <w:rPr>
          <w:rFonts w:ascii="Times New Roman" w:eastAsia="Times New Roman" w:hAnsi="Times New Roman"/>
          <w:sz w:val="28"/>
        </w:rPr>
      </w:pPr>
    </w:p>
    <w:p w14:paraId="3A5E039F" w14:textId="77777777" w:rsidR="00C81E41" w:rsidRDefault="00C81E41" w:rsidP="00E14EB3">
      <w:pPr>
        <w:spacing w:before="0"/>
        <w:jc w:val="right"/>
        <w:rPr>
          <w:rFonts w:ascii="Times New Roman" w:eastAsia="Times New Roman" w:hAnsi="Times New Roman"/>
          <w:sz w:val="28"/>
        </w:rPr>
      </w:pPr>
    </w:p>
    <w:p w14:paraId="43BDCD11" w14:textId="77777777" w:rsidR="00C81E41" w:rsidRDefault="00C81E41" w:rsidP="00E14EB3">
      <w:pPr>
        <w:spacing w:before="0"/>
        <w:jc w:val="right"/>
        <w:rPr>
          <w:rFonts w:ascii="Times New Roman" w:eastAsia="Times New Roman" w:hAnsi="Times New Roman"/>
          <w:sz w:val="28"/>
        </w:rPr>
      </w:pPr>
    </w:p>
    <w:p w14:paraId="6370EB00" w14:textId="77777777" w:rsidR="00C81E41" w:rsidRDefault="00C81E41" w:rsidP="00E14EB3">
      <w:pPr>
        <w:spacing w:before="0"/>
        <w:jc w:val="right"/>
        <w:rPr>
          <w:rFonts w:ascii="Times New Roman" w:eastAsia="Times New Roman" w:hAnsi="Times New Roman"/>
          <w:sz w:val="28"/>
        </w:rPr>
      </w:pPr>
    </w:p>
    <w:p w14:paraId="7DF4596E" w14:textId="77777777" w:rsidR="00C81E41" w:rsidRDefault="00C81E41" w:rsidP="00E14EB3">
      <w:pPr>
        <w:spacing w:before="0"/>
        <w:jc w:val="right"/>
        <w:rPr>
          <w:rFonts w:ascii="Times New Roman" w:eastAsia="Times New Roman" w:hAnsi="Times New Roman"/>
          <w:sz w:val="28"/>
        </w:rPr>
      </w:pPr>
    </w:p>
    <w:p w14:paraId="2217C986" w14:textId="77777777" w:rsidR="00C81E41" w:rsidRDefault="00C81E41" w:rsidP="00E14EB3">
      <w:pPr>
        <w:spacing w:before="0"/>
        <w:jc w:val="right"/>
        <w:rPr>
          <w:rFonts w:ascii="Times New Roman" w:eastAsia="Times New Roman" w:hAnsi="Times New Roman"/>
          <w:sz w:val="28"/>
        </w:rPr>
      </w:pPr>
    </w:p>
    <w:p w14:paraId="059AD733" w14:textId="77777777" w:rsidR="00C81E41" w:rsidRDefault="00C81E41" w:rsidP="00E14EB3">
      <w:pPr>
        <w:spacing w:before="0"/>
        <w:jc w:val="right"/>
        <w:rPr>
          <w:rFonts w:ascii="Times New Roman" w:eastAsia="Times New Roman" w:hAnsi="Times New Roman"/>
          <w:sz w:val="28"/>
        </w:rPr>
      </w:pPr>
    </w:p>
    <w:p w14:paraId="203E77E0" w14:textId="77777777" w:rsidR="00C81E41" w:rsidRDefault="00C81E41" w:rsidP="00E14EB3">
      <w:pPr>
        <w:spacing w:before="0"/>
        <w:jc w:val="right"/>
        <w:rPr>
          <w:rFonts w:ascii="Times New Roman" w:eastAsia="Times New Roman" w:hAnsi="Times New Roman"/>
          <w:sz w:val="28"/>
        </w:rPr>
      </w:pPr>
    </w:p>
    <w:p w14:paraId="178996A2" w14:textId="77777777" w:rsidR="00C81E41" w:rsidRDefault="00C81E41" w:rsidP="00E14EB3">
      <w:pPr>
        <w:spacing w:before="0"/>
        <w:jc w:val="right"/>
        <w:rPr>
          <w:rFonts w:ascii="Times New Roman" w:eastAsia="Times New Roman" w:hAnsi="Times New Roman"/>
          <w:sz w:val="28"/>
        </w:rPr>
      </w:pPr>
    </w:p>
    <w:p w14:paraId="1464788E" w14:textId="77777777" w:rsidR="00C81E41" w:rsidRDefault="00C81E41" w:rsidP="00E14EB3">
      <w:pPr>
        <w:spacing w:before="0"/>
        <w:jc w:val="right"/>
        <w:rPr>
          <w:rFonts w:ascii="Times New Roman" w:eastAsia="Times New Roman" w:hAnsi="Times New Roman"/>
          <w:sz w:val="28"/>
        </w:rPr>
      </w:pPr>
    </w:p>
    <w:p w14:paraId="6D719FCC" w14:textId="77777777" w:rsidR="00C81E41" w:rsidRDefault="00C81E41" w:rsidP="00E14EB3">
      <w:pPr>
        <w:spacing w:before="0"/>
        <w:jc w:val="right"/>
        <w:rPr>
          <w:rFonts w:ascii="Times New Roman" w:eastAsia="Times New Roman" w:hAnsi="Times New Roman"/>
          <w:sz w:val="28"/>
        </w:rPr>
      </w:pPr>
    </w:p>
    <w:p w14:paraId="3B0C4880" w14:textId="77777777" w:rsidR="00C81E41" w:rsidRDefault="00C81E41" w:rsidP="00E14EB3">
      <w:pPr>
        <w:spacing w:before="0"/>
        <w:jc w:val="right"/>
        <w:rPr>
          <w:rFonts w:ascii="Times New Roman" w:eastAsia="Times New Roman" w:hAnsi="Times New Roman"/>
          <w:sz w:val="28"/>
        </w:rPr>
      </w:pPr>
    </w:p>
    <w:p w14:paraId="614625D9" w14:textId="77777777" w:rsidR="00C81E41" w:rsidRDefault="00C81E41" w:rsidP="00E14EB3">
      <w:pPr>
        <w:spacing w:before="0"/>
        <w:jc w:val="right"/>
        <w:rPr>
          <w:rFonts w:ascii="Times New Roman" w:eastAsia="Times New Roman" w:hAnsi="Times New Roman"/>
          <w:sz w:val="28"/>
        </w:rPr>
      </w:pPr>
    </w:p>
    <w:p w14:paraId="5B26DD62" w14:textId="77777777" w:rsidR="00C81E41" w:rsidRDefault="00C81E41" w:rsidP="00E14EB3">
      <w:pPr>
        <w:spacing w:before="0"/>
        <w:jc w:val="right"/>
        <w:rPr>
          <w:rFonts w:ascii="Times New Roman" w:eastAsia="Times New Roman" w:hAnsi="Times New Roman"/>
          <w:sz w:val="28"/>
        </w:rPr>
      </w:pPr>
    </w:p>
    <w:p w14:paraId="7D07D37C" w14:textId="77777777" w:rsidR="00C81E41" w:rsidRDefault="00C81E41" w:rsidP="00E14EB3">
      <w:pPr>
        <w:spacing w:before="0"/>
        <w:jc w:val="right"/>
        <w:rPr>
          <w:rFonts w:ascii="Times New Roman" w:eastAsia="Times New Roman" w:hAnsi="Times New Roman"/>
          <w:sz w:val="28"/>
        </w:rPr>
      </w:pPr>
    </w:p>
    <w:p w14:paraId="304948EA" w14:textId="77777777" w:rsidR="00C81E41" w:rsidRDefault="00C81E41" w:rsidP="00E14EB3">
      <w:pPr>
        <w:spacing w:before="0"/>
        <w:jc w:val="right"/>
        <w:rPr>
          <w:rFonts w:ascii="Times New Roman" w:eastAsia="Times New Roman" w:hAnsi="Times New Roman"/>
          <w:sz w:val="28"/>
        </w:rPr>
      </w:pPr>
    </w:p>
    <w:p w14:paraId="067EFF12" w14:textId="77777777" w:rsidR="00C81E41" w:rsidRDefault="00C81E41" w:rsidP="00E14EB3">
      <w:pPr>
        <w:spacing w:before="0"/>
        <w:jc w:val="right"/>
        <w:rPr>
          <w:rFonts w:ascii="Times New Roman" w:eastAsia="Times New Roman" w:hAnsi="Times New Roman"/>
          <w:sz w:val="28"/>
        </w:rPr>
      </w:pPr>
    </w:p>
    <w:p w14:paraId="510C02A5" w14:textId="77777777" w:rsidR="00C81E41" w:rsidRDefault="00C81E41" w:rsidP="00E14EB3">
      <w:pPr>
        <w:spacing w:before="0"/>
        <w:jc w:val="right"/>
        <w:rPr>
          <w:rFonts w:ascii="Times New Roman" w:eastAsia="Times New Roman" w:hAnsi="Times New Roman"/>
          <w:sz w:val="28"/>
        </w:rPr>
      </w:pPr>
    </w:p>
    <w:p w14:paraId="54CE5B1E" w14:textId="77777777" w:rsidR="00C81E41" w:rsidRDefault="00C81E41" w:rsidP="00E14EB3">
      <w:pPr>
        <w:spacing w:before="0"/>
        <w:jc w:val="right"/>
        <w:rPr>
          <w:rFonts w:ascii="Times New Roman" w:eastAsia="Times New Roman" w:hAnsi="Times New Roman"/>
          <w:sz w:val="28"/>
        </w:rPr>
      </w:pPr>
    </w:p>
    <w:p w14:paraId="18D5EED5" w14:textId="35A1FEF8" w:rsidR="00E14EB3" w:rsidRDefault="006A64FD" w:rsidP="00E14EB3">
      <w:pPr>
        <w:spacing w:before="0"/>
        <w:jc w:val="right"/>
        <w:rPr>
          <w:rFonts w:ascii="Times New Roman" w:hAnsi="Times New Roman"/>
          <w:b/>
          <w:bCs/>
          <w:sz w:val="28"/>
          <w:szCs w:val="28"/>
        </w:rPr>
      </w:pPr>
      <w:r>
        <w:rPr>
          <w:rFonts w:ascii="Times New Roman" w:eastAsia="Times New Roman" w:hAnsi="Times New Roman"/>
          <w:sz w:val="28"/>
        </w:rPr>
        <w:t>December</w:t>
      </w:r>
      <w:r w:rsidR="00E14EB3">
        <w:rPr>
          <w:rFonts w:ascii="Times New Roman" w:eastAsia="Times New Roman" w:hAnsi="Times New Roman"/>
          <w:sz w:val="28"/>
        </w:rPr>
        <w:t xml:space="preserve"> 2017</w:t>
      </w:r>
    </w:p>
    <w:p w14:paraId="1A4AB67E" w14:textId="77777777" w:rsidR="00D47780" w:rsidRDefault="00280BA2" w:rsidP="002D0811">
      <w:pPr>
        <w:spacing w:before="0"/>
        <w:rPr>
          <w:rFonts w:ascii="Times New Roman" w:hAnsi="Times New Roman"/>
          <w:b/>
          <w:bCs/>
          <w:sz w:val="28"/>
          <w:szCs w:val="28"/>
        </w:rPr>
        <w:sectPr w:rsidR="00D47780" w:rsidSect="006A64FD">
          <w:headerReference w:type="default" r:id="rId12"/>
          <w:footerReference w:type="default" r:id="rId13"/>
          <w:pgSz w:w="11906" w:h="16838"/>
          <w:pgMar w:top="1440" w:right="1440" w:bottom="1440" w:left="1440" w:header="708" w:footer="708" w:gutter="0"/>
          <w:pgNumType w:start="1"/>
          <w:cols w:space="708"/>
          <w:titlePg/>
          <w:docGrid w:linePitch="360"/>
        </w:sectPr>
      </w:pPr>
      <w:r>
        <w:rPr>
          <w:rFonts w:ascii="Times New Roman" w:hAnsi="Times New Roman"/>
          <w:b/>
          <w:bCs/>
          <w:sz w:val="28"/>
          <w:szCs w:val="28"/>
        </w:rPr>
        <w:br w:type="page"/>
      </w:r>
    </w:p>
    <w:p w14:paraId="6B8EC1D7" w14:textId="2966D81C" w:rsidR="005F067A" w:rsidRPr="00C81E41" w:rsidRDefault="002F345F" w:rsidP="00C81E41">
      <w:pPr>
        <w:pStyle w:val="Heading2"/>
      </w:pPr>
      <w:r w:rsidRPr="00C81E41">
        <w:lastRenderedPageBreak/>
        <w:t>Introduction</w:t>
      </w:r>
    </w:p>
    <w:p w14:paraId="68450FD3" w14:textId="10AAAA12" w:rsidR="00296603" w:rsidRPr="009F287B" w:rsidRDefault="00E805C2" w:rsidP="00296603">
      <w:pPr>
        <w:autoSpaceDE w:val="0"/>
        <w:autoSpaceDN w:val="0"/>
        <w:adjustRightInd w:val="0"/>
        <w:spacing w:before="60" w:after="120"/>
        <w:rPr>
          <w:color w:val="000000"/>
          <w:lang w:eastAsia="en-AU"/>
        </w:rPr>
      </w:pPr>
      <w:r w:rsidRPr="009F287B">
        <w:rPr>
          <w:color w:val="000000"/>
          <w:lang w:eastAsia="en-AU"/>
        </w:rPr>
        <w:t>The Australian Government notes the release of the</w:t>
      </w:r>
      <w:r w:rsidR="00296603" w:rsidRPr="009F287B">
        <w:rPr>
          <w:color w:val="000000"/>
          <w:lang w:eastAsia="en-AU"/>
        </w:rPr>
        <w:t xml:space="preserve"> Senate Environment and</w:t>
      </w:r>
      <w:r w:rsidR="002A352B" w:rsidRPr="009F287B">
        <w:rPr>
          <w:color w:val="000000"/>
          <w:lang w:eastAsia="en-AU"/>
        </w:rPr>
        <w:t xml:space="preserve"> Communication</w:t>
      </w:r>
      <w:r w:rsidR="00296603" w:rsidRPr="009F287B">
        <w:rPr>
          <w:color w:val="000000"/>
          <w:lang w:eastAsia="en-AU"/>
        </w:rPr>
        <w:t xml:space="preserve"> References Committee</w:t>
      </w:r>
      <w:r w:rsidRPr="009F287B">
        <w:rPr>
          <w:color w:val="000000"/>
          <w:lang w:eastAsia="en-AU"/>
        </w:rPr>
        <w:t>’</w:t>
      </w:r>
      <w:r w:rsidR="00296603" w:rsidRPr="009F287B">
        <w:rPr>
          <w:color w:val="000000"/>
          <w:lang w:eastAsia="en-AU"/>
        </w:rPr>
        <w:t xml:space="preserve">s report on factory freezer trawlers in the Commonwealth Small Pelagic Fishery (SPF). The </w:t>
      </w:r>
      <w:r w:rsidR="002F6142" w:rsidRPr="009F287B">
        <w:rPr>
          <w:color w:val="000000"/>
          <w:lang w:eastAsia="en-AU"/>
        </w:rPr>
        <w:t>government</w:t>
      </w:r>
      <w:r w:rsidR="00296603" w:rsidRPr="009F287B">
        <w:rPr>
          <w:color w:val="000000"/>
          <w:lang w:eastAsia="en-AU"/>
        </w:rPr>
        <w:t xml:space="preserve"> thanks the Committee members for the work in delivering the report and associated recommendations. The government also welcomes the release of the dissenting report by government senators. </w:t>
      </w:r>
    </w:p>
    <w:p w14:paraId="3C7D0C63" w14:textId="53DB375F" w:rsidR="00296603" w:rsidRPr="009F287B" w:rsidRDefault="00296603" w:rsidP="00296603">
      <w:pPr>
        <w:autoSpaceDE w:val="0"/>
        <w:autoSpaceDN w:val="0"/>
        <w:adjustRightInd w:val="0"/>
        <w:spacing w:before="60" w:after="120"/>
        <w:rPr>
          <w:bCs/>
          <w:color w:val="000000"/>
          <w:lang w:eastAsia="en-AU"/>
        </w:rPr>
      </w:pPr>
      <w:r w:rsidRPr="009F287B">
        <w:t>Australians have a passion for our</w:t>
      </w:r>
      <w:r w:rsidR="00CD0C05" w:rsidRPr="009F287B">
        <w:t xml:space="preserve"> </w:t>
      </w:r>
      <w:r w:rsidRPr="009F287B">
        <w:t xml:space="preserve">oceans and have a strong interest in the sustainable management of Australia’s fisheries and aquatic resources. </w:t>
      </w:r>
      <w:r w:rsidRPr="009F287B">
        <w:rPr>
          <w:bCs/>
          <w:color w:val="000000"/>
          <w:lang w:eastAsia="en-AU"/>
        </w:rPr>
        <w:t>The government recognises the strong interest in parts of the</w:t>
      </w:r>
      <w:r w:rsidR="00CD0C05" w:rsidRPr="009F287B">
        <w:rPr>
          <w:bCs/>
          <w:color w:val="000000"/>
          <w:lang w:eastAsia="en-AU"/>
        </w:rPr>
        <w:t xml:space="preserve"> community in the operation of f</w:t>
      </w:r>
      <w:r w:rsidRPr="009F287B">
        <w:rPr>
          <w:bCs/>
          <w:color w:val="000000"/>
          <w:lang w:eastAsia="en-AU"/>
        </w:rPr>
        <w:t>actory freezer trawlers in the SPF</w:t>
      </w:r>
      <w:r w:rsidR="009A6F0B" w:rsidRPr="009F287B">
        <w:rPr>
          <w:bCs/>
          <w:color w:val="000000"/>
          <w:lang w:eastAsia="en-AU"/>
        </w:rPr>
        <w:t>,</w:t>
      </w:r>
      <w:r w:rsidRPr="009F287B">
        <w:rPr>
          <w:bCs/>
          <w:color w:val="000000"/>
          <w:lang w:eastAsia="en-AU"/>
        </w:rPr>
        <w:t xml:space="preserve"> and acknowledges the diverse range of opinion</w:t>
      </w:r>
      <w:r w:rsidR="00E374BE" w:rsidRPr="009F287B">
        <w:rPr>
          <w:bCs/>
          <w:color w:val="000000"/>
          <w:lang w:eastAsia="en-AU"/>
        </w:rPr>
        <w:t>s</w:t>
      </w:r>
      <w:r w:rsidRPr="009F287B">
        <w:rPr>
          <w:bCs/>
          <w:color w:val="000000"/>
          <w:lang w:eastAsia="en-AU"/>
        </w:rPr>
        <w:t xml:space="preserve"> on this i</w:t>
      </w:r>
      <w:r w:rsidR="009A6F0B" w:rsidRPr="009F287B">
        <w:rPr>
          <w:bCs/>
          <w:color w:val="000000"/>
          <w:lang w:eastAsia="en-AU"/>
        </w:rPr>
        <w:t>ssue, as represented</w:t>
      </w:r>
      <w:r w:rsidRPr="009F287B">
        <w:rPr>
          <w:bCs/>
          <w:color w:val="000000"/>
          <w:lang w:eastAsia="en-AU"/>
        </w:rPr>
        <w:t xml:space="preserve"> in the Committee’s report. </w:t>
      </w:r>
    </w:p>
    <w:p w14:paraId="2450F9AC" w14:textId="1BE812A1" w:rsidR="00296603" w:rsidRPr="009F287B" w:rsidRDefault="00296603" w:rsidP="00E805C2">
      <w:pPr>
        <w:autoSpaceDE w:val="0"/>
        <w:autoSpaceDN w:val="0"/>
        <w:adjustRightInd w:val="0"/>
        <w:spacing w:before="60" w:after="120"/>
      </w:pPr>
      <w:r w:rsidRPr="009F287B">
        <w:t xml:space="preserve">Australia’s Commonwealth fisheries are managed for multiple objectives. </w:t>
      </w:r>
      <w:r w:rsidRPr="009F287B">
        <w:rPr>
          <w:i/>
        </w:rPr>
        <w:t>The Fisheries Management Act 1991</w:t>
      </w:r>
      <w:r w:rsidRPr="009F287B">
        <w:t xml:space="preserve"> requires the Minister in the administration of the Act, and the Australian Fisheries Management Authority (AFMA) in the performance of its functions, to ensure that the </w:t>
      </w:r>
      <w:r w:rsidR="005473BA" w:rsidRPr="009F287B">
        <w:t xml:space="preserve">harvesting </w:t>
      </w:r>
      <w:r w:rsidRPr="009F287B">
        <w:t>of fisheries resources is conducted in a manner consistent with the principles of ecologically sustainable development</w:t>
      </w:r>
      <w:r w:rsidR="00E374BE" w:rsidRPr="009F287B">
        <w:t>,</w:t>
      </w:r>
      <w:r w:rsidRPr="009F287B">
        <w:t xml:space="preserve"> including the exercise of the precautionary principle. They must also pursue maximising the net economic returns to the Australian community and implement efficient and cost-effective fisheries management. </w:t>
      </w:r>
    </w:p>
    <w:p w14:paraId="2CCE8B01" w14:textId="2DE2E1D2" w:rsidR="001572E6" w:rsidRPr="009F287B" w:rsidRDefault="00296603" w:rsidP="001572E6">
      <w:pPr>
        <w:autoSpaceDE w:val="0"/>
        <w:autoSpaceDN w:val="0"/>
        <w:adjustRightInd w:val="0"/>
        <w:spacing w:before="60" w:after="120"/>
      </w:pPr>
      <w:r w:rsidRPr="009F287B">
        <w:t>The government takes seriously</w:t>
      </w:r>
      <w:r w:rsidR="009A6F0B" w:rsidRPr="009F287B">
        <w:t xml:space="preserve"> th</w:t>
      </w:r>
      <w:r w:rsidR="002A352B" w:rsidRPr="009F287B">
        <w:t>e</w:t>
      </w:r>
      <w:r w:rsidRPr="009F287B">
        <w:t xml:space="preserve"> responsibility to protect the environment and to sustainably manage all fisheries, including the </w:t>
      </w:r>
      <w:r w:rsidR="009A6F0B" w:rsidRPr="009F287B">
        <w:t>SPF</w:t>
      </w:r>
      <w:r w:rsidR="00CA13A8" w:rsidRPr="009F287B">
        <w:t>,</w:t>
      </w:r>
      <w:r w:rsidR="00E374BE" w:rsidRPr="009F287B">
        <w:t xml:space="preserve"> for the benefit</w:t>
      </w:r>
      <w:r w:rsidRPr="009F287B">
        <w:t xml:space="preserve"> of all Australians into the future.</w:t>
      </w:r>
      <w:r w:rsidR="001572E6" w:rsidRPr="009F287B">
        <w:rPr>
          <w:color w:val="000000"/>
          <w:lang w:eastAsia="en-AU"/>
        </w:rPr>
        <w:t xml:space="preserve"> This is why </w:t>
      </w:r>
      <w:r w:rsidR="001572E6" w:rsidRPr="009F287B">
        <w:t>the government is committed to science based fisheries management in Commonwealth fisheries</w:t>
      </w:r>
      <w:r w:rsidR="002435C9" w:rsidRPr="009F287B">
        <w:t xml:space="preserve"> representing world’s best practice</w:t>
      </w:r>
      <w:r w:rsidR="001572E6" w:rsidRPr="009F287B">
        <w:t xml:space="preserve">. </w:t>
      </w:r>
      <w:r w:rsidR="009A6F0B" w:rsidRPr="009F287B">
        <w:t xml:space="preserve">In </w:t>
      </w:r>
      <w:r w:rsidR="001572E6" w:rsidRPr="009F287B">
        <w:t xml:space="preserve">the SPF scientific research is extensive and ongoing.  </w:t>
      </w:r>
    </w:p>
    <w:p w14:paraId="2273A3E3" w14:textId="63B2F158" w:rsidR="001572E6" w:rsidRPr="009F287B" w:rsidRDefault="001572E6" w:rsidP="00296603">
      <w:pPr>
        <w:autoSpaceDE w:val="0"/>
        <w:autoSpaceDN w:val="0"/>
        <w:adjustRightInd w:val="0"/>
        <w:spacing w:before="60" w:after="120"/>
        <w:rPr>
          <w:color w:val="000000"/>
          <w:lang w:eastAsia="en-AU"/>
        </w:rPr>
      </w:pPr>
      <w:r w:rsidRPr="009F287B">
        <w:rPr>
          <w:color w:val="000000"/>
          <w:lang w:eastAsia="en-AU"/>
        </w:rPr>
        <w:t>The public can be assured that</w:t>
      </w:r>
      <w:r w:rsidR="004D7F25" w:rsidRPr="009F287B">
        <w:t xml:space="preserve"> the government has a strong legislative and policy framework for managing fisheries. AFMA, the </w:t>
      </w:r>
      <w:r w:rsidR="005D2F7B" w:rsidRPr="009F287B">
        <w:t xml:space="preserve">statutorily </w:t>
      </w:r>
      <w:r w:rsidR="004D7F25" w:rsidRPr="009F287B">
        <w:t xml:space="preserve">independent regulator, is </w:t>
      </w:r>
      <w:r w:rsidR="00B05D8F" w:rsidRPr="009F287B">
        <w:t>focused on ensuring</w:t>
      </w:r>
      <w:r w:rsidR="004D7F25" w:rsidRPr="009F287B">
        <w:t xml:space="preserve"> compliance with this framework. </w:t>
      </w:r>
    </w:p>
    <w:p w14:paraId="43A3017C" w14:textId="600A9C8E" w:rsidR="001572E6" w:rsidRPr="009F287B" w:rsidRDefault="001572E6" w:rsidP="00296603">
      <w:pPr>
        <w:autoSpaceDE w:val="0"/>
        <w:autoSpaceDN w:val="0"/>
        <w:adjustRightInd w:val="0"/>
        <w:spacing w:before="60" w:after="120"/>
        <w:rPr>
          <w:color w:val="000000"/>
          <w:lang w:eastAsia="en-AU"/>
        </w:rPr>
      </w:pPr>
      <w:r w:rsidRPr="009F287B">
        <w:rPr>
          <w:color w:val="000000"/>
          <w:lang w:eastAsia="en-AU"/>
        </w:rPr>
        <w:t xml:space="preserve">The government is proud of </w:t>
      </w:r>
      <w:r w:rsidR="00296603" w:rsidRPr="009F287B">
        <w:rPr>
          <w:color w:val="000000"/>
          <w:lang w:eastAsia="en-AU"/>
        </w:rPr>
        <w:t>Australia</w:t>
      </w:r>
      <w:r w:rsidRPr="009F287B">
        <w:rPr>
          <w:color w:val="000000"/>
          <w:lang w:eastAsia="en-AU"/>
        </w:rPr>
        <w:t>’s</w:t>
      </w:r>
      <w:r w:rsidR="009A6F0B" w:rsidRPr="009F287B">
        <w:rPr>
          <w:color w:val="000000"/>
          <w:lang w:eastAsia="en-AU"/>
        </w:rPr>
        <w:t xml:space="preserve"> </w:t>
      </w:r>
      <w:r w:rsidR="00296603" w:rsidRPr="009F287B">
        <w:rPr>
          <w:color w:val="000000"/>
          <w:lang w:eastAsia="en-AU"/>
        </w:rPr>
        <w:t>well-earned reputation as a supplier of safe, environmentally su</w:t>
      </w:r>
      <w:r w:rsidR="00B05D8F" w:rsidRPr="009F287B">
        <w:rPr>
          <w:color w:val="000000"/>
          <w:lang w:eastAsia="en-AU"/>
        </w:rPr>
        <w:t xml:space="preserve">stainable, high-quality seafood. </w:t>
      </w:r>
      <w:r w:rsidR="00296603" w:rsidRPr="009F287B">
        <w:rPr>
          <w:color w:val="000000"/>
          <w:lang w:eastAsia="en-AU"/>
        </w:rPr>
        <w:t>Australia’s fisheries are internationally recognised as among the best managed in the world. The</w:t>
      </w:r>
      <w:r w:rsidRPr="009F287B">
        <w:rPr>
          <w:color w:val="000000"/>
          <w:lang w:eastAsia="en-AU"/>
        </w:rPr>
        <w:t xml:space="preserve"> SPF is</w:t>
      </w:r>
      <w:r w:rsidR="00904FA7" w:rsidRPr="009F287B">
        <w:rPr>
          <w:color w:val="000000"/>
          <w:lang w:eastAsia="en-AU"/>
        </w:rPr>
        <w:t xml:space="preserve"> a</w:t>
      </w:r>
      <w:r w:rsidR="00BA392E" w:rsidRPr="009F287B">
        <w:rPr>
          <w:color w:val="000000"/>
          <w:lang w:eastAsia="en-AU"/>
        </w:rPr>
        <w:t xml:space="preserve"> good</w:t>
      </w:r>
      <w:r w:rsidRPr="009F287B">
        <w:rPr>
          <w:color w:val="000000"/>
          <w:lang w:eastAsia="en-AU"/>
        </w:rPr>
        <w:t xml:space="preserve"> example of the effectiveness of science based fisheries management, and balancing multiple objectives</w:t>
      </w:r>
      <w:r w:rsidR="002A352B" w:rsidRPr="009F287B">
        <w:rPr>
          <w:color w:val="000000"/>
          <w:lang w:eastAsia="en-AU"/>
        </w:rPr>
        <w:t>.</w:t>
      </w:r>
    </w:p>
    <w:p w14:paraId="4EF33C94" w14:textId="1620102B" w:rsidR="00296603" w:rsidRPr="009F287B" w:rsidRDefault="00904FA7" w:rsidP="00296603">
      <w:pPr>
        <w:autoSpaceDE w:val="0"/>
        <w:autoSpaceDN w:val="0"/>
        <w:adjustRightInd w:val="0"/>
        <w:spacing w:before="60" w:after="120"/>
        <w:rPr>
          <w:color w:val="000000"/>
          <w:lang w:eastAsia="en-AU"/>
        </w:rPr>
      </w:pPr>
      <w:r w:rsidRPr="009F287B">
        <w:t>The</w:t>
      </w:r>
      <w:r w:rsidR="0060319E" w:rsidRPr="009F287B">
        <w:t xml:space="preserve"> government looks forward to the ongoing sustainable use of the SPF by all types of ocean users for many generations to come, and is confident the Commonwealth</w:t>
      </w:r>
      <w:r w:rsidR="009A6F0B" w:rsidRPr="009F287B">
        <w:t>’s</w:t>
      </w:r>
      <w:r w:rsidR="0060319E" w:rsidRPr="009F287B">
        <w:t xml:space="preserve"> responsive fisheries management framework</w:t>
      </w:r>
      <w:r w:rsidRPr="009F287B">
        <w:t xml:space="preserve"> </w:t>
      </w:r>
      <w:r w:rsidR="0060319E" w:rsidRPr="009F287B">
        <w:t xml:space="preserve">will deliver this outcome. </w:t>
      </w:r>
    </w:p>
    <w:p w14:paraId="01BCE9FD" w14:textId="3BCFA198" w:rsidR="00842A2D" w:rsidRPr="002D0811" w:rsidRDefault="00842A2D">
      <w:pPr>
        <w:spacing w:before="0"/>
        <w:rPr>
          <w:b/>
          <w:bCs/>
          <w:color w:val="000000"/>
          <w:u w:val="single"/>
          <w:lang w:eastAsia="en-AU"/>
        </w:rPr>
      </w:pPr>
      <w:r>
        <w:rPr>
          <w:rFonts w:ascii="Times New Roman" w:hAnsi="Times New Roman"/>
          <w:b/>
          <w:bCs/>
          <w:color w:val="000000"/>
          <w:sz w:val="28"/>
          <w:szCs w:val="28"/>
          <w:u w:val="single"/>
          <w:lang w:eastAsia="en-AU"/>
        </w:rPr>
        <w:br w:type="page"/>
      </w:r>
    </w:p>
    <w:p w14:paraId="5EAF4C8A" w14:textId="77777777" w:rsidR="005F067A" w:rsidRPr="00C81E41" w:rsidRDefault="005F067A" w:rsidP="00C81E41">
      <w:pPr>
        <w:pStyle w:val="Heading3"/>
      </w:pPr>
      <w:r w:rsidRPr="00C81E41">
        <w:lastRenderedPageBreak/>
        <w:t xml:space="preserve">Recommendation 1 </w:t>
      </w:r>
    </w:p>
    <w:p w14:paraId="061838A8" w14:textId="434297DB" w:rsidR="005F067A" w:rsidRPr="009F287B" w:rsidRDefault="005F067A" w:rsidP="002F6142">
      <w:pPr>
        <w:pBdr>
          <w:top w:val="single" w:sz="4" w:space="1" w:color="auto"/>
          <w:left w:val="single" w:sz="4" w:space="4" w:color="auto"/>
          <w:bottom w:val="single" w:sz="4" w:space="1" w:color="auto"/>
          <w:right w:val="single" w:sz="4" w:space="4" w:color="auto"/>
        </w:pBdr>
        <w:autoSpaceDE w:val="0"/>
        <w:autoSpaceDN w:val="0"/>
        <w:adjustRightInd w:val="0"/>
        <w:spacing w:before="0" w:after="120"/>
        <w:jc w:val="both"/>
        <w:rPr>
          <w:b/>
          <w:bCs/>
          <w:color w:val="000000"/>
          <w:lang w:eastAsia="en-AU"/>
        </w:rPr>
      </w:pPr>
      <w:r w:rsidRPr="009F287B">
        <w:rPr>
          <w:b/>
          <w:bCs/>
          <w:color w:val="000000"/>
          <w:lang w:eastAsia="en-AU"/>
        </w:rPr>
        <w:t xml:space="preserve">The committee recommends that the Australian </w:t>
      </w:r>
      <w:r w:rsidR="00886AB6" w:rsidRPr="009F287B">
        <w:rPr>
          <w:b/>
          <w:bCs/>
          <w:color w:val="000000"/>
          <w:lang w:eastAsia="en-AU"/>
        </w:rPr>
        <w:t>G</w:t>
      </w:r>
      <w:r w:rsidRPr="009F287B">
        <w:rPr>
          <w:b/>
          <w:bCs/>
          <w:color w:val="000000"/>
          <w:lang w:eastAsia="en-AU"/>
        </w:rPr>
        <w:t xml:space="preserve">overnment ban all factory freezer </w:t>
      </w:r>
      <w:r w:rsidR="00DF5021">
        <w:rPr>
          <w:b/>
          <w:bCs/>
          <w:color w:val="000000"/>
          <w:lang w:eastAsia="en-AU"/>
        </w:rPr>
        <w:br/>
      </w:r>
      <w:r w:rsidRPr="009F287B">
        <w:rPr>
          <w:b/>
          <w:bCs/>
          <w:color w:val="000000"/>
          <w:lang w:eastAsia="en-AU"/>
        </w:rPr>
        <w:t xml:space="preserve">mid-water trawlers from operating in the Commonwealth Small Pelagic Fishery. </w:t>
      </w:r>
    </w:p>
    <w:p w14:paraId="6A42356F" w14:textId="2EB3DE12" w:rsidR="005F067A" w:rsidRPr="009F287B" w:rsidRDefault="005F067A" w:rsidP="005F067A">
      <w:pPr>
        <w:autoSpaceDE w:val="0"/>
        <w:autoSpaceDN w:val="0"/>
        <w:adjustRightInd w:val="0"/>
        <w:spacing w:before="0" w:after="120"/>
        <w:jc w:val="both"/>
        <w:rPr>
          <w:color w:val="000000"/>
          <w:lang w:eastAsia="en-AU"/>
        </w:rPr>
      </w:pPr>
      <w:r w:rsidRPr="009F287B">
        <w:rPr>
          <w:color w:val="000000"/>
          <w:lang w:eastAsia="en-AU"/>
        </w:rPr>
        <w:t>The Aust</w:t>
      </w:r>
      <w:r w:rsidR="00242FA6" w:rsidRPr="009F287B">
        <w:rPr>
          <w:color w:val="000000"/>
          <w:lang w:eastAsia="en-AU"/>
        </w:rPr>
        <w:t xml:space="preserve">ralian Government </w:t>
      </w:r>
      <w:r w:rsidR="004114E3" w:rsidRPr="009F287B">
        <w:rPr>
          <w:color w:val="000000"/>
          <w:lang w:eastAsia="en-AU"/>
        </w:rPr>
        <w:t>does not support this</w:t>
      </w:r>
      <w:r w:rsidR="00476FF7" w:rsidRPr="009F287B">
        <w:rPr>
          <w:color w:val="000000"/>
          <w:lang w:eastAsia="en-AU"/>
        </w:rPr>
        <w:t xml:space="preserve"> </w:t>
      </w:r>
      <w:r w:rsidRPr="009F287B">
        <w:rPr>
          <w:color w:val="000000"/>
          <w:lang w:eastAsia="en-AU"/>
        </w:rPr>
        <w:t>recommendation</w:t>
      </w:r>
      <w:r w:rsidR="00BA392E" w:rsidRPr="009F287B">
        <w:rPr>
          <w:color w:val="000000"/>
          <w:lang w:eastAsia="en-AU"/>
        </w:rPr>
        <w:t>. A</w:t>
      </w:r>
      <w:r w:rsidR="003A07B9" w:rsidRPr="009F287B">
        <w:rPr>
          <w:color w:val="000000"/>
          <w:lang w:eastAsia="en-AU"/>
        </w:rPr>
        <w:t xml:space="preserve"> ban on factory freezer mid-water trawlers</w:t>
      </w:r>
      <w:r w:rsidR="004114E3" w:rsidRPr="009F287B">
        <w:rPr>
          <w:color w:val="000000"/>
          <w:lang w:eastAsia="en-AU"/>
        </w:rPr>
        <w:t xml:space="preserve"> is not supported by the av</w:t>
      </w:r>
      <w:r w:rsidR="00BA392E" w:rsidRPr="009F287B">
        <w:rPr>
          <w:color w:val="000000"/>
          <w:lang w:eastAsia="en-AU"/>
        </w:rPr>
        <w:t xml:space="preserve">ailable science, expert advice </w:t>
      </w:r>
      <w:r w:rsidR="004114E3" w:rsidRPr="009F287B">
        <w:rPr>
          <w:color w:val="000000"/>
          <w:lang w:eastAsia="en-AU"/>
        </w:rPr>
        <w:t>or international best practice in fisheries management</w:t>
      </w:r>
      <w:r w:rsidRPr="009F287B">
        <w:rPr>
          <w:color w:val="000000"/>
          <w:lang w:eastAsia="en-AU"/>
        </w:rPr>
        <w:t xml:space="preserve">. </w:t>
      </w:r>
    </w:p>
    <w:p w14:paraId="0908CA34" w14:textId="674CCCC3" w:rsidR="005F067A" w:rsidRPr="009F287B" w:rsidRDefault="005F067A" w:rsidP="005F067A">
      <w:pPr>
        <w:autoSpaceDE w:val="0"/>
        <w:autoSpaceDN w:val="0"/>
        <w:adjustRightInd w:val="0"/>
        <w:spacing w:before="0" w:after="120"/>
        <w:jc w:val="both"/>
        <w:rPr>
          <w:color w:val="000000"/>
          <w:lang w:eastAsia="en-AU"/>
        </w:rPr>
      </w:pPr>
      <w:r w:rsidRPr="009F287B">
        <w:rPr>
          <w:color w:val="000000"/>
          <w:lang w:eastAsia="en-AU"/>
        </w:rPr>
        <w:t xml:space="preserve">The </w:t>
      </w:r>
      <w:r w:rsidR="002435C9" w:rsidRPr="009F287B">
        <w:rPr>
          <w:color w:val="000000"/>
          <w:lang w:eastAsia="en-AU"/>
        </w:rPr>
        <w:t>government’s</w:t>
      </w:r>
      <w:r w:rsidRPr="009F287B">
        <w:rPr>
          <w:color w:val="000000"/>
          <w:lang w:eastAsia="en-AU"/>
        </w:rPr>
        <w:t xml:space="preserve"> approach to fisheries management is to maintain fish stocks at ecologically sustainable levels and</w:t>
      </w:r>
      <w:r w:rsidR="00BA392E" w:rsidRPr="009F287B">
        <w:rPr>
          <w:color w:val="000000"/>
          <w:lang w:eastAsia="en-AU"/>
        </w:rPr>
        <w:t>,</w:t>
      </w:r>
      <w:r w:rsidRPr="009F287B">
        <w:rPr>
          <w:color w:val="000000"/>
          <w:lang w:eastAsia="en-AU"/>
        </w:rPr>
        <w:t xml:space="preserve"> within this </w:t>
      </w:r>
      <w:r w:rsidR="00AB4847" w:rsidRPr="009F287B">
        <w:rPr>
          <w:color w:val="000000"/>
          <w:lang w:eastAsia="en-AU"/>
        </w:rPr>
        <w:t>parameter</w:t>
      </w:r>
      <w:r w:rsidR="00CA13A8" w:rsidRPr="009F287B">
        <w:rPr>
          <w:color w:val="000000"/>
          <w:lang w:eastAsia="en-AU"/>
        </w:rPr>
        <w:t>,</w:t>
      </w:r>
      <w:r w:rsidRPr="009F287B">
        <w:rPr>
          <w:color w:val="000000"/>
          <w:lang w:eastAsia="en-AU"/>
        </w:rPr>
        <w:t xml:space="preserve"> maximise net economic returns to the Australian community.</w:t>
      </w:r>
      <w:r w:rsidR="00B32CF2" w:rsidRPr="009F287B">
        <w:rPr>
          <w:color w:val="000000"/>
          <w:lang w:eastAsia="en-AU"/>
        </w:rPr>
        <w:t xml:space="preserve"> A key element in this approach is the use of ‘</w:t>
      </w:r>
      <w:r w:rsidR="005473BA" w:rsidRPr="009F287B">
        <w:rPr>
          <w:color w:val="000000"/>
          <w:lang w:eastAsia="en-AU"/>
        </w:rPr>
        <w:t>output</w:t>
      </w:r>
      <w:r w:rsidR="00B32CF2" w:rsidRPr="009F287B">
        <w:rPr>
          <w:color w:val="000000"/>
          <w:lang w:eastAsia="en-AU"/>
        </w:rPr>
        <w:t>’ controls</w:t>
      </w:r>
      <w:r w:rsidR="000854E9" w:rsidRPr="009F287B">
        <w:rPr>
          <w:color w:val="000000"/>
          <w:lang w:eastAsia="en-AU"/>
        </w:rPr>
        <w:t xml:space="preserve"> which are used in most Commonwealth fisheries</w:t>
      </w:r>
      <w:r w:rsidR="00B32CF2" w:rsidRPr="009F287B">
        <w:rPr>
          <w:color w:val="000000"/>
          <w:lang w:eastAsia="en-AU"/>
        </w:rPr>
        <w:t>. Output controls place direct limits (quotas) on the total catch of target species that can be taken in a fishing season</w:t>
      </w:r>
      <w:r w:rsidR="000854E9" w:rsidRPr="009F287B">
        <w:rPr>
          <w:color w:val="000000"/>
          <w:lang w:eastAsia="en-AU"/>
        </w:rPr>
        <w:t>.</w:t>
      </w:r>
      <w:r w:rsidR="00E66390" w:rsidRPr="009F287B">
        <w:rPr>
          <w:color w:val="000000"/>
          <w:lang w:eastAsia="en-AU"/>
        </w:rPr>
        <w:t xml:space="preserve"> </w:t>
      </w:r>
      <w:r w:rsidR="00B43F6D" w:rsidRPr="009F287B">
        <w:rPr>
          <w:color w:val="000000"/>
          <w:lang w:eastAsia="en-AU"/>
        </w:rPr>
        <w:t>In a well-managed, quota-based fishery, the size of the boat</w:t>
      </w:r>
      <w:r w:rsidR="0004268A">
        <w:rPr>
          <w:color w:val="000000"/>
          <w:lang w:eastAsia="en-AU"/>
        </w:rPr>
        <w:t xml:space="preserve"> or</w:t>
      </w:r>
      <w:r w:rsidR="001A1BB4" w:rsidRPr="009F287B">
        <w:rPr>
          <w:color w:val="000000"/>
          <w:lang w:eastAsia="en-AU"/>
        </w:rPr>
        <w:t xml:space="preserve"> freezer capacity</w:t>
      </w:r>
      <w:r w:rsidR="00B43F6D" w:rsidRPr="009F287B">
        <w:rPr>
          <w:color w:val="000000"/>
          <w:lang w:eastAsia="en-AU"/>
        </w:rPr>
        <w:t xml:space="preserve"> is of little relevance to fish stock sustainability, providing that quotas </w:t>
      </w:r>
      <w:r w:rsidR="001812E5" w:rsidRPr="009F287B">
        <w:rPr>
          <w:color w:val="000000"/>
          <w:lang w:eastAsia="en-AU"/>
        </w:rPr>
        <w:t>are</w:t>
      </w:r>
      <w:r w:rsidR="00B43F6D" w:rsidRPr="009F287B">
        <w:rPr>
          <w:color w:val="000000"/>
          <w:lang w:eastAsia="en-AU"/>
        </w:rPr>
        <w:t xml:space="preserve"> set correctly</w:t>
      </w:r>
      <w:r w:rsidR="001812E5" w:rsidRPr="009F287B">
        <w:rPr>
          <w:color w:val="000000"/>
          <w:lang w:eastAsia="en-AU"/>
        </w:rPr>
        <w:t xml:space="preserve"> using </w:t>
      </w:r>
      <w:r w:rsidR="00B43F6D" w:rsidRPr="009F287B">
        <w:rPr>
          <w:color w:val="000000"/>
          <w:lang w:eastAsia="en-AU"/>
        </w:rPr>
        <w:t xml:space="preserve">the best available science. </w:t>
      </w:r>
    </w:p>
    <w:p w14:paraId="39B1FDA2" w14:textId="66D16758" w:rsidR="005B3E07" w:rsidRPr="009F287B" w:rsidRDefault="004C724D" w:rsidP="009D66AC">
      <w:pPr>
        <w:autoSpaceDE w:val="0"/>
        <w:autoSpaceDN w:val="0"/>
        <w:adjustRightInd w:val="0"/>
        <w:spacing w:before="0" w:after="120"/>
        <w:jc w:val="both"/>
        <w:rPr>
          <w:color w:val="000000"/>
          <w:lang w:eastAsia="en-AU"/>
        </w:rPr>
      </w:pPr>
      <w:r w:rsidRPr="009F287B">
        <w:rPr>
          <w:color w:val="000000"/>
          <w:lang w:eastAsia="en-AU"/>
        </w:rPr>
        <w:t xml:space="preserve">Factory trawlers are primarily used for their additional processing, freezing and storage capabilities. </w:t>
      </w:r>
      <w:r w:rsidR="001A1BB4" w:rsidRPr="009F287B">
        <w:rPr>
          <w:color w:val="000000"/>
          <w:lang w:eastAsia="en-AU"/>
        </w:rPr>
        <w:t>O</w:t>
      </w:r>
      <w:r w:rsidR="005B3E07" w:rsidRPr="009F287B">
        <w:rPr>
          <w:color w:val="000000"/>
          <w:lang w:eastAsia="en-AU"/>
        </w:rPr>
        <w:t>n-board processing</w:t>
      </w:r>
      <w:r w:rsidRPr="009F287B">
        <w:rPr>
          <w:color w:val="000000"/>
          <w:lang w:eastAsia="en-AU"/>
        </w:rPr>
        <w:t xml:space="preserve"> and freezing capability can optimise the quality and value of the product and can reduce wastage. </w:t>
      </w:r>
    </w:p>
    <w:p w14:paraId="17195D5B" w14:textId="0AEF565E" w:rsidR="00354E04" w:rsidRPr="009F287B" w:rsidRDefault="00687627" w:rsidP="00354E04">
      <w:pPr>
        <w:autoSpaceDE w:val="0"/>
        <w:autoSpaceDN w:val="0"/>
        <w:adjustRightInd w:val="0"/>
        <w:spacing w:before="0" w:after="120"/>
        <w:jc w:val="both"/>
        <w:rPr>
          <w:color w:val="000000"/>
          <w:lang w:eastAsia="en-AU"/>
        </w:rPr>
      </w:pPr>
      <w:r w:rsidRPr="009F287B">
        <w:rPr>
          <w:color w:val="000000"/>
          <w:lang w:eastAsia="en-AU"/>
        </w:rPr>
        <w:t xml:space="preserve">The government notes that scientific research into the SPF is extensive and on-going. Scientifically informed management decisions are made to ensure the sustainability of the fishery. </w:t>
      </w:r>
    </w:p>
    <w:p w14:paraId="60019817" w14:textId="07FAB40D" w:rsidR="00242FA6" w:rsidRPr="009F287B" w:rsidRDefault="00242FA6" w:rsidP="00354E04">
      <w:pPr>
        <w:autoSpaceDE w:val="0"/>
        <w:autoSpaceDN w:val="0"/>
        <w:adjustRightInd w:val="0"/>
        <w:spacing w:before="0" w:after="120"/>
        <w:jc w:val="both"/>
        <w:rPr>
          <w:color w:val="000000"/>
          <w:lang w:eastAsia="en-AU"/>
        </w:rPr>
      </w:pPr>
      <w:r w:rsidRPr="009F287B">
        <w:rPr>
          <w:color w:val="000000"/>
          <w:lang w:eastAsia="en-AU"/>
        </w:rPr>
        <w:t>The government will</w:t>
      </w:r>
      <w:r w:rsidR="00BA392E" w:rsidRPr="009F287B">
        <w:rPr>
          <w:color w:val="000000"/>
          <w:lang w:eastAsia="en-AU"/>
        </w:rPr>
        <w:t xml:space="preserve"> continue to</w:t>
      </w:r>
      <w:r w:rsidRPr="009F287B">
        <w:rPr>
          <w:color w:val="000000"/>
          <w:lang w:eastAsia="en-AU"/>
        </w:rPr>
        <w:t xml:space="preserve"> monitor developments in the fishery while ensuring that exploitation of the fishery is conducted in a manner consistent with the principles of ecolo</w:t>
      </w:r>
      <w:r w:rsidR="00BA392E" w:rsidRPr="009F287B">
        <w:rPr>
          <w:color w:val="000000"/>
          <w:lang w:eastAsia="en-AU"/>
        </w:rPr>
        <w:t>gically sustainable development. These principles include</w:t>
      </w:r>
      <w:r w:rsidRPr="009F287B">
        <w:rPr>
          <w:color w:val="000000"/>
          <w:lang w:eastAsia="en-AU"/>
        </w:rPr>
        <w:t xml:space="preserve"> the precautionary principle,</w:t>
      </w:r>
      <w:r w:rsidR="00A76F42" w:rsidRPr="009F287B">
        <w:rPr>
          <w:color w:val="000000"/>
          <w:lang w:eastAsia="en-AU"/>
        </w:rPr>
        <w:t xml:space="preserve"> </w:t>
      </w:r>
      <w:r w:rsidRPr="009F287B">
        <w:rPr>
          <w:color w:val="000000"/>
          <w:lang w:eastAsia="en-AU"/>
        </w:rPr>
        <w:t>and in particular the need to have regard to the impact of fishing on non-target species</w:t>
      </w:r>
      <w:r w:rsidR="00A76F42" w:rsidRPr="009F287B">
        <w:rPr>
          <w:color w:val="000000"/>
          <w:lang w:eastAsia="en-AU"/>
        </w:rPr>
        <w:t xml:space="preserve">, </w:t>
      </w:r>
      <w:r w:rsidRPr="009F287B">
        <w:rPr>
          <w:color w:val="000000"/>
          <w:lang w:eastAsia="en-AU"/>
        </w:rPr>
        <w:t>and the long term sustainability of the marine environment</w:t>
      </w:r>
      <w:r w:rsidR="00885287" w:rsidRPr="009F287B">
        <w:rPr>
          <w:color w:val="000000"/>
          <w:lang w:eastAsia="en-AU"/>
        </w:rPr>
        <w:t>.</w:t>
      </w:r>
      <w:r w:rsidRPr="009F287B">
        <w:rPr>
          <w:color w:val="000000"/>
          <w:lang w:eastAsia="en-AU"/>
        </w:rPr>
        <w:t xml:space="preserve"> </w:t>
      </w:r>
    </w:p>
    <w:p w14:paraId="211DB3B9" w14:textId="77777777" w:rsidR="009C460C" w:rsidRPr="005102FB" w:rsidRDefault="009C460C" w:rsidP="00C81E41">
      <w:pPr>
        <w:pStyle w:val="Heading3"/>
      </w:pPr>
      <w:r w:rsidRPr="005102FB">
        <w:t xml:space="preserve">Recommendation 2 </w:t>
      </w:r>
    </w:p>
    <w:p w14:paraId="0B8490E9" w14:textId="7F93F5A6" w:rsidR="009C460C" w:rsidRPr="009F287B" w:rsidRDefault="009C460C" w:rsidP="002F6142">
      <w:pPr>
        <w:pStyle w:val="Default"/>
        <w:pBdr>
          <w:top w:val="single" w:sz="4" w:space="1" w:color="auto"/>
          <w:left w:val="single" w:sz="4" w:space="4" w:color="auto"/>
          <w:bottom w:val="single" w:sz="4" w:space="1" w:color="auto"/>
          <w:right w:val="single" w:sz="4" w:space="4" w:color="auto"/>
        </w:pBdr>
        <w:spacing w:after="120"/>
        <w:jc w:val="both"/>
        <w:rPr>
          <w:rFonts w:ascii="Cambria" w:hAnsi="Cambria"/>
          <w:sz w:val="22"/>
          <w:szCs w:val="22"/>
        </w:rPr>
      </w:pPr>
      <w:r w:rsidRPr="009F287B">
        <w:rPr>
          <w:rFonts w:ascii="Cambria" w:hAnsi="Cambria"/>
          <w:b/>
          <w:bCs/>
          <w:sz w:val="22"/>
          <w:szCs w:val="22"/>
        </w:rPr>
        <w:t xml:space="preserve">The committee recommends that the Australian </w:t>
      </w:r>
      <w:r w:rsidR="00886AB6" w:rsidRPr="009F287B">
        <w:rPr>
          <w:rFonts w:ascii="Cambria" w:hAnsi="Cambria"/>
          <w:b/>
          <w:bCs/>
          <w:sz w:val="22"/>
          <w:szCs w:val="22"/>
        </w:rPr>
        <w:t>G</w:t>
      </w:r>
      <w:r w:rsidRPr="009F287B">
        <w:rPr>
          <w:rFonts w:ascii="Cambria" w:hAnsi="Cambria"/>
          <w:b/>
          <w:bCs/>
          <w:sz w:val="22"/>
          <w:szCs w:val="22"/>
        </w:rPr>
        <w:t xml:space="preserve">overnment expedite its 2013 election commitment to appoint a National Recreational Fishing Council. An Agriculture and Water Resources portfolio minister should chair the Council. </w:t>
      </w:r>
    </w:p>
    <w:p w14:paraId="7EF1A137" w14:textId="77777777" w:rsidR="00134C43" w:rsidRDefault="00134C43" w:rsidP="00134C43">
      <w:pPr>
        <w:autoSpaceDE w:val="0"/>
        <w:autoSpaceDN w:val="0"/>
        <w:adjustRightInd w:val="0"/>
        <w:spacing w:before="0" w:after="120"/>
        <w:jc w:val="both"/>
        <w:rPr>
          <w:color w:val="000000"/>
          <w:lang w:eastAsia="en-AU"/>
        </w:rPr>
      </w:pPr>
      <w:r w:rsidRPr="00134C43">
        <w:rPr>
          <w:color w:val="000000"/>
          <w:lang w:eastAsia="en-AU"/>
        </w:rPr>
        <w:t>The Australian Government notes this recommendation.</w:t>
      </w:r>
    </w:p>
    <w:p w14:paraId="1A530F28" w14:textId="4FE78C50" w:rsidR="0004268A" w:rsidRDefault="0004268A" w:rsidP="00195295">
      <w:pPr>
        <w:autoSpaceDE w:val="0"/>
        <w:autoSpaceDN w:val="0"/>
        <w:adjustRightInd w:val="0"/>
        <w:spacing w:before="0" w:after="120"/>
        <w:jc w:val="both"/>
        <w:rPr>
          <w:color w:val="000000"/>
          <w:lang w:eastAsia="en-AU"/>
        </w:rPr>
      </w:pPr>
      <w:r w:rsidRPr="0004268A">
        <w:rPr>
          <w:color w:val="000000"/>
          <w:lang w:eastAsia="en-AU"/>
        </w:rPr>
        <w:t>The government recognises the need for appropriate mechanisms for the recreational fishing sector to constructively engage with government on Commonwealth</w:t>
      </w:r>
      <w:r w:rsidR="00033233">
        <w:rPr>
          <w:color w:val="000000"/>
          <w:lang w:eastAsia="en-AU"/>
        </w:rPr>
        <w:t xml:space="preserve"> fisheries management matters. </w:t>
      </w:r>
      <w:r w:rsidRPr="0004268A">
        <w:rPr>
          <w:color w:val="000000"/>
          <w:lang w:eastAsia="en-AU"/>
        </w:rPr>
        <w:t>The government has recently established the National Recreational Fishing Council, which will allow recreational fishers to better engage with government. The government has also amended its fisheries legislation to strengthen engagement with recreational and Indigenous fishers with respect to the management of Commonwealth fisheries.</w:t>
      </w:r>
    </w:p>
    <w:p w14:paraId="67E9E358" w14:textId="72E9A673" w:rsidR="00195295" w:rsidRPr="00195295" w:rsidRDefault="00195295" w:rsidP="00195295">
      <w:pPr>
        <w:autoSpaceDE w:val="0"/>
        <w:autoSpaceDN w:val="0"/>
        <w:adjustRightInd w:val="0"/>
        <w:spacing w:before="0" w:after="120"/>
        <w:jc w:val="both"/>
        <w:rPr>
          <w:color w:val="000000"/>
          <w:lang w:eastAsia="en-AU"/>
        </w:rPr>
      </w:pPr>
    </w:p>
    <w:p w14:paraId="5CF7FCE0" w14:textId="77777777" w:rsidR="00195295" w:rsidRPr="00134C43" w:rsidRDefault="00195295" w:rsidP="00134C43">
      <w:pPr>
        <w:autoSpaceDE w:val="0"/>
        <w:autoSpaceDN w:val="0"/>
        <w:adjustRightInd w:val="0"/>
        <w:spacing w:before="0" w:after="120"/>
        <w:jc w:val="both"/>
        <w:rPr>
          <w:color w:val="000000"/>
          <w:lang w:eastAsia="en-AU"/>
        </w:rPr>
      </w:pPr>
    </w:p>
    <w:p w14:paraId="0CADD52D" w14:textId="77777777" w:rsidR="004E0F58" w:rsidRPr="002D0811" w:rsidRDefault="004E0F58">
      <w:pPr>
        <w:spacing w:before="0"/>
        <w:rPr>
          <w:color w:val="000000"/>
          <w:lang w:eastAsia="en-AU"/>
        </w:rPr>
      </w:pPr>
      <w:r>
        <w:rPr>
          <w:rFonts w:ascii="Times New Roman" w:hAnsi="Times New Roman"/>
          <w:color w:val="000000"/>
          <w:sz w:val="24"/>
          <w:szCs w:val="24"/>
          <w:lang w:eastAsia="en-AU"/>
        </w:rPr>
        <w:br w:type="page"/>
      </w:r>
    </w:p>
    <w:p w14:paraId="19E2A24C" w14:textId="289C9DDC" w:rsidR="0081205F" w:rsidRPr="005102FB" w:rsidRDefault="0081205F" w:rsidP="00C81E41">
      <w:pPr>
        <w:pStyle w:val="Heading3"/>
      </w:pPr>
      <w:r w:rsidRPr="005102FB">
        <w:lastRenderedPageBreak/>
        <w:t xml:space="preserve">Recommendation 3 </w:t>
      </w:r>
    </w:p>
    <w:p w14:paraId="2678F9C7" w14:textId="05946566" w:rsidR="0081205F" w:rsidRPr="009F287B" w:rsidRDefault="0081205F" w:rsidP="002F6142">
      <w:pPr>
        <w:pStyle w:val="Default"/>
        <w:pBdr>
          <w:top w:val="single" w:sz="4" w:space="1" w:color="auto"/>
          <w:left w:val="single" w:sz="4" w:space="4" w:color="auto"/>
          <w:bottom w:val="single" w:sz="4" w:space="1" w:color="auto"/>
          <w:right w:val="single" w:sz="4" w:space="4" w:color="auto"/>
        </w:pBdr>
        <w:spacing w:after="120"/>
        <w:jc w:val="both"/>
        <w:rPr>
          <w:rFonts w:ascii="Cambria" w:hAnsi="Cambria"/>
          <w:b/>
          <w:bCs/>
        </w:rPr>
      </w:pPr>
      <w:r w:rsidRPr="009F287B">
        <w:rPr>
          <w:rFonts w:ascii="Cambria" w:hAnsi="Cambria"/>
          <w:b/>
          <w:bCs/>
          <w:sz w:val="22"/>
          <w:szCs w:val="22"/>
        </w:rPr>
        <w:t xml:space="preserve">The committee recommends that the government expedite its 2016 election commitment to amend the </w:t>
      </w:r>
      <w:r w:rsidRPr="009F287B">
        <w:rPr>
          <w:rFonts w:ascii="Cambria" w:hAnsi="Cambria"/>
          <w:b/>
          <w:bCs/>
          <w:i/>
          <w:sz w:val="22"/>
          <w:szCs w:val="22"/>
        </w:rPr>
        <w:t>Fisheries Management Act 1991</w:t>
      </w:r>
      <w:r w:rsidRPr="009F287B">
        <w:rPr>
          <w:rFonts w:ascii="Cambria" w:hAnsi="Cambria"/>
          <w:b/>
          <w:bCs/>
          <w:sz w:val="22"/>
          <w:szCs w:val="22"/>
        </w:rPr>
        <w:t xml:space="preserve"> to specify that the Australian Fisheries Management Authority is required to consider the interests of all users of fisheries including recreational, Indigenous and commercial fishers</w:t>
      </w:r>
      <w:r w:rsidRPr="009F287B">
        <w:rPr>
          <w:rFonts w:ascii="Cambria" w:hAnsi="Cambria"/>
          <w:b/>
          <w:bCs/>
        </w:rPr>
        <w:t xml:space="preserve">. </w:t>
      </w:r>
    </w:p>
    <w:p w14:paraId="738A13C3" w14:textId="1E00A304" w:rsidR="001240C5" w:rsidRPr="009F287B" w:rsidRDefault="0081205F" w:rsidP="008768BB">
      <w:pPr>
        <w:rPr>
          <w:color w:val="000000"/>
          <w:lang w:eastAsia="en-AU"/>
        </w:rPr>
      </w:pPr>
      <w:r w:rsidRPr="009F287B">
        <w:rPr>
          <w:color w:val="000000"/>
          <w:lang w:eastAsia="en-AU"/>
        </w:rPr>
        <w:t xml:space="preserve">The </w:t>
      </w:r>
      <w:r w:rsidR="009A6F0B" w:rsidRPr="009F287B">
        <w:rPr>
          <w:color w:val="000000"/>
          <w:lang w:eastAsia="en-AU"/>
        </w:rPr>
        <w:t>Australian G</w:t>
      </w:r>
      <w:r w:rsidRPr="009F287B">
        <w:rPr>
          <w:color w:val="000000"/>
          <w:lang w:eastAsia="en-AU"/>
        </w:rPr>
        <w:t>overnment notes</w:t>
      </w:r>
      <w:r w:rsidR="009A6F0B" w:rsidRPr="009F287B">
        <w:rPr>
          <w:color w:val="000000"/>
          <w:lang w:eastAsia="en-AU"/>
        </w:rPr>
        <w:t xml:space="preserve"> this recommendation. </w:t>
      </w:r>
    </w:p>
    <w:p w14:paraId="42662CEF" w14:textId="1C33E6C2" w:rsidR="002D0811" w:rsidRDefault="001240C5" w:rsidP="002D0811">
      <w:pPr>
        <w:rPr>
          <w:color w:val="000000"/>
          <w:lang w:eastAsia="en-AU"/>
        </w:rPr>
      </w:pPr>
      <w:r w:rsidRPr="009F287B">
        <w:rPr>
          <w:color w:val="000000"/>
          <w:lang w:eastAsia="en-AU"/>
        </w:rPr>
        <w:t xml:space="preserve">Consistent with a 2016 election commitment, </w:t>
      </w:r>
      <w:r w:rsidR="00D255BE" w:rsidRPr="00D255BE">
        <w:rPr>
          <w:color w:val="000000"/>
          <w:lang w:eastAsia="en-AU"/>
        </w:rPr>
        <w:t xml:space="preserve">legislative amendments recently passed the Parliament which will </w:t>
      </w:r>
      <w:r w:rsidRPr="009F287B">
        <w:rPr>
          <w:color w:val="000000"/>
          <w:lang w:eastAsia="en-AU"/>
        </w:rPr>
        <w:t>ensure AFMA takes into account the interests of all fisheries users—commercial, recrea</w:t>
      </w:r>
      <w:r w:rsidR="00FB5C23" w:rsidRPr="009F287B">
        <w:rPr>
          <w:color w:val="000000"/>
          <w:lang w:eastAsia="en-AU"/>
        </w:rPr>
        <w:t>tional and Indigenous fishers—</w:t>
      </w:r>
      <w:r w:rsidRPr="009F287B">
        <w:rPr>
          <w:color w:val="000000"/>
          <w:lang w:eastAsia="en-AU"/>
        </w:rPr>
        <w:t>in exercising its existing fisheries management responsibilities. The amendments also increase the size of AFMA’s</w:t>
      </w:r>
      <w:r w:rsidR="00DD7B00" w:rsidRPr="009F287B">
        <w:rPr>
          <w:color w:val="000000"/>
          <w:lang w:eastAsia="en-AU"/>
        </w:rPr>
        <w:t xml:space="preserve"> Management Advisory Committees.</w:t>
      </w:r>
    </w:p>
    <w:p w14:paraId="3B550651" w14:textId="64D6B6C5" w:rsidR="0081205F" w:rsidRPr="0015370E" w:rsidRDefault="0015370E" w:rsidP="002D0811">
      <w:pPr>
        <w:rPr>
          <w:rFonts w:ascii="Times New Roman" w:hAnsi="Times New Roman"/>
          <w:color w:val="000000"/>
          <w:sz w:val="24"/>
          <w:szCs w:val="24"/>
          <w:lang w:eastAsia="en-AU"/>
        </w:rPr>
      </w:pPr>
      <w:r w:rsidRPr="009F287B">
        <w:rPr>
          <w:color w:val="000000"/>
          <w:lang w:eastAsia="en-AU"/>
        </w:rPr>
        <w:t xml:space="preserve">The amendments </w:t>
      </w:r>
      <w:r w:rsidR="001240C5" w:rsidRPr="009F287B">
        <w:rPr>
          <w:color w:val="000000"/>
          <w:lang w:eastAsia="en-AU"/>
        </w:rPr>
        <w:t xml:space="preserve">do not </w:t>
      </w:r>
      <w:r w:rsidRPr="009F287B">
        <w:rPr>
          <w:color w:val="000000"/>
          <w:lang w:eastAsia="en-AU"/>
        </w:rPr>
        <w:t>alter the application of AFMA’s decision-making powers. Decisions will continue to be made using evidence based science but will be enhanced by formalising and strengthening input to AFMA decisions from non-commercial fishers.</w:t>
      </w:r>
      <w:r>
        <w:rPr>
          <w:rFonts w:ascii="Times New Roman" w:hAnsi="Times New Roman"/>
          <w:color w:val="000000"/>
          <w:sz w:val="24"/>
          <w:szCs w:val="24"/>
          <w:lang w:eastAsia="en-AU"/>
        </w:rPr>
        <w:t xml:space="preserve"> </w:t>
      </w:r>
    </w:p>
    <w:p w14:paraId="06744442" w14:textId="77777777" w:rsidR="00085CFA" w:rsidRPr="002D0811" w:rsidRDefault="00085CFA" w:rsidP="00C81E41">
      <w:pPr>
        <w:pStyle w:val="Heading3"/>
      </w:pPr>
      <w:r w:rsidRPr="002D0811">
        <w:t xml:space="preserve">Recommendation 4 </w:t>
      </w:r>
    </w:p>
    <w:p w14:paraId="356B3DF7" w14:textId="1A171C10" w:rsidR="00085CFA" w:rsidRPr="009F287B" w:rsidRDefault="00085CFA" w:rsidP="002F6142">
      <w:pPr>
        <w:pBdr>
          <w:top w:val="single" w:sz="4" w:space="1" w:color="auto"/>
          <w:left w:val="single" w:sz="4" w:space="4" w:color="auto"/>
          <w:bottom w:val="single" w:sz="4" w:space="1" w:color="auto"/>
          <w:right w:val="single" w:sz="4" w:space="4" w:color="auto"/>
        </w:pBdr>
        <w:autoSpaceDE w:val="0"/>
        <w:autoSpaceDN w:val="0"/>
        <w:adjustRightInd w:val="0"/>
        <w:spacing w:before="0" w:after="120"/>
        <w:jc w:val="both"/>
        <w:rPr>
          <w:b/>
          <w:color w:val="000000"/>
          <w:lang w:eastAsia="en-AU"/>
        </w:rPr>
      </w:pPr>
      <w:r w:rsidRPr="009F287B">
        <w:rPr>
          <w:b/>
          <w:bCs/>
          <w:color w:val="000000"/>
          <w:lang w:eastAsia="en-AU"/>
        </w:rPr>
        <w:t xml:space="preserve">To enhance public confidence in the management of Australian fisheries, the committee recommends that the Australian Fisheries Management Authority publish, on a regular basis, further information about fishing activity in the Small Pelagic Fishery. This information should include: </w:t>
      </w:r>
    </w:p>
    <w:p w14:paraId="6E350A17" w14:textId="7EB057B2" w:rsidR="00085CFA" w:rsidRPr="009F287B" w:rsidRDefault="00085CFA" w:rsidP="002F6142">
      <w:pPr>
        <w:pStyle w:val="ListBullet"/>
        <w:pBdr>
          <w:top w:val="single" w:sz="4" w:space="1" w:color="auto"/>
          <w:left w:val="single" w:sz="4" w:space="4" w:color="auto"/>
          <w:bottom w:val="single" w:sz="4" w:space="1" w:color="auto"/>
          <w:right w:val="single" w:sz="4" w:space="4" w:color="auto"/>
        </w:pBdr>
        <w:rPr>
          <w:b/>
          <w:lang w:eastAsia="en-AU"/>
        </w:rPr>
      </w:pPr>
      <w:r w:rsidRPr="009F287B">
        <w:rPr>
          <w:b/>
          <w:lang w:eastAsia="en-AU"/>
        </w:rPr>
        <w:t xml:space="preserve">the total value of the fishery; </w:t>
      </w:r>
    </w:p>
    <w:p w14:paraId="03D0FAA3" w14:textId="2074AFAE" w:rsidR="00085CFA" w:rsidRPr="009F287B" w:rsidRDefault="00085CFA" w:rsidP="002F6142">
      <w:pPr>
        <w:pStyle w:val="ListBullet"/>
        <w:pBdr>
          <w:top w:val="single" w:sz="4" w:space="1" w:color="auto"/>
          <w:left w:val="single" w:sz="4" w:space="4" w:color="auto"/>
          <w:bottom w:val="single" w:sz="4" w:space="1" w:color="auto"/>
          <w:right w:val="single" w:sz="4" w:space="4" w:color="auto"/>
        </w:pBdr>
        <w:rPr>
          <w:b/>
          <w:lang w:eastAsia="en-AU"/>
        </w:rPr>
      </w:pPr>
      <w:r w:rsidRPr="009F287B">
        <w:rPr>
          <w:b/>
          <w:lang w:eastAsia="en-AU"/>
        </w:rPr>
        <w:t xml:space="preserve">quantity of catch (by species); </w:t>
      </w:r>
    </w:p>
    <w:p w14:paraId="032BF072" w14:textId="6FF5BA51" w:rsidR="00085CFA" w:rsidRPr="009F287B" w:rsidRDefault="00085CFA" w:rsidP="002F6142">
      <w:pPr>
        <w:pStyle w:val="ListBullet"/>
        <w:pBdr>
          <w:top w:val="single" w:sz="4" w:space="1" w:color="auto"/>
          <w:left w:val="single" w:sz="4" w:space="4" w:color="auto"/>
          <w:bottom w:val="single" w:sz="4" w:space="1" w:color="auto"/>
          <w:right w:val="single" w:sz="4" w:space="4" w:color="auto"/>
        </w:pBdr>
        <w:rPr>
          <w:b/>
          <w:lang w:eastAsia="en-AU"/>
        </w:rPr>
      </w:pPr>
      <w:r w:rsidRPr="009F287B">
        <w:rPr>
          <w:b/>
          <w:lang w:eastAsia="en-AU"/>
        </w:rPr>
        <w:t xml:space="preserve">the amount of bycatch caught and discarded by species; and </w:t>
      </w:r>
    </w:p>
    <w:p w14:paraId="0A343B47" w14:textId="7562187D" w:rsidR="00F0668E" w:rsidRPr="009F287B" w:rsidRDefault="00085CFA" w:rsidP="002F6142">
      <w:pPr>
        <w:pStyle w:val="ListBullet"/>
        <w:pBdr>
          <w:top w:val="single" w:sz="4" w:space="1" w:color="auto"/>
          <w:left w:val="single" w:sz="4" w:space="4" w:color="auto"/>
          <w:bottom w:val="single" w:sz="4" w:space="1" w:color="auto"/>
          <w:right w:val="single" w:sz="4" w:space="4" w:color="auto"/>
        </w:pBdr>
        <w:rPr>
          <w:b/>
          <w:lang w:eastAsia="en-AU"/>
        </w:rPr>
      </w:pPr>
      <w:r w:rsidRPr="009F287B">
        <w:rPr>
          <w:b/>
          <w:lang w:eastAsia="en-AU"/>
        </w:rPr>
        <w:t xml:space="preserve">the areas where fishing activity is taking place. </w:t>
      </w:r>
    </w:p>
    <w:p w14:paraId="60515E21" w14:textId="56379F1B" w:rsidR="00085CFA" w:rsidRPr="009F287B" w:rsidRDefault="00085CFA" w:rsidP="002F6142">
      <w:pPr>
        <w:pBdr>
          <w:top w:val="single" w:sz="4" w:space="1" w:color="auto"/>
          <w:left w:val="single" w:sz="4" w:space="4" w:color="auto"/>
          <w:bottom w:val="single" w:sz="4" w:space="1" w:color="auto"/>
          <w:right w:val="single" w:sz="4" w:space="4" w:color="auto"/>
        </w:pBdr>
        <w:autoSpaceDE w:val="0"/>
        <w:autoSpaceDN w:val="0"/>
        <w:adjustRightInd w:val="0"/>
        <w:spacing w:before="0" w:after="120"/>
        <w:jc w:val="both"/>
        <w:rPr>
          <w:color w:val="000000"/>
          <w:lang w:eastAsia="en-AU"/>
        </w:rPr>
      </w:pPr>
      <w:r w:rsidRPr="009F287B">
        <w:rPr>
          <w:b/>
          <w:bCs/>
          <w:color w:val="000000"/>
          <w:lang w:eastAsia="en-AU"/>
        </w:rPr>
        <w:t xml:space="preserve">Publication of this information should occur: </w:t>
      </w:r>
    </w:p>
    <w:p w14:paraId="2C94F1FB" w14:textId="463E8E80" w:rsidR="00085CFA" w:rsidRPr="009F287B" w:rsidRDefault="00085CFA" w:rsidP="00BA3D31">
      <w:pPr>
        <w:pStyle w:val="ListBullet"/>
        <w:pBdr>
          <w:top w:val="single" w:sz="4" w:space="1" w:color="auto"/>
          <w:left w:val="single" w:sz="4" w:space="4" w:color="auto"/>
          <w:bottom w:val="single" w:sz="4" w:space="1" w:color="auto"/>
          <w:right w:val="single" w:sz="4" w:space="4" w:color="auto"/>
        </w:pBdr>
        <w:rPr>
          <w:b/>
          <w:lang w:eastAsia="en-AU"/>
        </w:rPr>
      </w:pPr>
      <w:r w:rsidRPr="009F287B">
        <w:rPr>
          <w:b/>
          <w:lang w:eastAsia="en-AU"/>
        </w:rPr>
        <w:t>despite any claims from industry that particular information is commercially sensitive or should not be disclosed, although a short delay in publication</w:t>
      </w:r>
      <w:r w:rsidR="00D16BAF" w:rsidRPr="009F287B">
        <w:rPr>
          <w:b/>
          <w:lang w:eastAsia="en-AU"/>
        </w:rPr>
        <w:t xml:space="preserve"> </w:t>
      </w:r>
      <w:r w:rsidRPr="009F287B">
        <w:rPr>
          <w:b/>
          <w:lang w:eastAsia="en-AU"/>
        </w:rPr>
        <w:t xml:space="preserve">may be appropriate to accommodate concerns about the commercial sensitivity of particular information; and </w:t>
      </w:r>
    </w:p>
    <w:p w14:paraId="3B08C41C" w14:textId="00148BF6" w:rsidR="00085CFA" w:rsidRPr="00F0668E" w:rsidRDefault="00085CFA" w:rsidP="002F6142">
      <w:pPr>
        <w:pStyle w:val="ListBullet"/>
        <w:pBdr>
          <w:top w:val="single" w:sz="4" w:space="1" w:color="auto"/>
          <w:left w:val="single" w:sz="4" w:space="4" w:color="auto"/>
          <w:bottom w:val="single" w:sz="4" w:space="1" w:color="auto"/>
          <w:right w:val="single" w:sz="4" w:space="4" w:color="auto"/>
        </w:pBdr>
        <w:rPr>
          <w:rFonts w:ascii="Times New Roman" w:hAnsi="Times New Roman"/>
          <w:b/>
          <w:sz w:val="24"/>
          <w:szCs w:val="24"/>
          <w:lang w:eastAsia="en-AU"/>
        </w:rPr>
      </w:pPr>
      <w:r w:rsidRPr="009F287B">
        <w:rPr>
          <w:b/>
          <w:lang w:eastAsia="en-AU"/>
        </w:rPr>
        <w:t xml:space="preserve">regardless of any additional disclosures the operator of the FV </w:t>
      </w:r>
      <w:r w:rsidRPr="009F287B">
        <w:rPr>
          <w:b/>
          <w:i/>
          <w:iCs/>
          <w:lang w:eastAsia="en-AU"/>
        </w:rPr>
        <w:t xml:space="preserve">Geelong Star </w:t>
      </w:r>
      <w:r w:rsidR="00F0668E" w:rsidRPr="009F287B">
        <w:rPr>
          <w:b/>
          <w:lang w:eastAsia="en-AU"/>
        </w:rPr>
        <w:t xml:space="preserve">may </w:t>
      </w:r>
      <w:r w:rsidRPr="009F287B">
        <w:rPr>
          <w:b/>
          <w:lang w:eastAsia="en-AU"/>
        </w:rPr>
        <w:t>provide as part of a voluntary undertaking.</w:t>
      </w:r>
      <w:r w:rsidRPr="00F0668E">
        <w:rPr>
          <w:rFonts w:ascii="Times New Roman" w:hAnsi="Times New Roman"/>
          <w:b/>
          <w:sz w:val="24"/>
          <w:szCs w:val="24"/>
          <w:lang w:eastAsia="en-AU"/>
        </w:rPr>
        <w:t xml:space="preserve"> </w:t>
      </w:r>
    </w:p>
    <w:p w14:paraId="6B357702" w14:textId="7B3E6502" w:rsidR="006712C2" w:rsidRPr="009F287B" w:rsidRDefault="00085CFA" w:rsidP="00085CFA">
      <w:pPr>
        <w:autoSpaceDE w:val="0"/>
        <w:autoSpaceDN w:val="0"/>
        <w:adjustRightInd w:val="0"/>
        <w:spacing w:after="120"/>
        <w:jc w:val="both"/>
        <w:rPr>
          <w:bCs/>
          <w:color w:val="000000"/>
          <w:lang w:eastAsia="en-AU"/>
        </w:rPr>
      </w:pPr>
      <w:r w:rsidRPr="009F287B">
        <w:rPr>
          <w:bCs/>
          <w:color w:val="000000"/>
          <w:lang w:eastAsia="en-AU"/>
        </w:rPr>
        <w:t xml:space="preserve">The Australian Government </w:t>
      </w:r>
      <w:r w:rsidR="004D49DD" w:rsidRPr="009F287B">
        <w:rPr>
          <w:bCs/>
          <w:color w:val="000000"/>
          <w:lang w:eastAsia="en-AU"/>
        </w:rPr>
        <w:t>notes the recommendation</w:t>
      </w:r>
      <w:r w:rsidR="00D31624" w:rsidRPr="009F287B">
        <w:rPr>
          <w:bCs/>
          <w:color w:val="000000"/>
          <w:lang w:eastAsia="en-AU"/>
        </w:rPr>
        <w:t>.</w:t>
      </w:r>
    </w:p>
    <w:p w14:paraId="2413D540" w14:textId="1BC8A885" w:rsidR="00E22640" w:rsidRPr="009F287B" w:rsidRDefault="00085CFA" w:rsidP="00DD7B00">
      <w:pPr>
        <w:autoSpaceDE w:val="0"/>
        <w:autoSpaceDN w:val="0"/>
        <w:adjustRightInd w:val="0"/>
        <w:spacing w:after="120"/>
        <w:jc w:val="both"/>
        <w:rPr>
          <w:bCs/>
          <w:color w:val="000000"/>
          <w:lang w:eastAsia="en-AU"/>
        </w:rPr>
      </w:pPr>
      <w:r w:rsidRPr="009F287B">
        <w:rPr>
          <w:bCs/>
          <w:color w:val="000000"/>
          <w:lang w:eastAsia="en-AU"/>
        </w:rPr>
        <w:t xml:space="preserve">The government </w:t>
      </w:r>
      <w:r w:rsidR="00FE21DD" w:rsidRPr="009F287B">
        <w:rPr>
          <w:bCs/>
          <w:color w:val="000000"/>
          <w:lang w:eastAsia="en-AU"/>
        </w:rPr>
        <w:t>supports</w:t>
      </w:r>
      <w:r w:rsidRPr="009F287B">
        <w:rPr>
          <w:bCs/>
          <w:color w:val="000000"/>
          <w:lang w:eastAsia="en-AU"/>
        </w:rPr>
        <w:t xml:space="preserve"> transparency in fisheries management and community access to </w:t>
      </w:r>
      <w:r w:rsidR="00147EEC" w:rsidRPr="009F287B">
        <w:rPr>
          <w:bCs/>
          <w:color w:val="000000"/>
          <w:lang w:eastAsia="en-AU"/>
        </w:rPr>
        <w:t>relevant</w:t>
      </w:r>
      <w:r w:rsidRPr="009F287B">
        <w:rPr>
          <w:bCs/>
          <w:color w:val="000000"/>
          <w:lang w:eastAsia="en-AU"/>
        </w:rPr>
        <w:t xml:space="preserve"> informatio</w:t>
      </w:r>
      <w:r w:rsidR="00DD7B00" w:rsidRPr="009F287B">
        <w:rPr>
          <w:bCs/>
          <w:color w:val="000000"/>
          <w:lang w:eastAsia="en-AU"/>
        </w:rPr>
        <w:t>n about Commonwealth fisheries. T</w:t>
      </w:r>
      <w:r w:rsidR="00E22640" w:rsidRPr="009F287B">
        <w:rPr>
          <w:bCs/>
          <w:color w:val="000000"/>
          <w:lang w:eastAsia="en-AU"/>
        </w:rPr>
        <w:t>here is a high degree of transparency around fisheries management arrangements and fisheries operations in the SPF. AFMA currently makes substantial information about the SPF publically available including</w:t>
      </w:r>
      <w:r w:rsidR="000E200F" w:rsidRPr="009F287B">
        <w:rPr>
          <w:bCs/>
          <w:color w:val="000000"/>
          <w:lang w:eastAsia="en-AU"/>
        </w:rPr>
        <w:t>:</w:t>
      </w:r>
      <w:r w:rsidR="00E22640" w:rsidRPr="009F287B">
        <w:rPr>
          <w:bCs/>
          <w:color w:val="000000"/>
          <w:lang w:eastAsia="en-AU"/>
        </w:rPr>
        <w:t xml:space="preserve"> total catch limits, total catch from the fishery, </w:t>
      </w:r>
      <w:r w:rsidR="005211FF" w:rsidRPr="009F287B">
        <w:rPr>
          <w:bCs/>
          <w:color w:val="000000"/>
          <w:lang w:eastAsia="en-AU"/>
        </w:rPr>
        <w:t xml:space="preserve">quarterly reports of </w:t>
      </w:r>
      <w:r w:rsidR="00147EEC" w:rsidRPr="009F287B">
        <w:rPr>
          <w:bCs/>
          <w:color w:val="000000"/>
          <w:lang w:eastAsia="en-AU"/>
        </w:rPr>
        <w:t>i</w:t>
      </w:r>
      <w:r w:rsidR="00AB4847" w:rsidRPr="009F287B">
        <w:rPr>
          <w:bCs/>
          <w:color w:val="000000"/>
          <w:lang w:eastAsia="en-AU"/>
        </w:rPr>
        <w:t>nteractions with protected species</w:t>
      </w:r>
      <w:r w:rsidR="00147EEC" w:rsidRPr="009F287B">
        <w:rPr>
          <w:bCs/>
          <w:color w:val="000000"/>
          <w:lang w:eastAsia="en-AU"/>
        </w:rPr>
        <w:t xml:space="preserve"> by Commonwealth fishing operators, </w:t>
      </w:r>
      <w:r w:rsidR="00E22640" w:rsidRPr="009F287B">
        <w:rPr>
          <w:bCs/>
          <w:color w:val="000000"/>
          <w:lang w:eastAsia="en-AU"/>
        </w:rPr>
        <w:t>quota statutory fishing rights, target species status, the SPF Harvest Strategy and the SPF Management Plan.</w:t>
      </w:r>
      <w:r w:rsidR="00AB4847" w:rsidRPr="009F287B">
        <w:rPr>
          <w:bCs/>
          <w:color w:val="000000"/>
          <w:lang w:eastAsia="en-AU"/>
        </w:rPr>
        <w:t xml:space="preserve"> </w:t>
      </w:r>
    </w:p>
    <w:p w14:paraId="5E0FE629" w14:textId="427008A6" w:rsidR="009F287B" w:rsidRDefault="006712C2" w:rsidP="002946D7">
      <w:pPr>
        <w:autoSpaceDE w:val="0"/>
        <w:autoSpaceDN w:val="0"/>
        <w:adjustRightInd w:val="0"/>
        <w:spacing w:after="120"/>
        <w:jc w:val="both"/>
        <w:rPr>
          <w:bCs/>
          <w:color w:val="000000"/>
          <w:lang w:eastAsia="en-AU"/>
        </w:rPr>
      </w:pPr>
      <w:r w:rsidRPr="009F287B">
        <w:rPr>
          <w:bCs/>
          <w:color w:val="000000"/>
          <w:lang w:eastAsia="en-AU"/>
        </w:rPr>
        <w:t>T</w:t>
      </w:r>
      <w:r w:rsidR="00FE21DD" w:rsidRPr="009F287B">
        <w:rPr>
          <w:bCs/>
          <w:color w:val="000000"/>
          <w:lang w:eastAsia="en-AU"/>
        </w:rPr>
        <w:t xml:space="preserve">he government </w:t>
      </w:r>
      <w:r w:rsidR="00085CFA" w:rsidRPr="009F287B">
        <w:rPr>
          <w:bCs/>
          <w:color w:val="000000"/>
          <w:lang w:eastAsia="en-AU"/>
        </w:rPr>
        <w:t>supports the release of data and information about the SPF</w:t>
      </w:r>
      <w:r w:rsidR="00354E04" w:rsidRPr="009F287B">
        <w:rPr>
          <w:bCs/>
          <w:color w:val="000000"/>
          <w:lang w:eastAsia="en-AU"/>
        </w:rPr>
        <w:t xml:space="preserve"> </w:t>
      </w:r>
      <w:r w:rsidR="00085CFA" w:rsidRPr="009F287B">
        <w:rPr>
          <w:bCs/>
          <w:color w:val="000000"/>
          <w:lang w:eastAsia="en-AU"/>
        </w:rPr>
        <w:t>consistent with AFMA</w:t>
      </w:r>
      <w:r w:rsidR="00687627" w:rsidRPr="009F287B">
        <w:rPr>
          <w:bCs/>
          <w:color w:val="000000"/>
          <w:lang w:eastAsia="en-AU"/>
        </w:rPr>
        <w:t>’s</w:t>
      </w:r>
      <w:r w:rsidR="00085CFA" w:rsidRPr="009F287B">
        <w:rPr>
          <w:bCs/>
          <w:color w:val="000000"/>
          <w:lang w:eastAsia="en-AU"/>
        </w:rPr>
        <w:t>, policy of balancing the release of information about fishing activities with the need to protect commercially sensitive information. AFMA determines this in line wi</w:t>
      </w:r>
      <w:r w:rsidR="004D49DD" w:rsidRPr="009F287B">
        <w:rPr>
          <w:bCs/>
          <w:color w:val="000000"/>
          <w:lang w:eastAsia="en-AU"/>
        </w:rPr>
        <w:t>th its legislative obligations</w:t>
      </w:r>
      <w:r w:rsidR="00085CFA" w:rsidRPr="009F287B">
        <w:rPr>
          <w:bCs/>
          <w:color w:val="000000"/>
          <w:lang w:eastAsia="en-AU"/>
        </w:rPr>
        <w:t xml:space="preserve"> and its information disclosure policy. </w:t>
      </w:r>
    </w:p>
    <w:p w14:paraId="7FBAF5AE" w14:textId="0F8E288D" w:rsidR="002946D7" w:rsidRPr="009F287B" w:rsidRDefault="009F287B" w:rsidP="002D0811">
      <w:pPr>
        <w:spacing w:before="0"/>
        <w:rPr>
          <w:bCs/>
          <w:color w:val="000000"/>
          <w:lang w:eastAsia="en-AU"/>
        </w:rPr>
      </w:pPr>
      <w:r>
        <w:rPr>
          <w:bCs/>
          <w:color w:val="000000"/>
          <w:lang w:eastAsia="en-AU"/>
        </w:rPr>
        <w:br w:type="page"/>
      </w:r>
    </w:p>
    <w:p w14:paraId="23D5300F" w14:textId="22FD8BFD" w:rsidR="00933A12" w:rsidRPr="005102FB" w:rsidRDefault="00933A12" w:rsidP="00C81E41">
      <w:pPr>
        <w:pStyle w:val="Heading3"/>
      </w:pPr>
      <w:r w:rsidRPr="005102FB">
        <w:lastRenderedPageBreak/>
        <w:t xml:space="preserve">Recommendation 5 </w:t>
      </w:r>
    </w:p>
    <w:p w14:paraId="44A1726F" w14:textId="0567335B" w:rsidR="00933A12" w:rsidRPr="009F287B" w:rsidRDefault="00933A12" w:rsidP="002946D7">
      <w:pPr>
        <w:pBdr>
          <w:top w:val="single" w:sz="4" w:space="1" w:color="auto"/>
          <w:left w:val="single" w:sz="4" w:space="4" w:color="auto"/>
          <w:bottom w:val="single" w:sz="4" w:space="1" w:color="auto"/>
          <w:right w:val="single" w:sz="4" w:space="4" w:color="auto"/>
        </w:pBdr>
        <w:autoSpaceDE w:val="0"/>
        <w:autoSpaceDN w:val="0"/>
        <w:adjustRightInd w:val="0"/>
        <w:spacing w:before="0" w:after="120"/>
        <w:jc w:val="both"/>
        <w:rPr>
          <w:b/>
          <w:bCs/>
          <w:color w:val="000000"/>
          <w:lang w:eastAsia="en-AU"/>
        </w:rPr>
      </w:pPr>
      <w:r w:rsidRPr="009F287B">
        <w:rPr>
          <w:b/>
          <w:bCs/>
          <w:color w:val="000000"/>
          <w:lang w:eastAsia="en-AU"/>
        </w:rPr>
        <w:t xml:space="preserve">As the visual identification of protected species is critical for their protection, the committee recommends that the Australian Fisheries Management Authority restrict mid-water trawling in the Small Pelagic Fishery to daylight hours. </w:t>
      </w:r>
    </w:p>
    <w:p w14:paraId="00AFF501" w14:textId="24B58686" w:rsidR="00933A12" w:rsidRPr="009F287B" w:rsidRDefault="00933A12" w:rsidP="00933A12">
      <w:pPr>
        <w:autoSpaceDE w:val="0"/>
        <w:autoSpaceDN w:val="0"/>
        <w:adjustRightInd w:val="0"/>
        <w:spacing w:before="0" w:after="120"/>
        <w:jc w:val="both"/>
        <w:rPr>
          <w:bCs/>
          <w:color w:val="000000"/>
          <w:lang w:eastAsia="en-AU"/>
        </w:rPr>
      </w:pPr>
      <w:r w:rsidRPr="009F287B">
        <w:rPr>
          <w:bCs/>
          <w:color w:val="000000"/>
          <w:lang w:eastAsia="en-AU"/>
        </w:rPr>
        <w:t>The Australian Government does not agree with this recommendation.</w:t>
      </w:r>
    </w:p>
    <w:p w14:paraId="0ECC3827" w14:textId="1E24D85C" w:rsidR="00B70CD3" w:rsidRPr="009F287B" w:rsidRDefault="00933A12" w:rsidP="00933A12">
      <w:pPr>
        <w:autoSpaceDE w:val="0"/>
        <w:autoSpaceDN w:val="0"/>
        <w:adjustRightInd w:val="0"/>
        <w:spacing w:before="0" w:after="120"/>
        <w:jc w:val="both"/>
        <w:rPr>
          <w:bCs/>
          <w:color w:val="000000"/>
          <w:lang w:eastAsia="en-AU"/>
        </w:rPr>
      </w:pPr>
      <w:r w:rsidRPr="009F287B">
        <w:rPr>
          <w:bCs/>
          <w:color w:val="000000"/>
          <w:lang w:eastAsia="en-AU"/>
        </w:rPr>
        <w:t xml:space="preserve">The government notes that the intent of this recommendation is the </w:t>
      </w:r>
      <w:r w:rsidR="00FE21DD" w:rsidRPr="009F287B">
        <w:rPr>
          <w:bCs/>
          <w:color w:val="000000"/>
          <w:lang w:eastAsia="en-AU"/>
        </w:rPr>
        <w:t>protection of protected species</w:t>
      </w:r>
      <w:r w:rsidR="00041CA1" w:rsidRPr="009F287B">
        <w:rPr>
          <w:bCs/>
          <w:color w:val="000000"/>
          <w:lang w:eastAsia="en-AU"/>
        </w:rPr>
        <w:t>.</w:t>
      </w:r>
      <w:r w:rsidR="009D5B44" w:rsidRPr="009F287B">
        <w:rPr>
          <w:bCs/>
          <w:color w:val="000000"/>
          <w:lang w:eastAsia="en-AU"/>
        </w:rPr>
        <w:t xml:space="preserve"> </w:t>
      </w:r>
      <w:r w:rsidR="00041CA1" w:rsidRPr="009F287B">
        <w:rPr>
          <w:bCs/>
          <w:color w:val="000000"/>
          <w:lang w:eastAsia="en-AU"/>
        </w:rPr>
        <w:t>E</w:t>
      </w:r>
      <w:r w:rsidRPr="009F287B">
        <w:rPr>
          <w:bCs/>
          <w:color w:val="000000"/>
          <w:lang w:eastAsia="en-AU"/>
        </w:rPr>
        <w:t xml:space="preserve">xtensive </w:t>
      </w:r>
      <w:r w:rsidR="00FE21DD" w:rsidRPr="009F287B">
        <w:rPr>
          <w:bCs/>
          <w:color w:val="000000"/>
          <w:lang w:eastAsia="en-AU"/>
        </w:rPr>
        <w:t>effective measures</w:t>
      </w:r>
      <w:r w:rsidR="00F73223" w:rsidRPr="009F287B">
        <w:rPr>
          <w:bCs/>
          <w:color w:val="000000"/>
          <w:lang w:eastAsia="en-AU"/>
        </w:rPr>
        <w:t xml:space="preserve"> </w:t>
      </w:r>
      <w:r w:rsidR="00BA2210" w:rsidRPr="009F287B">
        <w:rPr>
          <w:bCs/>
          <w:color w:val="000000"/>
          <w:lang w:eastAsia="en-AU"/>
        </w:rPr>
        <w:t xml:space="preserve">to minimise interactions with protected species </w:t>
      </w:r>
      <w:r w:rsidR="00FE21DD" w:rsidRPr="009F287B">
        <w:rPr>
          <w:bCs/>
          <w:color w:val="000000"/>
          <w:lang w:eastAsia="en-AU"/>
        </w:rPr>
        <w:t>are already</w:t>
      </w:r>
      <w:r w:rsidRPr="009F287B">
        <w:rPr>
          <w:bCs/>
          <w:color w:val="000000"/>
          <w:lang w:eastAsia="en-AU"/>
        </w:rPr>
        <w:t xml:space="preserve"> in place in the SPF</w:t>
      </w:r>
      <w:r w:rsidR="006879F5" w:rsidRPr="009F287B">
        <w:rPr>
          <w:bCs/>
          <w:color w:val="000000"/>
          <w:lang w:eastAsia="en-AU"/>
        </w:rPr>
        <w:t>.</w:t>
      </w:r>
    </w:p>
    <w:p w14:paraId="044034FD" w14:textId="75AF76F3" w:rsidR="00B3641F" w:rsidRPr="009F287B" w:rsidRDefault="00DD7B00" w:rsidP="00933A12">
      <w:pPr>
        <w:autoSpaceDE w:val="0"/>
        <w:autoSpaceDN w:val="0"/>
        <w:adjustRightInd w:val="0"/>
        <w:spacing w:before="0" w:after="120"/>
        <w:jc w:val="both"/>
        <w:rPr>
          <w:bCs/>
          <w:color w:val="000000"/>
          <w:lang w:eastAsia="en-AU"/>
        </w:rPr>
      </w:pPr>
      <w:r w:rsidRPr="009F287B">
        <w:rPr>
          <w:bCs/>
          <w:color w:val="000000"/>
          <w:lang w:eastAsia="en-AU"/>
        </w:rPr>
        <w:t>A</w:t>
      </w:r>
      <w:r w:rsidR="006E3B7B" w:rsidRPr="009F287B">
        <w:rPr>
          <w:bCs/>
          <w:color w:val="000000"/>
          <w:lang w:eastAsia="en-AU"/>
        </w:rPr>
        <w:t xml:space="preserve">ll food production activities have some level of impact on the environment and in the case of fishing, the most visible impacts can be the interaction with non-target species, or bycatch. </w:t>
      </w:r>
    </w:p>
    <w:p w14:paraId="5DF17BE3" w14:textId="5D0271D9" w:rsidR="00845E98" w:rsidRPr="009F287B" w:rsidRDefault="004D49DD" w:rsidP="00933A12">
      <w:pPr>
        <w:autoSpaceDE w:val="0"/>
        <w:autoSpaceDN w:val="0"/>
        <w:adjustRightInd w:val="0"/>
        <w:spacing w:before="0" w:after="120"/>
        <w:jc w:val="both"/>
        <w:rPr>
          <w:bCs/>
          <w:color w:val="000000"/>
          <w:lang w:eastAsia="en-AU"/>
        </w:rPr>
      </w:pPr>
      <w:r w:rsidRPr="009F287B">
        <w:rPr>
          <w:bCs/>
          <w:color w:val="000000"/>
          <w:lang w:eastAsia="en-AU"/>
        </w:rPr>
        <w:t>Night fishing is a common practice around the world</w:t>
      </w:r>
      <w:r w:rsidR="00147EEC" w:rsidRPr="009F287B">
        <w:rPr>
          <w:bCs/>
          <w:color w:val="000000"/>
          <w:lang w:eastAsia="en-AU"/>
        </w:rPr>
        <w:t xml:space="preserve"> and</w:t>
      </w:r>
      <w:r w:rsidRPr="009F287B">
        <w:rPr>
          <w:bCs/>
          <w:color w:val="000000"/>
          <w:lang w:eastAsia="en-AU"/>
        </w:rPr>
        <w:t xml:space="preserve"> necessary to effectively fish for certain species.</w:t>
      </w:r>
      <w:r w:rsidR="00B3641F" w:rsidRPr="009F287B">
        <w:rPr>
          <w:bCs/>
          <w:color w:val="000000"/>
          <w:lang w:eastAsia="en-AU"/>
        </w:rPr>
        <w:t xml:space="preserve"> </w:t>
      </w:r>
      <w:r w:rsidR="00845E98" w:rsidRPr="009F287B">
        <w:rPr>
          <w:bCs/>
          <w:color w:val="000000"/>
          <w:lang w:eastAsia="en-AU"/>
        </w:rPr>
        <w:t>AFMA has established a marine mammal working group to provide adv</w:t>
      </w:r>
      <w:r w:rsidR="009A6F0B" w:rsidRPr="009F287B">
        <w:rPr>
          <w:bCs/>
          <w:color w:val="000000"/>
          <w:lang w:eastAsia="en-AU"/>
        </w:rPr>
        <w:t>ice on m</w:t>
      </w:r>
      <w:r w:rsidR="007F0776" w:rsidRPr="009F287B">
        <w:rPr>
          <w:bCs/>
          <w:color w:val="000000"/>
          <w:lang w:eastAsia="en-AU"/>
        </w:rPr>
        <w:t>arine ma</w:t>
      </w:r>
      <w:r w:rsidR="006E3B7B" w:rsidRPr="009F287B">
        <w:rPr>
          <w:bCs/>
          <w:color w:val="000000"/>
          <w:lang w:eastAsia="en-AU"/>
        </w:rPr>
        <w:t>mmal</w:t>
      </w:r>
      <w:r w:rsidR="007F0776" w:rsidRPr="009F287B">
        <w:rPr>
          <w:bCs/>
          <w:color w:val="000000"/>
          <w:lang w:eastAsia="en-AU"/>
        </w:rPr>
        <w:t xml:space="preserve"> management arrangements for Comm</w:t>
      </w:r>
      <w:r w:rsidR="00B3641F" w:rsidRPr="009F287B">
        <w:rPr>
          <w:bCs/>
          <w:color w:val="000000"/>
          <w:lang w:eastAsia="en-AU"/>
        </w:rPr>
        <w:t xml:space="preserve">onwealth managed fisheries. </w:t>
      </w:r>
      <w:r w:rsidR="007F0776" w:rsidRPr="009F287B">
        <w:rPr>
          <w:bCs/>
          <w:color w:val="000000"/>
          <w:lang w:eastAsia="en-AU"/>
        </w:rPr>
        <w:t xml:space="preserve">This work includes developing mitigation and avoidance strategies. The group is structured to elicit the best possible advice from a wide variety of </w:t>
      </w:r>
      <w:r w:rsidR="00F06CEC" w:rsidRPr="009F287B">
        <w:rPr>
          <w:bCs/>
          <w:color w:val="000000"/>
          <w:lang w:eastAsia="en-AU"/>
        </w:rPr>
        <w:t>experts</w:t>
      </w:r>
      <w:r w:rsidR="007F0776" w:rsidRPr="009F287B">
        <w:rPr>
          <w:bCs/>
          <w:color w:val="000000"/>
          <w:lang w:eastAsia="en-AU"/>
        </w:rPr>
        <w:t xml:space="preserve">. </w:t>
      </w:r>
    </w:p>
    <w:p w14:paraId="569B3344" w14:textId="77B81781" w:rsidR="004D49DD" w:rsidRPr="009F287B" w:rsidRDefault="00D76DF4" w:rsidP="002F6142">
      <w:pPr>
        <w:autoSpaceDE w:val="0"/>
        <w:autoSpaceDN w:val="0"/>
        <w:adjustRightInd w:val="0"/>
        <w:spacing w:before="0" w:after="120"/>
        <w:jc w:val="both"/>
        <w:rPr>
          <w:bCs/>
          <w:color w:val="000000"/>
          <w:lang w:eastAsia="en-AU"/>
        </w:rPr>
      </w:pPr>
      <w:r w:rsidRPr="009F287B">
        <w:rPr>
          <w:bCs/>
          <w:color w:val="000000"/>
          <w:lang w:eastAsia="en-AU"/>
        </w:rPr>
        <w:t>The</w:t>
      </w:r>
      <w:r w:rsidR="00DD7B00" w:rsidRPr="009F287B">
        <w:rPr>
          <w:bCs/>
          <w:color w:val="000000"/>
          <w:lang w:eastAsia="en-AU"/>
        </w:rPr>
        <w:t xml:space="preserve"> SPF management regime</w:t>
      </w:r>
      <w:r w:rsidRPr="009F287B">
        <w:rPr>
          <w:bCs/>
          <w:color w:val="000000"/>
          <w:lang w:eastAsia="en-AU"/>
        </w:rPr>
        <w:t xml:space="preserve"> has been assessed against the requirements of the </w:t>
      </w:r>
      <w:r w:rsidRPr="009F287B">
        <w:rPr>
          <w:bCs/>
          <w:i/>
          <w:color w:val="000000"/>
          <w:lang w:eastAsia="en-AU"/>
        </w:rPr>
        <w:t>Environment Protection and Biodiversity Conservation Act 1999</w:t>
      </w:r>
      <w:r w:rsidRPr="009F287B">
        <w:rPr>
          <w:bCs/>
          <w:color w:val="000000"/>
          <w:lang w:eastAsia="en-AU"/>
        </w:rPr>
        <w:t xml:space="preserve"> (EPBC Act)</w:t>
      </w:r>
      <w:r w:rsidR="00F73223" w:rsidRPr="009F287B">
        <w:rPr>
          <w:bCs/>
          <w:color w:val="000000"/>
          <w:lang w:eastAsia="en-AU"/>
        </w:rPr>
        <w:t xml:space="preserve">. </w:t>
      </w:r>
      <w:r w:rsidRPr="009F287B">
        <w:rPr>
          <w:bCs/>
          <w:color w:val="000000"/>
          <w:lang w:eastAsia="en-AU"/>
        </w:rPr>
        <w:t xml:space="preserve">The management regime is currently accredited under part 13 of the EPBC Act for interactions with protected species.  </w:t>
      </w:r>
    </w:p>
    <w:p w14:paraId="1DC94E25" w14:textId="212A5328" w:rsidR="00842A2D" w:rsidRPr="009F287B" w:rsidRDefault="008B133F" w:rsidP="002F6142">
      <w:pPr>
        <w:autoSpaceDE w:val="0"/>
        <w:autoSpaceDN w:val="0"/>
        <w:adjustRightInd w:val="0"/>
        <w:spacing w:before="0" w:after="120"/>
        <w:jc w:val="both"/>
        <w:rPr>
          <w:bCs/>
          <w:color w:val="000000"/>
          <w:lang w:eastAsia="en-AU"/>
        </w:rPr>
      </w:pPr>
      <w:r w:rsidRPr="009F287B">
        <w:rPr>
          <w:bCs/>
          <w:color w:val="000000"/>
          <w:lang w:eastAsia="en-AU"/>
        </w:rPr>
        <w:t>It is open to AFMA to move to restrict fishing to daylight hours if that is deemed essential.</w:t>
      </w:r>
      <w:r w:rsidR="00B75E41" w:rsidRPr="009F287B">
        <w:rPr>
          <w:bCs/>
          <w:color w:val="000000"/>
          <w:lang w:eastAsia="en-AU"/>
        </w:rPr>
        <w:t xml:space="preserve"> </w:t>
      </w:r>
    </w:p>
    <w:p w14:paraId="76E8E1F3" w14:textId="50AFAAB1" w:rsidR="001C1525" w:rsidRPr="005102FB" w:rsidRDefault="001C1525" w:rsidP="00C81E41">
      <w:pPr>
        <w:pStyle w:val="Heading3"/>
      </w:pPr>
      <w:r w:rsidRPr="005102FB">
        <w:t>Recom</w:t>
      </w:r>
      <w:r w:rsidRPr="00961719">
        <w:t>mend</w:t>
      </w:r>
      <w:r w:rsidRPr="005102FB">
        <w:t xml:space="preserve">ation 6 </w:t>
      </w:r>
    </w:p>
    <w:p w14:paraId="780A165D" w14:textId="53AE0C5F" w:rsidR="001C1525" w:rsidRPr="009F287B" w:rsidRDefault="001C1525" w:rsidP="002F6142">
      <w:pPr>
        <w:pBdr>
          <w:top w:val="single" w:sz="4" w:space="1" w:color="auto"/>
          <w:left w:val="single" w:sz="4" w:space="4" w:color="auto"/>
          <w:bottom w:val="single" w:sz="4" w:space="1" w:color="auto"/>
          <w:right w:val="single" w:sz="4" w:space="4" w:color="auto"/>
        </w:pBdr>
        <w:autoSpaceDE w:val="0"/>
        <w:autoSpaceDN w:val="0"/>
        <w:adjustRightInd w:val="0"/>
        <w:spacing w:before="0" w:after="120"/>
        <w:jc w:val="both"/>
        <w:rPr>
          <w:b/>
          <w:bCs/>
          <w:color w:val="000000"/>
          <w:lang w:eastAsia="en-AU"/>
        </w:rPr>
      </w:pPr>
      <w:r w:rsidRPr="009F287B">
        <w:rPr>
          <w:b/>
          <w:bCs/>
          <w:color w:val="000000"/>
          <w:lang w:eastAsia="en-AU"/>
        </w:rPr>
        <w:t>The committee recommends that the Australian Fisheries Management Authority require estimates of spawning biomass based on the daily egg production method to be obtained for all quota fish populations in the Small Pelagic Fishery more frequently than the current arrangements. The cost of these surveys is to be recovered from industry.</w:t>
      </w:r>
    </w:p>
    <w:p w14:paraId="4874632E" w14:textId="0F19607B" w:rsidR="00996B16" w:rsidRPr="009F287B" w:rsidRDefault="001C1525" w:rsidP="00714E38">
      <w:pPr>
        <w:autoSpaceDE w:val="0"/>
        <w:autoSpaceDN w:val="0"/>
        <w:adjustRightInd w:val="0"/>
        <w:spacing w:before="0" w:after="120"/>
        <w:jc w:val="both"/>
        <w:rPr>
          <w:bCs/>
          <w:color w:val="000000"/>
          <w:lang w:eastAsia="en-AU"/>
        </w:rPr>
      </w:pPr>
      <w:r w:rsidRPr="009F287B">
        <w:rPr>
          <w:bCs/>
          <w:color w:val="000000"/>
          <w:lang w:eastAsia="en-AU"/>
        </w:rPr>
        <w:t xml:space="preserve">The Australian government </w:t>
      </w:r>
      <w:r w:rsidR="00A76F42" w:rsidRPr="009F287B">
        <w:rPr>
          <w:bCs/>
          <w:color w:val="000000"/>
          <w:lang w:eastAsia="en-AU"/>
        </w:rPr>
        <w:t>notes the</w:t>
      </w:r>
      <w:r w:rsidRPr="009F287B">
        <w:rPr>
          <w:bCs/>
          <w:color w:val="000000"/>
          <w:lang w:eastAsia="en-AU"/>
        </w:rPr>
        <w:t xml:space="preserve"> recommendation</w:t>
      </w:r>
      <w:r w:rsidR="00213CD7" w:rsidRPr="009F287B">
        <w:rPr>
          <w:bCs/>
          <w:color w:val="000000"/>
          <w:lang w:eastAsia="en-AU"/>
        </w:rPr>
        <w:t xml:space="preserve"> and will refer it</w:t>
      </w:r>
      <w:r w:rsidR="00110F88" w:rsidRPr="009F287B">
        <w:rPr>
          <w:bCs/>
          <w:color w:val="000000"/>
          <w:lang w:eastAsia="en-AU"/>
        </w:rPr>
        <w:t xml:space="preserve"> to AFMA for consideration</w:t>
      </w:r>
      <w:r w:rsidRPr="009F287B">
        <w:rPr>
          <w:bCs/>
          <w:color w:val="000000"/>
          <w:lang w:eastAsia="en-AU"/>
        </w:rPr>
        <w:t xml:space="preserve">. </w:t>
      </w:r>
    </w:p>
    <w:p w14:paraId="1D5FD158" w14:textId="5B971185" w:rsidR="00720749" w:rsidRPr="009F287B" w:rsidRDefault="00815C6C" w:rsidP="00815C6C">
      <w:pPr>
        <w:autoSpaceDE w:val="0"/>
        <w:autoSpaceDN w:val="0"/>
        <w:adjustRightInd w:val="0"/>
        <w:spacing w:before="0" w:after="120"/>
        <w:jc w:val="both"/>
        <w:rPr>
          <w:bCs/>
          <w:color w:val="000000"/>
          <w:lang w:eastAsia="en-AU"/>
        </w:rPr>
      </w:pPr>
      <w:r w:rsidRPr="009F287B">
        <w:rPr>
          <w:bCs/>
          <w:color w:val="000000"/>
          <w:lang w:eastAsia="en-AU"/>
        </w:rPr>
        <w:t xml:space="preserve">The government will continue to support daily egg production method </w:t>
      </w:r>
      <w:r w:rsidR="003D2087" w:rsidRPr="009F287B">
        <w:rPr>
          <w:bCs/>
          <w:color w:val="000000"/>
          <w:lang w:eastAsia="en-AU"/>
        </w:rPr>
        <w:t xml:space="preserve">(DEPM) </w:t>
      </w:r>
      <w:r w:rsidRPr="009F287B">
        <w:rPr>
          <w:bCs/>
          <w:color w:val="000000"/>
          <w:lang w:eastAsia="en-AU"/>
        </w:rPr>
        <w:t xml:space="preserve">surveys </w:t>
      </w:r>
      <w:r w:rsidR="00720749" w:rsidRPr="009F287B">
        <w:rPr>
          <w:bCs/>
          <w:color w:val="000000"/>
          <w:lang w:eastAsia="en-AU"/>
        </w:rPr>
        <w:t>as one of the primary mechanism</w:t>
      </w:r>
      <w:r w:rsidR="00213CD7" w:rsidRPr="009F287B">
        <w:rPr>
          <w:bCs/>
          <w:color w:val="000000"/>
          <w:lang w:eastAsia="en-AU"/>
        </w:rPr>
        <w:t>s</w:t>
      </w:r>
      <w:r w:rsidR="00720749" w:rsidRPr="009F287B">
        <w:rPr>
          <w:bCs/>
          <w:color w:val="000000"/>
          <w:lang w:eastAsia="en-AU"/>
        </w:rPr>
        <w:t xml:space="preserve"> to inform the SPF</w:t>
      </w:r>
      <w:r w:rsidR="00996B16" w:rsidRPr="009F287B">
        <w:rPr>
          <w:bCs/>
          <w:color w:val="000000"/>
          <w:lang w:eastAsia="en-AU"/>
        </w:rPr>
        <w:t>’s Harvest Strategy</w:t>
      </w:r>
      <w:r w:rsidR="00720749" w:rsidRPr="009F287B">
        <w:rPr>
          <w:bCs/>
          <w:color w:val="000000"/>
          <w:lang w:eastAsia="en-AU"/>
        </w:rPr>
        <w:t xml:space="preserve">. </w:t>
      </w:r>
    </w:p>
    <w:p w14:paraId="39F87E2E" w14:textId="6FA171AA" w:rsidR="00815C6C" w:rsidRPr="009F287B" w:rsidRDefault="00213CD7" w:rsidP="00815C6C">
      <w:pPr>
        <w:autoSpaceDE w:val="0"/>
        <w:autoSpaceDN w:val="0"/>
        <w:adjustRightInd w:val="0"/>
        <w:spacing w:before="0" w:after="120"/>
        <w:jc w:val="both"/>
        <w:rPr>
          <w:bCs/>
          <w:color w:val="000000"/>
          <w:lang w:eastAsia="en-AU"/>
        </w:rPr>
      </w:pPr>
      <w:r w:rsidRPr="009F287B">
        <w:rPr>
          <w:bCs/>
          <w:color w:val="000000"/>
          <w:lang w:eastAsia="en-AU"/>
        </w:rPr>
        <w:t>T</w:t>
      </w:r>
      <w:r w:rsidR="00815C6C" w:rsidRPr="009F287B">
        <w:rPr>
          <w:bCs/>
          <w:color w:val="000000"/>
          <w:lang w:eastAsia="en-AU"/>
        </w:rPr>
        <w:t>he timetable for undertaking</w:t>
      </w:r>
      <w:r w:rsidR="003D2087" w:rsidRPr="009F287B">
        <w:rPr>
          <w:bCs/>
          <w:color w:val="000000"/>
          <w:lang w:eastAsia="en-AU"/>
        </w:rPr>
        <w:t xml:space="preserve"> DEPM </w:t>
      </w:r>
      <w:r w:rsidR="00815C6C" w:rsidRPr="009F287B">
        <w:rPr>
          <w:bCs/>
          <w:color w:val="000000"/>
          <w:lang w:eastAsia="en-AU"/>
        </w:rPr>
        <w:t>s</w:t>
      </w:r>
      <w:r w:rsidR="003D2087" w:rsidRPr="009F287B">
        <w:rPr>
          <w:bCs/>
          <w:color w:val="000000"/>
          <w:lang w:eastAsia="en-AU"/>
        </w:rPr>
        <w:t>urveys</w:t>
      </w:r>
      <w:r w:rsidR="00815C6C" w:rsidRPr="009F287B">
        <w:rPr>
          <w:bCs/>
          <w:color w:val="000000"/>
          <w:lang w:eastAsia="en-AU"/>
        </w:rPr>
        <w:t xml:space="preserve"> in the SPF is determined by the AFMA </w:t>
      </w:r>
      <w:r w:rsidR="00C72077" w:rsidRPr="009F287B">
        <w:rPr>
          <w:bCs/>
          <w:color w:val="000000"/>
          <w:lang w:eastAsia="en-AU"/>
        </w:rPr>
        <w:t>C</w:t>
      </w:r>
      <w:r w:rsidR="00815C6C" w:rsidRPr="009F287B">
        <w:rPr>
          <w:bCs/>
          <w:color w:val="000000"/>
          <w:lang w:eastAsia="en-AU"/>
        </w:rPr>
        <w:t>ommission</w:t>
      </w:r>
      <w:r w:rsidRPr="009F287B">
        <w:rPr>
          <w:bCs/>
          <w:color w:val="000000"/>
          <w:lang w:eastAsia="en-AU"/>
        </w:rPr>
        <w:t>,</w:t>
      </w:r>
      <w:r w:rsidR="00815C6C" w:rsidRPr="009F287B">
        <w:rPr>
          <w:bCs/>
          <w:color w:val="000000"/>
          <w:lang w:eastAsia="en-AU"/>
        </w:rPr>
        <w:t xml:space="preserve"> </w:t>
      </w:r>
      <w:r w:rsidR="00241B77" w:rsidRPr="009F287B">
        <w:rPr>
          <w:bCs/>
          <w:color w:val="000000"/>
          <w:lang w:eastAsia="en-AU"/>
        </w:rPr>
        <w:t xml:space="preserve">drawing on advice from expert sources including </w:t>
      </w:r>
      <w:r w:rsidR="00676000" w:rsidRPr="009F287B">
        <w:rPr>
          <w:bCs/>
          <w:color w:val="000000"/>
          <w:lang w:eastAsia="en-AU"/>
        </w:rPr>
        <w:t xml:space="preserve">the </w:t>
      </w:r>
      <w:r w:rsidR="00F82027" w:rsidRPr="009F287B">
        <w:rPr>
          <w:bCs/>
          <w:color w:val="000000"/>
          <w:lang w:eastAsia="en-AU"/>
        </w:rPr>
        <w:t>SPF</w:t>
      </w:r>
      <w:r w:rsidR="00676000" w:rsidRPr="009F287B">
        <w:rPr>
          <w:bCs/>
          <w:color w:val="000000"/>
          <w:lang w:eastAsia="en-AU"/>
        </w:rPr>
        <w:t xml:space="preserve"> Scientific Panel</w:t>
      </w:r>
      <w:r w:rsidR="00815C6C" w:rsidRPr="009F287B">
        <w:rPr>
          <w:bCs/>
          <w:color w:val="000000"/>
          <w:lang w:eastAsia="en-AU"/>
        </w:rPr>
        <w:t xml:space="preserve">. </w:t>
      </w:r>
      <w:r w:rsidRPr="009F287B">
        <w:rPr>
          <w:bCs/>
          <w:color w:val="000000"/>
          <w:lang w:eastAsia="en-AU"/>
        </w:rPr>
        <w:t>The</w:t>
      </w:r>
      <w:r w:rsidR="00D252D2" w:rsidRPr="009F287B">
        <w:rPr>
          <w:bCs/>
          <w:color w:val="000000"/>
          <w:lang w:eastAsia="en-AU"/>
        </w:rPr>
        <w:t xml:space="preserve"> </w:t>
      </w:r>
      <w:r w:rsidR="00714E38" w:rsidRPr="009F287B">
        <w:rPr>
          <w:bCs/>
          <w:color w:val="000000"/>
          <w:lang w:eastAsia="en-AU"/>
        </w:rPr>
        <w:t xml:space="preserve">AFMA </w:t>
      </w:r>
      <w:r w:rsidR="00D252D2" w:rsidRPr="009F287B">
        <w:rPr>
          <w:bCs/>
          <w:color w:val="000000"/>
          <w:lang w:eastAsia="en-AU"/>
        </w:rPr>
        <w:t>Commission</w:t>
      </w:r>
      <w:r w:rsidRPr="009F287B">
        <w:rPr>
          <w:bCs/>
          <w:color w:val="000000"/>
          <w:lang w:eastAsia="en-AU"/>
        </w:rPr>
        <w:t xml:space="preserve"> also</w:t>
      </w:r>
      <w:r w:rsidR="00D252D2" w:rsidRPr="009F287B">
        <w:rPr>
          <w:bCs/>
          <w:color w:val="000000"/>
          <w:lang w:eastAsia="en-AU"/>
        </w:rPr>
        <w:t xml:space="preserve"> reviews the frequency of DEPM surveys with regard to cost and the </w:t>
      </w:r>
      <w:r w:rsidR="00221A9B" w:rsidRPr="009F287B">
        <w:rPr>
          <w:bCs/>
          <w:color w:val="000000"/>
          <w:lang w:eastAsia="en-AU"/>
        </w:rPr>
        <w:t xml:space="preserve">commercial fishing effort. </w:t>
      </w:r>
    </w:p>
    <w:p w14:paraId="0C73A3A0" w14:textId="4D41ECF6" w:rsidR="003D4468" w:rsidRPr="009F287B" w:rsidRDefault="00110F88" w:rsidP="008B527D">
      <w:pPr>
        <w:autoSpaceDE w:val="0"/>
        <w:autoSpaceDN w:val="0"/>
        <w:adjustRightInd w:val="0"/>
        <w:spacing w:before="0" w:after="120"/>
        <w:jc w:val="both"/>
        <w:rPr>
          <w:bCs/>
          <w:color w:val="000000"/>
          <w:lang w:eastAsia="en-AU"/>
        </w:rPr>
      </w:pPr>
      <w:r w:rsidRPr="009F287B">
        <w:rPr>
          <w:bCs/>
          <w:color w:val="000000"/>
          <w:lang w:eastAsia="en-AU"/>
        </w:rPr>
        <w:t xml:space="preserve">The government </w:t>
      </w:r>
      <w:r w:rsidR="00C72077" w:rsidRPr="009F287B">
        <w:rPr>
          <w:bCs/>
          <w:color w:val="000000"/>
          <w:lang w:eastAsia="en-AU"/>
        </w:rPr>
        <w:t>expect</w:t>
      </w:r>
      <w:r w:rsidR="00374672" w:rsidRPr="009F287B">
        <w:rPr>
          <w:bCs/>
          <w:color w:val="000000"/>
          <w:lang w:eastAsia="en-AU"/>
        </w:rPr>
        <w:t>s</w:t>
      </w:r>
      <w:r w:rsidR="00C72077" w:rsidRPr="009F287B">
        <w:rPr>
          <w:bCs/>
          <w:color w:val="000000"/>
          <w:lang w:eastAsia="en-AU"/>
        </w:rPr>
        <w:t xml:space="preserve"> </w:t>
      </w:r>
      <w:r w:rsidR="00374672" w:rsidRPr="009F287B">
        <w:rPr>
          <w:bCs/>
          <w:color w:val="000000"/>
          <w:lang w:eastAsia="en-AU"/>
        </w:rPr>
        <w:t xml:space="preserve">costs of the </w:t>
      </w:r>
      <w:r w:rsidR="009A6F0B" w:rsidRPr="009F287B">
        <w:rPr>
          <w:bCs/>
          <w:color w:val="000000"/>
          <w:lang w:eastAsia="en-AU"/>
        </w:rPr>
        <w:t>DEPM</w:t>
      </w:r>
      <w:r w:rsidR="00C72077" w:rsidRPr="009F287B">
        <w:rPr>
          <w:bCs/>
          <w:color w:val="000000"/>
          <w:lang w:eastAsia="en-AU"/>
        </w:rPr>
        <w:t xml:space="preserve"> surveys </w:t>
      </w:r>
      <w:r w:rsidR="00374672" w:rsidRPr="009F287B">
        <w:rPr>
          <w:bCs/>
          <w:color w:val="000000"/>
          <w:lang w:eastAsia="en-AU"/>
        </w:rPr>
        <w:t xml:space="preserve">to be recovered from industry through statutory levies charged in accordance with the </w:t>
      </w:r>
      <w:r w:rsidR="00714E38" w:rsidRPr="009F287B">
        <w:rPr>
          <w:bCs/>
          <w:color w:val="000000"/>
          <w:lang w:eastAsia="en-AU"/>
        </w:rPr>
        <w:t xml:space="preserve">relevant legislation </w:t>
      </w:r>
      <w:r w:rsidR="00374672" w:rsidRPr="009F287B">
        <w:rPr>
          <w:bCs/>
          <w:color w:val="000000"/>
          <w:lang w:eastAsia="en-AU"/>
        </w:rPr>
        <w:t xml:space="preserve">and the government’s cost recovery policy. </w:t>
      </w:r>
    </w:p>
    <w:p w14:paraId="752C70BB" w14:textId="77777777" w:rsidR="003D4468" w:rsidRPr="002D0811" w:rsidRDefault="003D4468">
      <w:pPr>
        <w:spacing w:before="0"/>
        <w:rPr>
          <w:bCs/>
          <w:color w:val="000000"/>
          <w:lang w:eastAsia="en-AU"/>
        </w:rPr>
      </w:pPr>
      <w:r>
        <w:rPr>
          <w:rFonts w:ascii="Times New Roman" w:hAnsi="Times New Roman"/>
          <w:bCs/>
          <w:color w:val="000000"/>
          <w:sz w:val="24"/>
          <w:szCs w:val="24"/>
          <w:lang w:eastAsia="en-AU"/>
        </w:rPr>
        <w:br w:type="page"/>
      </w:r>
    </w:p>
    <w:p w14:paraId="2CA9E2EF" w14:textId="700911E0" w:rsidR="008B527D" w:rsidRPr="005102FB" w:rsidRDefault="008B527D" w:rsidP="00C81E41">
      <w:pPr>
        <w:pStyle w:val="Heading3"/>
      </w:pPr>
      <w:r w:rsidRPr="005102FB">
        <w:lastRenderedPageBreak/>
        <w:t xml:space="preserve">Dissenting report </w:t>
      </w:r>
    </w:p>
    <w:p w14:paraId="2D2EF2B5" w14:textId="3C57A0A5" w:rsidR="00341E06" w:rsidRPr="009F287B" w:rsidRDefault="002C1F40" w:rsidP="00933A12">
      <w:pPr>
        <w:rPr>
          <w:bCs/>
          <w:color w:val="000000"/>
          <w:lang w:eastAsia="en-AU"/>
        </w:rPr>
      </w:pPr>
      <w:r w:rsidRPr="009F287B">
        <w:rPr>
          <w:bCs/>
          <w:color w:val="000000"/>
          <w:lang w:eastAsia="en-AU"/>
        </w:rPr>
        <w:t>The</w:t>
      </w:r>
      <w:r w:rsidR="00F82027" w:rsidRPr="009F287B">
        <w:rPr>
          <w:bCs/>
          <w:color w:val="000000"/>
          <w:lang w:eastAsia="en-AU"/>
        </w:rPr>
        <w:t xml:space="preserve"> Australian</w:t>
      </w:r>
      <w:r w:rsidRPr="009F287B">
        <w:rPr>
          <w:bCs/>
          <w:color w:val="000000"/>
          <w:lang w:eastAsia="en-AU"/>
        </w:rPr>
        <w:t xml:space="preserve"> </w:t>
      </w:r>
      <w:r w:rsidR="00F82027" w:rsidRPr="009F287B">
        <w:rPr>
          <w:bCs/>
          <w:color w:val="000000"/>
          <w:lang w:eastAsia="en-AU"/>
        </w:rPr>
        <w:t>G</w:t>
      </w:r>
      <w:r w:rsidRPr="009F287B">
        <w:rPr>
          <w:bCs/>
          <w:color w:val="000000"/>
          <w:lang w:eastAsia="en-AU"/>
        </w:rPr>
        <w:t xml:space="preserve">overnment </w:t>
      </w:r>
      <w:r w:rsidR="00341E06" w:rsidRPr="009F287B">
        <w:rPr>
          <w:bCs/>
          <w:color w:val="000000"/>
          <w:lang w:eastAsia="en-AU"/>
        </w:rPr>
        <w:t xml:space="preserve">acknowledges </w:t>
      </w:r>
      <w:r w:rsidRPr="009F287B">
        <w:rPr>
          <w:bCs/>
          <w:color w:val="000000"/>
          <w:lang w:eastAsia="en-AU"/>
        </w:rPr>
        <w:t xml:space="preserve">the dissenting report released by </w:t>
      </w:r>
      <w:r w:rsidR="00F76B52" w:rsidRPr="009F287B">
        <w:rPr>
          <w:bCs/>
          <w:color w:val="000000"/>
          <w:lang w:eastAsia="en-AU"/>
        </w:rPr>
        <w:t xml:space="preserve">Coalition </w:t>
      </w:r>
      <w:r w:rsidRPr="009F287B">
        <w:rPr>
          <w:bCs/>
          <w:color w:val="000000"/>
          <w:lang w:eastAsia="en-AU"/>
        </w:rPr>
        <w:t>senators</w:t>
      </w:r>
      <w:r w:rsidR="00341E06" w:rsidRPr="009F287B">
        <w:rPr>
          <w:bCs/>
          <w:color w:val="000000"/>
          <w:lang w:eastAsia="en-AU"/>
        </w:rPr>
        <w:t xml:space="preserve"> Senator David Bushby and</w:t>
      </w:r>
      <w:r w:rsidR="00F82027" w:rsidRPr="009F287B">
        <w:rPr>
          <w:bCs/>
          <w:color w:val="000000"/>
          <w:lang w:eastAsia="en-AU"/>
        </w:rPr>
        <w:t xml:space="preserve"> Senator</w:t>
      </w:r>
      <w:r w:rsidR="00341E06" w:rsidRPr="009F287B">
        <w:rPr>
          <w:bCs/>
          <w:color w:val="000000"/>
          <w:lang w:eastAsia="en-AU"/>
        </w:rPr>
        <w:t xml:space="preserve"> Jonathon Duniam</w:t>
      </w:r>
      <w:r w:rsidR="00BD261B" w:rsidRPr="009F287B">
        <w:rPr>
          <w:bCs/>
          <w:color w:val="000000"/>
          <w:lang w:eastAsia="en-AU"/>
        </w:rPr>
        <w:t xml:space="preserve"> and </w:t>
      </w:r>
      <w:r w:rsidR="00341E06" w:rsidRPr="009F287B">
        <w:rPr>
          <w:bCs/>
          <w:color w:val="000000"/>
          <w:lang w:eastAsia="en-AU"/>
        </w:rPr>
        <w:t>notes</w:t>
      </w:r>
      <w:r w:rsidR="00066AC7" w:rsidRPr="009F287B">
        <w:rPr>
          <w:bCs/>
          <w:color w:val="000000"/>
          <w:lang w:eastAsia="en-AU"/>
        </w:rPr>
        <w:t xml:space="preserve"> the </w:t>
      </w:r>
      <w:r w:rsidRPr="009F287B">
        <w:rPr>
          <w:bCs/>
          <w:color w:val="000000"/>
          <w:lang w:eastAsia="en-AU"/>
        </w:rPr>
        <w:t>comments it includes on the Chair’s report recommendations 1,</w:t>
      </w:r>
      <w:r w:rsidR="00384A84" w:rsidRPr="009F287B">
        <w:rPr>
          <w:bCs/>
          <w:color w:val="000000"/>
          <w:lang w:eastAsia="en-AU"/>
        </w:rPr>
        <w:t xml:space="preserve"> </w:t>
      </w:r>
      <w:r w:rsidRPr="009F287B">
        <w:rPr>
          <w:bCs/>
          <w:color w:val="000000"/>
          <w:lang w:eastAsia="en-AU"/>
        </w:rPr>
        <w:t>4,</w:t>
      </w:r>
      <w:r w:rsidR="00384A84" w:rsidRPr="009F287B">
        <w:rPr>
          <w:bCs/>
          <w:color w:val="000000"/>
          <w:lang w:eastAsia="en-AU"/>
        </w:rPr>
        <w:t xml:space="preserve"> </w:t>
      </w:r>
      <w:r w:rsidRPr="009F287B">
        <w:rPr>
          <w:bCs/>
          <w:color w:val="000000"/>
          <w:lang w:eastAsia="en-AU"/>
        </w:rPr>
        <w:t xml:space="preserve">5 and 6.  </w:t>
      </w:r>
    </w:p>
    <w:p w14:paraId="1DECF273" w14:textId="77777777" w:rsidR="00066AC7" w:rsidRPr="009F287B" w:rsidRDefault="00066AC7" w:rsidP="00933A12">
      <w:pPr>
        <w:rPr>
          <w:bCs/>
          <w:color w:val="000000"/>
          <w:lang w:eastAsia="en-AU"/>
        </w:rPr>
      </w:pPr>
      <w:r w:rsidRPr="009F287B">
        <w:rPr>
          <w:bCs/>
          <w:color w:val="000000"/>
          <w:lang w:eastAsia="en-AU"/>
        </w:rPr>
        <w:t>The government’s response to the recommendations contained in the dissenting report are as follows.</w:t>
      </w:r>
    </w:p>
    <w:p w14:paraId="7AC45DB7" w14:textId="77777777" w:rsidR="00961719" w:rsidRDefault="00D52717" w:rsidP="00C81E41">
      <w:pPr>
        <w:pBdr>
          <w:top w:val="single" w:sz="4" w:space="1" w:color="auto"/>
          <w:left w:val="single" w:sz="4" w:space="4" w:color="auto"/>
          <w:bottom w:val="single" w:sz="4" w:space="0" w:color="auto"/>
          <w:right w:val="single" w:sz="4" w:space="4" w:color="auto"/>
        </w:pBdr>
        <w:autoSpaceDE w:val="0"/>
        <w:autoSpaceDN w:val="0"/>
        <w:adjustRightInd w:val="0"/>
        <w:spacing w:after="120"/>
        <w:rPr>
          <w:b/>
          <w:bCs/>
          <w:color w:val="000000"/>
          <w:sz w:val="24"/>
          <w:szCs w:val="24"/>
          <w:lang w:eastAsia="en-AU"/>
        </w:rPr>
      </w:pPr>
      <w:r w:rsidRPr="00C81E41">
        <w:rPr>
          <w:rStyle w:val="Heading3Char"/>
        </w:rPr>
        <w:t>Recommen</w:t>
      </w:r>
      <w:r w:rsidR="00C81E41" w:rsidRPr="00C81E41">
        <w:rPr>
          <w:rStyle w:val="Heading3Char"/>
        </w:rPr>
        <w:t xml:space="preserve">dation </w:t>
      </w:r>
      <w:r w:rsidRPr="00C81E41">
        <w:rPr>
          <w:rStyle w:val="Heading3Char"/>
        </w:rPr>
        <w:t>1</w:t>
      </w:r>
    </w:p>
    <w:p w14:paraId="161693D8" w14:textId="5A4C3C33" w:rsidR="00D52717" w:rsidRPr="00C81E41" w:rsidRDefault="00D52717" w:rsidP="00C81E41">
      <w:pPr>
        <w:pBdr>
          <w:top w:val="single" w:sz="4" w:space="1" w:color="auto"/>
          <w:left w:val="single" w:sz="4" w:space="4" w:color="auto"/>
          <w:bottom w:val="single" w:sz="4" w:space="0" w:color="auto"/>
          <w:right w:val="single" w:sz="4" w:space="4" w:color="auto"/>
        </w:pBdr>
        <w:autoSpaceDE w:val="0"/>
        <w:autoSpaceDN w:val="0"/>
        <w:adjustRightInd w:val="0"/>
        <w:spacing w:after="120"/>
        <w:rPr>
          <w:b/>
          <w:bCs/>
          <w:color w:val="000000"/>
          <w:sz w:val="24"/>
          <w:szCs w:val="24"/>
          <w:lang w:eastAsia="en-AU"/>
        </w:rPr>
      </w:pPr>
      <w:r w:rsidRPr="009F287B">
        <w:rPr>
          <w:b/>
          <w:bCs/>
          <w:color w:val="000000"/>
          <w:lang w:eastAsia="en-AU"/>
        </w:rPr>
        <w:t>The management of Commonwealth fisheries continues to be based on the best available science and a strong compliance regime.</w:t>
      </w:r>
    </w:p>
    <w:p w14:paraId="3D6D9C90" w14:textId="267B7723" w:rsidR="009D5B44" w:rsidRPr="009F287B" w:rsidRDefault="00D52717" w:rsidP="00D52717">
      <w:pPr>
        <w:autoSpaceDE w:val="0"/>
        <w:autoSpaceDN w:val="0"/>
        <w:adjustRightInd w:val="0"/>
        <w:spacing w:before="60" w:after="120"/>
        <w:rPr>
          <w:bCs/>
          <w:color w:val="000000"/>
          <w:lang w:eastAsia="en-AU"/>
        </w:rPr>
      </w:pPr>
      <w:r w:rsidRPr="009F287B">
        <w:rPr>
          <w:bCs/>
          <w:color w:val="000000"/>
          <w:lang w:eastAsia="en-AU"/>
        </w:rPr>
        <w:t xml:space="preserve">The Australian Government agrees with this recommendation. The government is strongly committed to managing Australia’s fisheries using the best available scientific knowledge. This is why the government places significant emphasis on scientific research and has a strong legislative and policy framework for managing fisheries. AFMA, the independent regulator, is in place to ensure compliance with this framework. The government notes that Australia’s fisheries are among the best managed in the world.  </w:t>
      </w:r>
    </w:p>
    <w:p w14:paraId="71D1A281" w14:textId="77777777" w:rsidR="00961719" w:rsidRDefault="00D52717" w:rsidP="00C81E41">
      <w:pPr>
        <w:pBdr>
          <w:top w:val="single" w:sz="4" w:space="1" w:color="auto"/>
          <w:left w:val="single" w:sz="4" w:space="4" w:color="auto"/>
          <w:bottom w:val="single" w:sz="4" w:space="0" w:color="auto"/>
          <w:right w:val="single" w:sz="4" w:space="4" w:color="auto"/>
        </w:pBdr>
        <w:autoSpaceDE w:val="0"/>
        <w:autoSpaceDN w:val="0"/>
        <w:adjustRightInd w:val="0"/>
        <w:spacing w:after="120"/>
        <w:rPr>
          <w:b/>
          <w:bCs/>
          <w:color w:val="000000"/>
          <w:lang w:eastAsia="en-AU"/>
        </w:rPr>
      </w:pPr>
      <w:r w:rsidRPr="00C81E41">
        <w:rPr>
          <w:rStyle w:val="Heading3Char"/>
          <w:lang w:eastAsia="en-AU"/>
        </w:rPr>
        <w:t>Recommendation 2</w:t>
      </w:r>
    </w:p>
    <w:p w14:paraId="6560E8E4" w14:textId="12541571" w:rsidR="00D52717" w:rsidRPr="00C81E41" w:rsidRDefault="00D52717" w:rsidP="00C81E41">
      <w:pPr>
        <w:pBdr>
          <w:top w:val="single" w:sz="4" w:space="1" w:color="auto"/>
          <w:left w:val="single" w:sz="4" w:space="4" w:color="auto"/>
          <w:bottom w:val="single" w:sz="4" w:space="0" w:color="auto"/>
          <w:right w:val="single" w:sz="4" w:space="4" w:color="auto"/>
        </w:pBdr>
        <w:autoSpaceDE w:val="0"/>
        <w:autoSpaceDN w:val="0"/>
        <w:adjustRightInd w:val="0"/>
        <w:spacing w:after="120"/>
        <w:rPr>
          <w:b/>
          <w:bCs/>
          <w:color w:val="000000"/>
          <w:lang w:eastAsia="en-AU"/>
        </w:rPr>
      </w:pPr>
      <w:bookmarkStart w:id="0" w:name="_GoBack"/>
      <w:bookmarkEnd w:id="0"/>
      <w:r w:rsidRPr="00C81E41">
        <w:rPr>
          <w:b/>
          <w:bCs/>
          <w:color w:val="000000"/>
          <w:lang w:eastAsia="en-AU"/>
        </w:rPr>
        <w:t>There should be on-going dialogue and discussion between the commercial and recreational fishing sectors in relation to the management of Commonwealth fisheries</w:t>
      </w:r>
      <w:r w:rsidR="003E358E" w:rsidRPr="00C81E41">
        <w:rPr>
          <w:b/>
          <w:bCs/>
          <w:color w:val="000000"/>
          <w:lang w:eastAsia="en-AU"/>
        </w:rPr>
        <w:t>.</w:t>
      </w:r>
    </w:p>
    <w:p w14:paraId="51D35103" w14:textId="77777777" w:rsidR="00D52717" w:rsidRPr="009F287B" w:rsidRDefault="00D52717" w:rsidP="00D52717">
      <w:pPr>
        <w:autoSpaceDE w:val="0"/>
        <w:autoSpaceDN w:val="0"/>
        <w:adjustRightInd w:val="0"/>
        <w:spacing w:before="60" w:after="120"/>
        <w:rPr>
          <w:bCs/>
          <w:color w:val="000000"/>
          <w:lang w:eastAsia="en-AU"/>
        </w:rPr>
      </w:pPr>
      <w:r w:rsidRPr="009F287B">
        <w:rPr>
          <w:bCs/>
          <w:color w:val="000000"/>
          <w:lang w:eastAsia="en-AU"/>
        </w:rPr>
        <w:t xml:space="preserve">The Australian Government notes the recommendation. </w:t>
      </w:r>
    </w:p>
    <w:p w14:paraId="32D7C64B" w14:textId="090E730B" w:rsidR="00D52717" w:rsidRPr="009F287B" w:rsidRDefault="00D52717" w:rsidP="00D52717">
      <w:pPr>
        <w:autoSpaceDE w:val="0"/>
        <w:autoSpaceDN w:val="0"/>
        <w:adjustRightInd w:val="0"/>
        <w:spacing w:before="60" w:after="120"/>
        <w:rPr>
          <w:bCs/>
          <w:color w:val="000000"/>
          <w:lang w:eastAsia="en-AU"/>
        </w:rPr>
      </w:pPr>
      <w:r w:rsidRPr="009F287B">
        <w:rPr>
          <w:bCs/>
          <w:color w:val="000000"/>
          <w:lang w:eastAsia="en-AU"/>
        </w:rPr>
        <w:t>The government recognises that commercial and recreational fishers have many shared interests including stock sustainability, marine ecosystem preservation and community accountability for the responsible use of public resources. Stronger engagement between the commercial and recreational fishing sectors on matters of common interest could lead to more comprehensive, consistent and informed advice to the AFMA Commission which independently regulates Commonwealth fisheries. This includes through the participation of commercial and recreational fishing representatives on AFMA’s Manag</w:t>
      </w:r>
      <w:r w:rsidR="00776FA9" w:rsidRPr="009F287B">
        <w:rPr>
          <w:bCs/>
          <w:color w:val="000000"/>
          <w:lang w:eastAsia="en-AU"/>
        </w:rPr>
        <w:t>ement Advisory Committees (MACs)</w:t>
      </w:r>
      <w:r w:rsidRPr="009F287B">
        <w:rPr>
          <w:bCs/>
          <w:color w:val="000000"/>
          <w:lang w:eastAsia="en-AU"/>
        </w:rPr>
        <w:t xml:space="preserve"> and Resource Assessment Groups</w:t>
      </w:r>
      <w:r w:rsidR="00776FA9" w:rsidRPr="009F287B">
        <w:rPr>
          <w:bCs/>
          <w:color w:val="000000"/>
          <w:lang w:eastAsia="en-AU"/>
        </w:rPr>
        <w:t xml:space="preserve"> (RAGs)</w:t>
      </w:r>
      <w:r w:rsidRPr="009F287B">
        <w:rPr>
          <w:bCs/>
          <w:color w:val="000000"/>
          <w:lang w:eastAsia="en-AU"/>
        </w:rPr>
        <w:t xml:space="preserve">. In turn this should ultimately improve fisheries management outcomes. </w:t>
      </w:r>
    </w:p>
    <w:p w14:paraId="1ADEFBCC" w14:textId="6C904FA3" w:rsidR="00D52717" w:rsidRPr="009F287B" w:rsidRDefault="00D52717" w:rsidP="00D52717">
      <w:pPr>
        <w:autoSpaceDE w:val="0"/>
        <w:autoSpaceDN w:val="0"/>
        <w:adjustRightInd w:val="0"/>
        <w:spacing w:before="60" w:after="120"/>
        <w:rPr>
          <w:bCs/>
          <w:color w:val="000000"/>
          <w:lang w:eastAsia="en-AU"/>
        </w:rPr>
      </w:pPr>
      <w:r w:rsidRPr="009F287B">
        <w:rPr>
          <w:bCs/>
          <w:color w:val="000000"/>
          <w:lang w:eastAsia="en-AU"/>
        </w:rPr>
        <w:t xml:space="preserve">The government has provided grants to both the recreational and seafood industry sectors, through the Australian Recreational Fishing Foundation and National Seafood Industry Alliance. </w:t>
      </w:r>
      <w:r w:rsidR="00776FA9" w:rsidRPr="009F287B">
        <w:rPr>
          <w:bCs/>
          <w:color w:val="000000"/>
          <w:lang w:eastAsia="en-AU"/>
        </w:rPr>
        <w:t>This support will</w:t>
      </w:r>
      <w:r w:rsidR="00213CD7" w:rsidRPr="009F287B">
        <w:rPr>
          <w:bCs/>
          <w:color w:val="000000"/>
          <w:lang w:eastAsia="en-AU"/>
        </w:rPr>
        <w:t xml:space="preserve"> help</w:t>
      </w:r>
      <w:r w:rsidR="00776FA9" w:rsidRPr="009F287B">
        <w:rPr>
          <w:bCs/>
          <w:color w:val="000000"/>
          <w:lang w:eastAsia="en-AU"/>
        </w:rPr>
        <w:t xml:space="preserve"> improve</w:t>
      </w:r>
      <w:r w:rsidRPr="009F287B">
        <w:rPr>
          <w:bCs/>
          <w:color w:val="000000"/>
          <w:lang w:eastAsia="en-AU"/>
        </w:rPr>
        <w:t xml:space="preserve"> </w:t>
      </w:r>
      <w:r w:rsidR="00147F79" w:rsidRPr="009F287B">
        <w:rPr>
          <w:bCs/>
          <w:color w:val="000000"/>
          <w:lang w:eastAsia="en-AU"/>
        </w:rPr>
        <w:t>the capacity of these s</w:t>
      </w:r>
      <w:r w:rsidR="00F73223" w:rsidRPr="009F287B">
        <w:rPr>
          <w:bCs/>
          <w:color w:val="000000"/>
          <w:lang w:eastAsia="en-AU"/>
        </w:rPr>
        <w:t>ectors</w:t>
      </w:r>
      <w:r w:rsidRPr="009F287B">
        <w:rPr>
          <w:bCs/>
          <w:color w:val="000000"/>
          <w:lang w:eastAsia="en-AU"/>
        </w:rPr>
        <w:t xml:space="preserve"> </w:t>
      </w:r>
      <w:r w:rsidR="00147F79" w:rsidRPr="009F287B">
        <w:rPr>
          <w:bCs/>
          <w:color w:val="000000"/>
          <w:lang w:eastAsia="en-AU"/>
        </w:rPr>
        <w:t>to engage</w:t>
      </w:r>
      <w:r w:rsidRPr="009F287B">
        <w:rPr>
          <w:bCs/>
          <w:color w:val="000000"/>
          <w:lang w:eastAsia="en-AU"/>
        </w:rPr>
        <w:t xml:space="preserve"> in public policy matters of relevance to our fisheries. </w:t>
      </w:r>
    </w:p>
    <w:p w14:paraId="7BEFA12F" w14:textId="31EBD774" w:rsidR="00D52717" w:rsidRPr="009F287B" w:rsidRDefault="00D52717" w:rsidP="00D52717">
      <w:pPr>
        <w:autoSpaceDE w:val="0"/>
        <w:autoSpaceDN w:val="0"/>
        <w:adjustRightInd w:val="0"/>
        <w:spacing w:before="60" w:after="120"/>
        <w:rPr>
          <w:bCs/>
          <w:color w:val="000000"/>
          <w:lang w:eastAsia="en-AU"/>
        </w:rPr>
      </w:pPr>
      <w:r w:rsidRPr="009F287B">
        <w:rPr>
          <w:bCs/>
          <w:color w:val="000000"/>
          <w:lang w:eastAsia="en-AU"/>
        </w:rPr>
        <w:t>The government notes that AFMA</w:t>
      </w:r>
      <w:r w:rsidR="00213CD7" w:rsidRPr="009F287B">
        <w:rPr>
          <w:bCs/>
          <w:color w:val="000000"/>
          <w:lang w:eastAsia="en-AU"/>
        </w:rPr>
        <w:t>,</w:t>
      </w:r>
      <w:r w:rsidRPr="009F287B">
        <w:rPr>
          <w:bCs/>
          <w:color w:val="000000"/>
          <w:lang w:eastAsia="en-AU"/>
        </w:rPr>
        <w:t xml:space="preserve"> in performing its functions</w:t>
      </w:r>
      <w:r w:rsidR="00213CD7" w:rsidRPr="009F287B">
        <w:rPr>
          <w:bCs/>
          <w:color w:val="000000"/>
          <w:lang w:eastAsia="en-AU"/>
        </w:rPr>
        <w:t>,</w:t>
      </w:r>
      <w:r w:rsidRPr="009F287B">
        <w:rPr>
          <w:bCs/>
          <w:color w:val="000000"/>
          <w:lang w:eastAsia="en-AU"/>
        </w:rPr>
        <w:t xml:space="preserve"> must pursue sustainability and economic objectives. AFMA’s MACs and RAGs provide advice to the AFMA Commission to support fishery management decisions. Legislative amendments </w:t>
      </w:r>
      <w:r w:rsidR="007E2A8A" w:rsidRPr="007E2A8A">
        <w:rPr>
          <w:bCs/>
          <w:color w:val="000000"/>
          <w:lang w:eastAsia="en-AU"/>
        </w:rPr>
        <w:t xml:space="preserve">recently passed the Parliament which </w:t>
      </w:r>
      <w:r w:rsidRPr="009F287B">
        <w:rPr>
          <w:bCs/>
          <w:color w:val="000000"/>
          <w:lang w:eastAsia="en-AU"/>
        </w:rPr>
        <w:t xml:space="preserve">will improve the capacity of recreational </w:t>
      </w:r>
      <w:r w:rsidR="00776FA9" w:rsidRPr="009F287B">
        <w:rPr>
          <w:bCs/>
          <w:color w:val="000000"/>
          <w:lang w:eastAsia="en-AU"/>
        </w:rPr>
        <w:t xml:space="preserve">(and Indigenous) </w:t>
      </w:r>
      <w:r w:rsidRPr="009F287B">
        <w:rPr>
          <w:bCs/>
          <w:color w:val="000000"/>
          <w:lang w:eastAsia="en-AU"/>
        </w:rPr>
        <w:t>fishers to contribute to Commonwealth fisheries management.</w:t>
      </w:r>
    </w:p>
    <w:p w14:paraId="14D756E2" w14:textId="0272DF6F" w:rsidR="0029070E" w:rsidRPr="009F287B" w:rsidRDefault="0029070E" w:rsidP="00C81E41">
      <w:pPr>
        <w:pStyle w:val="Heading3"/>
      </w:pPr>
      <w:r w:rsidRPr="009F287B">
        <w:t>Additional comments</w:t>
      </w:r>
    </w:p>
    <w:p w14:paraId="7942D391" w14:textId="58DD8A85" w:rsidR="002C1F40" w:rsidRPr="009F287B" w:rsidRDefault="002C1F40" w:rsidP="00933A12">
      <w:pPr>
        <w:rPr>
          <w:bCs/>
          <w:color w:val="000000"/>
          <w:lang w:eastAsia="en-AU"/>
        </w:rPr>
      </w:pPr>
      <w:r w:rsidRPr="009F287B">
        <w:rPr>
          <w:bCs/>
          <w:color w:val="000000"/>
          <w:lang w:eastAsia="en-AU"/>
        </w:rPr>
        <w:t xml:space="preserve">The government notes the additional comments included in the report by Labor senators, </w:t>
      </w:r>
      <w:r w:rsidR="00341E06" w:rsidRPr="009F287B">
        <w:rPr>
          <w:bCs/>
          <w:color w:val="000000"/>
          <w:lang w:eastAsia="en-AU"/>
        </w:rPr>
        <w:t>Senator Anne Urquhart, Senator Carol Brown, Senator Anthony Chisolm and</w:t>
      </w:r>
      <w:r w:rsidR="00FE689E" w:rsidRPr="009F287B">
        <w:rPr>
          <w:bCs/>
          <w:color w:val="000000"/>
          <w:lang w:eastAsia="en-AU"/>
        </w:rPr>
        <w:t xml:space="preserve"> </w:t>
      </w:r>
      <w:r w:rsidR="00341E06" w:rsidRPr="009F287B">
        <w:rPr>
          <w:bCs/>
          <w:color w:val="000000"/>
          <w:lang w:eastAsia="en-AU"/>
        </w:rPr>
        <w:t>Senator Sam Dastyari</w:t>
      </w:r>
      <w:r w:rsidRPr="009F287B">
        <w:rPr>
          <w:bCs/>
          <w:color w:val="000000"/>
          <w:lang w:eastAsia="en-AU"/>
        </w:rPr>
        <w:t>.</w:t>
      </w:r>
    </w:p>
    <w:p w14:paraId="478271B9" w14:textId="77777777" w:rsidR="008B527D" w:rsidRPr="005102FB" w:rsidRDefault="008B527D" w:rsidP="00933A12">
      <w:pPr>
        <w:rPr>
          <w:bCs/>
          <w:color w:val="000000"/>
          <w:lang w:eastAsia="en-AU"/>
        </w:rPr>
      </w:pPr>
    </w:p>
    <w:sectPr w:rsidR="008B527D" w:rsidRPr="005102FB" w:rsidSect="00D47780">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D656" w14:textId="77777777" w:rsidR="006C3884" w:rsidRDefault="006C3884">
      <w:r>
        <w:separator/>
      </w:r>
    </w:p>
  </w:endnote>
  <w:endnote w:type="continuationSeparator" w:id="0">
    <w:p w14:paraId="3CFE5C9F" w14:textId="77777777" w:rsidR="006C3884" w:rsidRDefault="006C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34182" w14:textId="041AF105" w:rsidR="00751383" w:rsidRDefault="00751383" w:rsidP="00C6669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770779"/>
      <w:docPartObj>
        <w:docPartGallery w:val="Page Numbers (Bottom of Page)"/>
        <w:docPartUnique/>
      </w:docPartObj>
    </w:sdtPr>
    <w:sdtEndPr>
      <w:rPr>
        <w:noProof/>
      </w:rPr>
    </w:sdtEndPr>
    <w:sdtContent>
      <w:p w14:paraId="0263D721" w14:textId="0E74E349" w:rsidR="00D47780" w:rsidRDefault="00D47780">
        <w:pPr>
          <w:pStyle w:val="Footer"/>
          <w:jc w:val="center"/>
        </w:pPr>
        <w:r>
          <w:fldChar w:fldCharType="begin"/>
        </w:r>
        <w:r>
          <w:instrText xml:space="preserve"> PAGE   \* MERGEFORMAT </w:instrText>
        </w:r>
        <w:r>
          <w:fldChar w:fldCharType="separate"/>
        </w:r>
        <w:r w:rsidR="00961719">
          <w:rPr>
            <w:noProof/>
          </w:rPr>
          <w:t>2</w:t>
        </w:r>
        <w:r>
          <w:rPr>
            <w:noProof/>
          </w:rPr>
          <w:fldChar w:fldCharType="end"/>
        </w:r>
      </w:p>
    </w:sdtContent>
  </w:sdt>
  <w:p w14:paraId="75596AD1" w14:textId="77777777" w:rsidR="00D47780" w:rsidRDefault="00D47780"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A836E" w14:textId="77777777" w:rsidR="006C3884" w:rsidRDefault="006C3884">
      <w:r>
        <w:separator/>
      </w:r>
    </w:p>
  </w:footnote>
  <w:footnote w:type="continuationSeparator" w:id="0">
    <w:p w14:paraId="2BAE1162" w14:textId="77777777" w:rsidR="006C3884" w:rsidRDefault="006C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CCEC" w14:textId="7CC7B9C0" w:rsidR="00751383" w:rsidRDefault="00F06CE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FEE058"/>
    <w:multiLevelType w:val="hybridMultilevel"/>
    <w:tmpl w:val="E024C0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A140C5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32DB9"/>
    <w:multiLevelType w:val="multilevel"/>
    <w:tmpl w:val="D766E0C4"/>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F745BC2"/>
    <w:multiLevelType w:val="multilevel"/>
    <w:tmpl w:val="D766E0C4"/>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0" w15:restartNumberingAfterBreak="0">
    <w:nsid w:val="27232633"/>
    <w:multiLevelType w:val="multilevel"/>
    <w:tmpl w:val="23E2163A"/>
    <w:numStyleLink w:val="Headings"/>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2FE06A4E"/>
    <w:multiLevelType w:val="multilevel"/>
    <w:tmpl w:val="87565612"/>
    <w:lvl w:ilvl="0">
      <w:start w:val="1"/>
      <w:numFmt w:val="none"/>
      <w:lvlText w:val=""/>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4679"/>
        </w:tabs>
        <w:ind w:left="4679"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5" w15:restartNumberingAfterBreak="0">
    <w:nsid w:val="44703C80"/>
    <w:multiLevelType w:val="hybridMultilevel"/>
    <w:tmpl w:val="13BC56A2"/>
    <w:lvl w:ilvl="0" w:tplc="D2FCCB62">
      <w:numFmt w:val="bullet"/>
      <w:lvlText w:val=""/>
      <w:lvlJc w:val="left"/>
      <w:pPr>
        <w:ind w:left="1080" w:hanging="72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7"/>
  </w:num>
  <w:num w:numId="3">
    <w:abstractNumId w:val="7"/>
  </w:num>
  <w:num w:numId="4">
    <w:abstractNumId w:val="8"/>
  </w:num>
  <w:num w:numId="5">
    <w:abstractNumId w:val="4"/>
  </w:num>
  <w:num w:numId="6">
    <w:abstractNumId w:val="12"/>
  </w:num>
  <w:num w:numId="7">
    <w:abstractNumId w:val="21"/>
  </w:num>
  <w:num w:numId="8">
    <w:abstractNumId w:val="13"/>
  </w:num>
  <w:num w:numId="9">
    <w:abstractNumId w:val="1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0"/>
  </w:num>
  <w:num w:numId="14">
    <w:abstractNumId w:val="3"/>
  </w:num>
  <w:num w:numId="15">
    <w:abstractNumId w:val="2"/>
  </w:num>
  <w:num w:numId="16">
    <w:abstractNumId w:val="1"/>
  </w:num>
  <w:num w:numId="17">
    <w:abstractNumId w:val="5"/>
  </w:num>
  <w:num w:numId="18">
    <w:abstractNumId w:val="10"/>
  </w:num>
  <w:num w:numId="19">
    <w:abstractNumId w:val="14"/>
    <w:lvlOverride w:ilvl="0">
      <w:lvl w:ilvl="0">
        <w:start w:val="1"/>
        <w:numFmt w:val="none"/>
        <w:lvlText w:val=""/>
        <w:lvlJc w:val="left"/>
        <w:pPr>
          <w:tabs>
            <w:tab w:val="num" w:pos="851"/>
          </w:tabs>
          <w:ind w:left="851" w:hanging="851"/>
        </w:pPr>
        <w:rPr>
          <w:rFonts w:hint="default"/>
        </w:rPr>
      </w:lvl>
    </w:lvlOverride>
    <w:lvlOverride w:ilvl="1">
      <w:lvl w:ilvl="1">
        <w:start w:val="1"/>
        <w:numFmt w:val="none"/>
        <w:lvlText w:val=""/>
        <w:lvlJc w:val="left"/>
        <w:pPr>
          <w:tabs>
            <w:tab w:val="num" w:pos="851"/>
          </w:tabs>
          <w:ind w:left="851" w:hanging="851"/>
        </w:pPr>
        <w:rPr>
          <w:rFonts w:hint="default"/>
        </w:rPr>
      </w:lvl>
    </w:lvlOverride>
    <w:lvlOverride w:ilvl="2">
      <w:lvl w:ilvl="2">
        <w:start w:val="1"/>
        <w:numFmt w:val="decimal"/>
        <w:lvlText w:val="%3"/>
        <w:lvlJc w:val="left"/>
        <w:pPr>
          <w:tabs>
            <w:tab w:val="num" w:pos="851"/>
          </w:tabs>
          <w:ind w:left="851" w:hanging="851"/>
        </w:pPr>
        <w:rPr>
          <w:rFonts w:hint="default"/>
        </w:rPr>
      </w:lvl>
    </w:lvlOverride>
    <w:lvlOverride w:ilvl="3">
      <w:lvl w:ilvl="3">
        <w:start w:val="1"/>
        <w:numFmt w:val="decimal"/>
        <w:lvlText w:val="%3.%4"/>
        <w:lvlJc w:val="left"/>
        <w:pPr>
          <w:tabs>
            <w:tab w:val="num" w:pos="1561"/>
          </w:tabs>
          <w:ind w:left="1561" w:hanging="851"/>
        </w:pPr>
        <w:rPr>
          <w:rFonts w:hint="default"/>
        </w:rPr>
      </w:lvl>
    </w:lvlOverride>
    <w:lvlOverride w:ilvl="4">
      <w:lvl w:ilvl="4">
        <w:start w:val="1"/>
        <w:numFmt w:val="decimal"/>
        <w:lvlText w:val="%3.%4.%5"/>
        <w:lvlJc w:val="left"/>
        <w:pPr>
          <w:tabs>
            <w:tab w:val="num" w:pos="851"/>
          </w:tabs>
          <w:ind w:left="851" w:hanging="851"/>
        </w:pPr>
        <w:rPr>
          <w:rFonts w:hint="default"/>
        </w:rPr>
      </w:lvl>
    </w:lvlOverride>
    <w:lvlOverride w:ilvl="5">
      <w:lvl w:ilvl="5">
        <w:start w:val="1"/>
        <w:numFmt w:val="none"/>
        <w:lvlText w:val=""/>
        <w:lvlJc w:val="left"/>
        <w:pPr>
          <w:tabs>
            <w:tab w:val="num" w:pos="851"/>
          </w:tabs>
          <w:ind w:left="851" w:hanging="851"/>
        </w:pPr>
        <w:rPr>
          <w:rFonts w:hint="default"/>
        </w:rPr>
      </w:lvl>
    </w:lvlOverride>
    <w:lvlOverride w:ilvl="6">
      <w:lvl w:ilvl="6">
        <w:start w:val="1"/>
        <w:numFmt w:val="none"/>
        <w:lvlText w:val=""/>
        <w:lvlJc w:val="left"/>
        <w:pPr>
          <w:tabs>
            <w:tab w:val="num" w:pos="851"/>
          </w:tabs>
          <w:ind w:left="851" w:hanging="851"/>
        </w:pPr>
        <w:rPr>
          <w:rFonts w:hint="default"/>
        </w:rPr>
      </w:lvl>
    </w:lvlOverride>
    <w:lvlOverride w:ilvl="7">
      <w:lvl w:ilvl="7">
        <w:start w:val="1"/>
        <w:numFmt w:val="none"/>
        <w:lvlText w:val=""/>
        <w:lvlJc w:val="left"/>
        <w:pPr>
          <w:tabs>
            <w:tab w:val="num" w:pos="851"/>
          </w:tabs>
          <w:ind w:left="851" w:hanging="851"/>
        </w:pPr>
        <w:rPr>
          <w:rFonts w:hint="default"/>
        </w:rPr>
      </w:lvl>
    </w:lvlOverride>
    <w:lvlOverride w:ilvl="8">
      <w:lvl w:ilvl="8">
        <w:start w:val="1"/>
        <w:numFmt w:val="none"/>
        <w:lvlText w:val=""/>
        <w:lvlJc w:val="left"/>
        <w:pPr>
          <w:tabs>
            <w:tab w:val="num" w:pos="851"/>
          </w:tabs>
          <w:ind w:left="851" w:hanging="851"/>
        </w:pPr>
        <w:rPr>
          <w:rFonts w:hint="default"/>
        </w:rPr>
      </w:lvl>
    </w:lvlOverride>
  </w:num>
  <w:num w:numId="20">
    <w:abstractNumId w:val="0"/>
  </w:num>
  <w:num w:numId="21">
    <w:abstractNumId w:val="15"/>
  </w:num>
  <w:num w:numId="22">
    <w:abstractNumId w:val="12"/>
  </w:num>
  <w:num w:numId="23">
    <w:abstractNumId w:val="6"/>
  </w:num>
  <w:num w:numId="24">
    <w:abstractNumId w:val="9"/>
    <w:lvlOverride w:ilvl="0">
      <w:lvl w:ilvl="0">
        <w:start w:val="1"/>
        <w:numFmt w:val="decimal"/>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lvlText w:val="%4."/>
        <w:lvlJc w:val="left"/>
        <w:pPr>
          <w:ind w:left="2946" w:hanging="360"/>
        </w:pPr>
      </w:lvl>
    </w:lvlOverride>
    <w:lvlOverride w:ilvl="4">
      <w:lvl w:ilvl="4" w:tentative="1">
        <w:start w:val="1"/>
        <w:numFmt w:val="lowerLetter"/>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7A"/>
    <w:rsid w:val="000326B6"/>
    <w:rsid w:val="00033233"/>
    <w:rsid w:val="00033F4A"/>
    <w:rsid w:val="00041CA1"/>
    <w:rsid w:val="0004268A"/>
    <w:rsid w:val="00043EA0"/>
    <w:rsid w:val="00053FC8"/>
    <w:rsid w:val="0006500B"/>
    <w:rsid w:val="00066AC7"/>
    <w:rsid w:val="00067374"/>
    <w:rsid w:val="000854E9"/>
    <w:rsid w:val="00085CFA"/>
    <w:rsid w:val="0009477F"/>
    <w:rsid w:val="000963A5"/>
    <w:rsid w:val="00096675"/>
    <w:rsid w:val="000C61AF"/>
    <w:rsid w:val="000C74C6"/>
    <w:rsid w:val="000E200F"/>
    <w:rsid w:val="00110F88"/>
    <w:rsid w:val="001156AE"/>
    <w:rsid w:val="001240C5"/>
    <w:rsid w:val="00126F5D"/>
    <w:rsid w:val="00134C43"/>
    <w:rsid w:val="00140BB6"/>
    <w:rsid w:val="00147EEC"/>
    <w:rsid w:val="00147F79"/>
    <w:rsid w:val="0015370E"/>
    <w:rsid w:val="00153F75"/>
    <w:rsid w:val="001572E6"/>
    <w:rsid w:val="00163BBF"/>
    <w:rsid w:val="00171A33"/>
    <w:rsid w:val="00175B04"/>
    <w:rsid w:val="001812E5"/>
    <w:rsid w:val="00195295"/>
    <w:rsid w:val="001A1BB4"/>
    <w:rsid w:val="001B0ECC"/>
    <w:rsid w:val="001C1525"/>
    <w:rsid w:val="001C38B0"/>
    <w:rsid w:val="00203BFB"/>
    <w:rsid w:val="00213CD7"/>
    <w:rsid w:val="00213DA6"/>
    <w:rsid w:val="00221A9B"/>
    <w:rsid w:val="0023743C"/>
    <w:rsid w:val="00241B77"/>
    <w:rsid w:val="00242FA6"/>
    <w:rsid w:val="002435C9"/>
    <w:rsid w:val="0026035B"/>
    <w:rsid w:val="00280BA2"/>
    <w:rsid w:val="0029070E"/>
    <w:rsid w:val="002935C6"/>
    <w:rsid w:val="002946D7"/>
    <w:rsid w:val="00296603"/>
    <w:rsid w:val="002A352B"/>
    <w:rsid w:val="002A4117"/>
    <w:rsid w:val="002C1F40"/>
    <w:rsid w:val="002C2F99"/>
    <w:rsid w:val="002D0811"/>
    <w:rsid w:val="002D0C9F"/>
    <w:rsid w:val="002D6980"/>
    <w:rsid w:val="002F345F"/>
    <w:rsid w:val="002F6142"/>
    <w:rsid w:val="003079E2"/>
    <w:rsid w:val="00311C26"/>
    <w:rsid w:val="00341E06"/>
    <w:rsid w:val="00354E04"/>
    <w:rsid w:val="00355DB9"/>
    <w:rsid w:val="00363331"/>
    <w:rsid w:val="00370255"/>
    <w:rsid w:val="00374672"/>
    <w:rsid w:val="00384A84"/>
    <w:rsid w:val="003912E7"/>
    <w:rsid w:val="003A07B9"/>
    <w:rsid w:val="003A32D1"/>
    <w:rsid w:val="003D2087"/>
    <w:rsid w:val="003D4468"/>
    <w:rsid w:val="003E358E"/>
    <w:rsid w:val="0041048F"/>
    <w:rsid w:val="004114E3"/>
    <w:rsid w:val="00411A6D"/>
    <w:rsid w:val="00441B07"/>
    <w:rsid w:val="00456DD4"/>
    <w:rsid w:val="00461807"/>
    <w:rsid w:val="004663C5"/>
    <w:rsid w:val="004678C2"/>
    <w:rsid w:val="00476FF7"/>
    <w:rsid w:val="00487733"/>
    <w:rsid w:val="004C724D"/>
    <w:rsid w:val="004D49DD"/>
    <w:rsid w:val="004D7F25"/>
    <w:rsid w:val="004E0F58"/>
    <w:rsid w:val="005102FB"/>
    <w:rsid w:val="005211FF"/>
    <w:rsid w:val="0052144A"/>
    <w:rsid w:val="005473BA"/>
    <w:rsid w:val="0054747E"/>
    <w:rsid w:val="00553D94"/>
    <w:rsid w:val="00555365"/>
    <w:rsid w:val="00565E89"/>
    <w:rsid w:val="00593E1E"/>
    <w:rsid w:val="005A794D"/>
    <w:rsid w:val="005B3E07"/>
    <w:rsid w:val="005D2F7B"/>
    <w:rsid w:val="005E3D51"/>
    <w:rsid w:val="005F067A"/>
    <w:rsid w:val="005F5A17"/>
    <w:rsid w:val="0060319E"/>
    <w:rsid w:val="006119C0"/>
    <w:rsid w:val="00626671"/>
    <w:rsid w:val="00626E31"/>
    <w:rsid w:val="00632734"/>
    <w:rsid w:val="00643292"/>
    <w:rsid w:val="00663BD8"/>
    <w:rsid w:val="006712C2"/>
    <w:rsid w:val="00676000"/>
    <w:rsid w:val="00686222"/>
    <w:rsid w:val="00687627"/>
    <w:rsid w:val="006879F5"/>
    <w:rsid w:val="006A401F"/>
    <w:rsid w:val="006A64FD"/>
    <w:rsid w:val="006C3884"/>
    <w:rsid w:val="006E1E10"/>
    <w:rsid w:val="006E3B7B"/>
    <w:rsid w:val="00714E38"/>
    <w:rsid w:val="00720749"/>
    <w:rsid w:val="00751383"/>
    <w:rsid w:val="0076671E"/>
    <w:rsid w:val="00776FA9"/>
    <w:rsid w:val="00795700"/>
    <w:rsid w:val="007A5185"/>
    <w:rsid w:val="007B0FA5"/>
    <w:rsid w:val="007E2A8A"/>
    <w:rsid w:val="007E6F42"/>
    <w:rsid w:val="007F0776"/>
    <w:rsid w:val="007F1C7C"/>
    <w:rsid w:val="0081205F"/>
    <w:rsid w:val="00815C6C"/>
    <w:rsid w:val="00820627"/>
    <w:rsid w:val="00842A2D"/>
    <w:rsid w:val="00845E98"/>
    <w:rsid w:val="0087081A"/>
    <w:rsid w:val="008768BB"/>
    <w:rsid w:val="00885287"/>
    <w:rsid w:val="00886AB6"/>
    <w:rsid w:val="00895AE7"/>
    <w:rsid w:val="00897B02"/>
    <w:rsid w:val="008B133F"/>
    <w:rsid w:val="008B527D"/>
    <w:rsid w:val="008B6E69"/>
    <w:rsid w:val="008D37BC"/>
    <w:rsid w:val="00904FA7"/>
    <w:rsid w:val="00905F94"/>
    <w:rsid w:val="00933A12"/>
    <w:rsid w:val="009340A2"/>
    <w:rsid w:val="009422C9"/>
    <w:rsid w:val="00947854"/>
    <w:rsid w:val="00961719"/>
    <w:rsid w:val="00961E49"/>
    <w:rsid w:val="0097441F"/>
    <w:rsid w:val="00976CD3"/>
    <w:rsid w:val="00983EA3"/>
    <w:rsid w:val="00996B16"/>
    <w:rsid w:val="009A2ACB"/>
    <w:rsid w:val="009A6F0B"/>
    <w:rsid w:val="009C460C"/>
    <w:rsid w:val="009D1F28"/>
    <w:rsid w:val="009D5B44"/>
    <w:rsid w:val="009D66AC"/>
    <w:rsid w:val="009F287B"/>
    <w:rsid w:val="00A028C2"/>
    <w:rsid w:val="00A07C65"/>
    <w:rsid w:val="00A16125"/>
    <w:rsid w:val="00A25922"/>
    <w:rsid w:val="00A34A40"/>
    <w:rsid w:val="00A36539"/>
    <w:rsid w:val="00A36F03"/>
    <w:rsid w:val="00A76F42"/>
    <w:rsid w:val="00A94922"/>
    <w:rsid w:val="00AA4B88"/>
    <w:rsid w:val="00AB37F9"/>
    <w:rsid w:val="00AB4847"/>
    <w:rsid w:val="00AC2189"/>
    <w:rsid w:val="00AE3CBA"/>
    <w:rsid w:val="00B05D8F"/>
    <w:rsid w:val="00B30BFE"/>
    <w:rsid w:val="00B32CF2"/>
    <w:rsid w:val="00B3641F"/>
    <w:rsid w:val="00B43F6D"/>
    <w:rsid w:val="00B45744"/>
    <w:rsid w:val="00B521FA"/>
    <w:rsid w:val="00B57188"/>
    <w:rsid w:val="00B655C8"/>
    <w:rsid w:val="00B70CD3"/>
    <w:rsid w:val="00B75E41"/>
    <w:rsid w:val="00B83CE0"/>
    <w:rsid w:val="00B90388"/>
    <w:rsid w:val="00BA2210"/>
    <w:rsid w:val="00BA392E"/>
    <w:rsid w:val="00BA3D31"/>
    <w:rsid w:val="00BC0194"/>
    <w:rsid w:val="00BD261B"/>
    <w:rsid w:val="00BD3089"/>
    <w:rsid w:val="00BE058C"/>
    <w:rsid w:val="00BE3C3F"/>
    <w:rsid w:val="00C05690"/>
    <w:rsid w:val="00C07274"/>
    <w:rsid w:val="00C25A03"/>
    <w:rsid w:val="00C417BC"/>
    <w:rsid w:val="00C43728"/>
    <w:rsid w:val="00C63286"/>
    <w:rsid w:val="00C6669A"/>
    <w:rsid w:val="00C72077"/>
    <w:rsid w:val="00C806B8"/>
    <w:rsid w:val="00C81E41"/>
    <w:rsid w:val="00C91FE0"/>
    <w:rsid w:val="00CA13A8"/>
    <w:rsid w:val="00CD0C05"/>
    <w:rsid w:val="00CE452B"/>
    <w:rsid w:val="00CE66B7"/>
    <w:rsid w:val="00D00622"/>
    <w:rsid w:val="00D16BAF"/>
    <w:rsid w:val="00D201BF"/>
    <w:rsid w:val="00D252D2"/>
    <w:rsid w:val="00D255BE"/>
    <w:rsid w:val="00D31624"/>
    <w:rsid w:val="00D451F1"/>
    <w:rsid w:val="00D47780"/>
    <w:rsid w:val="00D52717"/>
    <w:rsid w:val="00D60960"/>
    <w:rsid w:val="00D74C00"/>
    <w:rsid w:val="00D76DF4"/>
    <w:rsid w:val="00DB0A03"/>
    <w:rsid w:val="00DC23DC"/>
    <w:rsid w:val="00DD7B00"/>
    <w:rsid w:val="00DF5021"/>
    <w:rsid w:val="00E14EB3"/>
    <w:rsid w:val="00E22640"/>
    <w:rsid w:val="00E3214D"/>
    <w:rsid w:val="00E374BE"/>
    <w:rsid w:val="00E37E2B"/>
    <w:rsid w:val="00E54449"/>
    <w:rsid w:val="00E5798F"/>
    <w:rsid w:val="00E66390"/>
    <w:rsid w:val="00E805C2"/>
    <w:rsid w:val="00E91D7B"/>
    <w:rsid w:val="00E922F1"/>
    <w:rsid w:val="00E93EAE"/>
    <w:rsid w:val="00E943C6"/>
    <w:rsid w:val="00EA0A36"/>
    <w:rsid w:val="00EA1AD1"/>
    <w:rsid w:val="00EB74DB"/>
    <w:rsid w:val="00EC1356"/>
    <w:rsid w:val="00F017FD"/>
    <w:rsid w:val="00F0668E"/>
    <w:rsid w:val="00F06CEC"/>
    <w:rsid w:val="00F73223"/>
    <w:rsid w:val="00F76B52"/>
    <w:rsid w:val="00F82027"/>
    <w:rsid w:val="00F82DB1"/>
    <w:rsid w:val="00F90B54"/>
    <w:rsid w:val="00F95623"/>
    <w:rsid w:val="00F9736F"/>
    <w:rsid w:val="00FB1276"/>
    <w:rsid w:val="00FB5C23"/>
    <w:rsid w:val="00FE21DD"/>
    <w:rsid w:val="00FE36A6"/>
    <w:rsid w:val="00FE689E"/>
    <w:rsid w:val="00FF1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31C45"/>
  <w15:docId w15:val="{CE3C06F3-793D-4629-AAD3-52598D15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67A"/>
    <w:pPr>
      <w:spacing w:before="120"/>
    </w:pPr>
    <w:rPr>
      <w:sz w:val="22"/>
      <w:szCs w:val="22"/>
      <w:lang w:eastAsia="en-US"/>
    </w:rPr>
  </w:style>
  <w:style w:type="paragraph" w:styleId="Heading1">
    <w:name w:val="heading 1"/>
    <w:basedOn w:val="Normal"/>
    <w:next w:val="Normal"/>
    <w:link w:val="Heading1Char"/>
    <w:uiPriority w:val="1"/>
    <w:qFormat/>
    <w:rsid w:val="00C81E41"/>
    <w:pPr>
      <w:spacing w:after="242" w:line="238" w:lineRule="auto"/>
      <w:ind w:right="860"/>
      <w:jc w:val="center"/>
      <w:outlineLvl w:val="0"/>
    </w:pPr>
    <w:rPr>
      <w:rFonts w:ascii="Times New Roman" w:eastAsia="Times New Roman" w:hAnsi="Times New Roman"/>
      <w:sz w:val="36"/>
    </w:rPr>
  </w:style>
  <w:style w:type="paragraph" w:styleId="Heading2">
    <w:name w:val="heading 2"/>
    <w:basedOn w:val="Normal"/>
    <w:next w:val="Normal"/>
    <w:link w:val="Heading2Char"/>
    <w:uiPriority w:val="3"/>
    <w:qFormat/>
    <w:rsid w:val="00C81E41"/>
    <w:pPr>
      <w:autoSpaceDE w:val="0"/>
      <w:autoSpaceDN w:val="0"/>
      <w:adjustRightInd w:val="0"/>
      <w:spacing w:before="60" w:after="120"/>
      <w:outlineLvl w:val="1"/>
    </w:pPr>
    <w:rPr>
      <w:b/>
      <w:bCs/>
      <w:color w:val="000000"/>
      <w:sz w:val="24"/>
      <w:szCs w:val="24"/>
      <w:lang w:eastAsia="en-AU"/>
    </w:rPr>
  </w:style>
  <w:style w:type="paragraph" w:styleId="Heading3">
    <w:name w:val="heading 3"/>
    <w:basedOn w:val="Normal"/>
    <w:next w:val="Normal"/>
    <w:link w:val="Heading3Char"/>
    <w:uiPriority w:val="4"/>
    <w:qFormat/>
    <w:rsid w:val="00C81E41"/>
    <w:pPr>
      <w:pBdr>
        <w:top w:val="single" w:sz="4" w:space="1" w:color="auto"/>
        <w:left w:val="single" w:sz="4" w:space="4" w:color="auto"/>
        <w:bottom w:val="single" w:sz="4" w:space="1" w:color="auto"/>
        <w:right w:val="single" w:sz="4" w:space="4" w:color="auto"/>
      </w:pBdr>
      <w:autoSpaceDE w:val="0"/>
      <w:autoSpaceDN w:val="0"/>
      <w:adjustRightInd w:val="0"/>
      <w:spacing w:before="60" w:after="120"/>
      <w:jc w:val="both"/>
      <w:outlineLvl w:val="2"/>
    </w:pPr>
    <w:rPr>
      <w:b/>
      <w:bCs/>
      <w:color w:val="000000"/>
      <w:sz w:val="24"/>
      <w:szCs w:val="24"/>
      <w:lang w:eastAsia="en-AU"/>
    </w:rPr>
  </w:style>
  <w:style w:type="paragraph" w:styleId="Heading4">
    <w:name w:val="heading 4"/>
    <w:basedOn w:val="Heading5"/>
    <w:next w:val="Normal"/>
    <w:link w:val="Heading4Char"/>
    <w:uiPriority w:val="9"/>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qFormat/>
    <w:pPr>
      <w:keepNext/>
      <w:keepLines/>
      <w:spacing w:before="200"/>
      <w:outlineLvl w:val="4"/>
    </w:pPr>
    <w:rPr>
      <w:rFonts w:eastAsiaTheme="majorEastAsia" w:cstheme="majorBidi"/>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C81E41"/>
    <w:rPr>
      <w:rFonts w:ascii="Times New Roman" w:eastAsia="Times New Roman" w:hAnsi="Times New Roman"/>
      <w:sz w:val="36"/>
      <w:szCs w:val="22"/>
      <w:lang w:eastAsia="en-US"/>
    </w:rPr>
  </w:style>
  <w:style w:type="character" w:customStyle="1" w:styleId="Heading2Char">
    <w:name w:val="Heading 2 Char"/>
    <w:basedOn w:val="DefaultParagraphFont"/>
    <w:link w:val="Heading2"/>
    <w:uiPriority w:val="3"/>
    <w:rsid w:val="00C81E41"/>
    <w:rPr>
      <w:b/>
      <w:bCs/>
      <w:color w:val="000000"/>
      <w:sz w:val="24"/>
      <w:szCs w:val="24"/>
    </w:rPr>
  </w:style>
  <w:style w:type="character" w:customStyle="1" w:styleId="Heading3Char">
    <w:name w:val="Heading 3 Char"/>
    <w:basedOn w:val="DefaultParagraphFont"/>
    <w:link w:val="Heading3"/>
    <w:uiPriority w:val="4"/>
    <w:rsid w:val="00C81E41"/>
    <w:rPr>
      <w:b/>
      <w:bCs/>
      <w:color w:val="000000"/>
      <w:sz w:val="24"/>
      <w:szCs w:val="24"/>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CFA"/>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81205F"/>
    <w:rPr>
      <w:rFonts w:ascii="Calibri" w:hAnsi="Calibri"/>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81205F"/>
    <w:pPr>
      <w:spacing w:before="0"/>
      <w:ind w:left="720"/>
    </w:pPr>
    <w:rPr>
      <w:rFonts w:ascii="Calibri" w:hAnsi="Calibri"/>
      <w:sz w:val="20"/>
      <w:szCs w:val="20"/>
    </w:rPr>
  </w:style>
  <w:style w:type="numbering" w:customStyle="1" w:styleId="BulletList">
    <w:name w:val="Bullet List"/>
    <w:uiPriority w:val="99"/>
    <w:rsid w:val="001A1BB4"/>
    <w:pPr>
      <w:numPr>
        <w:numId w:val="23"/>
      </w:numPr>
    </w:pPr>
  </w:style>
  <w:style w:type="paragraph" w:styleId="ListBullet5">
    <w:name w:val="List Bullet 5"/>
    <w:basedOn w:val="Normal"/>
    <w:uiPriority w:val="99"/>
    <w:unhideWhenUsed/>
    <w:rsid w:val="001A1BB4"/>
    <w:pPr>
      <w:spacing w:before="0" w:after="200"/>
      <w:ind w:left="1800" w:hanging="360"/>
    </w:pPr>
    <w:rPr>
      <w:rFonts w:ascii="Calibri" w:hAnsi="Calibri"/>
      <w:sz w:val="24"/>
    </w:rPr>
  </w:style>
  <w:style w:type="paragraph" w:styleId="FootnoteText">
    <w:name w:val="footnote text"/>
    <w:basedOn w:val="Normal"/>
    <w:link w:val="FootnoteTextChar"/>
    <w:unhideWhenUsed/>
    <w:rsid w:val="001A1BB4"/>
    <w:pPr>
      <w:spacing w:before="0"/>
    </w:pPr>
    <w:rPr>
      <w:rFonts w:ascii="Calibri" w:eastAsiaTheme="minorHAnsi" w:hAnsi="Calibri"/>
      <w:sz w:val="20"/>
      <w:szCs w:val="20"/>
    </w:rPr>
  </w:style>
  <w:style w:type="character" w:customStyle="1" w:styleId="FootnoteTextChar">
    <w:name w:val="Footnote Text Char"/>
    <w:basedOn w:val="DefaultParagraphFont"/>
    <w:link w:val="FootnoteText"/>
    <w:rsid w:val="001A1BB4"/>
    <w:rPr>
      <w:rFonts w:ascii="Calibri" w:eastAsiaTheme="minorHAnsi" w:hAnsi="Calibri"/>
      <w:lang w:eastAsia="en-US"/>
    </w:rPr>
  </w:style>
  <w:style w:type="character" w:styleId="FootnoteReference">
    <w:name w:val="footnote reference"/>
    <w:basedOn w:val="DefaultParagraphFont"/>
    <w:unhideWhenUsed/>
    <w:rsid w:val="001A1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29933">
      <w:bodyDiv w:val="1"/>
      <w:marLeft w:val="0"/>
      <w:marRight w:val="0"/>
      <w:marTop w:val="0"/>
      <w:marBottom w:val="0"/>
      <w:divBdr>
        <w:top w:val="none" w:sz="0" w:space="0" w:color="auto"/>
        <w:left w:val="none" w:sz="0" w:space="0" w:color="auto"/>
        <w:bottom w:val="none" w:sz="0" w:space="0" w:color="auto"/>
        <w:right w:val="none" w:sz="0" w:space="0" w:color="auto"/>
      </w:divBdr>
    </w:div>
    <w:div w:id="652103237">
      <w:bodyDiv w:val="1"/>
      <w:marLeft w:val="0"/>
      <w:marRight w:val="0"/>
      <w:marTop w:val="0"/>
      <w:marBottom w:val="0"/>
      <w:divBdr>
        <w:top w:val="none" w:sz="0" w:space="0" w:color="auto"/>
        <w:left w:val="none" w:sz="0" w:space="0" w:color="auto"/>
        <w:bottom w:val="none" w:sz="0" w:space="0" w:color="auto"/>
        <w:right w:val="none" w:sz="0" w:space="0" w:color="auto"/>
      </w:divBdr>
    </w:div>
    <w:div w:id="817378072">
      <w:bodyDiv w:val="1"/>
      <w:marLeft w:val="0"/>
      <w:marRight w:val="0"/>
      <w:marTop w:val="0"/>
      <w:marBottom w:val="0"/>
      <w:divBdr>
        <w:top w:val="none" w:sz="0" w:space="0" w:color="auto"/>
        <w:left w:val="none" w:sz="0" w:space="0" w:color="auto"/>
        <w:bottom w:val="none" w:sz="0" w:space="0" w:color="auto"/>
        <w:right w:val="none" w:sz="0" w:space="0" w:color="auto"/>
      </w:divBdr>
    </w:div>
    <w:div w:id="1717391574">
      <w:bodyDiv w:val="1"/>
      <w:marLeft w:val="0"/>
      <w:marRight w:val="0"/>
      <w:marTop w:val="0"/>
      <w:marBottom w:val="0"/>
      <w:divBdr>
        <w:top w:val="none" w:sz="0" w:space="0" w:color="auto"/>
        <w:left w:val="none" w:sz="0" w:space="0" w:color="auto"/>
        <w:bottom w:val="none" w:sz="0" w:space="0" w:color="auto"/>
        <w:right w:val="none" w:sz="0" w:space="0" w:color="auto"/>
      </w:divBdr>
    </w:div>
    <w:div w:id="20868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BA809-3E2C-4ABA-828B-62976B10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2BBFF-B70E-40F5-B7B5-83E692AA5EF2}">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AD98EC58-51B6-4D79-AEA2-64B538FBEA6F}">
  <ds:schemaRefs>
    <ds:schemaRef ds:uri="http://schemas.microsoft.com/sharepoint/v3/contenttype/forms"/>
  </ds:schemaRefs>
</ds:datastoreItem>
</file>

<file path=customXml/itemProps4.xml><?xml version="1.0" encoding="utf-8"?>
<ds:datastoreItem xmlns:ds="http://schemas.openxmlformats.org/officeDocument/2006/customXml" ds:itemID="{3B5BB76E-68E9-4234-AD0C-71DF1CF8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Wallace, Gregory</dc:creator>
  <cp:keywords/>
  <dc:description/>
  <cp:lastModifiedBy>Department of Agriculture</cp:lastModifiedBy>
  <cp:revision>6</cp:revision>
  <cp:lastPrinted>2017-11-29T04:09:00Z</cp:lastPrinted>
  <dcterms:created xsi:type="dcterms:W3CDTF">2017-12-04T02:05:00Z</dcterms:created>
  <dcterms:modified xsi:type="dcterms:W3CDTF">2017-12-08T06:08:00Z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