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905F94" w:rsidRPr="00CC4A5E" w:rsidRDefault="00D96159" w:rsidP="00905F94">
      <w:pPr>
        <w:rPr>
          <w:b/>
          <w:lang w:eastAsia="ja-JP"/>
        </w:rPr>
      </w:pPr>
      <w:r w:rsidRPr="00CC4A5E">
        <w:rPr>
          <w:b/>
          <w:lang w:eastAsia="ja-JP"/>
        </w:rPr>
        <w:t xml:space="preserve">Revised Commonwealth Fisheries Bycatch Policy </w:t>
      </w:r>
    </w:p>
    <w:p w:rsidR="00D96159" w:rsidRDefault="00D96159" w:rsidP="00905F94">
      <w:pPr>
        <w:rPr>
          <w:lang w:eastAsia="ja-JP"/>
        </w:rPr>
      </w:pPr>
    </w:p>
    <w:p w:rsidR="00D96159" w:rsidRPr="00833315" w:rsidRDefault="00D96159" w:rsidP="00905F94">
      <w:pPr>
        <w:rPr>
          <w:lang w:eastAsia="ja-JP"/>
        </w:rPr>
      </w:pPr>
      <w:r w:rsidRPr="00A12A1A">
        <w:rPr>
          <w:b/>
          <w:lang w:eastAsia="ja-JP"/>
        </w:rPr>
        <w:t>Submission No.</w:t>
      </w:r>
      <w:r w:rsidR="00CC4A5E" w:rsidRPr="00A12A1A">
        <w:rPr>
          <w:b/>
          <w:lang w:eastAsia="ja-JP"/>
        </w:rPr>
        <w:t>:</w:t>
      </w:r>
      <w:r w:rsidR="00833315">
        <w:rPr>
          <w:b/>
          <w:lang w:eastAsia="ja-JP"/>
        </w:rPr>
        <w:t xml:space="preserve"> </w:t>
      </w:r>
      <w:r w:rsidR="00833315">
        <w:rPr>
          <w:lang w:eastAsia="ja-JP"/>
        </w:rPr>
        <w:t>03</w:t>
      </w:r>
    </w:p>
    <w:p w:rsidR="00D96159" w:rsidRDefault="00D96159" w:rsidP="00905F94">
      <w:pPr>
        <w:rPr>
          <w:lang w:eastAsia="ja-JP"/>
        </w:rPr>
      </w:pPr>
    </w:p>
    <w:p w:rsidR="00D96159" w:rsidRPr="00833315" w:rsidRDefault="00D96159" w:rsidP="00905F94">
      <w:pPr>
        <w:rPr>
          <w:lang w:eastAsia="ja-JP"/>
        </w:rPr>
      </w:pPr>
      <w:r w:rsidRPr="00A12A1A">
        <w:rPr>
          <w:b/>
          <w:lang w:eastAsia="ja-JP"/>
        </w:rPr>
        <w:t xml:space="preserve">Submission </w:t>
      </w:r>
      <w:r w:rsidR="00CC4A5E" w:rsidRPr="00A12A1A">
        <w:rPr>
          <w:b/>
          <w:lang w:eastAsia="ja-JP"/>
        </w:rPr>
        <w:t>by:</w:t>
      </w:r>
      <w:r w:rsidR="00833315">
        <w:rPr>
          <w:b/>
          <w:lang w:eastAsia="ja-JP"/>
        </w:rPr>
        <w:t xml:space="preserve"> </w:t>
      </w:r>
      <w:r w:rsidR="00833315">
        <w:rPr>
          <w:lang w:eastAsia="ja-JP"/>
        </w:rPr>
        <w:t>Tuna Australia</w:t>
      </w:r>
    </w:p>
    <w:p w:rsidR="00CC4A5E" w:rsidRDefault="00CC4A5E" w:rsidP="00905F94">
      <w:pPr>
        <w:rPr>
          <w:lang w:eastAsia="ja-JP"/>
        </w:rPr>
      </w:pPr>
    </w:p>
    <w:p w:rsidR="00CC4A5E" w:rsidRDefault="00CC4A5E" w:rsidP="00905F94">
      <w:pPr>
        <w:rPr>
          <w:b/>
          <w:lang w:eastAsia="ja-JP"/>
        </w:rPr>
      </w:pPr>
      <w:r w:rsidRPr="00A12A1A">
        <w:rPr>
          <w:b/>
          <w:lang w:eastAsia="ja-JP"/>
        </w:rPr>
        <w:t xml:space="preserve">Submission: 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Bycatch Policy – DRAFT for Consultation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Thank you for extending an invite to comment on the Bycatch Policy.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Tuna Australia (TA) represents stakeholders of the Eastern Tuna and Billfish Fishery (</w:t>
      </w:r>
      <w:proofErr w:type="spellStart"/>
      <w:r w:rsidRPr="00833315">
        <w:rPr>
          <w:rFonts w:asciiTheme="majorHAnsi" w:hAnsiTheme="majorHAnsi"/>
          <w:lang w:eastAsia="ja-JP"/>
        </w:rPr>
        <w:t>ETBF</w:t>
      </w:r>
      <w:proofErr w:type="spellEnd"/>
      <w:r w:rsidRPr="00833315">
        <w:rPr>
          <w:rFonts w:asciiTheme="majorHAnsi" w:hAnsiTheme="majorHAnsi"/>
          <w:lang w:eastAsia="ja-JP"/>
        </w:rPr>
        <w:t>),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the Western Tuna and Billfish Fishery (</w:t>
      </w:r>
      <w:proofErr w:type="spellStart"/>
      <w:r w:rsidRPr="00833315">
        <w:rPr>
          <w:rFonts w:asciiTheme="majorHAnsi" w:hAnsiTheme="majorHAnsi"/>
          <w:lang w:eastAsia="ja-JP"/>
        </w:rPr>
        <w:t>WTBF</w:t>
      </w:r>
      <w:proofErr w:type="spellEnd"/>
      <w:r w:rsidRPr="00833315">
        <w:rPr>
          <w:rFonts w:asciiTheme="majorHAnsi" w:hAnsiTheme="majorHAnsi"/>
          <w:lang w:eastAsia="ja-JP"/>
        </w:rPr>
        <w:t>) and associate members supporting both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fisheries.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 xml:space="preserve">The </w:t>
      </w:r>
      <w:proofErr w:type="spellStart"/>
      <w:r w:rsidRPr="00833315">
        <w:rPr>
          <w:rFonts w:asciiTheme="majorHAnsi" w:hAnsiTheme="majorHAnsi"/>
          <w:lang w:eastAsia="ja-JP"/>
        </w:rPr>
        <w:t>ETBF</w:t>
      </w:r>
      <w:proofErr w:type="spellEnd"/>
      <w:r w:rsidRPr="00833315">
        <w:rPr>
          <w:rFonts w:asciiTheme="majorHAnsi" w:hAnsiTheme="majorHAnsi"/>
          <w:lang w:eastAsia="ja-JP"/>
        </w:rPr>
        <w:t xml:space="preserve"> and </w:t>
      </w:r>
      <w:proofErr w:type="spellStart"/>
      <w:r w:rsidRPr="00833315">
        <w:rPr>
          <w:rFonts w:asciiTheme="majorHAnsi" w:hAnsiTheme="majorHAnsi"/>
          <w:lang w:eastAsia="ja-JP"/>
        </w:rPr>
        <w:t>WTBF</w:t>
      </w:r>
      <w:proofErr w:type="spellEnd"/>
      <w:r w:rsidRPr="00833315">
        <w:rPr>
          <w:rFonts w:asciiTheme="majorHAnsi" w:hAnsiTheme="majorHAnsi"/>
          <w:lang w:eastAsia="ja-JP"/>
        </w:rPr>
        <w:t xml:space="preserve"> are currently managed in a manner consistent with the principles of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ecologically sustainable development and have regard to the impact of fishing activities on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target and non-target species and the long-term sustainability of the marine environment.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Specific comments about the Bycatch Policy are as follows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 xml:space="preserve">1. What is </w:t>
      </w:r>
      <w:proofErr w:type="gramStart"/>
      <w:r w:rsidRPr="00833315">
        <w:rPr>
          <w:rFonts w:asciiTheme="majorHAnsi" w:hAnsiTheme="majorHAnsi"/>
          <w:b/>
          <w:lang w:eastAsia="ja-JP"/>
        </w:rPr>
        <w:t>Bycatch</w:t>
      </w:r>
      <w:proofErr w:type="gramEnd"/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The definition of Bycatch is absurd and should be restricted to species that are caught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through the process of fishing. Identifying that Bycatch involves species that collide with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vessels or interact with vessels / equipment is akin to stating that in the grain industry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where a kangaroo strikes a grain truck would be referred to as ‘Bycatch’.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2. Species Categorization – Secondary Commercial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As mentioned in Tuna Australia’s review of the Harvest Strategy the secondary commercial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category is not justified in context of the information put forward in the strategy. Categories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should be structured consistent with current Ecological Risk Assessments, and how the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fishery is managed.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Categories currently used are as follows</w:t>
      </w:r>
    </w:p>
    <w:p w:rsidR="00833315" w:rsidRPr="00833315" w:rsidRDefault="00833315" w:rsidP="00833315">
      <w:pPr>
        <w:pStyle w:val="ListParagraph"/>
        <w:numPr>
          <w:ilvl w:val="0"/>
          <w:numId w:val="18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Commercial target species (i.e. SFR or quoted species),</w:t>
      </w:r>
    </w:p>
    <w:p w:rsidR="00833315" w:rsidRPr="00833315" w:rsidRDefault="00833315" w:rsidP="00833315">
      <w:pPr>
        <w:pStyle w:val="ListParagraph"/>
        <w:numPr>
          <w:ilvl w:val="0"/>
          <w:numId w:val="18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By-Product,</w:t>
      </w:r>
    </w:p>
    <w:p w:rsidR="00833315" w:rsidRPr="00833315" w:rsidRDefault="00833315" w:rsidP="00833315">
      <w:pPr>
        <w:pStyle w:val="ListParagraph"/>
        <w:numPr>
          <w:ilvl w:val="0"/>
          <w:numId w:val="18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By-Catch and</w:t>
      </w:r>
    </w:p>
    <w:p w:rsidR="00833315" w:rsidRPr="00833315" w:rsidRDefault="00833315" w:rsidP="00833315">
      <w:pPr>
        <w:pStyle w:val="ListParagraph"/>
        <w:numPr>
          <w:ilvl w:val="0"/>
          <w:numId w:val="18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Threatened and Protected Species.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Furthermore, introducing a secondary commercial category would create regulatory burden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due to the research requirement and scientific assessment processes and resulting fishery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management arrangements.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3. General Bycatch Terminology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The document uses terminology including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A range of methods in assessment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Management approaches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Further policy and technical work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Risk management frameworks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Best management practices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Fishing ope</w:t>
      </w:r>
      <w:bookmarkStart w:id="0" w:name="_GoBack"/>
      <w:bookmarkEnd w:id="0"/>
      <w:r w:rsidRPr="00833315">
        <w:rPr>
          <w:rFonts w:asciiTheme="majorHAnsi" w:hAnsiTheme="majorHAnsi"/>
          <w:lang w:eastAsia="ja-JP"/>
        </w:rPr>
        <w:t>rations taking all reasonable steps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Using what evidence is available, ecological theory and experience with analogous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situations to arrive at a risk-ranking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Assessment processes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Increased level of caution in association with increasing levels of uncertainty</w:t>
      </w:r>
    </w:p>
    <w:p w:rsidR="00833315" w:rsidRPr="00833315" w:rsidRDefault="00833315" w:rsidP="00833315">
      <w:pPr>
        <w:pStyle w:val="ListParagraph"/>
        <w:numPr>
          <w:ilvl w:val="0"/>
          <w:numId w:val="19"/>
        </w:num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Minimising management costs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The interpretation of this terminology, practical application and the potential to significantly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increase regulatory burden is a significant concern.</w:t>
      </w:r>
      <w:r w:rsidRPr="00833315">
        <w:rPr>
          <w:rFonts w:asciiTheme="majorHAnsi" w:hAnsiTheme="majorHAnsi"/>
          <w:lang w:eastAsia="ja-JP"/>
        </w:rPr>
        <w:t xml:space="preserve"> Clarity is required of how the </w:t>
      </w:r>
      <w:r w:rsidRPr="00833315">
        <w:rPr>
          <w:rFonts w:asciiTheme="majorHAnsi" w:hAnsiTheme="majorHAnsi"/>
          <w:lang w:eastAsia="ja-JP"/>
        </w:rPr>
        <w:t>terminology used in the document will be applied.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4. Risk, cost, catch trade-off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This section needs greater thought as it is open to speculation based on views of experts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and will be made publicly available. This appears to be very open ended to adverse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criticism when the intent is to ‘avoid the mortality of, or injury to, protected species’. Any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reference to making interactions publicly available requires consultation with industry.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5. Addressing cumulative impacts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/>
          <w:lang w:eastAsia="ja-JP"/>
        </w:rPr>
        <w:t>Understandably all sources of mortality on a species of Bycatch should be accounted for.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However there needs to be clarity about how Bycatch cumulative impacts would be</w:t>
      </w:r>
      <w:r w:rsidRPr="00833315">
        <w:rPr>
          <w:rFonts w:asciiTheme="majorHAnsi" w:hAnsiTheme="majorHAnsi"/>
          <w:lang w:eastAsia="ja-JP"/>
        </w:rPr>
        <w:t xml:space="preserve"> </w:t>
      </w:r>
      <w:r w:rsidRPr="00833315">
        <w:rPr>
          <w:rFonts w:asciiTheme="majorHAnsi" w:hAnsiTheme="majorHAnsi"/>
          <w:lang w:eastAsia="ja-JP"/>
        </w:rPr>
        <w:t>addressed between sectors and jurisdictions.</w:t>
      </w:r>
    </w:p>
    <w:p w:rsidR="00833315" w:rsidRPr="00833315" w:rsidRDefault="00833315" w:rsidP="00833315">
      <w:pPr>
        <w:spacing w:after="120"/>
        <w:rPr>
          <w:rFonts w:asciiTheme="majorHAnsi" w:hAnsiTheme="majorHAnsi"/>
          <w:b/>
          <w:lang w:eastAsia="ja-JP"/>
        </w:rPr>
      </w:pPr>
      <w:r w:rsidRPr="00833315">
        <w:rPr>
          <w:rFonts w:asciiTheme="majorHAnsi" w:hAnsiTheme="majorHAnsi"/>
          <w:b/>
          <w:lang w:eastAsia="ja-JP"/>
        </w:rPr>
        <w:t>6. The management toolbox</w:t>
      </w:r>
    </w:p>
    <w:p w:rsidR="00833315" w:rsidRPr="00833315" w:rsidRDefault="00833315" w:rsidP="00833315">
      <w:pPr>
        <w:autoSpaceDE w:val="0"/>
        <w:autoSpaceDN w:val="0"/>
        <w:adjustRightInd w:val="0"/>
        <w:spacing w:before="0" w:after="120"/>
        <w:rPr>
          <w:rFonts w:asciiTheme="majorHAnsi" w:hAnsiTheme="majorHAnsi" w:cs="Arial"/>
          <w:lang w:eastAsia="en-AU"/>
        </w:rPr>
      </w:pPr>
      <w:r w:rsidRPr="00833315">
        <w:rPr>
          <w:rFonts w:asciiTheme="majorHAnsi" w:hAnsiTheme="majorHAnsi"/>
          <w:lang w:eastAsia="ja-JP"/>
        </w:rPr>
        <w:t>This section identified incentives for Bycatch reduction. Incentives need to be defined</w:t>
      </w:r>
      <w:r w:rsidRPr="00833315">
        <w:rPr>
          <w:rFonts w:asciiTheme="majorHAnsi" w:hAnsiTheme="majorHAnsi" w:cs="Arial"/>
          <w:lang w:eastAsia="en-AU"/>
        </w:rPr>
        <w:t xml:space="preserve"> </w:t>
      </w:r>
      <w:r w:rsidRPr="00833315">
        <w:rPr>
          <w:rFonts w:asciiTheme="majorHAnsi" w:hAnsiTheme="majorHAnsi" w:cs="Arial"/>
          <w:lang w:eastAsia="en-AU"/>
        </w:rPr>
        <w:t>It is important to note that Bycatch strategies may be fishery, sector or species-specific. This</w:t>
      </w:r>
      <w:r w:rsidRPr="00833315">
        <w:rPr>
          <w:rFonts w:asciiTheme="majorHAnsi" w:hAnsiTheme="majorHAnsi" w:cs="Arial"/>
          <w:lang w:eastAsia="en-AU"/>
        </w:rPr>
        <w:t xml:space="preserve"> </w:t>
      </w:r>
      <w:r w:rsidRPr="00833315">
        <w:rPr>
          <w:rFonts w:asciiTheme="majorHAnsi" w:hAnsiTheme="majorHAnsi" w:cs="Arial"/>
          <w:lang w:eastAsia="en-AU"/>
        </w:rPr>
        <w:t>must also be broadened to include how Bycatch is defined and species categorization.</w:t>
      </w:r>
    </w:p>
    <w:p w:rsidR="00833315" w:rsidRPr="00833315" w:rsidRDefault="00833315" w:rsidP="00833315">
      <w:pPr>
        <w:autoSpaceDE w:val="0"/>
        <w:autoSpaceDN w:val="0"/>
        <w:adjustRightInd w:val="0"/>
        <w:spacing w:before="0" w:after="120"/>
        <w:rPr>
          <w:rFonts w:asciiTheme="majorHAnsi" w:hAnsiTheme="majorHAnsi" w:cs="Arial"/>
          <w:lang w:eastAsia="en-AU"/>
        </w:rPr>
      </w:pPr>
    </w:p>
    <w:p w:rsidR="00833315" w:rsidRPr="00833315" w:rsidRDefault="00833315" w:rsidP="00833315">
      <w:pPr>
        <w:autoSpaceDE w:val="0"/>
        <w:autoSpaceDN w:val="0"/>
        <w:adjustRightInd w:val="0"/>
        <w:spacing w:before="0" w:after="120"/>
        <w:rPr>
          <w:rFonts w:asciiTheme="majorHAnsi" w:hAnsiTheme="majorHAnsi" w:cs="Arial"/>
          <w:lang w:eastAsia="en-AU"/>
        </w:rPr>
      </w:pPr>
      <w:r w:rsidRPr="00833315">
        <w:rPr>
          <w:rFonts w:asciiTheme="majorHAnsi" w:hAnsiTheme="majorHAnsi" w:cs="Arial"/>
          <w:lang w:eastAsia="en-AU"/>
        </w:rPr>
        <w:t>In summary, implementing efficient and cost effective fisheries management is a clear</w:t>
      </w:r>
      <w:r w:rsidRPr="00833315">
        <w:rPr>
          <w:rFonts w:asciiTheme="majorHAnsi" w:hAnsiTheme="majorHAnsi" w:cs="Arial"/>
          <w:lang w:eastAsia="en-AU"/>
        </w:rPr>
        <w:t xml:space="preserve"> </w:t>
      </w:r>
      <w:r w:rsidRPr="00833315">
        <w:rPr>
          <w:rFonts w:asciiTheme="majorHAnsi" w:hAnsiTheme="majorHAnsi" w:cs="Arial"/>
          <w:lang w:eastAsia="en-AU"/>
        </w:rPr>
        <w:t>objective of the Australian government and is supported by industry. However, industry cannot</w:t>
      </w:r>
      <w:r w:rsidRPr="00833315">
        <w:rPr>
          <w:rFonts w:asciiTheme="majorHAnsi" w:hAnsiTheme="majorHAnsi" w:cs="Arial"/>
          <w:lang w:eastAsia="en-AU"/>
        </w:rPr>
        <w:t xml:space="preserve"> </w:t>
      </w:r>
      <w:r w:rsidRPr="00833315">
        <w:rPr>
          <w:rFonts w:asciiTheme="majorHAnsi" w:hAnsiTheme="majorHAnsi" w:cs="Arial"/>
          <w:lang w:eastAsia="en-AU"/>
        </w:rPr>
        <w:t>support aspects of the DRAFT Bycatch Policy where</w:t>
      </w:r>
    </w:p>
    <w:p w:rsidR="00833315" w:rsidRPr="00833315" w:rsidRDefault="00833315" w:rsidP="00833315">
      <w:pPr>
        <w:autoSpaceDE w:val="0"/>
        <w:autoSpaceDN w:val="0"/>
        <w:adjustRightInd w:val="0"/>
        <w:spacing w:before="0" w:after="120"/>
        <w:rPr>
          <w:rFonts w:asciiTheme="majorHAnsi" w:hAnsiTheme="majorHAnsi" w:cs="Arial"/>
          <w:lang w:eastAsia="en-AU"/>
        </w:rPr>
      </w:pPr>
      <w:r w:rsidRPr="00833315">
        <w:rPr>
          <w:rFonts w:asciiTheme="majorHAnsi" w:hAnsiTheme="majorHAnsi" w:cs="Arial"/>
          <w:lang w:eastAsia="en-AU"/>
        </w:rPr>
        <w:t>1. Policy influences management response and increases regulatory burden</w:t>
      </w:r>
    </w:p>
    <w:p w:rsidR="00833315" w:rsidRPr="00833315" w:rsidRDefault="00833315" w:rsidP="00833315">
      <w:pPr>
        <w:spacing w:after="120"/>
        <w:rPr>
          <w:rFonts w:asciiTheme="majorHAnsi" w:hAnsiTheme="majorHAnsi"/>
          <w:lang w:eastAsia="ja-JP"/>
        </w:rPr>
      </w:pPr>
      <w:r w:rsidRPr="00833315">
        <w:rPr>
          <w:rFonts w:asciiTheme="majorHAnsi" w:hAnsiTheme="majorHAnsi" w:cs="Arial"/>
          <w:lang w:eastAsia="en-AU"/>
        </w:rPr>
        <w:t>2. Current management processes meet regulatory requirements.</w:t>
      </w:r>
    </w:p>
    <w:sectPr w:rsidR="00833315" w:rsidRPr="0083331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159" w:rsidRDefault="00D96159">
      <w:r>
        <w:separator/>
      </w:r>
    </w:p>
  </w:endnote>
  <w:endnote w:type="continuationSeparator" w:id="0">
    <w:p w:rsidR="00D96159" w:rsidRDefault="00D96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3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159" w:rsidRDefault="00D96159">
      <w:r>
        <w:separator/>
      </w:r>
    </w:p>
  </w:footnote>
  <w:footnote w:type="continuationSeparator" w:id="0">
    <w:p w:rsidR="00D96159" w:rsidRDefault="00D96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4823804"/>
    <w:multiLevelType w:val="hybridMultilevel"/>
    <w:tmpl w:val="82EABC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F0050"/>
    <w:multiLevelType w:val="hybridMultilevel"/>
    <w:tmpl w:val="6E261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7"/>
  </w:num>
  <w:num w:numId="8">
    <w:abstractNumId w:val="10"/>
  </w:num>
  <w:num w:numId="9">
    <w:abstractNumId w:val="15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7"/>
  </w:num>
  <w:num w:numId="1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59"/>
    <w:rsid w:val="00461807"/>
    <w:rsid w:val="0054747E"/>
    <w:rsid w:val="00626E31"/>
    <w:rsid w:val="00644347"/>
    <w:rsid w:val="00833315"/>
    <w:rsid w:val="00905F94"/>
    <w:rsid w:val="00A12A1A"/>
    <w:rsid w:val="00AA4B88"/>
    <w:rsid w:val="00B57188"/>
    <w:rsid w:val="00C6669A"/>
    <w:rsid w:val="00CC4A5E"/>
    <w:rsid w:val="00D96159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C783F56-1991-423B-8B8E-5CC7AAB8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83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4674967-203A-49AC-BA58-06B7DBBD0635}"/>
</file>

<file path=customXml/itemProps2.xml><?xml version="1.0" encoding="utf-8"?>
<ds:datastoreItem xmlns:ds="http://schemas.openxmlformats.org/officeDocument/2006/customXml" ds:itemID="{B0A176C2-4A12-4814-957B-8BB43E32164A}"/>
</file>

<file path=customXml/itemProps3.xml><?xml version="1.0" encoding="utf-8"?>
<ds:datastoreItem xmlns:ds="http://schemas.openxmlformats.org/officeDocument/2006/customXml" ds:itemID="{5E8A4C3F-2043-47FB-AAC0-2E55C6FEFA0F}"/>
</file>

<file path=customXml/itemProps4.xml><?xml version="1.0" encoding="utf-8"?>
<ds:datastoreItem xmlns:ds="http://schemas.openxmlformats.org/officeDocument/2006/customXml" ds:itemID="{EA221AB2-4D62-43E3-BC07-92DB9CDD7D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DAWR</dc:creator>
  <cp:keywords/>
  <dc:description/>
  <cp:lastModifiedBy>DAWR</cp:lastModifiedBy>
  <cp:revision>3</cp:revision>
  <cp:lastPrinted>2015-08-14T05:36:00Z</cp:lastPrinted>
  <dcterms:created xsi:type="dcterms:W3CDTF">2017-06-05T04:40:00Z</dcterms:created>
  <dcterms:modified xsi:type="dcterms:W3CDTF">2017-06-09T02:50:00Z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