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Title"/>
        <w:pBdr>
          <w:bottom w:val="none" w:sz="0" w:space="0" w:color="auto"/>
        </w:pBdr>
        <w:spacing w:after="0"/>
        <w:ind w:left="-142" w:right="-472"/>
        <w:rPr>
          <w:rFonts w:ascii="Times New Roman" w:hAnsi="Times New Roman"/>
          <w:color w:val="auto"/>
        </w:rPr>
      </w:pPr>
    </w:p>
    <w:p>
      <w:pPr>
        <w:pStyle w:val="Title"/>
        <w:pBdr>
          <w:bottom w:val="none" w:sz="0" w:space="0" w:color="auto"/>
        </w:pBdr>
        <w:spacing w:after="0"/>
        <w:ind w:left="-142" w:right="-472"/>
        <w:rPr>
          <w:rFonts w:ascii="Times New Roman" w:hAnsi="Times New Roman"/>
          <w:color w:val="auto"/>
        </w:rPr>
      </w:pPr>
      <w:r>
        <w:rPr>
          <w:rFonts w:ascii="Times New Roman" w:hAnsi="Times New Roman"/>
          <w:noProof/>
        </w:rPr>
        <w:drawing>
          <wp:anchor distT="0" distB="0" distL="114300" distR="114300" simplePos="0" relativeHeight="251656704" behindDoc="0" locked="0" layoutInCell="1" allowOverlap="1">
            <wp:simplePos x="0" y="0"/>
            <wp:positionH relativeFrom="column">
              <wp:posOffset>4343400</wp:posOffset>
            </wp:positionH>
            <wp:positionV relativeFrom="paragraph">
              <wp:posOffset>210820</wp:posOffset>
            </wp:positionV>
            <wp:extent cx="676275" cy="830580"/>
            <wp:effectExtent l="0" t="0" r="9525" b="7620"/>
            <wp:wrapNone/>
            <wp:docPr id="10" name="Picture 1" descr="Logo of the 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the Queensland Government."/>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830580"/>
                    </a:xfrm>
                    <a:prstGeom prst="rect">
                      <a:avLst/>
                    </a:prstGeom>
                    <a:noFill/>
                  </pic:spPr>
                </pic:pic>
              </a:graphicData>
            </a:graphic>
          </wp:anchor>
        </w:drawing>
      </w:r>
      <w:r>
        <w:rPr>
          <w:rFonts w:ascii="Times New Roman" w:hAnsi="Times New Roman"/>
          <w:noProof/>
        </w:rPr>
        <w:drawing>
          <wp:anchor distT="0" distB="0" distL="114300" distR="114300" simplePos="0" relativeHeight="251655680" behindDoc="0" locked="0" layoutInCell="1" allowOverlap="1">
            <wp:simplePos x="0" y="0"/>
            <wp:positionH relativeFrom="column">
              <wp:posOffset>-200025</wp:posOffset>
            </wp:positionH>
            <wp:positionV relativeFrom="paragraph">
              <wp:posOffset>210820</wp:posOffset>
            </wp:positionV>
            <wp:extent cx="3675380" cy="838200"/>
            <wp:effectExtent l="0" t="0" r="1270" b="0"/>
            <wp:wrapNone/>
            <wp:docPr id="9" name="Picture 3" descr="Logo of the Australian Government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of the Australian Government Department of Agricultur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5380" cy="838200"/>
                    </a:xfrm>
                    <a:prstGeom prst="rect">
                      <a:avLst/>
                    </a:prstGeom>
                    <a:noFill/>
                  </pic:spPr>
                </pic:pic>
              </a:graphicData>
            </a:graphic>
          </wp:anchor>
        </w:drawing>
      </w:r>
    </w:p>
    <w:p>
      <w:pPr>
        <w:pStyle w:val="Title"/>
        <w:pBdr>
          <w:bottom w:val="none" w:sz="0" w:space="0" w:color="auto"/>
        </w:pBdr>
        <w:spacing w:after="0"/>
        <w:ind w:left="-142" w:right="-472"/>
        <w:rPr>
          <w:rFonts w:ascii="Times New Roman" w:hAnsi="Times New Roman"/>
          <w:color w:val="auto"/>
        </w:rPr>
      </w:pPr>
    </w:p>
    <w:p>
      <w:pPr>
        <w:pStyle w:val="Title"/>
        <w:pBdr>
          <w:bottom w:val="none" w:sz="0" w:space="0" w:color="auto"/>
        </w:pBdr>
        <w:spacing w:after="0"/>
        <w:ind w:left="-567" w:right="-472"/>
        <w:jc w:val="center"/>
        <w:rPr>
          <w:rFonts w:ascii="Times New Roman" w:hAnsi="Times New Roman"/>
          <w:color w:val="auto"/>
        </w:rPr>
      </w:pPr>
    </w:p>
    <w:p>
      <w:pPr>
        <w:pStyle w:val="Title"/>
        <w:pBdr>
          <w:bottom w:val="none" w:sz="0" w:space="0" w:color="auto"/>
        </w:pBdr>
        <w:spacing w:after="0"/>
        <w:ind w:left="-567" w:right="-472"/>
        <w:jc w:val="center"/>
        <w:rPr>
          <w:rFonts w:ascii="Times New Roman" w:hAnsi="Times New Roman"/>
          <w:color w:val="auto"/>
        </w:rPr>
      </w:pPr>
    </w:p>
    <w:p>
      <w:pPr>
        <w:pStyle w:val="Title"/>
        <w:pBdr>
          <w:bottom w:val="none" w:sz="0" w:space="0" w:color="auto"/>
        </w:pBdr>
        <w:spacing w:after="0"/>
        <w:ind w:left="-567" w:right="-472"/>
        <w:jc w:val="center"/>
        <w:rPr>
          <w:rFonts w:ascii="Times New Roman" w:hAnsi="Times New Roman"/>
          <w:color w:val="auto"/>
        </w:rPr>
      </w:pPr>
    </w:p>
    <w:p>
      <w:pPr>
        <w:rPr>
          <w:lang w:eastAsia="en-AU"/>
        </w:rPr>
      </w:pPr>
    </w:p>
    <w:p>
      <w:pPr>
        <w:rPr>
          <w:lang w:eastAsia="en-AU"/>
        </w:rPr>
      </w:pPr>
    </w:p>
    <w:p>
      <w:pPr>
        <w:rPr>
          <w:lang w:eastAsia="en-AU"/>
        </w:rPr>
      </w:pPr>
    </w:p>
    <w:p/>
    <w:p>
      <w:pPr>
        <w:pStyle w:val="Title"/>
        <w:pBdr>
          <w:bottom w:val="none" w:sz="0" w:space="0" w:color="auto"/>
        </w:pBdr>
        <w:spacing w:after="0"/>
        <w:ind w:left="1701" w:right="1701"/>
        <w:jc w:val="center"/>
        <w:rPr>
          <w:rFonts w:ascii="Times New Roman" w:hAnsi="Times New Roman"/>
          <w:color w:val="auto"/>
          <w:shd w:val="clear" w:color="auto" w:fill="D9D9D9"/>
        </w:rPr>
      </w:pPr>
      <w:r>
        <w:rPr>
          <w:rFonts w:ascii="Times New Roman" w:hAnsi="Times New Roman"/>
          <w:color w:val="auto"/>
        </w:rPr>
        <w:t>State Specific Guideline for Queensland</w:t>
      </w:r>
    </w:p>
    <w:p/>
    <w:p/>
    <w:p/>
    <w:p/>
    <w:p>
      <w:pPr>
        <w:rPr>
          <w:rFonts w:ascii="Calibri" w:hAnsi="Calibri"/>
        </w:rPr>
      </w:pPr>
    </w:p>
    <w:p>
      <w:pPr>
        <w:pStyle w:val="BodyText"/>
        <w:jc w:val="both"/>
        <w:rPr>
          <w:sz w:val="28"/>
          <w:szCs w:val="28"/>
        </w:rPr>
      </w:pPr>
      <w:proofErr w:type="gramStart"/>
      <w:r>
        <w:rPr>
          <w:sz w:val="28"/>
          <w:szCs w:val="28"/>
        </w:rPr>
        <w:t>This Guideline has been prepared by the Australian Government and the Queensland Government</w:t>
      </w:r>
      <w:proofErr w:type="gramEnd"/>
      <w:r>
        <w:rPr>
          <w:sz w:val="28"/>
          <w:szCs w:val="28"/>
        </w:rPr>
        <w:t xml:space="preserve">. It </w:t>
      </w:r>
      <w:proofErr w:type="gramStart"/>
      <w:r>
        <w:rPr>
          <w:sz w:val="28"/>
          <w:szCs w:val="28"/>
        </w:rPr>
        <w:t>is intended</w:t>
      </w:r>
      <w:proofErr w:type="gramEnd"/>
      <w:r>
        <w:rPr>
          <w:sz w:val="28"/>
          <w:szCs w:val="28"/>
        </w:rPr>
        <w:t xml:space="preserve"> to assist processors from Queensland, who process raw logs into another form, in understanding the regulatory framework in Queensland in order for them to carry out their due diligence obligations under the </w:t>
      </w:r>
      <w:r>
        <w:rPr>
          <w:i/>
          <w:iCs/>
          <w:sz w:val="28"/>
          <w:szCs w:val="28"/>
        </w:rPr>
        <w:t xml:space="preserve">Illegal Logging Prohibition Regulation 2012, </w:t>
      </w:r>
      <w:r>
        <w:rPr>
          <w:sz w:val="28"/>
          <w:szCs w:val="28"/>
        </w:rPr>
        <w:t xml:space="preserve">which supports the </w:t>
      </w:r>
      <w:r>
        <w:rPr>
          <w:i/>
          <w:iCs/>
          <w:sz w:val="28"/>
          <w:szCs w:val="28"/>
        </w:rPr>
        <w:t>Illegal Logging Prohibition Act 2012</w:t>
      </w:r>
      <w:r>
        <w:rPr>
          <w:sz w:val="28"/>
          <w:szCs w:val="28"/>
        </w:rPr>
        <w:t>.</w:t>
      </w:r>
    </w:p>
    <w:p>
      <w:pPr>
        <w:pStyle w:val="BodyText"/>
        <w:rPr>
          <w:sz w:val="28"/>
          <w:szCs w:val="28"/>
        </w:rPr>
      </w:pPr>
    </w:p>
    <w:p>
      <w:pPr>
        <w:pStyle w:val="BodyText"/>
        <w:jc w:val="center"/>
        <w:rPr>
          <w:sz w:val="28"/>
          <w:szCs w:val="28"/>
        </w:rPr>
      </w:pPr>
      <w:r>
        <w:rPr>
          <w:sz w:val="28"/>
          <w:szCs w:val="28"/>
        </w:rPr>
        <w:t xml:space="preserve">This Guideline </w:t>
      </w:r>
      <w:proofErr w:type="gramStart"/>
      <w:r>
        <w:rPr>
          <w:sz w:val="28"/>
          <w:szCs w:val="28"/>
        </w:rPr>
        <w:t>was co-endorsed</w:t>
      </w:r>
      <w:proofErr w:type="gramEnd"/>
      <w:r>
        <w:rPr>
          <w:sz w:val="28"/>
          <w:szCs w:val="28"/>
        </w:rPr>
        <w:t xml:space="preserve"> by the Australian and Queensland Governments on 16 June 2015</w:t>
      </w:r>
    </w:p>
    <w:p>
      <w:pPr>
        <w:pStyle w:val="TOCHeading"/>
      </w:pPr>
      <w:r>
        <w:br w:type="column"/>
      </w:r>
      <w:r>
        <w:lastRenderedPageBreak/>
        <w:t>Contents</w:t>
      </w:r>
    </w:p>
    <w:p>
      <w:pPr>
        <w:pStyle w:val="TOC1"/>
        <w:tabs>
          <w:tab w:val="right" w:leader="dot" w:pos="9061"/>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419709616" w:history="1">
        <w:r>
          <w:rPr>
            <w:rStyle w:val="Hyperlink"/>
            <w:noProof/>
          </w:rPr>
          <w:t>Who is a processor?</w:t>
        </w:r>
        <w:r>
          <w:rPr>
            <w:noProof/>
            <w:webHidden/>
          </w:rPr>
          <w:tab/>
        </w:r>
        <w:r>
          <w:rPr>
            <w:noProof/>
            <w:webHidden/>
          </w:rPr>
          <w:fldChar w:fldCharType="begin"/>
        </w:r>
        <w:r>
          <w:rPr>
            <w:noProof/>
            <w:webHidden/>
          </w:rPr>
          <w:instrText xml:space="preserve"> PAGEREF _Toc419709616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17" w:history="1">
        <w:r>
          <w:rPr>
            <w:rStyle w:val="Hyperlink"/>
            <w:noProof/>
          </w:rPr>
          <w:t>Product sourced interstate</w:t>
        </w:r>
        <w:r>
          <w:rPr>
            <w:noProof/>
            <w:webHidden/>
          </w:rPr>
          <w:tab/>
        </w:r>
        <w:r>
          <w:rPr>
            <w:noProof/>
            <w:webHidden/>
          </w:rPr>
          <w:fldChar w:fldCharType="begin"/>
        </w:r>
        <w:r>
          <w:rPr>
            <w:noProof/>
            <w:webHidden/>
          </w:rPr>
          <w:instrText xml:space="preserve"> PAGEREF _Toc419709617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18" w:history="1">
        <w:r>
          <w:rPr>
            <w:rStyle w:val="Hyperlink"/>
            <w:noProof/>
          </w:rPr>
          <w:t>What is required under the new law?</w:t>
        </w:r>
        <w:r>
          <w:rPr>
            <w:noProof/>
            <w:webHidden/>
          </w:rPr>
          <w:tab/>
        </w:r>
        <w:r>
          <w:rPr>
            <w:noProof/>
            <w:webHidden/>
          </w:rPr>
          <w:fldChar w:fldCharType="begin"/>
        </w:r>
        <w:r>
          <w:rPr>
            <w:noProof/>
            <w:webHidden/>
          </w:rPr>
          <w:instrText xml:space="preserve"> PAGEREF _Toc419709618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19" w:history="1">
        <w:r>
          <w:rPr>
            <w:rStyle w:val="Hyperlink"/>
            <w:noProof/>
          </w:rPr>
          <w:t>How timber harvesting is regulated in Queensland.</w:t>
        </w:r>
        <w:r>
          <w:rPr>
            <w:noProof/>
            <w:webHidden/>
          </w:rPr>
          <w:tab/>
        </w:r>
        <w:r>
          <w:rPr>
            <w:noProof/>
            <w:webHidden/>
          </w:rPr>
          <w:fldChar w:fldCharType="begin"/>
        </w:r>
        <w:r>
          <w:rPr>
            <w:noProof/>
            <w:webHidden/>
          </w:rPr>
          <w:instrText xml:space="preserve"> PAGEREF _Toc419709619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0" w:history="1">
        <w:r>
          <w:rPr>
            <w:rStyle w:val="Hyperlink"/>
            <w:i/>
            <w:noProof/>
          </w:rPr>
          <w:t>Forestry Act 1959</w:t>
        </w:r>
        <w:r>
          <w:rPr>
            <w:noProof/>
            <w:webHidden/>
          </w:rPr>
          <w:tab/>
        </w:r>
        <w:r>
          <w:rPr>
            <w:noProof/>
            <w:webHidden/>
          </w:rPr>
          <w:fldChar w:fldCharType="begin"/>
        </w:r>
        <w:r>
          <w:rPr>
            <w:noProof/>
            <w:webHidden/>
          </w:rPr>
          <w:instrText xml:space="preserve"> PAGEREF _Toc419709620 \h </w:instrText>
        </w:r>
        <w:r>
          <w:rPr>
            <w:noProof/>
            <w:webHidden/>
          </w:rPr>
        </w:r>
        <w:r>
          <w:rPr>
            <w:noProof/>
            <w:webHidden/>
          </w:rPr>
          <w:fldChar w:fldCharType="separate"/>
        </w:r>
        <w:r>
          <w:rPr>
            <w:noProof/>
            <w:webHidden/>
          </w:rPr>
          <w:t>5</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1" w:history="1">
        <w:r>
          <w:rPr>
            <w:rStyle w:val="Hyperlink"/>
            <w:i/>
            <w:noProof/>
          </w:rPr>
          <w:t>Vegetation Management Act 1999</w:t>
        </w:r>
        <w:r>
          <w:rPr>
            <w:noProof/>
            <w:webHidden/>
          </w:rPr>
          <w:tab/>
        </w:r>
        <w:r>
          <w:rPr>
            <w:noProof/>
            <w:webHidden/>
          </w:rPr>
          <w:fldChar w:fldCharType="begin"/>
        </w:r>
        <w:r>
          <w:rPr>
            <w:noProof/>
            <w:webHidden/>
          </w:rPr>
          <w:instrText xml:space="preserve"> PAGEREF _Toc419709621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2" w:history="1">
        <w:r>
          <w:rPr>
            <w:rStyle w:val="Hyperlink"/>
            <w:i/>
            <w:noProof/>
          </w:rPr>
          <w:t>Nature Conservation Act 1992</w:t>
        </w:r>
        <w:r>
          <w:rPr>
            <w:noProof/>
            <w:webHidden/>
          </w:rPr>
          <w:tab/>
        </w:r>
        <w:r>
          <w:rPr>
            <w:noProof/>
            <w:webHidden/>
          </w:rPr>
          <w:fldChar w:fldCharType="begin"/>
        </w:r>
        <w:r>
          <w:rPr>
            <w:noProof/>
            <w:webHidden/>
          </w:rPr>
          <w:instrText xml:space="preserve"> PAGEREF _Toc419709622 \h </w:instrText>
        </w:r>
        <w:r>
          <w:rPr>
            <w:noProof/>
            <w:webHidden/>
          </w:rPr>
        </w:r>
        <w:r>
          <w:rPr>
            <w:noProof/>
            <w:webHidden/>
          </w:rPr>
          <w:fldChar w:fldCharType="separate"/>
        </w:r>
        <w:r>
          <w:rPr>
            <w:noProof/>
            <w:webHidden/>
          </w:rPr>
          <w:t>6</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23" w:history="1">
        <w:r>
          <w:rPr>
            <w:rStyle w:val="Hyperlink"/>
            <w:noProof/>
          </w:rPr>
          <w:t>Other relevant laws that relate to legal timber</w:t>
        </w:r>
        <w:r>
          <w:rPr>
            <w:noProof/>
            <w:webHidden/>
          </w:rPr>
          <w:tab/>
        </w:r>
        <w:r>
          <w:rPr>
            <w:noProof/>
            <w:webHidden/>
          </w:rPr>
          <w:fldChar w:fldCharType="begin"/>
        </w:r>
        <w:r>
          <w:rPr>
            <w:noProof/>
            <w:webHidden/>
          </w:rPr>
          <w:instrText xml:space="preserve"> PAGEREF _Toc419709623 \h </w:instrText>
        </w:r>
        <w:r>
          <w:rPr>
            <w:noProof/>
            <w:webHidden/>
          </w:rPr>
        </w:r>
        <w:r>
          <w:rPr>
            <w:noProof/>
            <w:webHidden/>
          </w:rPr>
          <w:fldChar w:fldCharType="separate"/>
        </w:r>
        <w:r>
          <w:rPr>
            <w:noProof/>
            <w:webHidden/>
          </w:rPr>
          <w:t>7</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24" w:history="1">
        <w:r>
          <w:rPr>
            <w:rStyle w:val="Hyperlink"/>
            <w:noProof/>
          </w:rPr>
          <w:t>Identifying legal product from Queensland</w:t>
        </w:r>
        <w:r>
          <w:rPr>
            <w:noProof/>
            <w:webHidden/>
          </w:rPr>
          <w:tab/>
        </w:r>
        <w:r>
          <w:rPr>
            <w:noProof/>
            <w:webHidden/>
          </w:rPr>
          <w:fldChar w:fldCharType="begin"/>
        </w:r>
        <w:r>
          <w:rPr>
            <w:noProof/>
            <w:webHidden/>
          </w:rPr>
          <w:instrText xml:space="preserve"> PAGEREF _Toc419709624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5" w:history="1">
        <w:r>
          <w:rPr>
            <w:rStyle w:val="Hyperlink"/>
            <w:noProof/>
          </w:rPr>
          <w:t>State Land</w:t>
        </w:r>
        <w:r>
          <w:rPr>
            <w:noProof/>
            <w:webHidden/>
          </w:rPr>
          <w:tab/>
        </w:r>
        <w:r>
          <w:rPr>
            <w:noProof/>
            <w:webHidden/>
          </w:rPr>
          <w:fldChar w:fldCharType="begin"/>
        </w:r>
        <w:r>
          <w:rPr>
            <w:noProof/>
            <w:webHidden/>
          </w:rPr>
          <w:instrText xml:space="preserve"> PAGEREF _Toc419709625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6" w:history="1">
        <w:r>
          <w:rPr>
            <w:rStyle w:val="Hyperlink"/>
            <w:noProof/>
          </w:rPr>
          <w:t>Freehold land</w:t>
        </w:r>
        <w:r>
          <w:rPr>
            <w:noProof/>
            <w:webHidden/>
          </w:rPr>
          <w:tab/>
        </w:r>
        <w:r>
          <w:rPr>
            <w:noProof/>
            <w:webHidden/>
          </w:rPr>
          <w:fldChar w:fldCharType="begin"/>
        </w:r>
        <w:r>
          <w:rPr>
            <w:noProof/>
            <w:webHidden/>
          </w:rPr>
          <w:instrText xml:space="preserve"> PAGEREF _Toc419709626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7" w:history="1">
        <w:r>
          <w:rPr>
            <w:rStyle w:val="Hyperlink"/>
            <w:noProof/>
          </w:rPr>
          <w:t>Harvesting protected plants</w:t>
        </w:r>
        <w:r>
          <w:rPr>
            <w:noProof/>
            <w:webHidden/>
          </w:rPr>
          <w:tab/>
        </w:r>
        <w:r>
          <w:rPr>
            <w:noProof/>
            <w:webHidden/>
          </w:rPr>
          <w:fldChar w:fldCharType="begin"/>
        </w:r>
        <w:r>
          <w:rPr>
            <w:noProof/>
            <w:webHidden/>
          </w:rPr>
          <w:instrText xml:space="preserve"> PAGEREF _Toc419709627 \h </w:instrText>
        </w:r>
        <w:r>
          <w:rPr>
            <w:noProof/>
            <w:webHidden/>
          </w:rPr>
        </w:r>
        <w:r>
          <w:rPr>
            <w:noProof/>
            <w:webHidden/>
          </w:rPr>
          <w:fldChar w:fldCharType="separate"/>
        </w:r>
        <w:r>
          <w:rPr>
            <w:noProof/>
            <w:webHidden/>
          </w:rPr>
          <w:t>8</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28" w:history="1">
        <w:r>
          <w:rPr>
            <w:rStyle w:val="Hyperlink"/>
            <w:noProof/>
          </w:rPr>
          <w:t>Local government planning schemes</w:t>
        </w:r>
        <w:r>
          <w:rPr>
            <w:noProof/>
            <w:webHidden/>
          </w:rPr>
          <w:tab/>
        </w:r>
        <w:r>
          <w:rPr>
            <w:noProof/>
            <w:webHidden/>
          </w:rPr>
          <w:fldChar w:fldCharType="begin"/>
        </w:r>
        <w:r>
          <w:rPr>
            <w:noProof/>
            <w:webHidden/>
          </w:rPr>
          <w:instrText xml:space="preserve"> PAGEREF _Toc419709628 \h </w:instrText>
        </w:r>
        <w:r>
          <w:rPr>
            <w:noProof/>
            <w:webHidden/>
          </w:rPr>
        </w:r>
        <w:r>
          <w:rPr>
            <w:noProof/>
            <w:webHidden/>
          </w:rPr>
          <w:fldChar w:fldCharType="separate"/>
        </w:r>
        <w:r>
          <w:rPr>
            <w:noProof/>
            <w:webHidden/>
          </w:rPr>
          <w:t>8</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29" w:history="1">
        <w:r>
          <w:rPr>
            <w:rStyle w:val="Hyperlink"/>
            <w:noProof/>
          </w:rPr>
          <w:t>Relevant government resources</w:t>
        </w:r>
        <w:r>
          <w:rPr>
            <w:noProof/>
            <w:webHidden/>
          </w:rPr>
          <w:tab/>
        </w:r>
        <w:r>
          <w:rPr>
            <w:noProof/>
            <w:webHidden/>
          </w:rPr>
          <w:fldChar w:fldCharType="begin"/>
        </w:r>
        <w:r>
          <w:rPr>
            <w:noProof/>
            <w:webHidden/>
          </w:rPr>
          <w:instrText xml:space="preserve"> PAGEREF _Toc419709629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30" w:history="1">
        <w:r>
          <w:rPr>
            <w:rStyle w:val="Hyperlink"/>
            <w:noProof/>
          </w:rPr>
          <w:t>Relevant non-government resources</w:t>
        </w:r>
        <w:r>
          <w:rPr>
            <w:noProof/>
            <w:webHidden/>
          </w:rPr>
          <w:tab/>
        </w:r>
        <w:r>
          <w:rPr>
            <w:noProof/>
            <w:webHidden/>
          </w:rPr>
          <w:fldChar w:fldCharType="begin"/>
        </w:r>
        <w:r>
          <w:rPr>
            <w:noProof/>
            <w:webHidden/>
          </w:rPr>
          <w:instrText xml:space="preserve"> PAGEREF _Toc419709630 \h </w:instrText>
        </w:r>
        <w:r>
          <w:rPr>
            <w:noProof/>
            <w:webHidden/>
          </w:rPr>
        </w:r>
        <w:r>
          <w:rPr>
            <w:noProof/>
            <w:webHidden/>
          </w:rPr>
          <w:fldChar w:fldCharType="separate"/>
        </w:r>
        <w:r>
          <w:rPr>
            <w:noProof/>
            <w:webHidden/>
          </w:rPr>
          <w:t>9</w:t>
        </w:r>
        <w:r>
          <w:rPr>
            <w:noProof/>
            <w:webHidden/>
          </w:rPr>
          <w:fldChar w:fldCharType="end"/>
        </w:r>
      </w:hyperlink>
    </w:p>
    <w:p>
      <w:pPr>
        <w:pStyle w:val="TOC1"/>
        <w:tabs>
          <w:tab w:val="right" w:leader="dot" w:pos="9061"/>
        </w:tabs>
        <w:rPr>
          <w:rFonts w:asciiTheme="minorHAnsi" w:eastAsiaTheme="minorEastAsia" w:hAnsiTheme="minorHAnsi" w:cstheme="minorBidi"/>
          <w:noProof/>
          <w:sz w:val="22"/>
          <w:szCs w:val="22"/>
          <w:lang w:eastAsia="en-AU"/>
        </w:rPr>
      </w:pPr>
      <w:hyperlink w:anchor="_Toc419709631" w:history="1">
        <w:r>
          <w:rPr>
            <w:rStyle w:val="Hyperlink"/>
            <w:noProof/>
          </w:rPr>
          <w:t>Who should I contact for further information?</w:t>
        </w:r>
        <w:r>
          <w:rPr>
            <w:noProof/>
            <w:webHidden/>
          </w:rPr>
          <w:tab/>
        </w:r>
        <w:r>
          <w:rPr>
            <w:noProof/>
            <w:webHidden/>
          </w:rPr>
          <w:fldChar w:fldCharType="begin"/>
        </w:r>
        <w:r>
          <w:rPr>
            <w:noProof/>
            <w:webHidden/>
          </w:rPr>
          <w:instrText xml:space="preserve"> PAGEREF _Toc419709631 \h </w:instrText>
        </w:r>
        <w:r>
          <w:rPr>
            <w:noProof/>
            <w:webHidden/>
          </w:rPr>
        </w:r>
        <w:r>
          <w:rPr>
            <w:noProof/>
            <w:webHidden/>
          </w:rPr>
          <w:fldChar w:fldCharType="separate"/>
        </w:r>
        <w:r>
          <w:rPr>
            <w:noProof/>
            <w:webHidden/>
          </w:rPr>
          <w:t>10</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32" w:history="1">
        <w:r>
          <w:rPr>
            <w:rStyle w:val="Hyperlink"/>
            <w:noProof/>
          </w:rPr>
          <w:t>Attachment A</w:t>
        </w:r>
        <w:r>
          <w:rPr>
            <w:noProof/>
            <w:webHidden/>
          </w:rPr>
          <w:tab/>
        </w:r>
        <w:r>
          <w:rPr>
            <w:noProof/>
            <w:webHidden/>
          </w:rPr>
          <w:fldChar w:fldCharType="begin"/>
        </w:r>
        <w:r>
          <w:rPr>
            <w:noProof/>
            <w:webHidden/>
          </w:rPr>
          <w:instrText xml:space="preserve"> PAGEREF _Toc419709632 \h </w:instrText>
        </w:r>
        <w:r>
          <w:rPr>
            <w:noProof/>
            <w:webHidden/>
          </w:rPr>
        </w:r>
        <w:r>
          <w:rPr>
            <w:noProof/>
            <w:webHidden/>
          </w:rPr>
          <w:fldChar w:fldCharType="separate"/>
        </w:r>
        <w:r>
          <w:rPr>
            <w:noProof/>
            <w:webHidden/>
          </w:rPr>
          <w:t>11</w:t>
        </w:r>
        <w:r>
          <w:rPr>
            <w:noProof/>
            <w:webHidden/>
          </w:rPr>
          <w:fldChar w:fldCharType="end"/>
        </w:r>
      </w:hyperlink>
    </w:p>
    <w:p>
      <w:pPr>
        <w:pStyle w:val="TOC3"/>
        <w:tabs>
          <w:tab w:val="right" w:leader="dot" w:pos="9061"/>
        </w:tabs>
        <w:rPr>
          <w:rFonts w:asciiTheme="minorHAnsi" w:eastAsiaTheme="minorEastAsia" w:hAnsiTheme="minorHAnsi" w:cstheme="minorBidi"/>
          <w:noProof/>
          <w:sz w:val="22"/>
          <w:szCs w:val="22"/>
          <w:lang w:eastAsia="en-AU"/>
        </w:rPr>
      </w:pPr>
      <w:hyperlink w:anchor="_Toc419709633" w:history="1">
        <w:r>
          <w:rPr>
            <w:rStyle w:val="Hyperlink"/>
            <w:noProof/>
          </w:rPr>
          <w:t>Example of sales permit</w:t>
        </w:r>
        <w:r>
          <w:rPr>
            <w:noProof/>
            <w:webHidden/>
          </w:rPr>
          <w:tab/>
        </w:r>
        <w:r>
          <w:rPr>
            <w:noProof/>
            <w:webHidden/>
          </w:rPr>
          <w:fldChar w:fldCharType="begin"/>
        </w:r>
        <w:r>
          <w:rPr>
            <w:noProof/>
            <w:webHidden/>
          </w:rPr>
          <w:instrText xml:space="preserve"> PAGEREF _Toc419709633 \h </w:instrText>
        </w:r>
        <w:r>
          <w:rPr>
            <w:noProof/>
            <w:webHidden/>
          </w:rPr>
        </w:r>
        <w:r>
          <w:rPr>
            <w:noProof/>
            <w:webHidden/>
          </w:rPr>
          <w:fldChar w:fldCharType="separate"/>
        </w:r>
        <w:r>
          <w:rPr>
            <w:noProof/>
            <w:webHidden/>
          </w:rPr>
          <w:t>11</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34" w:history="1">
        <w:r>
          <w:rPr>
            <w:rStyle w:val="Hyperlink"/>
            <w:noProof/>
          </w:rPr>
          <w:t>Attachment B</w:t>
        </w:r>
        <w:r>
          <w:rPr>
            <w:noProof/>
            <w:webHidden/>
          </w:rPr>
          <w:tab/>
        </w:r>
        <w:r>
          <w:rPr>
            <w:noProof/>
            <w:webHidden/>
          </w:rPr>
          <w:fldChar w:fldCharType="begin"/>
        </w:r>
        <w:r>
          <w:rPr>
            <w:noProof/>
            <w:webHidden/>
          </w:rPr>
          <w:instrText xml:space="preserve"> PAGEREF _Toc419709634 \h </w:instrText>
        </w:r>
        <w:r>
          <w:rPr>
            <w:noProof/>
            <w:webHidden/>
          </w:rPr>
        </w:r>
        <w:r>
          <w:rPr>
            <w:noProof/>
            <w:webHidden/>
          </w:rPr>
          <w:fldChar w:fldCharType="separate"/>
        </w:r>
        <w:r>
          <w:rPr>
            <w:noProof/>
            <w:webHidden/>
          </w:rPr>
          <w:t>13</w:t>
        </w:r>
        <w:r>
          <w:rPr>
            <w:noProof/>
            <w:webHidden/>
          </w:rPr>
          <w:fldChar w:fldCharType="end"/>
        </w:r>
      </w:hyperlink>
    </w:p>
    <w:p>
      <w:pPr>
        <w:pStyle w:val="TOC3"/>
        <w:tabs>
          <w:tab w:val="right" w:leader="dot" w:pos="9061"/>
        </w:tabs>
        <w:rPr>
          <w:rFonts w:asciiTheme="minorHAnsi" w:eastAsiaTheme="minorEastAsia" w:hAnsiTheme="minorHAnsi" w:cstheme="minorBidi"/>
          <w:noProof/>
          <w:sz w:val="22"/>
          <w:szCs w:val="22"/>
          <w:lang w:eastAsia="en-AU"/>
        </w:rPr>
      </w:pPr>
      <w:hyperlink w:anchor="_Toc419709635" w:history="1">
        <w:r>
          <w:rPr>
            <w:rStyle w:val="Hyperlink"/>
            <w:noProof/>
          </w:rPr>
          <w:t>Examples of [public native forest] accountable removal dockets</w:t>
        </w:r>
        <w:r>
          <w:rPr>
            <w:noProof/>
            <w:webHidden/>
          </w:rPr>
          <w:tab/>
        </w:r>
        <w:r>
          <w:rPr>
            <w:noProof/>
            <w:webHidden/>
          </w:rPr>
          <w:fldChar w:fldCharType="begin"/>
        </w:r>
        <w:r>
          <w:rPr>
            <w:noProof/>
            <w:webHidden/>
          </w:rPr>
          <w:instrText xml:space="preserve"> PAGEREF _Toc419709635 \h </w:instrText>
        </w:r>
        <w:r>
          <w:rPr>
            <w:noProof/>
            <w:webHidden/>
          </w:rPr>
        </w:r>
        <w:r>
          <w:rPr>
            <w:noProof/>
            <w:webHidden/>
          </w:rPr>
          <w:fldChar w:fldCharType="separate"/>
        </w:r>
        <w:r>
          <w:rPr>
            <w:noProof/>
            <w:webHidden/>
          </w:rPr>
          <w:t>13</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36" w:history="1">
        <w:r>
          <w:rPr>
            <w:rStyle w:val="Hyperlink"/>
            <w:noProof/>
          </w:rPr>
          <w:t>Attachment C</w:t>
        </w:r>
        <w:r>
          <w:rPr>
            <w:noProof/>
            <w:webHidden/>
          </w:rPr>
          <w:tab/>
        </w:r>
        <w:r>
          <w:rPr>
            <w:noProof/>
            <w:webHidden/>
          </w:rPr>
          <w:fldChar w:fldCharType="begin"/>
        </w:r>
        <w:r>
          <w:rPr>
            <w:noProof/>
            <w:webHidden/>
          </w:rPr>
          <w:instrText xml:space="preserve"> PAGEREF _Toc419709636 \h </w:instrText>
        </w:r>
        <w:r>
          <w:rPr>
            <w:noProof/>
            <w:webHidden/>
          </w:rPr>
        </w:r>
        <w:r>
          <w:rPr>
            <w:noProof/>
            <w:webHidden/>
          </w:rPr>
          <w:fldChar w:fldCharType="separate"/>
        </w:r>
        <w:r>
          <w:rPr>
            <w:noProof/>
            <w:webHidden/>
          </w:rPr>
          <w:t>15</w:t>
        </w:r>
        <w:r>
          <w:rPr>
            <w:noProof/>
            <w:webHidden/>
          </w:rPr>
          <w:fldChar w:fldCharType="end"/>
        </w:r>
      </w:hyperlink>
    </w:p>
    <w:p>
      <w:pPr>
        <w:pStyle w:val="TOC3"/>
        <w:tabs>
          <w:tab w:val="right" w:leader="dot" w:pos="9061"/>
        </w:tabs>
        <w:rPr>
          <w:rFonts w:asciiTheme="minorHAnsi" w:eastAsiaTheme="minorEastAsia" w:hAnsiTheme="minorHAnsi" w:cstheme="minorBidi"/>
          <w:noProof/>
          <w:sz w:val="22"/>
          <w:szCs w:val="22"/>
          <w:lang w:eastAsia="en-AU"/>
        </w:rPr>
      </w:pPr>
      <w:hyperlink w:anchor="_Toc419709637" w:history="1">
        <w:r>
          <w:rPr>
            <w:rStyle w:val="Hyperlink"/>
            <w:noProof/>
          </w:rPr>
          <w:t>Example of [public native forest] Tax Invoice</w:t>
        </w:r>
        <w:r>
          <w:rPr>
            <w:noProof/>
            <w:webHidden/>
          </w:rPr>
          <w:tab/>
        </w:r>
        <w:r>
          <w:rPr>
            <w:noProof/>
            <w:webHidden/>
          </w:rPr>
          <w:fldChar w:fldCharType="begin"/>
        </w:r>
        <w:r>
          <w:rPr>
            <w:noProof/>
            <w:webHidden/>
          </w:rPr>
          <w:instrText xml:space="preserve"> PAGEREF _Toc419709637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38" w:history="1">
        <w:r>
          <w:rPr>
            <w:rStyle w:val="Hyperlink"/>
            <w:noProof/>
          </w:rPr>
          <w:t>Attachment D</w:t>
        </w:r>
        <w:r>
          <w:rPr>
            <w:noProof/>
            <w:webHidden/>
          </w:rPr>
          <w:tab/>
        </w:r>
        <w:r>
          <w:rPr>
            <w:noProof/>
            <w:webHidden/>
          </w:rPr>
          <w:fldChar w:fldCharType="begin"/>
        </w:r>
        <w:r>
          <w:rPr>
            <w:noProof/>
            <w:webHidden/>
          </w:rPr>
          <w:instrText xml:space="preserve"> PAGEREF _Toc419709638 \h </w:instrText>
        </w:r>
        <w:r>
          <w:rPr>
            <w:noProof/>
            <w:webHidden/>
          </w:rPr>
        </w:r>
        <w:r>
          <w:rPr>
            <w:noProof/>
            <w:webHidden/>
          </w:rPr>
          <w:fldChar w:fldCharType="separate"/>
        </w:r>
        <w:r>
          <w:rPr>
            <w:noProof/>
            <w:webHidden/>
          </w:rPr>
          <w:t>16</w:t>
        </w:r>
        <w:r>
          <w:rPr>
            <w:noProof/>
            <w:webHidden/>
          </w:rPr>
          <w:fldChar w:fldCharType="end"/>
        </w:r>
      </w:hyperlink>
    </w:p>
    <w:p>
      <w:pPr>
        <w:pStyle w:val="TOC3"/>
        <w:tabs>
          <w:tab w:val="right" w:leader="dot" w:pos="9061"/>
        </w:tabs>
        <w:rPr>
          <w:rFonts w:asciiTheme="minorHAnsi" w:eastAsiaTheme="minorEastAsia" w:hAnsiTheme="minorHAnsi" w:cstheme="minorBidi"/>
          <w:noProof/>
          <w:sz w:val="22"/>
          <w:szCs w:val="22"/>
          <w:lang w:eastAsia="en-AU"/>
        </w:rPr>
      </w:pPr>
      <w:hyperlink w:anchor="_Toc419709639" w:history="1">
        <w:r>
          <w:rPr>
            <w:rStyle w:val="Hyperlink"/>
            <w:noProof/>
            <w:lang w:val="en-US"/>
          </w:rPr>
          <w:t>Vegetation management notification form for self-assessable vegetation clearing codes</w:t>
        </w:r>
        <w:r>
          <w:rPr>
            <w:noProof/>
            <w:webHidden/>
          </w:rPr>
          <w:tab/>
        </w:r>
        <w:r>
          <w:rPr>
            <w:noProof/>
            <w:webHidden/>
          </w:rPr>
          <w:fldChar w:fldCharType="begin"/>
        </w:r>
        <w:r>
          <w:rPr>
            <w:noProof/>
            <w:webHidden/>
          </w:rPr>
          <w:instrText xml:space="preserve"> PAGEREF _Toc419709639 \h </w:instrText>
        </w:r>
        <w:r>
          <w:rPr>
            <w:noProof/>
            <w:webHidden/>
          </w:rPr>
        </w:r>
        <w:r>
          <w:rPr>
            <w:noProof/>
            <w:webHidden/>
          </w:rPr>
          <w:fldChar w:fldCharType="separate"/>
        </w:r>
        <w:r>
          <w:rPr>
            <w:noProof/>
            <w:webHidden/>
          </w:rPr>
          <w:t>16</w:t>
        </w:r>
        <w:r>
          <w:rPr>
            <w:noProof/>
            <w:webHidden/>
          </w:rPr>
          <w:fldChar w:fldCharType="end"/>
        </w:r>
      </w:hyperlink>
    </w:p>
    <w:p>
      <w:pPr>
        <w:pStyle w:val="TOC2"/>
        <w:tabs>
          <w:tab w:val="right" w:leader="dot" w:pos="9061"/>
        </w:tabs>
        <w:rPr>
          <w:rFonts w:asciiTheme="minorHAnsi" w:eastAsiaTheme="minorEastAsia" w:hAnsiTheme="minorHAnsi" w:cstheme="minorBidi"/>
          <w:noProof/>
          <w:sz w:val="22"/>
          <w:szCs w:val="22"/>
          <w:lang w:eastAsia="en-AU"/>
        </w:rPr>
      </w:pPr>
      <w:hyperlink w:anchor="_Toc419709640" w:history="1">
        <w:r>
          <w:rPr>
            <w:rStyle w:val="Hyperlink"/>
            <w:noProof/>
          </w:rPr>
          <w:t>Attachment E</w:t>
        </w:r>
        <w:r>
          <w:rPr>
            <w:noProof/>
            <w:webHidden/>
          </w:rPr>
          <w:tab/>
        </w:r>
        <w:r>
          <w:rPr>
            <w:noProof/>
            <w:webHidden/>
          </w:rPr>
          <w:fldChar w:fldCharType="begin"/>
        </w:r>
        <w:r>
          <w:rPr>
            <w:noProof/>
            <w:webHidden/>
          </w:rPr>
          <w:instrText xml:space="preserve"> PAGEREF _Toc419709640 \h </w:instrText>
        </w:r>
        <w:r>
          <w:rPr>
            <w:noProof/>
            <w:webHidden/>
          </w:rPr>
        </w:r>
        <w:r>
          <w:rPr>
            <w:noProof/>
            <w:webHidden/>
          </w:rPr>
          <w:fldChar w:fldCharType="separate"/>
        </w:r>
        <w:r>
          <w:rPr>
            <w:noProof/>
            <w:webHidden/>
          </w:rPr>
          <w:t>17</w:t>
        </w:r>
        <w:r>
          <w:rPr>
            <w:noProof/>
            <w:webHidden/>
          </w:rPr>
          <w:fldChar w:fldCharType="end"/>
        </w:r>
      </w:hyperlink>
    </w:p>
    <w:p>
      <w:pPr>
        <w:pStyle w:val="TOC3"/>
        <w:tabs>
          <w:tab w:val="right" w:leader="dot" w:pos="9061"/>
        </w:tabs>
        <w:rPr>
          <w:rFonts w:asciiTheme="minorHAnsi" w:eastAsiaTheme="minorEastAsia" w:hAnsiTheme="minorHAnsi" w:cstheme="minorBidi"/>
          <w:noProof/>
          <w:sz w:val="22"/>
          <w:szCs w:val="22"/>
          <w:lang w:eastAsia="en-AU"/>
        </w:rPr>
      </w:pPr>
      <w:hyperlink w:anchor="_Toc419709641" w:history="1">
        <w:r>
          <w:rPr>
            <w:rStyle w:val="Hyperlink"/>
            <w:noProof/>
          </w:rPr>
          <w:t>Application form for a protected plant harvesting licence</w:t>
        </w:r>
        <w:r>
          <w:rPr>
            <w:noProof/>
            <w:webHidden/>
          </w:rPr>
          <w:tab/>
        </w:r>
        <w:r>
          <w:rPr>
            <w:noProof/>
            <w:webHidden/>
          </w:rPr>
          <w:fldChar w:fldCharType="begin"/>
        </w:r>
        <w:r>
          <w:rPr>
            <w:noProof/>
            <w:webHidden/>
          </w:rPr>
          <w:instrText xml:space="preserve"> PAGEREF _Toc419709641 \h </w:instrText>
        </w:r>
        <w:r>
          <w:rPr>
            <w:noProof/>
            <w:webHidden/>
          </w:rPr>
        </w:r>
        <w:r>
          <w:rPr>
            <w:noProof/>
            <w:webHidden/>
          </w:rPr>
          <w:fldChar w:fldCharType="separate"/>
        </w:r>
        <w:r>
          <w:rPr>
            <w:noProof/>
            <w:webHidden/>
          </w:rPr>
          <w:t>17</w:t>
        </w:r>
        <w:r>
          <w:rPr>
            <w:noProof/>
            <w:webHidden/>
          </w:rPr>
          <w:fldChar w:fldCharType="end"/>
        </w:r>
      </w:hyperlink>
    </w:p>
    <w:p>
      <w:r>
        <w:fldChar w:fldCharType="end"/>
      </w:r>
    </w:p>
    <w:p>
      <w:pPr>
        <w:pStyle w:val="Heading1"/>
        <w:tabs>
          <w:tab w:val="left" w:pos="5745"/>
        </w:tabs>
        <w:rPr>
          <w:szCs w:val="36"/>
        </w:rPr>
      </w:pPr>
      <w:r>
        <w:br w:type="page"/>
      </w:r>
      <w:bookmarkStart w:id="0" w:name="_Toc396137610"/>
      <w:bookmarkStart w:id="1" w:name="_Toc419709616"/>
      <w:r>
        <w:rPr>
          <w:szCs w:val="36"/>
        </w:rPr>
        <w:lastRenderedPageBreak/>
        <w:t>Who is a processor?</w:t>
      </w:r>
      <w:bookmarkEnd w:id="0"/>
      <w:bookmarkEnd w:id="1"/>
    </w:p>
    <w:p>
      <w:pPr>
        <w:pStyle w:val="BodyText"/>
      </w:pPr>
      <w:r>
        <w:t xml:space="preserve">For the purposes of </w:t>
      </w:r>
      <w:r>
        <w:rPr>
          <w:i/>
        </w:rPr>
        <w:t xml:space="preserve">Illegal Logging Prohibition Act 2012 </w:t>
      </w:r>
      <w:r>
        <w:t>(the Act), a processor is a person who processes Australian grown raw logs into something other than a raw log. This includes activities such as the processing of Australian grown raw logs into woodchips, sawlogs, pulp, or other timber products.</w:t>
      </w:r>
    </w:p>
    <w:p>
      <w:pPr>
        <w:pStyle w:val="BodyText"/>
      </w:pPr>
      <w:r>
        <w:t>The Act also specifies that a processor needs to be a constitutional corporation, or a person processing the raw logs:</w:t>
      </w:r>
    </w:p>
    <w:p>
      <w:pPr>
        <w:pStyle w:val="ListBullet"/>
        <w:tabs>
          <w:tab w:val="num" w:pos="720"/>
        </w:tabs>
      </w:pPr>
      <w:r>
        <w:t>on behalf of a constitutional corporation, the Commonwealth or a Commonwealth authority</w:t>
      </w:r>
    </w:p>
    <w:p>
      <w:pPr>
        <w:pStyle w:val="ListBullet"/>
        <w:tabs>
          <w:tab w:val="num" w:pos="720"/>
        </w:tabs>
      </w:pPr>
      <w:proofErr w:type="gramStart"/>
      <w:r>
        <w:t>for</w:t>
      </w:r>
      <w:proofErr w:type="gramEnd"/>
      <w:r>
        <w:t xml:space="preserve"> trade with other countries or between Australian states or territories; or within a state or territory.</w:t>
      </w:r>
    </w:p>
    <w:p>
      <w:pPr>
        <w:pStyle w:val="BodyText"/>
      </w:pPr>
      <w:proofErr w:type="gramStart"/>
      <w:r>
        <w:t>Entities which</w:t>
      </w:r>
      <w:proofErr w:type="gramEnd"/>
      <w:r>
        <w:t xml:space="preserve"> are not constitutional corporations, and therefore not regulated under the Act, include:</w:t>
      </w:r>
    </w:p>
    <w:p>
      <w:pPr>
        <w:pStyle w:val="ListBullet"/>
      </w:pPr>
      <w:r>
        <w:t>state authorities not established as a body corporate</w:t>
      </w:r>
    </w:p>
    <w:p>
      <w:pPr>
        <w:pStyle w:val="ListBullet"/>
      </w:pPr>
      <w:r>
        <w:t>partnerships</w:t>
      </w:r>
    </w:p>
    <w:p>
      <w:pPr>
        <w:pStyle w:val="ListBullet"/>
      </w:pPr>
      <w:r>
        <w:t>unincorporated associations</w:t>
      </w:r>
    </w:p>
    <w:p>
      <w:pPr>
        <w:pStyle w:val="ListBullet"/>
      </w:pPr>
      <w:proofErr w:type="gramStart"/>
      <w:r>
        <w:t>individuals</w:t>
      </w:r>
      <w:proofErr w:type="gramEnd"/>
      <w:r>
        <w:t>.</w:t>
      </w:r>
    </w:p>
    <w:p>
      <w:pPr>
        <w:pStyle w:val="Heading1"/>
        <w:tabs>
          <w:tab w:val="left" w:pos="5745"/>
        </w:tabs>
        <w:rPr>
          <w:szCs w:val="36"/>
        </w:rPr>
      </w:pPr>
      <w:bookmarkStart w:id="2" w:name="_Toc396137611"/>
      <w:bookmarkStart w:id="3" w:name="_Toc419709617"/>
      <w:r>
        <w:rPr>
          <w:szCs w:val="36"/>
        </w:rPr>
        <w:t>Product sourced interstate</w:t>
      </w:r>
      <w:bookmarkEnd w:id="2"/>
      <w:bookmarkEnd w:id="3"/>
    </w:p>
    <w:p>
      <w:pPr>
        <w:pStyle w:val="BodyText"/>
      </w:pPr>
      <w:r>
        <w:t xml:space="preserve">The Australian Government developed state specific guidelines in collaboration with relevant government officials in each state to provide information on the laws in force </w:t>
      </w:r>
      <w:r>
        <w:rPr>
          <w:b/>
        </w:rPr>
        <w:t>in the place of harvest</w:t>
      </w:r>
      <w:r>
        <w:t xml:space="preserve"> to assist processers to carry out due diligence obligations. For processors who source raw logs interstate, they should refer to the state specific guideline developed for the state the timber </w:t>
      </w:r>
      <w:proofErr w:type="gramStart"/>
      <w:r>
        <w:t>was harvested</w:t>
      </w:r>
      <w:proofErr w:type="gramEnd"/>
      <w:r>
        <w:t xml:space="preserve"> in.</w:t>
      </w:r>
    </w:p>
    <w:p>
      <w:pPr>
        <w:pStyle w:val="BodyText"/>
      </w:pPr>
      <w:r>
        <w:t xml:space="preserve">The guidelines allow processers to identify the information they can obtain in order to be confident that the raw logs they process present a low risk of </w:t>
      </w:r>
      <w:proofErr w:type="gramStart"/>
      <w:r>
        <w:t>having been illegally logged</w:t>
      </w:r>
      <w:proofErr w:type="gramEnd"/>
      <w:r>
        <w:t xml:space="preserve">. </w:t>
      </w:r>
    </w:p>
    <w:p>
      <w:pPr>
        <w:overflowPunct/>
        <w:autoSpaceDE/>
        <w:autoSpaceDN/>
        <w:adjustRightInd/>
        <w:spacing w:after="0" w:line="240" w:lineRule="auto"/>
        <w:textAlignment w:val="auto"/>
        <w:rPr>
          <w:rFonts w:ascii="Cambria" w:eastAsia="Calibri" w:hAnsi="Cambria"/>
          <w:b/>
          <w:bCs/>
          <w:color w:val="000000"/>
          <w:sz w:val="36"/>
          <w:szCs w:val="28"/>
          <w:lang w:eastAsia="en-AU"/>
        </w:rPr>
      </w:pPr>
      <w:r>
        <w:br w:type="page"/>
      </w:r>
    </w:p>
    <w:p>
      <w:pPr>
        <w:pStyle w:val="Heading1"/>
      </w:pPr>
      <w:bookmarkStart w:id="4" w:name="_Toc419709618"/>
      <w:r>
        <w:t>What is required under the new law?</w:t>
      </w:r>
      <w:bookmarkEnd w:id="4"/>
      <w:r>
        <w:tab/>
      </w:r>
    </w:p>
    <w:p>
      <w:pPr>
        <w:pStyle w:val="BodyText"/>
      </w:pPr>
      <w:r>
        <w:t>The Act restricts the movement of illegally logged timber into Australia at the border, for imported timber and timber products; and at timber processing mills, for domestically grown raw logs.</w:t>
      </w:r>
    </w:p>
    <w:p>
      <w:pPr>
        <w:pStyle w:val="BodyText"/>
      </w:pPr>
      <w:r>
        <w:t>The Act seeks to address the harmful environmental, social and economic impacts of illegal logging, including forest degradation, habitat loss and threats to sustainable livelihoods.</w:t>
      </w:r>
    </w:p>
    <w:p>
      <w:pPr>
        <w:pStyle w:val="BodyText"/>
      </w:pPr>
      <w:r>
        <w:t>The Act defines illegally logged as:</w:t>
      </w:r>
    </w:p>
    <w:p>
      <w:pPr>
        <w:pStyle w:val="Quote"/>
        <w:spacing w:line="240" w:lineRule="auto"/>
      </w:pPr>
      <w:r>
        <w:t>‘…in relation to timber, means harvested in contravention of laws in force in the place (whether or not in Australia) where the timber was harvested.’</w:t>
      </w:r>
    </w:p>
    <w:p>
      <w:pPr>
        <w:pStyle w:val="BodyText"/>
      </w:pPr>
      <w:r>
        <w:t xml:space="preserve">The </w:t>
      </w:r>
      <w:r>
        <w:rPr>
          <w:i/>
        </w:rPr>
        <w:t>Illegal Logging Prohibition Regulation 2012</w:t>
      </w:r>
      <w:r>
        <w:t xml:space="preserve"> (the Regulation) prescribes due diligence for the regulated community, that is, Australian importers of regulated timber products (for the purposes of the Act, a regulated timber product is a product listed in Schedule 1 to the Regulation) and Australian processors of domestic raw logs. Under the Regulation, the regulated community has to undertake a due diligence process to minimise the risk of sourcing illegally logged timber. </w:t>
      </w:r>
    </w:p>
    <w:p>
      <w:pPr>
        <w:pStyle w:val="BodyText"/>
      </w:pPr>
      <w:r>
        <w:t>Due diligence requirements for processors include the following steps:</w:t>
      </w:r>
    </w:p>
    <w:p>
      <w:pPr>
        <w:pStyle w:val="Text"/>
        <w:spacing w:after="120"/>
        <w:ind w:left="1571" w:hanging="851"/>
        <w:rPr>
          <w:b/>
        </w:rPr>
      </w:pPr>
      <w:r>
        <w:rPr>
          <w:b/>
        </w:rPr>
        <w:t>Step 1:</w:t>
      </w:r>
      <w:r>
        <w:rPr>
          <w:b/>
        </w:rPr>
        <w:tab/>
      </w:r>
      <w:r>
        <w:t>Information gathering</w:t>
      </w:r>
      <w:r>
        <w:rPr>
          <w:b/>
        </w:rPr>
        <w:t xml:space="preserve">  </w:t>
      </w:r>
    </w:p>
    <w:p>
      <w:pPr>
        <w:pStyle w:val="Text"/>
        <w:spacing w:after="120"/>
        <w:ind w:left="1571" w:hanging="851"/>
        <w:rPr>
          <w:b/>
        </w:rPr>
      </w:pPr>
      <w:r>
        <w:rPr>
          <w:b/>
        </w:rPr>
        <w:t xml:space="preserve">Step 2: </w:t>
      </w:r>
      <w:r>
        <w:rPr>
          <w:b/>
        </w:rPr>
        <w:tab/>
      </w:r>
      <w:r>
        <w:t>Assessing and identifying risk against a timber legality framework (optional) or a state specific guideline (optional)</w:t>
      </w:r>
      <w:r>
        <w:rPr>
          <w:b/>
        </w:rPr>
        <w:t xml:space="preserve"> </w:t>
      </w:r>
    </w:p>
    <w:p>
      <w:pPr>
        <w:pStyle w:val="Text"/>
        <w:spacing w:after="120"/>
        <w:ind w:left="1571" w:hanging="851"/>
        <w:rPr>
          <w:b/>
        </w:rPr>
      </w:pPr>
      <w:r>
        <w:rPr>
          <w:b/>
        </w:rPr>
        <w:t xml:space="preserve">Step 3: </w:t>
      </w:r>
      <w:r>
        <w:rPr>
          <w:b/>
        </w:rPr>
        <w:tab/>
      </w:r>
      <w:r>
        <w:t>Risk assessment (if required)</w:t>
      </w:r>
    </w:p>
    <w:p>
      <w:pPr>
        <w:pStyle w:val="Text"/>
        <w:spacing w:after="120"/>
        <w:ind w:left="1571" w:hanging="851"/>
      </w:pPr>
      <w:r>
        <w:rPr>
          <w:b/>
        </w:rPr>
        <w:t xml:space="preserve">Step 4: </w:t>
      </w:r>
      <w:r>
        <w:rPr>
          <w:b/>
        </w:rPr>
        <w:tab/>
      </w:r>
      <w:r>
        <w:t>Risk mitigation (if required)</w:t>
      </w:r>
    </w:p>
    <w:p>
      <w:pPr>
        <w:pStyle w:val="BodyText"/>
      </w:pPr>
      <w:r>
        <w:t xml:space="preserve">Further information about the Act and the Regulation is available at </w:t>
      </w:r>
      <w:hyperlink r:id="rId10" w:history="1">
        <w:r>
          <w:rPr>
            <w:rStyle w:val="Hyperlink"/>
          </w:rPr>
          <w:t>www.agriculture.gov.au/illegallogging</w:t>
        </w:r>
      </w:hyperlink>
      <w:r>
        <w:t>.</w:t>
      </w:r>
    </w:p>
    <w:p>
      <w:pPr>
        <w:pStyle w:val="BodyText"/>
      </w:pPr>
      <w:r>
        <w:t xml:space="preserve">This guideline </w:t>
      </w:r>
      <w:proofErr w:type="gramStart"/>
      <w:r>
        <w:t>is intended</w:t>
      </w:r>
      <w:proofErr w:type="gramEnd"/>
      <w:r>
        <w:t xml:space="preserve"> to assist a processor of Australian raw logs from Queensland to comply with the due diligence requirements of the Regulation.</w:t>
      </w:r>
    </w:p>
    <w:p>
      <w:pPr>
        <w:pStyle w:val="BodyText"/>
      </w:pPr>
      <w:r>
        <w:t xml:space="preserve">Information or evidence listed in this guideline is not an exhaustive list of evidence or documentation required to satisfy due diligence requirements under the Regulation. The Regulation </w:t>
      </w:r>
      <w:proofErr w:type="gramStart"/>
      <w:r>
        <w:t>should be referred</w:t>
      </w:r>
      <w:proofErr w:type="gramEnd"/>
      <w:r>
        <w:t xml:space="preserve"> to for a complete list of the information required to be gathered to satisfy due diligence requirements. </w:t>
      </w:r>
    </w:p>
    <w:p>
      <w:pPr>
        <w:pStyle w:val="BodyText"/>
      </w:pPr>
      <w:r>
        <w:t xml:space="preserve">Information gathered by applying this guideline, along with any other information </w:t>
      </w:r>
      <w:proofErr w:type="gramStart"/>
      <w:r>
        <w:t>gathered</w:t>
      </w:r>
      <w:proofErr w:type="gramEnd"/>
      <w:r>
        <w:t xml:space="preserve"> in accordance with the Regulation, </w:t>
      </w:r>
      <w:proofErr w:type="gramStart"/>
      <w:r>
        <w:t>needs</w:t>
      </w:r>
      <w:proofErr w:type="gramEnd"/>
      <w:r>
        <w:t xml:space="preserve"> to be assessed in accordance with the processes outlined in the Regulation to identify the risk that a regulated timber product is, is made from, or contains illegally logged timber.</w:t>
      </w:r>
    </w:p>
    <w:p>
      <w:pPr>
        <w:overflowPunct/>
        <w:autoSpaceDE/>
        <w:autoSpaceDN/>
        <w:adjustRightInd/>
        <w:spacing w:after="0" w:line="240" w:lineRule="auto"/>
        <w:textAlignment w:val="auto"/>
        <w:rPr>
          <w:rStyle w:val="Strong"/>
          <w:rFonts w:ascii="Cambria" w:eastAsia="Calibri" w:hAnsi="Cambria"/>
          <w:color w:val="000000"/>
          <w:sz w:val="36"/>
          <w:szCs w:val="28"/>
          <w:lang w:eastAsia="en-AU"/>
        </w:rPr>
      </w:pPr>
      <w:r>
        <w:rPr>
          <w:rStyle w:val="Strong"/>
          <w:b w:val="0"/>
          <w:bCs w:val="0"/>
        </w:rPr>
        <w:br w:type="page"/>
      </w:r>
    </w:p>
    <w:p>
      <w:pPr>
        <w:pStyle w:val="Heading1"/>
        <w:spacing w:before="360"/>
        <w:rPr>
          <w:rStyle w:val="Strong"/>
          <w:rFonts w:ascii="Times New Roman" w:hAnsi="Times New Roman"/>
          <w:b/>
          <w:bCs/>
          <w:color w:val="auto"/>
          <w:sz w:val="24"/>
          <w:szCs w:val="20"/>
          <w:lang w:eastAsia="en-US"/>
        </w:rPr>
      </w:pPr>
      <w:bookmarkStart w:id="5" w:name="_Toc419709619"/>
      <w:r>
        <w:rPr>
          <w:rStyle w:val="Strong"/>
          <w:b/>
          <w:bCs/>
        </w:rPr>
        <w:t xml:space="preserve">How timber harvesting </w:t>
      </w:r>
      <w:proofErr w:type="gramStart"/>
      <w:r>
        <w:rPr>
          <w:rStyle w:val="Strong"/>
          <w:b/>
          <w:bCs/>
        </w:rPr>
        <w:t>is regulated</w:t>
      </w:r>
      <w:proofErr w:type="gramEnd"/>
      <w:r>
        <w:rPr>
          <w:rStyle w:val="Strong"/>
          <w:b/>
          <w:bCs/>
        </w:rPr>
        <w:t xml:space="preserve"> in Queensland.</w:t>
      </w:r>
      <w:bookmarkEnd w:id="5"/>
    </w:p>
    <w:p>
      <w:pPr>
        <w:pStyle w:val="BodyText"/>
      </w:pPr>
      <w:r>
        <w:t xml:space="preserve">Timber harvesting in Queensland </w:t>
      </w:r>
      <w:proofErr w:type="gramStart"/>
      <w:r>
        <w:t>is regulated</w:t>
      </w:r>
      <w:proofErr w:type="gramEnd"/>
      <w:r>
        <w:t xml:space="preserve"> by the </w:t>
      </w:r>
      <w:r>
        <w:rPr>
          <w:i/>
        </w:rPr>
        <w:t>Forestry Act 1959</w:t>
      </w:r>
      <w:r>
        <w:t xml:space="preserve">, the </w:t>
      </w:r>
      <w:r>
        <w:rPr>
          <w:i/>
        </w:rPr>
        <w:t>Nature Conservation Act 1992</w:t>
      </w:r>
      <w:r>
        <w:t xml:space="preserve">, the </w:t>
      </w:r>
      <w:r>
        <w:rPr>
          <w:i/>
        </w:rPr>
        <w:t xml:space="preserve">Vegetation Management Act 1999 </w:t>
      </w:r>
      <w:r>
        <w:t xml:space="preserve">and associated policies and codes. The relevant government departments and the applicable laws they are responsible for are: </w:t>
      </w:r>
    </w:p>
    <w:p>
      <w:pPr>
        <w:pStyle w:val="BodyText"/>
      </w:pPr>
    </w:p>
    <w:p>
      <w:pPr>
        <w:rPr>
          <w:b/>
        </w:rPr>
      </w:pPr>
      <w:r>
        <w:rPr>
          <w:noProof/>
          <w:lang w:eastAsia="en-AU"/>
        </w:rPr>
        <w:pict>
          <v:group id="Group 13" o:spid="_x0000_s1026" alt="Image of the three Queensland government agencies responsible for regulating timber harvesting, namely the:&#10;Queensland Government Department of Agriculture, Fisheries and Forestry responsible for native forests on State land under the Forestry Act 1959.&#10;Queensland Government Department of Environment and Heritage Protection responsible for harvest and use of protected plant species under the Nature Conservation Act 1992&#10;Queensland Government Department of Natural Resources and Mines responsible for native forest practice on private land under the Vegetation Management Act 1999&#10;&#10;&#10;" style="position:absolute;margin-left:-50.75pt;margin-top:11.55pt;width:535.75pt;height:191.1pt;z-index:-251657216" coordorigin="535,3453" coordsize="10715,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">
            <v:oval id="Oval 6" o:spid="_x0000_s1027" style="position:absolute;left:7254;top:3453;width:3996;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PMUA&#10;AADaAAAADwAAAGRycy9kb3ducmV2LnhtbESPT2vCQBTE70K/w/IKXqRuaq2U1FWKIP67mLSHHh/Z&#10;12xo9m2aXU367V1B8DjMzG+Y+bK3tThT6yvHCp7HCQjiwumKSwVfn+unNxA+IGusHZOCf/KwXDwM&#10;5phq13FG5zyUIkLYp6jAhNCkUvrCkEU/dg1x9H5cazFE2ZZSt9hFuK3lJElm0mLFccFgQytDxW9+&#10;sgrKTbaq5OvLsct3u/339ND/mVGm1PCx/3gHEagP9/CtvdUKZnC9Em+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v48xQAAANoAAAAPAAAAAAAAAAAAAAAAAJgCAABkcnMv&#10;ZG93bnJldi54bWxQSwUGAAAAAAQABAD1AAAAigMAAAAA&#10;" fillcolor="#87a846" strokecolor="white" strokeweight="2.25pt">
              <v:fill opacity="32896f"/>
              <v:textbox inset="0,0,0,0">
                <w:txbxContent>
                  <w:p>
                    <w:pPr>
                      <w:spacing w:after="120" w:line="240" w:lineRule="auto"/>
                      <w:ind w:right="96"/>
                      <w:jc w:val="center"/>
                      <w:rPr>
                        <w:rFonts w:ascii="Cambria" w:hAnsi="Cambria"/>
                        <w:b/>
                        <w:sz w:val="20"/>
                        <w:szCs w:val="22"/>
                      </w:rPr>
                    </w:pPr>
                    <w:r>
                      <w:rPr>
                        <w:rFonts w:ascii="Cambria" w:hAnsi="Cambria"/>
                        <w:b/>
                        <w:sz w:val="20"/>
                        <w:szCs w:val="22"/>
                      </w:rPr>
                      <w:t>Department of Natural Resources and Mines (DNRM)</w:t>
                    </w:r>
                  </w:p>
                  <w:p>
                    <w:pPr>
                      <w:spacing w:after="120" w:line="240" w:lineRule="auto"/>
                      <w:ind w:right="96"/>
                      <w:jc w:val="center"/>
                      <w:rPr>
                        <w:rFonts w:ascii="Cambria" w:hAnsi="Cambria"/>
                        <w:sz w:val="20"/>
                        <w:szCs w:val="22"/>
                      </w:rPr>
                    </w:pPr>
                    <w:proofErr w:type="gramStart"/>
                    <w:r>
                      <w:rPr>
                        <w:rFonts w:ascii="Cambria" w:hAnsi="Cambria"/>
                        <w:sz w:val="20"/>
                        <w:szCs w:val="22"/>
                      </w:rPr>
                      <w:t>responsible</w:t>
                    </w:r>
                    <w:proofErr w:type="gramEnd"/>
                    <w:r>
                      <w:rPr>
                        <w:rFonts w:ascii="Cambria" w:hAnsi="Cambria"/>
                        <w:sz w:val="20"/>
                        <w:szCs w:val="22"/>
                      </w:rPr>
                      <w:t xml:space="preserve"> for</w:t>
                    </w:r>
                  </w:p>
                  <w:p>
                    <w:pPr>
                      <w:spacing w:after="0" w:line="240" w:lineRule="auto"/>
                      <w:ind w:right="96"/>
                      <w:jc w:val="center"/>
                      <w:rPr>
                        <w:rFonts w:ascii="Cambria" w:hAnsi="Cambria"/>
                        <w:b/>
                        <w:sz w:val="20"/>
                        <w:szCs w:val="22"/>
                      </w:rPr>
                    </w:pPr>
                    <w:r>
                      <w:rPr>
                        <w:rFonts w:ascii="Cambria" w:hAnsi="Cambria"/>
                        <w:b/>
                        <w:sz w:val="20"/>
                        <w:szCs w:val="22"/>
                      </w:rPr>
                      <w:t>Native forest practice on private land</w:t>
                    </w:r>
                  </w:p>
                  <w:p>
                    <w:pPr>
                      <w:spacing w:after="120" w:line="240" w:lineRule="auto"/>
                      <w:ind w:right="96"/>
                      <w:jc w:val="center"/>
                      <w:rPr>
                        <w:rFonts w:ascii="Cambria" w:hAnsi="Cambria"/>
                        <w:sz w:val="20"/>
                        <w:szCs w:val="22"/>
                      </w:rPr>
                    </w:pPr>
                    <w:proofErr w:type="gramStart"/>
                    <w:r>
                      <w:rPr>
                        <w:rFonts w:ascii="Cambria" w:hAnsi="Cambria"/>
                        <w:sz w:val="20"/>
                        <w:szCs w:val="22"/>
                      </w:rPr>
                      <w:t>under</w:t>
                    </w:r>
                    <w:proofErr w:type="gramEnd"/>
                    <w:r>
                      <w:rPr>
                        <w:rFonts w:ascii="Cambria" w:hAnsi="Cambria"/>
                        <w:sz w:val="20"/>
                        <w:szCs w:val="22"/>
                      </w:rPr>
                      <w:t xml:space="preserve"> the</w:t>
                    </w:r>
                  </w:p>
                  <w:p>
                    <w:pPr>
                      <w:spacing w:after="120" w:line="240" w:lineRule="auto"/>
                      <w:ind w:right="96"/>
                      <w:jc w:val="center"/>
                      <w:rPr>
                        <w:rFonts w:ascii="Cambria" w:hAnsi="Cambria"/>
                        <w:sz w:val="20"/>
                        <w:szCs w:val="22"/>
                      </w:rPr>
                    </w:pPr>
                    <w:r>
                      <w:rPr>
                        <w:rFonts w:ascii="Cambria" w:hAnsi="Cambria"/>
                        <w:b/>
                        <w:i/>
                        <w:sz w:val="20"/>
                        <w:szCs w:val="22"/>
                      </w:rPr>
                      <w:t>Vegetation Management Act 1999</w:t>
                    </w:r>
                  </w:p>
                </w:txbxContent>
              </v:textbox>
            </v:oval>
            <v:oval id="Oval 7" o:spid="_x0000_s1028" style="position:absolute;left:535;top:3453;width:3996;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LbwA&#10;AADaAAAADwAAAGRycy9kb3ducmV2LnhtbERPuwrCMBTdBf8hXMFFNNVBSjWKCKKb1Be4XZtrW2xu&#10;ShO1/r0ZBMfDec+XranEixpXWlYwHkUgiDOrS84VnI6bYQzCeWSNlWVS8CEHy0W3M8dE2zen9Dr4&#10;XIQQdgkqKLyvEyldVpBBN7I1ceDutjHoA2xyqRt8h3BTyUkUTaXBkkNDgTWtC8oeh6dRcBvUH7M5&#10;Xy7X2KfxdJun5V6mSvV77WoGwlPr/+Kfe6cVhK3hSrgBcvE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r4otvAAAANoAAAAPAAAAAAAAAAAAAAAAAJgCAABkcnMvZG93bnJldi54&#10;bWxQSwUGAAAAAAQABAD1AAAAgQMAAAAA&#10;" fillcolor="#3795af" strokecolor="white" strokeweight="2.25pt">
              <v:fill opacity="32896f"/>
              <v:textbox inset="0,0,0,0">
                <w:txbxContent>
                  <w:p>
                    <w:pPr>
                      <w:spacing w:after="120" w:line="240" w:lineRule="auto"/>
                      <w:jc w:val="center"/>
                      <w:rPr>
                        <w:rFonts w:ascii="Cambria" w:hAnsi="Cambria"/>
                        <w:b/>
                        <w:sz w:val="20"/>
                        <w:szCs w:val="22"/>
                      </w:rPr>
                    </w:pPr>
                    <w:r>
                      <w:rPr>
                        <w:rFonts w:ascii="Cambria" w:hAnsi="Cambria"/>
                        <w:b/>
                        <w:sz w:val="20"/>
                        <w:szCs w:val="22"/>
                      </w:rPr>
                      <w:t xml:space="preserve">Queensland Department of Agriculture and Fisheries (DAF) </w:t>
                    </w:r>
                  </w:p>
                  <w:p>
                    <w:pPr>
                      <w:spacing w:after="120" w:line="240" w:lineRule="auto"/>
                      <w:jc w:val="center"/>
                      <w:rPr>
                        <w:rFonts w:ascii="Cambria" w:hAnsi="Cambria"/>
                        <w:sz w:val="20"/>
                        <w:szCs w:val="22"/>
                      </w:rPr>
                    </w:pPr>
                    <w:proofErr w:type="gramStart"/>
                    <w:r>
                      <w:rPr>
                        <w:rFonts w:ascii="Cambria" w:hAnsi="Cambria"/>
                        <w:sz w:val="20"/>
                        <w:szCs w:val="22"/>
                      </w:rPr>
                      <w:t>responsible</w:t>
                    </w:r>
                    <w:proofErr w:type="gramEnd"/>
                    <w:r>
                      <w:rPr>
                        <w:rFonts w:ascii="Cambria" w:hAnsi="Cambria"/>
                        <w:sz w:val="20"/>
                        <w:szCs w:val="22"/>
                      </w:rPr>
                      <w:t xml:space="preserve"> for</w:t>
                    </w:r>
                  </w:p>
                  <w:p>
                    <w:pPr>
                      <w:spacing w:after="120" w:line="240" w:lineRule="auto"/>
                      <w:jc w:val="center"/>
                      <w:rPr>
                        <w:rFonts w:ascii="Cambria" w:hAnsi="Cambria"/>
                        <w:b/>
                        <w:sz w:val="20"/>
                        <w:szCs w:val="22"/>
                      </w:rPr>
                    </w:pPr>
                    <w:r>
                      <w:rPr>
                        <w:rFonts w:ascii="Cambria" w:hAnsi="Cambria"/>
                        <w:b/>
                        <w:sz w:val="20"/>
                        <w:szCs w:val="22"/>
                      </w:rPr>
                      <w:t>Native forests on State land</w:t>
                    </w:r>
                  </w:p>
                  <w:p>
                    <w:pPr>
                      <w:spacing w:after="120" w:line="240" w:lineRule="auto"/>
                      <w:jc w:val="center"/>
                      <w:rPr>
                        <w:rFonts w:ascii="Cambria" w:hAnsi="Cambria"/>
                        <w:sz w:val="20"/>
                        <w:szCs w:val="22"/>
                      </w:rPr>
                    </w:pPr>
                    <w:proofErr w:type="gramStart"/>
                    <w:r>
                      <w:rPr>
                        <w:rFonts w:ascii="Cambria" w:hAnsi="Cambria"/>
                        <w:sz w:val="20"/>
                        <w:szCs w:val="22"/>
                      </w:rPr>
                      <w:t>under</w:t>
                    </w:r>
                    <w:proofErr w:type="gramEnd"/>
                    <w:r>
                      <w:rPr>
                        <w:rFonts w:ascii="Cambria" w:hAnsi="Cambria"/>
                        <w:sz w:val="20"/>
                        <w:szCs w:val="22"/>
                      </w:rPr>
                      <w:t xml:space="preserve"> the </w:t>
                    </w:r>
                  </w:p>
                  <w:p>
                    <w:pPr>
                      <w:spacing w:after="0" w:line="240" w:lineRule="auto"/>
                      <w:ind w:right="176"/>
                      <w:jc w:val="center"/>
                      <w:rPr>
                        <w:rFonts w:ascii="Cambria" w:hAnsi="Cambria"/>
                        <w:sz w:val="20"/>
                        <w:szCs w:val="22"/>
                      </w:rPr>
                    </w:pPr>
                    <w:r>
                      <w:rPr>
                        <w:rFonts w:ascii="Cambria" w:hAnsi="Cambria"/>
                        <w:b/>
                        <w:i/>
                        <w:sz w:val="20"/>
                        <w:szCs w:val="22"/>
                      </w:rPr>
                      <w:t>Forestry Act 1959</w:t>
                    </w:r>
                  </w:p>
                </w:txbxContent>
              </v:textbox>
            </v:oval>
            <v:oval id="Oval 8" o:spid="_x0000_s1029" style="position:absolute;left:3913;top:3453;width:3997;height:3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TkcIA&#10;AADbAAAADwAAAGRycy9kb3ducmV2LnhtbESPzarCMBCF9xd8hzCCu2taEanVKCKIcnf+FLdDM7bF&#10;ZlKbqPXtbwTB3QznzPnOzJedqcWDWldZVhAPIxDEudUVFwpOx81vAsJ5ZI21ZVLwIgfLRe9njqm2&#10;T97T4+ALEULYpaig9L5JpXR5SQbd0DbEQbvY1qAPa1tI3eIzhJtajqJoIg1WHAglNrQuKb8e7iZw&#10;/5LpKt5lyfa+zbrz9BZLPc6UGvS71QyEp85/zZ/rnQ71R/D+JQw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JORwgAAANsAAAAPAAAAAAAAAAAAAAAAAJgCAABkcnMvZG93&#10;bnJldi54bWxQSwUGAAAAAAQABAD1AAAAhwMAAAAA&#10;" fillcolor="#96f" strokecolor="white" strokeweight="2.25pt">
              <v:fill opacity="32896f"/>
              <v:textbox inset="0,0,0,0">
                <w:txbxContent>
                  <w:p>
                    <w:pPr>
                      <w:spacing w:after="80" w:line="240" w:lineRule="auto"/>
                      <w:jc w:val="center"/>
                      <w:rPr>
                        <w:rFonts w:ascii="Cambria" w:hAnsi="Cambria"/>
                        <w:b/>
                        <w:sz w:val="20"/>
                        <w:szCs w:val="22"/>
                      </w:rPr>
                    </w:pPr>
                    <w:r>
                      <w:rPr>
                        <w:rFonts w:ascii="Cambria" w:hAnsi="Cambria"/>
                        <w:b/>
                        <w:sz w:val="20"/>
                        <w:szCs w:val="22"/>
                      </w:rPr>
                      <w:t>Department of Environment and Heritage Protection (DEHP)</w:t>
                    </w:r>
                  </w:p>
                  <w:p>
                    <w:pPr>
                      <w:spacing w:after="80" w:line="240" w:lineRule="auto"/>
                      <w:jc w:val="center"/>
                      <w:rPr>
                        <w:rFonts w:ascii="Cambria" w:hAnsi="Cambria"/>
                        <w:sz w:val="20"/>
                        <w:szCs w:val="22"/>
                      </w:rPr>
                    </w:pPr>
                    <w:proofErr w:type="gramStart"/>
                    <w:r>
                      <w:rPr>
                        <w:rFonts w:ascii="Cambria" w:hAnsi="Cambria"/>
                        <w:sz w:val="20"/>
                        <w:szCs w:val="22"/>
                      </w:rPr>
                      <w:t>responsible</w:t>
                    </w:r>
                    <w:proofErr w:type="gramEnd"/>
                    <w:r>
                      <w:rPr>
                        <w:rFonts w:ascii="Cambria" w:hAnsi="Cambria"/>
                        <w:sz w:val="20"/>
                        <w:szCs w:val="22"/>
                      </w:rPr>
                      <w:t xml:space="preserve"> for</w:t>
                    </w:r>
                  </w:p>
                  <w:p>
                    <w:pPr>
                      <w:spacing w:after="80" w:line="240" w:lineRule="auto"/>
                      <w:jc w:val="center"/>
                      <w:rPr>
                        <w:rFonts w:ascii="Cambria" w:hAnsi="Cambria"/>
                        <w:b/>
                        <w:sz w:val="20"/>
                        <w:szCs w:val="22"/>
                      </w:rPr>
                    </w:pPr>
                    <w:r>
                      <w:rPr>
                        <w:rFonts w:ascii="Cambria" w:hAnsi="Cambria"/>
                        <w:b/>
                        <w:sz w:val="20"/>
                        <w:szCs w:val="22"/>
                      </w:rPr>
                      <w:t xml:space="preserve"> Harvest and use of protected plant species </w:t>
                    </w:r>
                  </w:p>
                  <w:p>
                    <w:pPr>
                      <w:spacing w:after="80" w:line="240" w:lineRule="auto"/>
                      <w:jc w:val="center"/>
                      <w:rPr>
                        <w:rFonts w:ascii="Cambria" w:hAnsi="Cambria"/>
                        <w:sz w:val="20"/>
                        <w:szCs w:val="22"/>
                      </w:rPr>
                    </w:pPr>
                    <w:proofErr w:type="gramStart"/>
                    <w:r>
                      <w:rPr>
                        <w:rFonts w:ascii="Cambria" w:hAnsi="Cambria"/>
                        <w:sz w:val="20"/>
                        <w:szCs w:val="22"/>
                      </w:rPr>
                      <w:t>under</w:t>
                    </w:r>
                    <w:proofErr w:type="gramEnd"/>
                    <w:r>
                      <w:rPr>
                        <w:rFonts w:ascii="Cambria" w:hAnsi="Cambria"/>
                        <w:sz w:val="20"/>
                        <w:szCs w:val="22"/>
                      </w:rPr>
                      <w:t xml:space="preserve"> the</w:t>
                    </w:r>
                  </w:p>
                  <w:p>
                    <w:pPr>
                      <w:spacing w:after="80" w:line="240" w:lineRule="auto"/>
                      <w:jc w:val="center"/>
                      <w:rPr>
                        <w:rFonts w:ascii="Cambria" w:hAnsi="Cambria"/>
                        <w:sz w:val="20"/>
                        <w:szCs w:val="22"/>
                      </w:rPr>
                    </w:pPr>
                    <w:r>
                      <w:rPr>
                        <w:rFonts w:ascii="Cambria" w:hAnsi="Cambria"/>
                        <w:b/>
                        <w:i/>
                        <w:sz w:val="20"/>
                        <w:szCs w:val="22"/>
                      </w:rPr>
                      <w:t>Nature Conservation Act 1992</w:t>
                    </w:r>
                  </w:p>
                </w:txbxContent>
              </v:textbox>
            </v:oval>
          </v:group>
        </w:pict>
      </w:r>
    </w:p>
    <w:p>
      <w:pPr>
        <w:pStyle w:val="Heading2"/>
      </w:pPr>
    </w:p>
    <w:p>
      <w:pPr>
        <w:pStyle w:val="Heading2"/>
      </w:pPr>
    </w:p>
    <w:p>
      <w:pPr>
        <w:pStyle w:val="Heading2"/>
      </w:pPr>
    </w:p>
    <w:p>
      <w:pPr>
        <w:pStyle w:val="BodyText"/>
      </w:pPr>
    </w:p>
    <w:p>
      <w:pPr>
        <w:pStyle w:val="BodyText"/>
      </w:pPr>
    </w:p>
    <w:p>
      <w:pPr>
        <w:pStyle w:val="Heading2"/>
        <w:rPr>
          <w:i/>
        </w:rPr>
      </w:pPr>
    </w:p>
    <w:p>
      <w:pPr>
        <w:pStyle w:val="Heading2"/>
        <w:rPr>
          <w:i/>
        </w:rPr>
      </w:pPr>
    </w:p>
    <w:p>
      <w:pPr>
        <w:pStyle w:val="Heading2"/>
        <w:rPr>
          <w:i/>
        </w:rPr>
      </w:pPr>
      <w:bookmarkStart w:id="6" w:name="_Toc419709620"/>
      <w:r>
        <w:rPr>
          <w:i/>
        </w:rPr>
        <w:t>Forestry Act 1959</w:t>
      </w:r>
      <w:bookmarkEnd w:id="6"/>
    </w:p>
    <w:p>
      <w:pPr>
        <w:pStyle w:val="BodyText"/>
        <w:rPr>
          <w:b/>
        </w:rPr>
      </w:pPr>
      <w:r>
        <w:rPr>
          <w:b/>
        </w:rPr>
        <w:t>Native forests on State land</w:t>
      </w:r>
    </w:p>
    <w:p>
      <w:pPr>
        <w:pStyle w:val="BodyText"/>
      </w:pPr>
      <w:r>
        <w:t xml:space="preserve">The State owns the native forest timber on State land and can authorise the harvesting of State-owned timber under the </w:t>
      </w:r>
      <w:r>
        <w:rPr>
          <w:i/>
        </w:rPr>
        <w:t>Forestry Act 1959</w:t>
      </w:r>
      <w:r>
        <w:t xml:space="preserve"> (Forestry Act). State land includes State forests, timber reserves, forest entitlement areas, local government road reserves and various land leased under the </w:t>
      </w:r>
      <w:r>
        <w:rPr>
          <w:i/>
        </w:rPr>
        <w:t>Land Act 1994.</w:t>
      </w:r>
      <w:r>
        <w:t xml:space="preserve"> The Department of Agriculture and Fisheries (DAF) administers the Forestry Act</w:t>
      </w:r>
      <w:r>
        <w:rPr>
          <w:i/>
        </w:rPr>
        <w:t xml:space="preserve"> </w:t>
      </w:r>
      <w:r>
        <w:t xml:space="preserve">and is the principal provider of native timber sourced from State land. </w:t>
      </w:r>
    </w:p>
    <w:p>
      <w:pPr>
        <w:pStyle w:val="BodyText"/>
      </w:pPr>
      <w:r>
        <w:t xml:space="preserve">Native forest timber on State land sold or provided to a log processor must be authorised under the provisions of the Forestry Act. The authority will be in the form of a </w:t>
      </w:r>
      <w:r>
        <w:rPr>
          <w:b/>
        </w:rPr>
        <w:t>sales permit</w:t>
      </w:r>
      <w:r>
        <w:t xml:space="preserve">, which specifies the location, species, quantity and conditions under which the log timber </w:t>
      </w:r>
      <w:proofErr w:type="gramStart"/>
      <w:r>
        <w:t>can be harvested</w:t>
      </w:r>
      <w:proofErr w:type="gramEnd"/>
      <w:r>
        <w:t xml:space="preserve"> (see </w:t>
      </w:r>
      <w:r>
        <w:rPr>
          <w:u w:val="single"/>
        </w:rPr>
        <w:t>Attachment A</w:t>
      </w:r>
      <w:r>
        <w:t xml:space="preserve">). A record of the species, quality and quantity of log timber removed </w:t>
      </w:r>
      <w:proofErr w:type="gramStart"/>
      <w:r>
        <w:t>must be recorded</w:t>
      </w:r>
      <w:proofErr w:type="gramEnd"/>
      <w:r>
        <w:t xml:space="preserve"> on an accountable </w:t>
      </w:r>
      <w:r>
        <w:rPr>
          <w:b/>
        </w:rPr>
        <w:t>docket</w:t>
      </w:r>
      <w:r>
        <w:t xml:space="preserve"> prior to being transported to the processor (see </w:t>
      </w:r>
      <w:r>
        <w:rPr>
          <w:u w:val="single"/>
        </w:rPr>
        <w:t>Attachment B</w:t>
      </w:r>
      <w:r>
        <w:t xml:space="preserve">). </w:t>
      </w:r>
    </w:p>
    <w:p>
      <w:pPr>
        <w:pStyle w:val="BodyText"/>
      </w:pPr>
      <w:r>
        <w:t xml:space="preserve">The State charges the processor for the value (royalty) of logs removed under an applicable sales permit and issues a tax invoice itemising the area from which the logs came from, the species, quality, quantity and value (see </w:t>
      </w:r>
      <w:r>
        <w:rPr>
          <w:u w:val="single"/>
        </w:rPr>
        <w:t>Attachment C</w:t>
      </w:r>
      <w:r>
        <w:t xml:space="preserve">). The State oversees, monitors and audits compliance with the terms and conditions of the sales permit and the </w:t>
      </w:r>
      <w:r>
        <w:rPr>
          <w:i/>
        </w:rPr>
        <w:t>Code of practice for native forest timber production on the QPWS forest estate 2014</w:t>
      </w:r>
      <w:r>
        <w:t>, and to verify the species, quality and quantity of logs removed from a specified location on State land.</w:t>
      </w:r>
    </w:p>
    <w:p>
      <w:pPr>
        <w:pStyle w:val="BodyText"/>
        <w:rPr>
          <w:b/>
        </w:rPr>
      </w:pPr>
      <w:r>
        <w:rPr>
          <w:b/>
        </w:rPr>
        <w:t>Private plantations on State land</w:t>
      </w:r>
    </w:p>
    <w:p>
      <w:pPr>
        <w:pStyle w:val="BodyText"/>
      </w:pPr>
      <w:r>
        <w:t xml:space="preserve">Plantation forests on State land in Queensland are managed, grown and harvested by </w:t>
      </w:r>
      <w:hyperlink r:id="rId11" w:history="1">
        <w:proofErr w:type="spellStart"/>
        <w:r>
          <w:rPr>
            <w:rStyle w:val="Hyperlink"/>
          </w:rPr>
          <w:t>HQPlantations</w:t>
        </w:r>
        <w:proofErr w:type="spellEnd"/>
        <w:r>
          <w:rPr>
            <w:rStyle w:val="Hyperlink"/>
          </w:rPr>
          <w:t xml:space="preserve"> Pty Ltd</w:t>
        </w:r>
      </w:hyperlink>
      <w:r>
        <w:t xml:space="preserve"> (HQP), a private company, which </w:t>
      </w:r>
      <w:proofErr w:type="gramStart"/>
      <w:r>
        <w:t>was granted</w:t>
      </w:r>
      <w:proofErr w:type="gramEnd"/>
      <w:r>
        <w:t xml:space="preserve"> a 99-year plantation licence issued under the Forestry Act by the Queensland Government in 2010. This means that HQP now owns the plantation forests and log timber on the areas covered by the licence - although the land underlying these plantations and associated native forest buffer areas is still State land. </w:t>
      </w:r>
    </w:p>
    <w:p>
      <w:pPr>
        <w:pStyle w:val="BodyText"/>
      </w:pPr>
      <w:r>
        <w:t xml:space="preserve">HQP sells plantation timber to processors under commercial supply agreements. </w:t>
      </w:r>
    </w:p>
    <w:p>
      <w:pPr>
        <w:pStyle w:val="BodyText"/>
      </w:pPr>
      <w:r>
        <w:t xml:space="preserve">A record of the date, species, product grade, quantity and relevant sustainable forest management certification of log timber removed from the harvest area </w:t>
      </w:r>
      <w:proofErr w:type="gramStart"/>
      <w:r>
        <w:t>is recorded</w:t>
      </w:r>
      <w:proofErr w:type="gramEnd"/>
      <w:r>
        <w:t xml:space="preserve"> on a </w:t>
      </w:r>
      <w:r>
        <w:rPr>
          <w:b/>
        </w:rPr>
        <w:t>load docket</w:t>
      </w:r>
      <w:r>
        <w:t xml:space="preserve"> prior to being transported to the processor. HQP charges the processor for the value of logs removed under the commercial supply agreement and issues a </w:t>
      </w:r>
      <w:r>
        <w:rPr>
          <w:b/>
        </w:rPr>
        <w:t>tax invoice</w:t>
      </w:r>
      <w:r>
        <w:t xml:space="preserve"> itemising the harvesting location, the species, quality, quantity, value and depending on the nature of agreed chain of custody arrangements with the customer, and the relevant sustainable forest management certification(s).</w:t>
      </w:r>
    </w:p>
    <w:p>
      <w:pPr>
        <w:pStyle w:val="BodyText"/>
      </w:pPr>
      <w:r>
        <w:t xml:space="preserve">Verification of the legality of logs sold by HQP </w:t>
      </w:r>
      <w:proofErr w:type="gramStart"/>
      <w:r>
        <w:t>is undertaken</w:t>
      </w:r>
      <w:proofErr w:type="gramEnd"/>
      <w:r>
        <w:t xml:space="preserve"> as part of regular, independent third party certification reviews to both the </w:t>
      </w:r>
      <w:hyperlink r:id="rId12" w:history="1">
        <w:r>
          <w:rPr>
            <w:rStyle w:val="Hyperlink"/>
          </w:rPr>
          <w:t>Australian Forestry Standard</w:t>
        </w:r>
      </w:hyperlink>
      <w:r>
        <w:t xml:space="preserve"> and </w:t>
      </w:r>
      <w:hyperlink r:id="rId13" w:history="1">
        <w:r>
          <w:rPr>
            <w:rStyle w:val="Hyperlink"/>
          </w:rPr>
          <w:t>Forest Stewardship Council</w:t>
        </w:r>
      </w:hyperlink>
      <w:r>
        <w:t xml:space="preserve"> sustainable forest management standards.  HQP also directly oversee, monitor and audit compliance with the terms and conditions of the commercial supply agreement to verify the species, quality and quantity of logs removed from the specified plantation forest.</w:t>
      </w:r>
    </w:p>
    <w:p>
      <w:pPr>
        <w:pStyle w:val="Heading2"/>
        <w:rPr>
          <w:i/>
        </w:rPr>
      </w:pPr>
      <w:bookmarkStart w:id="7" w:name="_Toc419709621"/>
      <w:r>
        <w:rPr>
          <w:i/>
        </w:rPr>
        <w:t>Vegetation Management Act 1999</w:t>
      </w:r>
      <w:bookmarkEnd w:id="7"/>
    </w:p>
    <w:p>
      <w:pPr>
        <w:pStyle w:val="BodyText"/>
      </w:pPr>
      <w:r>
        <w:t xml:space="preserve">Under the </w:t>
      </w:r>
      <w:r>
        <w:rPr>
          <w:i/>
          <w:iCs/>
        </w:rPr>
        <w:t>Vegetation Management Act 1999</w:t>
      </w:r>
      <w:r>
        <w:t xml:space="preserve">, native forest harvesting on freehold land must comply with the practices in the </w:t>
      </w:r>
      <w:r>
        <w:rPr>
          <w:i/>
          <w:iCs/>
        </w:rPr>
        <w:t xml:space="preserve">Managing a native forest practice – a self-assessable vegetation clearing code </w:t>
      </w:r>
      <w:r>
        <w:t xml:space="preserve">(the code).  The code applies to areas shown as Category B on the regulated vegetation management map (available at </w:t>
      </w:r>
      <w:hyperlink r:id="rId14" w:history="1">
        <w:r>
          <w:rPr>
            <w:color w:val="0000FF"/>
            <w:u w:val="single"/>
          </w:rPr>
          <w:t>www.dnrm.qld.gov.au</w:t>
        </w:r>
      </w:hyperlink>
      <w:r>
        <w:t>).</w:t>
      </w:r>
    </w:p>
    <w:p>
      <w:pPr>
        <w:pStyle w:val="BodyText"/>
      </w:pPr>
      <w:r>
        <w:t xml:space="preserve">The code provides for the selective harvesting of native timber on freehold and Indigenous land </w:t>
      </w:r>
      <w:proofErr w:type="gramStart"/>
      <w:r>
        <w:t>for the purpose of</w:t>
      </w:r>
      <w:proofErr w:type="gramEnd"/>
      <w:r>
        <w:t xml:space="preserve"> producing value-added products (other than woodchips for export) for an ongoing forestry business. The code specifically requires that landholders maintain documentary evidence of the sale of products.</w:t>
      </w:r>
    </w:p>
    <w:p>
      <w:pPr>
        <w:pStyle w:val="BodyText"/>
      </w:pPr>
      <w:r>
        <w:t xml:space="preserve">Before harvesting commences, the owner of the land must notify the Department of Natural Resources and Mines (DNRM) using the </w:t>
      </w:r>
      <w:r>
        <w:rPr>
          <w:b/>
          <w:lang w:val="en-US"/>
        </w:rPr>
        <w:t>Vegetation management notification form for self-assessable vegetation clearing codes</w:t>
      </w:r>
      <w:r>
        <w:t xml:space="preserve"> (see </w:t>
      </w:r>
      <w:r>
        <w:rPr>
          <w:u w:val="single"/>
        </w:rPr>
        <w:t>Attachment D</w:t>
      </w:r>
      <w:r>
        <w:t>).</w:t>
      </w:r>
    </w:p>
    <w:p>
      <w:pPr>
        <w:pStyle w:val="Heading2"/>
        <w:rPr>
          <w:i/>
        </w:rPr>
      </w:pPr>
      <w:bookmarkStart w:id="8" w:name="_Toc419709622"/>
      <w:r>
        <w:rPr>
          <w:i/>
        </w:rPr>
        <w:t>Nature Conservation Act 1992</w:t>
      </w:r>
      <w:bookmarkEnd w:id="8"/>
      <w:r>
        <w:rPr>
          <w:i/>
        </w:rPr>
        <w:t xml:space="preserve">  </w:t>
      </w:r>
    </w:p>
    <w:p>
      <w:pPr>
        <w:pStyle w:val="BodyText"/>
      </w:pPr>
      <w:r>
        <w:t xml:space="preserve">The </w:t>
      </w:r>
      <w:r>
        <w:rPr>
          <w:i/>
        </w:rPr>
        <w:t>Nature Conservation Act 1992</w:t>
      </w:r>
      <w:r>
        <w:t xml:space="preserve"> (Nature Conservation Act) prohibits harvesting on the protected area estate (e.g. National Parks) and regulates the harvesting of restricted plant species (those species classified as endangered, vulnerable, near threatened and special least concern) on all other tenures in Queensland. </w:t>
      </w:r>
    </w:p>
    <w:p>
      <w:pPr>
        <w:pStyle w:val="BodyText"/>
      </w:pPr>
      <w:r>
        <w:t xml:space="preserve">Harvesting of protected plant species prescribed as restricted plants (e.g. native sandalwood - </w:t>
      </w:r>
      <w:proofErr w:type="spellStart"/>
      <w:r>
        <w:rPr>
          <w:i/>
        </w:rPr>
        <w:t>Santalum</w:t>
      </w:r>
      <w:proofErr w:type="spellEnd"/>
      <w:r>
        <w:rPr>
          <w:i/>
        </w:rPr>
        <w:t xml:space="preserve"> </w:t>
      </w:r>
      <w:proofErr w:type="spellStart"/>
      <w:r>
        <w:rPr>
          <w:i/>
        </w:rPr>
        <w:t>lanceolatum</w:t>
      </w:r>
      <w:proofErr w:type="spellEnd"/>
      <w:r>
        <w:t>)</w:t>
      </w:r>
      <w:r>
        <w:rPr>
          <w:rFonts w:ascii="Verdana" w:hAnsi="Verdana"/>
          <w:sz w:val="22"/>
          <w:szCs w:val="22"/>
        </w:rPr>
        <w:t xml:space="preserve"> </w:t>
      </w:r>
      <w:r>
        <w:t xml:space="preserve">must satisfy the relevant legal requirements and be authorised under the Nature Conservation Act. The authority is in the form of a </w:t>
      </w:r>
      <w:r>
        <w:rPr>
          <w:b/>
        </w:rPr>
        <w:t>protected plant harvesting licence</w:t>
      </w:r>
      <w:r>
        <w:t xml:space="preserve"> (see </w:t>
      </w:r>
      <w:r>
        <w:rPr>
          <w:u w:val="single"/>
        </w:rPr>
        <w:t>Attachment E</w:t>
      </w:r>
      <w:r>
        <w:t xml:space="preserve">). The licence </w:t>
      </w:r>
      <w:proofErr w:type="gramStart"/>
      <w:r>
        <w:t>must be obtained</w:t>
      </w:r>
      <w:proofErr w:type="gramEnd"/>
      <w:r>
        <w:t xml:space="preserve"> prior to conducting any harvesting of restricted plants. </w:t>
      </w:r>
    </w:p>
    <w:p>
      <w:pPr>
        <w:pStyle w:val="BodyText"/>
      </w:pPr>
      <w:r>
        <w:t xml:space="preserve">More information on the legislative requirements concerning protected plants under the Nature Conservation Act </w:t>
      </w:r>
      <w:proofErr w:type="gramStart"/>
      <w:r>
        <w:t>can be found</w:t>
      </w:r>
      <w:proofErr w:type="gramEnd"/>
      <w:r>
        <w:t xml:space="preserve"> at the Department of Environment and Heritage Protection website at </w:t>
      </w:r>
      <w:hyperlink r:id="rId15" w:history="1">
        <w:r>
          <w:rPr>
            <w:rStyle w:val="Hyperlink"/>
          </w:rPr>
          <w:t>www.ehp.qld.gov.au</w:t>
        </w:r>
      </w:hyperlink>
      <w:r>
        <w:t xml:space="preserve">. </w:t>
      </w:r>
    </w:p>
    <w:p>
      <w:pPr>
        <w:pStyle w:val="Heading1"/>
      </w:pPr>
      <w:bookmarkStart w:id="9" w:name="_Toc419709623"/>
      <w:r>
        <w:t>Other relevant laws that relate to legal timber</w:t>
      </w:r>
      <w:bookmarkEnd w:id="9"/>
    </w:p>
    <w:p>
      <w:pPr>
        <w:pStyle w:val="BodyText"/>
        <w:rPr>
          <w:b/>
        </w:rPr>
      </w:pPr>
      <w:r>
        <w:rPr>
          <w:b/>
        </w:rPr>
        <w:t>Local government planning schemes</w:t>
      </w:r>
    </w:p>
    <w:p>
      <w:pPr>
        <w:pStyle w:val="BodyText"/>
        <w:rPr>
          <w:rFonts w:ascii="Cambria" w:eastAsia="Calibri" w:hAnsi="Cambria"/>
          <w:color w:val="000000"/>
          <w:sz w:val="36"/>
          <w:szCs w:val="22"/>
          <w:lang w:eastAsia="en-AU"/>
        </w:rPr>
      </w:pPr>
      <w:r>
        <w:t xml:space="preserve">Log timber sourced from privately owned native forest and plantations on freehold land may be subject to local government requirements implemented through planning schemes. </w:t>
      </w:r>
    </w:p>
    <w:p>
      <w:pPr>
        <w:pStyle w:val="Heading1"/>
        <w:rPr>
          <w:b w:val="0"/>
          <w:bCs w:val="0"/>
          <w:szCs w:val="22"/>
        </w:rPr>
      </w:pPr>
      <w:bookmarkStart w:id="10" w:name="_Toc419709624"/>
      <w:r>
        <w:rPr>
          <w:szCs w:val="22"/>
        </w:rPr>
        <w:t>Identifying legal product from Queensland</w:t>
      </w:r>
      <w:bookmarkEnd w:id="10"/>
    </w:p>
    <w:p>
      <w:pPr>
        <w:pStyle w:val="Heading2"/>
      </w:pPr>
      <w:bookmarkStart w:id="11" w:name="_Toc419709625"/>
      <w:r>
        <w:t>State Land</w:t>
      </w:r>
      <w:bookmarkEnd w:id="11"/>
    </w:p>
    <w:p>
      <w:pPr>
        <w:pStyle w:val="BodyText"/>
        <w:rPr>
          <w:b/>
        </w:rPr>
      </w:pPr>
      <w:r>
        <w:rPr>
          <w:b/>
        </w:rPr>
        <w:t>Native forests on State land</w:t>
      </w:r>
    </w:p>
    <w:p>
      <w:pPr>
        <w:pStyle w:val="BodyText"/>
      </w:pPr>
      <w:r>
        <w:t>Documentation that may assist processors to undertake their due diligence requirements for native forest sourced logs from State land includes:</w:t>
      </w:r>
    </w:p>
    <w:p>
      <w:pPr>
        <w:pStyle w:val="ListBullet"/>
      </w:pPr>
      <w:r>
        <w:t>A sales permit (</w:t>
      </w:r>
      <w:r>
        <w:rPr>
          <w:u w:val="single"/>
        </w:rPr>
        <w:t>Attachment A</w:t>
      </w:r>
      <w:r>
        <w:t>), which is identified by a unique number, issued under the Forestry Act</w:t>
      </w:r>
      <w:r>
        <w:rPr>
          <w:i/>
        </w:rPr>
        <w:t xml:space="preserve"> </w:t>
      </w:r>
      <w:r>
        <w:t>specifying who the sales permit has been issued to and the general area of harvesting supply zone, species, type, quality and quantity of logs to be harvested.</w:t>
      </w:r>
    </w:p>
    <w:p>
      <w:pPr>
        <w:pStyle w:val="ListBullet"/>
      </w:pPr>
      <w:proofErr w:type="gramStart"/>
      <w:r>
        <w:t>A tax invoice (</w:t>
      </w:r>
      <w:r>
        <w:rPr>
          <w:u w:val="single"/>
        </w:rPr>
        <w:t>Attachment C</w:t>
      </w:r>
      <w:r>
        <w:t>) issued by the State of Queensland through the Department of Agriculture and Fisheries (DAF) for payment of a royalty owing for harvested native log timber, itemising the area from which the logs came from, the species, quality, quantity and value as well the sales permit, identified by its invoice number, under which the logs were lawfully sourced.</w:t>
      </w:r>
      <w:proofErr w:type="gramEnd"/>
    </w:p>
    <w:p>
      <w:pPr>
        <w:pStyle w:val="BodyText"/>
        <w:rPr>
          <w:b/>
        </w:rPr>
      </w:pPr>
      <w:r>
        <w:rPr>
          <w:b/>
        </w:rPr>
        <w:t>Private plantations on State land</w:t>
      </w:r>
    </w:p>
    <w:p>
      <w:pPr>
        <w:pStyle w:val="BodyText"/>
      </w:pPr>
      <w:r>
        <w:t>Documentation that may assist processors to undertake their due diligence requirements for plantation log timber sourced from the HQP plantation licence area includes:</w:t>
      </w:r>
    </w:p>
    <w:p>
      <w:pPr>
        <w:pStyle w:val="ListBullet"/>
      </w:pPr>
      <w:r>
        <w:t>A commercial supply agreement with HQP specifying the locations, species, quality and quantity of logs to be harvested</w:t>
      </w:r>
    </w:p>
    <w:p>
      <w:pPr>
        <w:pStyle w:val="ListBullet"/>
      </w:pPr>
      <w:r>
        <w:t>A tax invoice issued by HQP for the purchase of harvested plantation log timber specifying the area from which the logs came from, the species, quality, quantity, value and the relevant sustainable forest management certification number and removals docket number/s.</w:t>
      </w:r>
    </w:p>
    <w:p>
      <w:pPr>
        <w:pStyle w:val="Heading2"/>
      </w:pPr>
      <w:bookmarkStart w:id="12" w:name="_Toc419709626"/>
      <w:r>
        <w:t>Freehold land</w:t>
      </w:r>
      <w:bookmarkEnd w:id="12"/>
    </w:p>
    <w:p>
      <w:pPr>
        <w:pStyle w:val="BodyText"/>
      </w:pPr>
      <w:r>
        <w:t xml:space="preserve">Documentation that may assist processors to undertake their due diligence requirements for native forest sourced logs from remnant forests on freehold land includes: </w:t>
      </w:r>
    </w:p>
    <w:p>
      <w:pPr>
        <w:pStyle w:val="ListBullet"/>
      </w:pPr>
      <w:r>
        <w:t xml:space="preserve">An emailed confirmation of lodgement including the lodgement reference number, received from DNRM, confirming that the Vegetation management notification form for self-assessable vegetation clearing codes (Attachment D) </w:t>
      </w:r>
      <w:proofErr w:type="gramStart"/>
      <w:r>
        <w:t>has been provided</w:t>
      </w:r>
      <w:proofErr w:type="gramEnd"/>
      <w:r>
        <w:t xml:space="preserve"> to DNRM for managing a native forest practice.</w:t>
      </w:r>
    </w:p>
    <w:p>
      <w:pPr>
        <w:pStyle w:val="Heading2"/>
      </w:pPr>
      <w:bookmarkStart w:id="13" w:name="_Toc419709627"/>
      <w:r>
        <w:t>Harvesting protected plants</w:t>
      </w:r>
      <w:bookmarkEnd w:id="13"/>
    </w:p>
    <w:p>
      <w:pPr>
        <w:pStyle w:val="BodyText"/>
      </w:pPr>
      <w:r>
        <w:t xml:space="preserve">In addition to the legal requirements outlined above </w:t>
      </w:r>
      <w:proofErr w:type="gramStart"/>
      <w:r>
        <w:t>that</w:t>
      </w:r>
      <w:proofErr w:type="gramEnd"/>
      <w:r>
        <w:t xml:space="preserve"> relate to specific land tenure, if restricted plants (as defined by the Nature Conservation Act) are harvested, whether it is from freehold or State land, further documentation will be required.  The documentation that may assist processors to undertake their due diligence requirements for raw logs sourced from restricted plants is a </w:t>
      </w:r>
      <w:r>
        <w:rPr>
          <w:b/>
        </w:rPr>
        <w:t>Protected plant harvesting licence</w:t>
      </w:r>
      <w:r>
        <w:t xml:space="preserve"> (see </w:t>
      </w:r>
      <w:r>
        <w:rPr>
          <w:u w:val="single"/>
        </w:rPr>
        <w:t>Attachment E</w:t>
      </w:r>
      <w:r>
        <w:t xml:space="preserve">) under the Nature Conservation Act, specifying the location, species and quantity to be harvested within the specified time period. </w:t>
      </w:r>
    </w:p>
    <w:p>
      <w:pPr>
        <w:pStyle w:val="BodyText"/>
      </w:pPr>
      <w:r>
        <w:t xml:space="preserve">The processor may be required to keep a record of the details of the transaction. More information on the record-keeping requirements </w:t>
      </w:r>
      <w:proofErr w:type="gramStart"/>
      <w:r>
        <w:t>can be found</w:t>
      </w:r>
      <w:proofErr w:type="gramEnd"/>
      <w:r>
        <w:t xml:space="preserve"> in the </w:t>
      </w:r>
      <w:r>
        <w:rPr>
          <w:i/>
        </w:rPr>
        <w:t>Nature Conservation (Wildlife Management) Regulation 2006</w:t>
      </w:r>
      <w:r>
        <w:t xml:space="preserve"> available at </w:t>
      </w:r>
      <w:hyperlink r:id="rId16" w:history="1">
        <w:r>
          <w:rPr>
            <w:rStyle w:val="Hyperlink"/>
          </w:rPr>
          <w:t>www.legislation.qld.gov.au</w:t>
        </w:r>
      </w:hyperlink>
      <w:r>
        <w:t xml:space="preserve">. </w:t>
      </w:r>
    </w:p>
    <w:p>
      <w:pPr>
        <w:pStyle w:val="Heading2"/>
      </w:pPr>
      <w:bookmarkStart w:id="14" w:name="_Toc419709628"/>
      <w:r>
        <w:t>Local government planning schemes</w:t>
      </w:r>
      <w:bookmarkEnd w:id="14"/>
    </w:p>
    <w:p>
      <w:pPr>
        <w:pStyle w:val="BodyText"/>
      </w:pPr>
      <w:r>
        <w:t xml:space="preserve">The required evidence, if any, will depend on the local government planning requirements relevant to the area from which the logs </w:t>
      </w:r>
      <w:proofErr w:type="gramStart"/>
      <w:r>
        <w:t>are sourced</w:t>
      </w:r>
      <w:proofErr w:type="gramEnd"/>
      <w:r>
        <w:t xml:space="preserve">.  Processors </w:t>
      </w:r>
      <w:proofErr w:type="gramStart"/>
      <w:r>
        <w:t>are advised</w:t>
      </w:r>
      <w:proofErr w:type="gramEnd"/>
      <w:r>
        <w:t xml:space="preserve"> to contact the relevant local government.</w:t>
      </w:r>
    </w:p>
    <w:p>
      <w:pPr>
        <w:pStyle w:val="Heading1"/>
      </w:pPr>
      <w:r>
        <w:rPr>
          <w:szCs w:val="36"/>
        </w:rPr>
        <w:br w:type="page"/>
      </w:r>
      <w:bookmarkStart w:id="15" w:name="_Toc419709629"/>
      <w:r>
        <w:t>Relevant government resources</w:t>
      </w:r>
      <w:bookmarkEnd w:id="15"/>
    </w:p>
    <w:p>
      <w:pPr>
        <w:overflowPunct/>
        <w:autoSpaceDE/>
        <w:autoSpaceDN/>
        <w:adjustRightInd/>
        <w:textAlignment w:val="auto"/>
        <w:rPr>
          <w:b/>
        </w:rPr>
      </w:pPr>
      <w:r>
        <w:rPr>
          <w:b/>
        </w:rPr>
        <w:t>Queensland legislation, policies and codes</w:t>
      </w:r>
    </w:p>
    <w:p>
      <w:pPr>
        <w:pStyle w:val="BodyText"/>
      </w:pPr>
      <w:r>
        <w:rPr>
          <w:i/>
        </w:rPr>
        <w:t>Forestry Act 1959</w:t>
      </w:r>
      <w:r>
        <w:t xml:space="preserve">: </w:t>
      </w:r>
      <w:hyperlink r:id="rId17" w:history="1">
        <w:r>
          <w:rPr>
            <w:rStyle w:val="Hyperlink"/>
          </w:rPr>
          <w:t>https://www.legislation.qld.gov.au/LEGISLTN/CURRENT/F/ForestryA59.pdf</w:t>
        </w:r>
      </w:hyperlink>
      <w:r>
        <w:t xml:space="preserve">  </w:t>
      </w:r>
    </w:p>
    <w:p>
      <w:pPr>
        <w:pStyle w:val="BodyText"/>
      </w:pPr>
      <w:r>
        <w:rPr>
          <w:i/>
        </w:rPr>
        <w:t>Land Act 1994</w:t>
      </w:r>
      <w:r>
        <w:t xml:space="preserve">: </w:t>
      </w:r>
      <w:hyperlink r:id="rId18" w:history="1">
        <w:r>
          <w:rPr>
            <w:rStyle w:val="Hyperlink"/>
          </w:rPr>
          <w:t>https://www.legislation.qld.gov.au/LEGISLTN/CURRENT/L/LandA94.pdf</w:t>
        </w:r>
      </w:hyperlink>
      <w:r>
        <w:t xml:space="preserve"> </w:t>
      </w:r>
    </w:p>
    <w:p>
      <w:pPr>
        <w:pStyle w:val="BodyText"/>
      </w:pPr>
      <w:r>
        <w:rPr>
          <w:i/>
        </w:rPr>
        <w:t>Vegetation Management Act 1999</w:t>
      </w:r>
      <w:r>
        <w:t xml:space="preserve">: </w:t>
      </w:r>
      <w:hyperlink r:id="rId19" w:history="1">
        <w:r>
          <w:rPr>
            <w:rStyle w:val="Hyperlink"/>
          </w:rPr>
          <w:t>https://www.legislation.qld.gov.au/LEGISLTN/ACTS/1999/99AC090.pdf</w:t>
        </w:r>
      </w:hyperlink>
      <w:r>
        <w:t xml:space="preserve"> </w:t>
      </w:r>
    </w:p>
    <w:p>
      <w:pPr>
        <w:pStyle w:val="BodyText"/>
      </w:pPr>
      <w:r>
        <w:rPr>
          <w:i/>
        </w:rPr>
        <w:t>Nature Conservation Act 1992</w:t>
      </w:r>
      <w:r>
        <w:t xml:space="preserve">: </w:t>
      </w:r>
      <w:hyperlink r:id="rId20" w:history="1">
        <w:r>
          <w:rPr>
            <w:rStyle w:val="Hyperlink"/>
          </w:rPr>
          <w:t>https://www.legislation.qld.gov.au/LEGISLTN/CURRENT/N/NatureConA92.pdf</w:t>
        </w:r>
      </w:hyperlink>
      <w:r>
        <w:t xml:space="preserve"> </w:t>
      </w:r>
    </w:p>
    <w:p>
      <w:pPr>
        <w:pStyle w:val="BodyText"/>
      </w:pPr>
      <w:r>
        <w:rPr>
          <w:i/>
        </w:rPr>
        <w:t xml:space="preserve">Managing a native forest practice – A self-assessable vegetation clearing code:     </w:t>
      </w:r>
      <w:r>
        <w:t xml:space="preserve"> </w:t>
      </w:r>
      <w:hyperlink r:id="rId21" w:history="1">
        <w:r>
          <w:rPr>
            <w:rStyle w:val="Hyperlink"/>
          </w:rPr>
          <w:t>https://publications.qld.gov.au/storage/f/2014-08-04T23%3A17%3A15.199Z/managing-native-forest-practice-code.pdf</w:t>
        </w:r>
      </w:hyperlink>
      <w:r>
        <w:t xml:space="preserve"> </w:t>
      </w:r>
    </w:p>
    <w:p>
      <w:pPr>
        <w:pStyle w:val="BodyText"/>
      </w:pPr>
    </w:p>
    <w:p>
      <w:pPr>
        <w:pStyle w:val="Heading1"/>
      </w:pPr>
      <w:bookmarkStart w:id="16" w:name="_Toc419709630"/>
      <w:r>
        <w:t>Relevant non-government resources</w:t>
      </w:r>
      <w:bookmarkEnd w:id="16"/>
    </w:p>
    <w:p>
      <w:pPr>
        <w:overflowPunct/>
        <w:autoSpaceDE/>
        <w:autoSpaceDN/>
        <w:adjustRightInd/>
        <w:textAlignment w:val="auto"/>
        <w:rPr>
          <w:b/>
        </w:rPr>
      </w:pPr>
      <w:r>
        <w:rPr>
          <w:b/>
        </w:rPr>
        <w:t>Forest Stewardship Council Australia</w:t>
      </w:r>
    </w:p>
    <w:p>
      <w:pPr>
        <w:pStyle w:val="BodyText"/>
      </w:pPr>
      <w:r>
        <w:t xml:space="preserve">Public certificate search: </w:t>
      </w:r>
      <w:hyperlink r:id="rId22" w:history="1">
        <w:r>
          <w:rPr>
            <w:rStyle w:val="Hyperlink"/>
          </w:rPr>
          <w:t>info.fsc.org/</w:t>
        </w:r>
      </w:hyperlink>
      <w:r>
        <w:t xml:space="preserve">  </w:t>
      </w:r>
    </w:p>
    <w:p>
      <w:pPr>
        <w:overflowPunct/>
        <w:autoSpaceDE/>
        <w:autoSpaceDN/>
        <w:adjustRightInd/>
        <w:textAlignment w:val="auto"/>
        <w:rPr>
          <w:b/>
        </w:rPr>
      </w:pPr>
      <w:r>
        <w:rPr>
          <w:b/>
        </w:rPr>
        <w:t>Australian Forestry Standard Ltd</w:t>
      </w:r>
    </w:p>
    <w:p>
      <w:pPr>
        <w:pStyle w:val="BodyText"/>
        <w:rPr>
          <w:b/>
          <w:bCs/>
          <w:sz w:val="36"/>
          <w:szCs w:val="36"/>
        </w:rPr>
      </w:pPr>
      <w:r>
        <w:t xml:space="preserve">Find </w:t>
      </w:r>
      <w:proofErr w:type="gramStart"/>
      <w:r>
        <w:t>certified:</w:t>
      </w:r>
      <w:proofErr w:type="gramEnd"/>
      <w:r>
        <w:t xml:space="preserve"> </w:t>
      </w:r>
      <w:hyperlink r:id="rId23" w:history="1">
        <w:r>
          <w:rPr>
            <w:rStyle w:val="Hyperlink"/>
          </w:rPr>
          <w:t>www.forestrystandard.org.au/find-certified/find-certified</w:t>
        </w:r>
      </w:hyperlink>
      <w:r>
        <w:t xml:space="preserve"> </w:t>
      </w:r>
      <w:r>
        <w:rPr>
          <w:b/>
          <w:bCs/>
          <w:sz w:val="36"/>
          <w:szCs w:val="36"/>
        </w:rPr>
        <w:br w:type="page"/>
      </w:r>
    </w:p>
    <w:p>
      <w:pPr>
        <w:pStyle w:val="Heading1"/>
      </w:pPr>
      <w:bookmarkStart w:id="17" w:name="_Toc419709631"/>
      <w:proofErr w:type="gramStart"/>
      <w:r>
        <w:t>Who</w:t>
      </w:r>
      <w:proofErr w:type="gramEnd"/>
      <w:r>
        <w:t xml:space="preserve"> should I contact for further information?</w:t>
      </w:r>
      <w:bookmarkEnd w:id="17"/>
    </w:p>
    <w:p>
      <w:pPr>
        <w:rPr>
          <w:rFonts w:cs="Calibri"/>
        </w:rPr>
      </w:pPr>
    </w:p>
    <w:tbl>
      <w:tblPr>
        <w:tblW w:w="9267" w:type="dxa"/>
        <w:jc w:val="center"/>
        <w:tblLayout w:type="fixed"/>
        <w:tblLook w:val="00A0"/>
      </w:tblPr>
      <w:tblGrid>
        <w:gridCol w:w="4776"/>
        <w:gridCol w:w="284"/>
        <w:gridCol w:w="4207"/>
      </w:tblGrid>
      <w:tr>
        <w:trPr>
          <w:trHeight w:val="1617"/>
          <w:jc w:val="center"/>
        </w:trPr>
        <w:tc>
          <w:tcPr>
            <w:tcW w:w="4776" w:type="dxa"/>
          </w:tcPr>
          <w:p>
            <w:pPr>
              <w:pStyle w:val="BodyText"/>
            </w:pPr>
            <w:r>
              <w:rPr>
                <w:noProof/>
                <w:lang w:eastAsia="en-AU"/>
              </w:rPr>
              <w:drawing>
                <wp:anchor distT="0" distB="0" distL="114300" distR="114300" simplePos="0" relativeHeight="251658752" behindDoc="1" locked="0" layoutInCell="1" allowOverlap="1">
                  <wp:simplePos x="0" y="0"/>
                  <wp:positionH relativeFrom="column">
                    <wp:posOffset>122555</wp:posOffset>
                  </wp:positionH>
                  <wp:positionV relativeFrom="paragraph">
                    <wp:posOffset>52705</wp:posOffset>
                  </wp:positionV>
                  <wp:extent cx="2581275" cy="588645"/>
                  <wp:effectExtent l="0" t="0" r="9525" b="1905"/>
                  <wp:wrapNone/>
                  <wp:docPr id="11" name="Picture 11" descr="Logo of the Australian Government 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of the Australian Government Department of Agricultur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1275" cy="588645"/>
                          </a:xfrm>
                          <a:prstGeom prst="rect">
                            <a:avLst/>
                          </a:prstGeom>
                          <a:noFill/>
                        </pic:spPr>
                      </pic:pic>
                    </a:graphicData>
                  </a:graphic>
                </wp:anchor>
              </w:drawing>
            </w:r>
          </w:p>
          <w:p>
            <w:pPr>
              <w:pStyle w:val="BodyText"/>
            </w:pPr>
          </w:p>
          <w:p>
            <w:pPr>
              <w:pStyle w:val="BodyText"/>
            </w:pPr>
            <w:r>
              <w:t>Department of Agriculture</w:t>
            </w:r>
          </w:p>
          <w:p>
            <w:pPr>
              <w:pStyle w:val="BodyText"/>
              <w:spacing w:after="0"/>
            </w:pPr>
            <w:r>
              <w:t>GPO Box 858</w:t>
            </w:r>
          </w:p>
          <w:p>
            <w:pPr>
              <w:pStyle w:val="BodyText"/>
              <w:spacing w:before="0"/>
            </w:pPr>
            <w:r>
              <w:t>Canberra City ACT 2601</w:t>
            </w:r>
            <w:r>
              <w:br/>
            </w:r>
            <w:r>
              <w:rPr>
                <w:bCs/>
              </w:rPr>
              <w:t>Phone: </w:t>
            </w:r>
            <w:r>
              <w:t>02 6272 3933</w:t>
            </w:r>
          </w:p>
          <w:p>
            <w:pPr>
              <w:pStyle w:val="BodyText"/>
            </w:pPr>
            <w:hyperlink r:id="rId24" w:history="1">
              <w:r>
                <w:rPr>
                  <w:rStyle w:val="Hyperlink"/>
                </w:rPr>
                <w:t>www.agriculture.gov.au/illegallogging</w:t>
              </w:r>
            </w:hyperlink>
          </w:p>
          <w:p>
            <w:pPr>
              <w:pStyle w:val="BodyText"/>
            </w:pPr>
            <w:hyperlink r:id="rId25" w:history="1">
              <w:r>
                <w:rPr>
                  <w:rStyle w:val="Hyperlink"/>
                  <w:rFonts w:cs="Calibri"/>
                </w:rPr>
                <w:t>illegallogging@agriculture.gov.au</w:t>
              </w:r>
            </w:hyperlink>
          </w:p>
        </w:tc>
        <w:tc>
          <w:tcPr>
            <w:tcW w:w="284" w:type="dxa"/>
          </w:tcPr>
          <w:p>
            <w:pPr>
              <w:rPr>
                <w:rFonts w:cs="Calibri"/>
                <w:b/>
              </w:rPr>
            </w:pPr>
          </w:p>
        </w:tc>
        <w:tc>
          <w:tcPr>
            <w:tcW w:w="4207" w:type="dxa"/>
            <w:shd w:val="clear" w:color="auto" w:fill="D9D9D9"/>
          </w:tcPr>
          <w:p>
            <w:pPr>
              <w:rPr>
                <w:rFonts w:cs="Calibri"/>
                <w:b/>
              </w:rPr>
            </w:pPr>
            <w:r>
              <w:rPr>
                <w:noProof/>
                <w:lang w:eastAsia="en-AU"/>
              </w:rPr>
              <w:drawing>
                <wp:anchor distT="0" distB="0" distL="114300" distR="114300" simplePos="0" relativeHeight="251657728" behindDoc="0" locked="0" layoutInCell="1" allowOverlap="1">
                  <wp:simplePos x="0" y="0"/>
                  <wp:positionH relativeFrom="column">
                    <wp:posOffset>781050</wp:posOffset>
                  </wp:positionH>
                  <wp:positionV relativeFrom="paragraph">
                    <wp:posOffset>118745</wp:posOffset>
                  </wp:positionV>
                  <wp:extent cx="539750" cy="662940"/>
                  <wp:effectExtent l="0" t="0" r="0" b="3810"/>
                  <wp:wrapNone/>
                  <wp:docPr id="7" name="Picture 7" descr="Logo of the Queensland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of the Queensland Government Department of Agriculture, Fisheries and Forestry."/>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50" cy="662940"/>
                          </a:xfrm>
                          <a:prstGeom prst="rect">
                            <a:avLst/>
                          </a:prstGeom>
                          <a:noFill/>
                        </pic:spPr>
                      </pic:pic>
                    </a:graphicData>
                  </a:graphic>
                </wp:anchor>
              </w:drawing>
            </w:r>
          </w:p>
          <w:p>
            <w:pPr>
              <w:rPr>
                <w:rFonts w:cs="Calibri"/>
                <w:b/>
              </w:rPr>
            </w:pPr>
          </w:p>
          <w:p>
            <w:pPr>
              <w:rPr>
                <w:rFonts w:cs="Calibri"/>
              </w:rPr>
            </w:pPr>
          </w:p>
          <w:p>
            <w:pPr>
              <w:pStyle w:val="BodyText"/>
            </w:pPr>
            <w:r>
              <w:t>Department of Agriculture and Fisheries</w:t>
            </w:r>
          </w:p>
          <w:p>
            <w:pPr>
              <w:pStyle w:val="BodyText"/>
              <w:spacing w:after="0"/>
            </w:pPr>
            <w:r>
              <w:t>GPO Box 46</w:t>
            </w:r>
          </w:p>
          <w:p>
            <w:pPr>
              <w:pStyle w:val="BodyText"/>
              <w:spacing w:before="0"/>
            </w:pPr>
            <w:r>
              <w:t>Brisbane QLD 4001</w:t>
            </w:r>
            <w:r>
              <w:br/>
              <w:t>Phone: 07 3896 3111</w:t>
            </w:r>
          </w:p>
          <w:bookmarkStart w:id="18" w:name="_GoBack"/>
          <w:bookmarkEnd w:id="18"/>
          <w:p>
            <w:pPr>
              <w:pStyle w:val="BodyText"/>
            </w:pPr>
            <w:r>
              <w:rPr>
                <w:rFonts w:cs="Calibri"/>
              </w:rPr>
              <w:fldChar w:fldCharType="begin"/>
            </w:r>
            <w:r>
              <w:rPr>
                <w:rFonts w:cs="Calibri"/>
              </w:rPr>
              <w:instrText xml:space="preserve"> HYPERLINK "mailto:</w:instrText>
            </w:r>
            <w:r>
              <w:instrText>forestproducts@daf.qld.gov.au</w:instrText>
            </w:r>
            <w:r>
              <w:rPr>
                <w:rFonts w:cs="Calibri"/>
              </w:rPr>
              <w:instrText xml:space="preserve">" </w:instrText>
            </w:r>
            <w:r>
              <w:rPr>
                <w:rFonts w:cs="Calibri"/>
              </w:rPr>
              <w:fldChar w:fldCharType="separate"/>
            </w:r>
            <w:r>
              <w:rPr>
                <w:rStyle w:val="Hyperlink"/>
                <w:rFonts w:cs="Calibri"/>
              </w:rPr>
              <w:t>forestproducts@daf.qld.gov.au</w:t>
            </w:r>
            <w:r>
              <w:rPr>
                <w:rFonts w:cs="Calibri"/>
              </w:rPr>
              <w:fldChar w:fldCharType="end"/>
            </w:r>
          </w:p>
          <w:p>
            <w:pPr>
              <w:rPr>
                <w:rFonts w:cs="Calibri"/>
                <w:b/>
              </w:rPr>
            </w:pPr>
          </w:p>
        </w:tc>
      </w:tr>
    </w:tbl>
    <w:p>
      <w:pPr>
        <w:rPr>
          <w:rFonts w:cs="Calibri"/>
        </w:rPr>
      </w:pPr>
    </w:p>
    <w:p>
      <w:pPr>
        <w:pStyle w:val="Heading2"/>
        <w:jc w:val="right"/>
      </w:pPr>
      <w:r>
        <w:rPr>
          <w:rFonts w:cs="Calibri"/>
        </w:rPr>
        <w:br w:type="column"/>
      </w:r>
      <w:bookmarkStart w:id="19" w:name="_Toc419709632"/>
      <w:r>
        <w:t>Attachment A</w:t>
      </w:r>
      <w:bookmarkEnd w:id="19"/>
    </w:p>
    <w:p>
      <w:pPr>
        <w:pStyle w:val="Heading3"/>
      </w:pPr>
      <w:bookmarkStart w:id="20" w:name="_Toc419709633"/>
      <w:r>
        <w:t>Example of sales permit</w:t>
      </w:r>
      <w:bookmarkEnd w:id="20"/>
    </w:p>
    <w:p>
      <w:pPr>
        <w:jc w:val="center"/>
      </w:pPr>
      <w:r>
        <w:rPr>
          <w:noProof/>
          <w:lang w:eastAsia="en-AU"/>
        </w:rPr>
        <w:drawing>
          <wp:inline distT="0" distB="0" distL="0" distR="0">
            <wp:extent cx="5997444" cy="7058025"/>
            <wp:effectExtent l="19050" t="0" r="3306"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94800" cy="7054914"/>
                    </a:xfrm>
                    <a:prstGeom prst="rect">
                      <a:avLst/>
                    </a:prstGeom>
                    <a:noFill/>
                    <a:ln w="9525">
                      <a:noFill/>
                      <a:miter lim="800000"/>
                      <a:headEnd/>
                      <a:tailEnd/>
                    </a:ln>
                  </pic:spPr>
                </pic:pic>
              </a:graphicData>
            </a:graphic>
          </wp:inline>
        </w:drawing>
      </w:r>
    </w:p>
    <w:p>
      <w:pPr>
        <w:overflowPunct/>
        <w:autoSpaceDE/>
        <w:autoSpaceDN/>
        <w:adjustRightInd/>
        <w:spacing w:after="0" w:line="240" w:lineRule="auto"/>
        <w:textAlignment w:val="auto"/>
        <w:rPr>
          <w:rFonts w:ascii="Arial" w:hAnsi="Arial" w:cs="Arial"/>
          <w:b/>
          <w:bCs/>
          <w:szCs w:val="24"/>
          <w:lang w:val="en-GB"/>
        </w:rPr>
      </w:pPr>
      <w:bookmarkStart w:id="21" w:name="Mark"/>
      <w:bookmarkStart w:id="22" w:name="_Ref468768907"/>
      <w:bookmarkEnd w:id="21"/>
      <w:bookmarkEnd w:id="22"/>
      <w:r>
        <w:rPr>
          <w:rFonts w:ascii="Arial" w:hAnsi="Arial" w:cs="Arial"/>
          <w:b/>
          <w:bCs/>
          <w:szCs w:val="24"/>
          <w:lang w:val="en-GB"/>
        </w:rPr>
        <w:br w:type="page"/>
      </w:r>
    </w:p>
    <w:p>
      <w:pPr>
        <w:jc w:val="center"/>
        <w:rPr>
          <w:b/>
          <w:bCs/>
          <w:szCs w:val="24"/>
          <w:lang w:val="en-GB"/>
        </w:rPr>
      </w:pPr>
      <w:r>
        <w:rPr>
          <w:b/>
          <w:noProof/>
          <w:lang w:eastAsia="en-AU"/>
        </w:rPr>
        <w:drawing>
          <wp:inline distT="0" distB="0" distL="0" distR="0">
            <wp:extent cx="6066485" cy="5829300"/>
            <wp:effectExtent l="1905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6067421" cy="5830200"/>
                    </a:xfrm>
                    <a:prstGeom prst="rect">
                      <a:avLst/>
                    </a:prstGeom>
                    <a:noFill/>
                    <a:ln w="9525">
                      <a:noFill/>
                      <a:miter lim="800000"/>
                      <a:headEnd/>
                      <a:tailEnd/>
                    </a:ln>
                  </pic:spPr>
                </pic:pic>
              </a:graphicData>
            </a:graphic>
          </wp:inline>
        </w:drawing>
      </w:r>
    </w:p>
    <w:p>
      <w:pPr>
        <w:jc w:val="center"/>
        <w:rPr>
          <w:b/>
          <w:bCs/>
          <w:szCs w:val="24"/>
          <w:lang w:val="en-GB"/>
        </w:rPr>
      </w:pPr>
    </w:p>
    <w:p>
      <w:pPr>
        <w:rPr>
          <w:b/>
          <w:bCs/>
          <w:szCs w:val="24"/>
          <w:lang w:val="en-GB"/>
        </w:rPr>
      </w:pPr>
    </w:p>
    <w:p>
      <w:pPr>
        <w:rPr>
          <w:i/>
          <w:iCs/>
          <w:szCs w:val="24"/>
          <w:lang w:val="en-GB"/>
        </w:rPr>
      </w:pPr>
    </w:p>
    <w:p>
      <w:pPr>
        <w:jc w:val="right"/>
        <w:rPr>
          <w:b/>
          <w:bCs/>
          <w:szCs w:val="24"/>
          <w:lang w:val="en-GB"/>
        </w:rPr>
        <w:sectPr>
          <w:headerReference w:type="default" r:id="rId28"/>
          <w:footerReference w:type="default" r:id="rId29"/>
          <w:pgSz w:w="11907" w:h="16840" w:code="9"/>
          <w:pgMar w:top="1276" w:right="1418" w:bottom="1440" w:left="1418" w:header="709" w:footer="709" w:gutter="0"/>
          <w:pgBorders w:display="firstPage" w:offsetFrom="page">
            <w:top w:val="double" w:sz="4" w:space="24" w:color="auto"/>
            <w:left w:val="double" w:sz="4" w:space="24" w:color="auto"/>
            <w:bottom w:val="double" w:sz="4" w:space="24" w:color="auto"/>
            <w:right w:val="double" w:sz="4" w:space="24" w:color="auto"/>
          </w:pgBorders>
          <w:pgNumType w:start="1"/>
          <w:cols w:space="720"/>
          <w:titlePg/>
          <w:docGrid w:linePitch="326"/>
        </w:sectPr>
      </w:pPr>
    </w:p>
    <w:p>
      <w:pPr>
        <w:pStyle w:val="Heading2"/>
        <w:jc w:val="right"/>
      </w:pPr>
      <w:bookmarkStart w:id="23" w:name="_Toc419709634"/>
      <w:r>
        <w:t>Attachment B</w:t>
      </w:r>
      <w:bookmarkEnd w:id="23"/>
    </w:p>
    <w:p>
      <w:pPr>
        <w:pStyle w:val="Heading3"/>
      </w:pPr>
      <w:bookmarkStart w:id="24" w:name="_Toc419709635"/>
      <w:r>
        <w:t>Examples of [public native forest] accountable removal dockets</w:t>
      </w:r>
      <w:bookmarkEnd w:id="24"/>
    </w:p>
    <w:p>
      <w:pPr>
        <w:pStyle w:val="Heading2"/>
        <w:jc w:val="right"/>
      </w:pPr>
      <w:bookmarkStart w:id="25" w:name="_Toc398644825"/>
      <w:bookmarkStart w:id="26" w:name="_Toc398644962"/>
      <w:r>
        <w:rPr>
          <w:noProof/>
        </w:rPr>
        <w:drawing>
          <wp:inline distT="0" distB="0" distL="0" distR="0">
            <wp:extent cx="5087717" cy="697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5463" cy="6969211"/>
                    </a:xfrm>
                    <a:prstGeom prst="rect">
                      <a:avLst/>
                    </a:prstGeom>
                    <a:noFill/>
                    <a:ln>
                      <a:noFill/>
                    </a:ln>
                  </pic:spPr>
                </pic:pic>
              </a:graphicData>
            </a:graphic>
          </wp:inline>
        </w:drawing>
      </w:r>
      <w:bookmarkEnd w:id="25"/>
      <w:bookmarkEnd w:id="26"/>
    </w:p>
    <w:p>
      <w:pPr>
        <w:pStyle w:val="Heading2"/>
        <w:jc w:val="right"/>
      </w:pPr>
    </w:p>
    <w:p>
      <w:pPr>
        <w:pStyle w:val="Heading2"/>
        <w:jc w:val="right"/>
      </w:pPr>
    </w:p>
    <w:p>
      <w:pPr>
        <w:pStyle w:val="Heading2"/>
        <w:rPr>
          <w:noProof/>
        </w:rPr>
      </w:pPr>
    </w:p>
    <w:p>
      <w:pPr>
        <w:pStyle w:val="Heading2"/>
        <w:jc w:val="right"/>
      </w:pPr>
      <w:bookmarkStart w:id="27" w:name="_Toc398644826"/>
      <w:bookmarkStart w:id="28" w:name="_Toc398644963"/>
      <w:r>
        <w:rPr>
          <w:noProof/>
        </w:rPr>
        <w:drawing>
          <wp:inline distT="0" distB="0" distL="0" distR="0">
            <wp:extent cx="5400675" cy="708136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8283" cy="7078229"/>
                    </a:xfrm>
                    <a:prstGeom prst="rect">
                      <a:avLst/>
                    </a:prstGeom>
                    <a:noFill/>
                    <a:ln>
                      <a:noFill/>
                    </a:ln>
                  </pic:spPr>
                </pic:pic>
              </a:graphicData>
            </a:graphic>
          </wp:inline>
        </w:drawing>
      </w:r>
      <w:bookmarkEnd w:id="27"/>
      <w:bookmarkEnd w:id="28"/>
    </w:p>
    <w:p>
      <w:pPr>
        <w:pStyle w:val="Heading2"/>
        <w:jc w:val="right"/>
      </w:pPr>
    </w:p>
    <w:p/>
    <w:p/>
    <w:p>
      <w:pPr>
        <w:pStyle w:val="Heading2"/>
        <w:jc w:val="right"/>
      </w:pPr>
      <w:bookmarkStart w:id="29" w:name="_Toc419709636"/>
      <w:r>
        <w:t>Attachment C</w:t>
      </w:r>
      <w:bookmarkEnd w:id="29"/>
    </w:p>
    <w:p>
      <w:pPr>
        <w:pStyle w:val="Heading3"/>
      </w:pPr>
      <w:bookmarkStart w:id="30" w:name="_Toc419709637"/>
      <w:r>
        <w:t>Example of [public native forest] Tax Invoice</w:t>
      </w:r>
      <w:bookmarkEnd w:id="30"/>
    </w:p>
    <w:p/>
    <w:p>
      <w:r>
        <w:rPr>
          <w:noProof/>
          <w:lang w:eastAsia="en-AU"/>
        </w:rPr>
        <w:drawing>
          <wp:inline distT="0" distB="0" distL="0" distR="0">
            <wp:extent cx="5731510" cy="6912087"/>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6912087"/>
                    </a:xfrm>
                    <a:prstGeom prst="rect">
                      <a:avLst/>
                    </a:prstGeom>
                    <a:noFill/>
                    <a:ln>
                      <a:noFill/>
                    </a:ln>
                  </pic:spPr>
                </pic:pic>
              </a:graphicData>
            </a:graphic>
          </wp:inline>
        </w:drawing>
      </w:r>
    </w:p>
    <w:p/>
    <w:p/>
    <w:p>
      <w:pPr>
        <w:pStyle w:val="Heading2"/>
        <w:jc w:val="right"/>
      </w:pPr>
      <w:bookmarkStart w:id="31" w:name="_Toc419709638"/>
      <w:r>
        <w:t>Attachment D</w:t>
      </w:r>
      <w:bookmarkEnd w:id="31"/>
    </w:p>
    <w:p>
      <w:pPr>
        <w:pStyle w:val="Heading3"/>
      </w:pPr>
      <w:bookmarkStart w:id="32" w:name="_Toc419709639"/>
      <w:r>
        <w:rPr>
          <w:lang w:val="en-US"/>
        </w:rPr>
        <w:t>Vegetation management notification form for self-assessable vegetation clearing codes</w:t>
      </w:r>
      <w:bookmarkEnd w:id="32"/>
    </w:p>
    <w:p>
      <w:pPr>
        <w:pStyle w:val="BodyText"/>
        <w:rPr>
          <w:rStyle w:val="BodyTextChar"/>
          <w:rFonts w:eastAsia="Calibri"/>
        </w:rPr>
      </w:pPr>
      <w:r>
        <w:rPr>
          <w:rStyle w:val="BodyTextChar"/>
        </w:rPr>
        <w:t xml:space="preserve">A copy of the notification form is available for downloading from the DNRM website: </w:t>
      </w:r>
      <w:hyperlink r:id="rId33" w:history="1">
        <w:r>
          <w:rPr>
            <w:rStyle w:val="Hyperlink"/>
          </w:rPr>
          <w:t>www.dnrm.qld.gov.au/__data/assets/pdf_file/0020/111593/sac-notification-form.pdf</w:t>
        </w:r>
      </w:hyperlink>
    </w:p>
    <w:p>
      <w:pPr>
        <w:overflowPunct/>
        <w:autoSpaceDE/>
        <w:autoSpaceDN/>
        <w:adjustRightInd/>
        <w:spacing w:after="0" w:line="240" w:lineRule="auto"/>
        <w:jc w:val="center"/>
        <w:textAlignment w:val="auto"/>
        <w:rPr>
          <w:rStyle w:val="BodyTextChar"/>
          <w:rFonts w:eastAsia="Calibri"/>
          <w:szCs w:val="28"/>
        </w:rPr>
      </w:pPr>
      <w:r>
        <w:rPr>
          <w:rFonts w:eastAsia="Calibri"/>
          <w:b/>
          <w:noProof/>
          <w:lang w:eastAsia="en-AU"/>
        </w:rPr>
        <w:drawing>
          <wp:inline distT="0" distB="0" distL="0" distR="0">
            <wp:extent cx="5143500" cy="726529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143500" cy="7265296"/>
                    </a:xfrm>
                    <a:prstGeom prst="rect">
                      <a:avLst/>
                    </a:prstGeom>
                    <a:noFill/>
                    <a:ln w="9525">
                      <a:noFill/>
                      <a:miter lim="800000"/>
                      <a:headEnd/>
                      <a:tailEnd/>
                    </a:ln>
                  </pic:spPr>
                </pic:pic>
              </a:graphicData>
            </a:graphic>
          </wp:inline>
        </w:drawing>
      </w:r>
    </w:p>
    <w:p>
      <w:pPr>
        <w:pStyle w:val="Heading2"/>
        <w:jc w:val="right"/>
      </w:pPr>
      <w:r>
        <w:br w:type="page"/>
      </w:r>
      <w:bookmarkStart w:id="33" w:name="_Toc419709640"/>
      <w:r>
        <w:t>Attachment E</w:t>
      </w:r>
      <w:bookmarkEnd w:id="33"/>
    </w:p>
    <w:p>
      <w:pPr>
        <w:pStyle w:val="Heading3"/>
      </w:pPr>
      <w:bookmarkStart w:id="34" w:name="_Toc419709641"/>
      <w:r>
        <w:t>Application form for a protected plant harvesting licence</w:t>
      </w:r>
      <w:bookmarkEnd w:id="34"/>
    </w:p>
    <w:p>
      <w:pPr>
        <w:spacing w:after="0"/>
        <w:rPr>
          <w:rFonts w:ascii="Calibri" w:hAnsi="Calibri"/>
          <w:szCs w:val="24"/>
        </w:rPr>
      </w:pPr>
      <w:r>
        <w:rPr>
          <w:rFonts w:ascii="Calibri" w:hAnsi="Calibri"/>
          <w:szCs w:val="24"/>
        </w:rPr>
        <w:t xml:space="preserve">A copy of the application form for a protected plants harvesting licence is available for downloading from the DEHP website: </w:t>
      </w:r>
    </w:p>
    <w:p>
      <w:pPr>
        <w:spacing w:after="120" w:line="240" w:lineRule="auto"/>
        <w:jc w:val="center"/>
        <w:rPr>
          <w:rFonts w:ascii="Calibri" w:hAnsi="Calibri"/>
          <w:szCs w:val="24"/>
        </w:rPr>
      </w:pPr>
      <w:hyperlink r:id="rId35" w:history="1">
        <w:r>
          <w:rPr>
            <w:rStyle w:val="Hyperlink"/>
            <w:rFonts w:ascii="Calibri" w:hAnsi="Calibri"/>
            <w:szCs w:val="24"/>
          </w:rPr>
          <w:t>http://ehp.qld.gov.au/licences-permits/plants-animals/documents/ap-wl-pp-harvesting.doc</w:t>
        </w:r>
      </w:hyperlink>
      <w:r>
        <w:rPr>
          <w:rFonts w:ascii="Calibri" w:hAnsi="Calibri"/>
          <w:noProof/>
          <w:szCs w:val="24"/>
          <w:lang w:eastAsia="en-AU"/>
        </w:rPr>
        <w:drawing>
          <wp:inline distT="0" distB="0" distL="0" distR="0">
            <wp:extent cx="5153025" cy="7394209"/>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5159331" cy="7403257"/>
                    </a:xfrm>
                    <a:prstGeom prst="rect">
                      <a:avLst/>
                    </a:prstGeom>
                    <a:noFill/>
                    <a:ln w="9525">
                      <a:noFill/>
                      <a:miter lim="800000"/>
                      <a:headEnd/>
                      <a:tailEnd/>
                    </a:ln>
                  </pic:spPr>
                </pic:pic>
              </a:graphicData>
            </a:graphic>
          </wp:inline>
        </w:drawing>
      </w:r>
    </w:p>
    <w:sectPr>
      <w:headerReference w:type="even" r:id="rId37"/>
      <w:headerReference w:type="default" r:id="rId38"/>
      <w:footerReference w:type="default" r:id="rId39"/>
      <w:headerReference w:type="first" r:id="rId40"/>
      <w:pgSz w:w="11906" w:h="16838"/>
      <w:pgMar w:top="1560" w:right="1440" w:bottom="851" w:left="1440" w:header="708" w:footer="4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
        <w:separator/>
      </w:r>
    </w:p>
  </w:endnote>
  <w:endnote w:type="continuationSeparator" w:id="0">
    <w:p>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68079"/>
      <w:docPartObj>
        <w:docPartGallery w:val="Page Numbers (Bottom of Page)"/>
        <w:docPartUnique/>
      </w:docPartObj>
    </w:sdtPr>
    <w:sdtContent>
      <w:p>
        <w:pPr>
          <w:pStyle w:val="Footer"/>
          <w:jc w:val="center"/>
        </w:pPr>
        <w:fldSimple w:instr=" PAGE   \* MERGEFORMAT ">
          <w:r>
            <w:rPr>
              <w:noProof/>
            </w:rPr>
            <w:t>2</w:t>
          </w:r>
        </w:fldSimple>
      </w:p>
    </w:sdtContent>
  </w:sdt>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jc w:val="center"/>
    </w:pPr>
    <w:fldSimple w:instr=" PAGE   \* MERGEFORMAT ">
      <w:r>
        <w:rPr>
          <w:noProof/>
        </w:rPr>
        <w:t>17</w:t>
      </w:r>
    </w:fldSimple>
  </w:p>
  <w:p>
    <w:pPr>
      <w:pStyle w:val="Footer"/>
      <w:rPr>
        <w:szCs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
        <w:separator/>
      </w:r>
    </w:p>
  </w:footnote>
  <w:footnote w:type="continuationSeparator" w:id="0">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framePr w:wrap="auto" w:vAnchor="text" w:hAnchor="margin" w:xAlign="right" w:y="1"/>
      <w:rPr>
        <w:rStyle w:val="PageNumber"/>
      </w:rPr>
    </w:pPr>
  </w:p>
  <w:p>
    <w:pPr>
      <w:pStyle w:val="Header"/>
      <w:tabs>
        <w:tab w:val="left" w:pos="3960"/>
        <w:tab w:val="left" w:pos="6660"/>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5594" o:spid="_x0000_s2052" type="#_x0000_t136" style="position:absolute;margin-left:0;margin-top:0;width:578.4pt;height:57.8pt;rotation:315;z-index:-251658752;mso-position-horizontal:center;mso-position-horizontal-relative:margin;mso-position-vertical:center;mso-position-vertical-relative:margin" o:allowincell="f" fillcolor="silver" stroked="f">
          <v:textpath style="font-family:&quot;Times New Roman&quot;;font-size:1pt" string="DRAFT FOR DISCUSSION"/>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rPr>
        <w:szCs w:val="3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5595" o:spid="_x0000_s2053" type="#_x0000_t136" style="position:absolute;margin-left:0;margin-top:0;width:578.4pt;height:57.8pt;rotation:315;z-index:-251657728;mso-position-horizontal:center;mso-position-horizontal-relative:margin;mso-position-vertical:center;mso-position-vertical-relative:margin" o:allowincell="f" fillcolor="silver" stroked="f">
          <v:textpath style="font-family:&quot;Times New Roman&quot;;font-size:1pt" string="DRAFT FOR DISCUSSION"/>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5593" o:spid="_x0000_s2054" type="#_x0000_t136" style="position:absolute;margin-left:0;margin-top:0;width:578.4pt;height:57.8pt;rotation:315;z-index:-251659776;mso-position-horizontal:center;mso-position-horizontal-relative:margin;mso-position-vertical:center;mso-position-vertical-relative:margin" o:allowincell="f" fillcolor="silver" stroked="f">
          <v:textpath style="font-family:&quot;Times New Roman&quot;;font-size:1pt" string="DRAFT FOR DISCUSSI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5A2A726"/>
    <w:lvl w:ilvl="0">
      <w:start w:val="1"/>
      <w:numFmt w:val="decimal"/>
      <w:lvlText w:val="%1."/>
      <w:lvlJc w:val="left"/>
      <w:pPr>
        <w:tabs>
          <w:tab w:val="num" w:pos="1492"/>
        </w:tabs>
        <w:ind w:left="1492" w:hanging="360"/>
      </w:pPr>
    </w:lvl>
  </w:abstractNum>
  <w:abstractNum w:abstractNumId="1">
    <w:nsid w:val="FFFFFF7D"/>
    <w:multiLevelType w:val="singleLevel"/>
    <w:tmpl w:val="9C76D886"/>
    <w:lvl w:ilvl="0">
      <w:start w:val="1"/>
      <w:numFmt w:val="decimal"/>
      <w:lvlText w:val="%1."/>
      <w:lvlJc w:val="left"/>
      <w:pPr>
        <w:tabs>
          <w:tab w:val="num" w:pos="1209"/>
        </w:tabs>
        <w:ind w:left="1209" w:hanging="360"/>
      </w:pPr>
    </w:lvl>
  </w:abstractNum>
  <w:abstractNum w:abstractNumId="2">
    <w:nsid w:val="FFFFFF7E"/>
    <w:multiLevelType w:val="singleLevel"/>
    <w:tmpl w:val="EBCEE5DC"/>
    <w:lvl w:ilvl="0">
      <w:start w:val="1"/>
      <w:numFmt w:val="decimal"/>
      <w:lvlText w:val="%1."/>
      <w:lvlJc w:val="left"/>
      <w:pPr>
        <w:tabs>
          <w:tab w:val="num" w:pos="926"/>
        </w:tabs>
        <w:ind w:left="926" w:hanging="360"/>
      </w:pPr>
    </w:lvl>
  </w:abstractNum>
  <w:abstractNum w:abstractNumId="3">
    <w:nsid w:val="FFFFFF7F"/>
    <w:multiLevelType w:val="singleLevel"/>
    <w:tmpl w:val="71B23A74"/>
    <w:lvl w:ilvl="0">
      <w:start w:val="1"/>
      <w:numFmt w:val="decimal"/>
      <w:lvlText w:val="%1."/>
      <w:lvlJc w:val="left"/>
      <w:pPr>
        <w:tabs>
          <w:tab w:val="num" w:pos="643"/>
        </w:tabs>
        <w:ind w:left="643" w:hanging="360"/>
      </w:pPr>
    </w:lvl>
  </w:abstractNum>
  <w:abstractNum w:abstractNumId="4">
    <w:nsid w:val="FFFFFF80"/>
    <w:multiLevelType w:val="singleLevel"/>
    <w:tmpl w:val="4A94A2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2C6602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83AB2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D826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ACA68CA"/>
    <w:lvl w:ilvl="0">
      <w:start w:val="1"/>
      <w:numFmt w:val="decimal"/>
      <w:lvlText w:val="%1."/>
      <w:lvlJc w:val="left"/>
      <w:pPr>
        <w:tabs>
          <w:tab w:val="num" w:pos="360"/>
        </w:tabs>
        <w:ind w:left="360" w:hanging="360"/>
      </w:pPr>
    </w:lvl>
  </w:abstractNum>
  <w:abstractNum w:abstractNumId="9">
    <w:nsid w:val="094D09E2"/>
    <w:multiLevelType w:val="hybridMultilevel"/>
    <w:tmpl w:val="B9963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A9321C8"/>
    <w:multiLevelType w:val="multilevel"/>
    <w:tmpl w:val="33D4B7E2"/>
    <w:lvl w:ilvl="0">
      <w:start w:val="1"/>
      <w:numFmt w:val="decimal"/>
      <w:lvlText w:val="%1"/>
      <w:lvlJc w:val="left"/>
      <w:pPr>
        <w:tabs>
          <w:tab w:val="num" w:pos="999"/>
        </w:tabs>
        <w:ind w:left="999" w:hanging="432"/>
      </w:pPr>
      <w:rPr>
        <w:rFonts w:ascii="Times New Roman" w:hAnsi="Times New Roman" w:hint="default"/>
        <w:b/>
        <w:i w:val="0"/>
        <w:sz w:val="24"/>
      </w:rPr>
    </w:lvl>
    <w:lvl w:ilvl="1">
      <w:start w:val="1"/>
      <w:numFmt w:val="decimal"/>
      <w:lvlText w:val="%2."/>
      <w:lvlJc w:val="left"/>
      <w:pPr>
        <w:tabs>
          <w:tab w:val="num" w:pos="1143"/>
        </w:tabs>
        <w:ind w:left="1143" w:hanging="576"/>
      </w:pPr>
      <w:rPr>
        <w:rFonts w:ascii="Times New Roman" w:hAnsi="Times New Roman" w:hint="default"/>
        <w:b w:val="0"/>
        <w:i w:val="0"/>
        <w:sz w:val="24"/>
      </w:rPr>
    </w:lvl>
    <w:lvl w:ilvl="2">
      <w:start w:val="1"/>
      <w:numFmt w:val="decimal"/>
      <w:lvlText w:val="%1.%2.%3"/>
      <w:lvlJc w:val="left"/>
      <w:pPr>
        <w:tabs>
          <w:tab w:val="num" w:pos="1287"/>
        </w:tabs>
        <w:ind w:left="1287" w:hanging="720"/>
      </w:pPr>
      <w:rPr>
        <w:rFonts w:ascii="Times New Roman" w:hAnsi="Times New Roman" w:hint="default"/>
        <w:b w:val="0"/>
        <w:i w:val="0"/>
        <w:sz w:val="24"/>
      </w:rPr>
    </w:lvl>
    <w:lvl w:ilvl="3">
      <w:start w:val="1"/>
      <w:numFmt w:val="decimal"/>
      <w:lvlText w:val="%2.%4"/>
      <w:lvlJc w:val="left"/>
      <w:pPr>
        <w:tabs>
          <w:tab w:val="num" w:pos="1431"/>
        </w:tabs>
        <w:ind w:left="1431" w:hanging="864"/>
      </w:pPr>
      <w:rPr>
        <w:rFonts w:hint="default"/>
      </w:rPr>
    </w:lvl>
    <w:lvl w:ilvl="4">
      <w:start w:val="1"/>
      <w:numFmt w:val="lowerLetter"/>
      <w:lvlText w:val="(%5)"/>
      <w:lvlJc w:val="left"/>
      <w:pPr>
        <w:tabs>
          <w:tab w:val="num" w:pos="1575"/>
        </w:tabs>
        <w:ind w:left="1575" w:hanging="1008"/>
      </w:pPr>
      <w:rPr>
        <w:rFonts w:hint="default"/>
      </w:rPr>
    </w:lvl>
    <w:lvl w:ilvl="5">
      <w:start w:val="1"/>
      <w:numFmt w:val="lowerRoman"/>
      <w:lvlText w:val="%6"/>
      <w:lvlJc w:val="left"/>
      <w:pPr>
        <w:tabs>
          <w:tab w:val="num" w:pos="1719"/>
        </w:tabs>
        <w:ind w:left="1719" w:hanging="1152"/>
      </w:pPr>
      <w:rPr>
        <w:rFonts w:hint="default"/>
      </w:rPr>
    </w:lvl>
    <w:lvl w:ilvl="6">
      <w:start w:val="1"/>
      <w:numFmt w:val="lowerRoman"/>
      <w:lvlText w:val="(%7)"/>
      <w:lvlJc w:val="left"/>
      <w:pPr>
        <w:tabs>
          <w:tab w:val="num" w:pos="1287"/>
        </w:tabs>
        <w:ind w:left="927" w:hanging="360"/>
      </w:pPr>
      <w:rPr>
        <w:rFonts w:ascii="Times New Roman" w:hAnsi="Times New Roman" w:hint="default"/>
        <w:b w:val="0"/>
        <w:i w:val="0"/>
        <w:sz w:val="24"/>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1">
    <w:nsid w:val="27064641"/>
    <w:multiLevelType w:val="singleLevel"/>
    <w:tmpl w:val="E12C12F0"/>
    <w:lvl w:ilvl="0">
      <w:start w:val="1"/>
      <w:numFmt w:val="none"/>
      <w:lvlText w:val=""/>
      <w:legacy w:legacy="1" w:legacySpace="0" w:legacyIndent="0"/>
      <w:lvlJc w:val="left"/>
      <w:pPr>
        <w:ind w:left="0" w:firstLine="0"/>
      </w:pPr>
      <w:rPr>
        <w:rFonts w:ascii="Tms Rmn" w:hAnsi="Tms Rmn" w:hint="default"/>
        <w:b/>
        <w:i w:val="0"/>
        <w:sz w:val="20"/>
      </w:rPr>
    </w:lvl>
  </w:abstractNum>
  <w:abstractNum w:abstractNumId="12">
    <w:nsid w:val="38221EF1"/>
    <w:multiLevelType w:val="hybridMultilevel"/>
    <w:tmpl w:val="8D06A720"/>
    <w:lvl w:ilvl="0" w:tplc="B66CEDF2">
      <w:start w:val="1"/>
      <w:numFmt w:val="upp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54EE013F"/>
    <w:multiLevelType w:val="hybridMultilevel"/>
    <w:tmpl w:val="1B54ABAC"/>
    <w:lvl w:ilvl="0" w:tplc="0C090001">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0"/>
  </w:num>
  <w:num w:numId="4">
    <w:abstractNumId w:val="11"/>
  </w:num>
  <w:num w:numId="5">
    <w:abstractNumId w:val="12"/>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1024"/>
  <w:stylePaneSortMethod w:val="0004"/>
  <w:defaultTabStop w:val="720"/>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after="200" w:line="276" w:lineRule="auto"/>
      <w:textAlignment w:val="baseline"/>
    </w:pPr>
    <w:rPr>
      <w:rFonts w:ascii="Times New Roman" w:eastAsia="Times New Roman" w:hAnsi="Times New Roman"/>
      <w:sz w:val="24"/>
      <w:lang w:eastAsia="en-US"/>
    </w:rPr>
  </w:style>
  <w:style w:type="paragraph" w:styleId="Heading1">
    <w:name w:val="heading 1"/>
    <w:basedOn w:val="Normal"/>
    <w:next w:val="Normal"/>
    <w:link w:val="Heading1Char"/>
    <w:uiPriority w:val="99"/>
    <w:qFormat/>
    <w:pPr>
      <w:keepNext/>
      <w:keepLines/>
      <w:spacing w:before="480"/>
      <w:outlineLvl w:val="0"/>
    </w:pPr>
    <w:rPr>
      <w:rFonts w:ascii="Cambria" w:eastAsia="Calibri" w:hAnsi="Cambria"/>
      <w:b/>
      <w:bCs/>
      <w:color w:val="000000"/>
      <w:sz w:val="36"/>
      <w:szCs w:val="28"/>
      <w:lang w:eastAsia="en-AU"/>
    </w:rPr>
  </w:style>
  <w:style w:type="paragraph" w:styleId="Heading2">
    <w:name w:val="heading 2"/>
    <w:basedOn w:val="Normal"/>
    <w:next w:val="Normal"/>
    <w:link w:val="Heading2Char"/>
    <w:qFormat/>
    <w:pPr>
      <w:keepNext/>
      <w:spacing w:before="240" w:after="40"/>
      <w:outlineLvl w:val="1"/>
    </w:pPr>
    <w:rPr>
      <w:rFonts w:ascii="Cambria" w:eastAsia="Calibri" w:hAnsi="Cambria"/>
      <w:b/>
      <w:sz w:val="28"/>
      <w:szCs w:val="28"/>
      <w:lang w:eastAsia="en-AU"/>
    </w:rPr>
  </w:style>
  <w:style w:type="paragraph" w:styleId="Heading3">
    <w:name w:val="heading 3"/>
    <w:basedOn w:val="Normal"/>
    <w:next w:val="Normal"/>
    <w:link w:val="Heading3Char"/>
    <w:unhideWhenUsed/>
    <w:qFormat/>
    <w:locked/>
    <w:pPr>
      <w:keepNext/>
      <w:spacing w:before="240" w:after="60"/>
      <w:outlineLvl w:val="2"/>
    </w:pPr>
    <w:rPr>
      <w:rFonts w:ascii="Cambria" w:hAnsi="Cambria"/>
      <w:b/>
      <w:bCs/>
      <w:sz w:val="26"/>
      <w:szCs w:val="26"/>
    </w:rPr>
  </w:style>
  <w:style w:type="paragraph" w:styleId="Heading4">
    <w:name w:val="heading 4"/>
    <w:basedOn w:val="Normal"/>
    <w:link w:val="Heading4Char"/>
    <w:autoRedefine/>
    <w:qFormat/>
    <w:locked/>
    <w:pPr>
      <w:tabs>
        <w:tab w:val="num" w:pos="1418"/>
      </w:tabs>
      <w:overflowPunct/>
      <w:autoSpaceDE/>
      <w:autoSpaceDN/>
      <w:adjustRightInd/>
      <w:spacing w:before="120" w:after="120" w:line="240" w:lineRule="auto"/>
      <w:ind w:left="1431" w:hanging="711"/>
      <w:jc w:val="both"/>
      <w:textAlignment w:val="auto"/>
      <w:outlineLvl w:val="3"/>
    </w:pPr>
    <w:rPr>
      <w:snapToGrid w:val="0"/>
      <w:color w:val="000000"/>
      <w:lang w:val="en-GB"/>
    </w:rPr>
  </w:style>
  <w:style w:type="paragraph" w:styleId="Heading5">
    <w:name w:val="heading 5"/>
    <w:basedOn w:val="Normal"/>
    <w:link w:val="Heading5Char"/>
    <w:autoRedefine/>
    <w:qFormat/>
    <w:locked/>
    <w:pPr>
      <w:tabs>
        <w:tab w:val="num" w:pos="1985"/>
      </w:tabs>
      <w:overflowPunct/>
      <w:autoSpaceDE/>
      <w:autoSpaceDN/>
      <w:adjustRightInd/>
      <w:spacing w:after="120" w:line="240" w:lineRule="auto"/>
      <w:ind w:left="1985" w:hanging="567"/>
      <w:jc w:val="both"/>
      <w:textAlignment w:val="auto"/>
      <w:outlineLvl w:val="4"/>
    </w:pPr>
    <w:rPr>
      <w:color w:val="000000"/>
    </w:rPr>
  </w:style>
  <w:style w:type="paragraph" w:styleId="Heading7">
    <w:name w:val="heading 7"/>
    <w:basedOn w:val="Normal"/>
    <w:next w:val="Normal"/>
    <w:link w:val="Heading7Char"/>
    <w:autoRedefine/>
    <w:qFormat/>
    <w:locked/>
    <w:pPr>
      <w:tabs>
        <w:tab w:val="num" w:pos="1287"/>
      </w:tabs>
      <w:overflowPunct/>
      <w:autoSpaceDE/>
      <w:autoSpaceDN/>
      <w:adjustRightInd/>
      <w:spacing w:before="240" w:after="60" w:line="240" w:lineRule="auto"/>
      <w:ind w:left="927" w:hanging="360"/>
      <w:jc w:val="both"/>
      <w:textAlignment w:val="auto"/>
      <w:outlineLvl w:val="6"/>
    </w:pPr>
  </w:style>
  <w:style w:type="paragraph" w:styleId="Heading8">
    <w:name w:val="heading 8"/>
    <w:basedOn w:val="Normal"/>
    <w:next w:val="Normal"/>
    <w:link w:val="Heading8Char"/>
    <w:unhideWhenUsed/>
    <w:qFormat/>
    <w:locke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locked/>
    <w:pPr>
      <w:tabs>
        <w:tab w:val="num" w:pos="2151"/>
      </w:tabs>
      <w:overflowPunct/>
      <w:autoSpaceDE/>
      <w:autoSpaceDN/>
      <w:adjustRightInd/>
      <w:spacing w:before="240" w:after="60" w:line="240" w:lineRule="auto"/>
      <w:ind w:left="2151" w:hanging="1584"/>
      <w:jc w:val="both"/>
      <w:textAlignment w:val="auto"/>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b/>
      <w:bCs/>
      <w:color w:val="000000"/>
      <w:sz w:val="36"/>
      <w:szCs w:val="28"/>
    </w:rPr>
  </w:style>
  <w:style w:type="character" w:customStyle="1" w:styleId="Heading2Char">
    <w:name w:val="Heading 2 Char"/>
    <w:link w:val="Heading2"/>
    <w:uiPriority w:val="99"/>
    <w:locked/>
    <w:rPr>
      <w:rFonts w:ascii="Cambria" w:hAnsi="Cambria"/>
      <w:b/>
      <w:sz w:val="28"/>
      <w:szCs w:val="28"/>
    </w:rPr>
  </w:style>
  <w:style w:type="character" w:styleId="Hyperlink">
    <w:name w:val="Hyperlink"/>
    <w:uiPriority w:val="99"/>
    <w:rPr>
      <w:rFonts w:cs="Times New Roman"/>
      <w:color w:val="0000FF"/>
      <w:u w:val="single"/>
    </w:rPr>
  </w:style>
  <w:style w:type="paragraph" w:styleId="ListParagraph">
    <w:name w:val="List Paragraph"/>
    <w:aliases w:val="List Paragraph1,Recommendation,List Paragraph11"/>
    <w:basedOn w:val="Normal"/>
    <w:link w:val="ListParagraphChar"/>
    <w:uiPriority w:val="99"/>
    <w:qFormat/>
    <w:pPr>
      <w:overflowPunct/>
      <w:autoSpaceDE/>
      <w:autoSpaceDN/>
      <w:adjustRightInd/>
      <w:ind w:left="720"/>
      <w:contextualSpacing/>
      <w:textAlignment w:val="auto"/>
    </w:pPr>
    <w:rPr>
      <w:rFonts w:ascii="Cambria" w:eastAsia="Calibri" w:hAnsi="Cambria"/>
    </w:rPr>
  </w:style>
  <w:style w:type="character" w:customStyle="1" w:styleId="ListParagraphChar">
    <w:name w:val="List Paragraph Char"/>
    <w:aliases w:val="List Paragraph1 Char,Recommendation Char,List Paragraph11 Char"/>
    <w:link w:val="ListParagraph"/>
    <w:uiPriority w:val="99"/>
    <w:locked/>
    <w:rPr>
      <w:rFonts w:ascii="Cambria" w:hAnsi="Cambria"/>
      <w:sz w:val="24"/>
    </w:rPr>
  </w:style>
  <w:style w:type="paragraph" w:styleId="Header">
    <w:name w:val="header"/>
    <w:basedOn w:val="Normal"/>
    <w:link w:val="HeaderChar"/>
    <w:pPr>
      <w:tabs>
        <w:tab w:val="center" w:pos="4513"/>
        <w:tab w:val="right" w:pos="9026"/>
      </w:tabs>
    </w:pPr>
    <w:rPr>
      <w:rFonts w:eastAsia="Calibri"/>
      <w:sz w:val="20"/>
      <w:lang w:eastAsia="en-AU"/>
    </w:rPr>
  </w:style>
  <w:style w:type="character" w:customStyle="1" w:styleId="HeaderChar">
    <w:name w:val="Header Char"/>
    <w:link w:val="Header"/>
    <w:uiPriority w:val="99"/>
    <w:locked/>
    <w:rPr>
      <w:rFonts w:ascii="Times New Roman" w:hAnsi="Times New Roman"/>
      <w:sz w:val="20"/>
    </w:rPr>
  </w:style>
  <w:style w:type="paragraph" w:styleId="Footer">
    <w:name w:val="footer"/>
    <w:basedOn w:val="Normal"/>
    <w:link w:val="FooterChar"/>
    <w:uiPriority w:val="99"/>
    <w:pPr>
      <w:tabs>
        <w:tab w:val="center" w:pos="4513"/>
        <w:tab w:val="right" w:pos="9026"/>
      </w:tabs>
    </w:pPr>
    <w:rPr>
      <w:rFonts w:eastAsia="Calibri"/>
      <w:sz w:val="20"/>
      <w:lang w:eastAsia="en-AU"/>
    </w:rPr>
  </w:style>
  <w:style w:type="character" w:customStyle="1" w:styleId="FooterChar">
    <w:name w:val="Footer Char"/>
    <w:link w:val="Footer"/>
    <w:uiPriority w:val="99"/>
    <w:locked/>
    <w:rPr>
      <w:rFonts w:ascii="Times New Roman" w:hAnsi="Times New Roman"/>
      <w:sz w:val="20"/>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uiPriority w:val="99"/>
    <w:pPr>
      <w:overflowPunct/>
      <w:autoSpaceDE/>
      <w:autoSpaceDN/>
      <w:adjustRightInd/>
      <w:spacing w:before="100" w:beforeAutospacing="1" w:after="100" w:afterAutospacing="1"/>
      <w:textAlignment w:val="auto"/>
    </w:pPr>
    <w:rPr>
      <w:szCs w:val="24"/>
      <w:lang w:eastAsia="en-AU"/>
    </w:rPr>
  </w:style>
  <w:style w:type="paragraph" w:customStyle="1" w:styleId="paragraphsub">
    <w:name w:val="paragraphsub"/>
    <w:basedOn w:val="Normal"/>
    <w:uiPriority w:val="99"/>
    <w:pPr>
      <w:overflowPunct/>
      <w:autoSpaceDE/>
      <w:autoSpaceDN/>
      <w:adjustRightInd/>
      <w:spacing w:before="100" w:beforeAutospacing="1" w:after="100" w:afterAutospacing="1"/>
      <w:textAlignment w:val="auto"/>
    </w:pPr>
    <w:rPr>
      <w:szCs w:val="24"/>
      <w:lang w:eastAsia="en-AU"/>
    </w:rPr>
  </w:style>
  <w:style w:type="paragraph" w:styleId="Title">
    <w:name w:val="Title"/>
    <w:basedOn w:val="Normal"/>
    <w:next w:val="Normal"/>
    <w:link w:val="TitleChar"/>
    <w:qFormat/>
    <w:pPr>
      <w:pBdr>
        <w:bottom w:val="single" w:sz="8" w:space="4" w:color="4F81BD"/>
      </w:pBdr>
      <w:spacing w:after="300"/>
      <w:contextualSpacing/>
    </w:pPr>
    <w:rPr>
      <w:rFonts w:ascii="Cambria" w:eastAsia="Calibri" w:hAnsi="Cambria"/>
      <w:color w:val="17365D"/>
      <w:spacing w:val="5"/>
      <w:kern w:val="28"/>
      <w:sz w:val="52"/>
      <w:szCs w:val="52"/>
      <w:lang w:eastAsia="en-AU"/>
    </w:rPr>
  </w:style>
  <w:style w:type="character" w:customStyle="1" w:styleId="TitleChar">
    <w:name w:val="Title Char"/>
    <w:link w:val="Title"/>
    <w:locked/>
    <w:rPr>
      <w:rFonts w:ascii="Cambria" w:hAnsi="Cambria"/>
      <w:color w:val="17365D"/>
      <w:spacing w:val="5"/>
      <w:kern w:val="28"/>
      <w:sz w:val="52"/>
    </w:rPr>
  </w:style>
  <w:style w:type="paragraph" w:styleId="Subtitle">
    <w:name w:val="Subtitle"/>
    <w:basedOn w:val="Normal"/>
    <w:next w:val="Normal"/>
    <w:link w:val="SubtitleChar"/>
    <w:uiPriority w:val="99"/>
    <w:qFormat/>
    <w:pPr>
      <w:numPr>
        <w:ilvl w:val="1"/>
      </w:numPr>
    </w:pPr>
    <w:rPr>
      <w:rFonts w:ascii="Cambria" w:eastAsia="Calibri" w:hAnsi="Cambria"/>
      <w:i/>
      <w:iCs/>
      <w:color w:val="4F81BD"/>
      <w:spacing w:val="15"/>
      <w:szCs w:val="24"/>
      <w:lang w:eastAsia="en-AU"/>
    </w:rPr>
  </w:style>
  <w:style w:type="character" w:customStyle="1" w:styleId="SubtitleChar">
    <w:name w:val="Subtitle Char"/>
    <w:link w:val="Subtitle"/>
    <w:uiPriority w:val="99"/>
    <w:locked/>
    <w:rPr>
      <w:rFonts w:ascii="Cambria" w:hAnsi="Cambria"/>
      <w:i/>
      <w:color w:val="4F81BD"/>
      <w:spacing w:val="15"/>
      <w:sz w:val="24"/>
    </w:rPr>
  </w:style>
  <w:style w:type="paragraph" w:styleId="FootnoteText">
    <w:name w:val="footnote text"/>
    <w:basedOn w:val="Normal"/>
    <w:link w:val="FootnoteTextChar"/>
    <w:uiPriority w:val="99"/>
    <w:semiHidden/>
    <w:rPr>
      <w:rFonts w:eastAsia="Calibri"/>
      <w:sz w:val="20"/>
      <w:lang w:eastAsia="en-AU"/>
    </w:rPr>
  </w:style>
  <w:style w:type="character" w:customStyle="1" w:styleId="FootnoteTextChar">
    <w:name w:val="Footnote Text Char"/>
    <w:link w:val="FootnoteText"/>
    <w:uiPriority w:val="99"/>
    <w:semiHidden/>
    <w:locked/>
    <w:rPr>
      <w:rFonts w:ascii="Times New Roman" w:hAnsi="Times New Roman"/>
      <w:sz w:val="20"/>
    </w:rPr>
  </w:style>
  <w:style w:type="character" w:styleId="FootnoteReference">
    <w:name w:val="footnote reference"/>
    <w:uiPriority w:val="99"/>
    <w:semiHidden/>
    <w:rPr>
      <w:rFonts w:cs="Times New Roman"/>
      <w:vertAlign w:val="superscript"/>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rPr>
  </w:style>
  <w:style w:type="paragraph" w:customStyle="1" w:styleId="definition">
    <w:name w:val="definition"/>
    <w:basedOn w:val="Normal"/>
    <w:uiPriority w:val="99"/>
    <w:pPr>
      <w:overflowPunct/>
      <w:autoSpaceDE/>
      <w:autoSpaceDN/>
      <w:adjustRightInd/>
      <w:spacing w:before="100" w:beforeAutospacing="1" w:after="100" w:afterAutospacing="1"/>
      <w:textAlignment w:val="auto"/>
    </w:pPr>
    <w:rPr>
      <w:szCs w:val="24"/>
      <w:lang w:eastAsia="en-AU"/>
    </w:rPr>
  </w:style>
  <w:style w:type="paragraph" w:styleId="BalloonText">
    <w:name w:val="Balloon Text"/>
    <w:basedOn w:val="Normal"/>
    <w:link w:val="BalloonTextChar"/>
    <w:uiPriority w:val="99"/>
    <w:semiHidden/>
    <w:rPr>
      <w:rFonts w:ascii="Tahoma" w:eastAsia="Calibri" w:hAnsi="Tahoma"/>
      <w:sz w:val="16"/>
      <w:szCs w:val="16"/>
      <w:lang w:eastAsia="en-AU"/>
    </w:rPr>
  </w:style>
  <w:style w:type="character" w:customStyle="1" w:styleId="BalloonTextChar">
    <w:name w:val="Balloon Text Char"/>
    <w:link w:val="BalloonText"/>
    <w:uiPriority w:val="99"/>
    <w:semiHidden/>
    <w:locked/>
    <w:rPr>
      <w:rFonts w:ascii="Tahoma" w:hAnsi="Tahoma"/>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emiHidden/>
    <w:rPr>
      <w:rFonts w:eastAsia="Calibri"/>
      <w:sz w:val="20"/>
      <w:lang w:eastAsia="en-AU"/>
    </w:rPr>
  </w:style>
  <w:style w:type="character" w:customStyle="1" w:styleId="CommentTextChar">
    <w:name w:val="Comment Text Char"/>
    <w:link w:val="CommentText"/>
    <w:uiPriority w:val="99"/>
    <w:semiHidden/>
    <w:locked/>
    <w:rPr>
      <w:rFonts w:ascii="Times New Roman" w:hAnsi="Times New Roman"/>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ascii="Times New Roman" w:hAnsi="Times New Roman"/>
      <w:b/>
      <w:sz w:val="20"/>
    </w:rPr>
  </w:style>
  <w:style w:type="character" w:styleId="Emphasis">
    <w:name w:val="Emphasis"/>
    <w:uiPriority w:val="99"/>
    <w:qFormat/>
    <w:locked/>
    <w:rPr>
      <w:rFonts w:cs="Times New Roman"/>
      <w:i/>
    </w:rPr>
  </w:style>
  <w:style w:type="paragraph" w:styleId="NormalWeb">
    <w:name w:val="Normal (Web)"/>
    <w:basedOn w:val="Normal"/>
    <w:uiPriority w:val="99"/>
    <w:pPr>
      <w:overflowPunct/>
      <w:autoSpaceDE/>
      <w:autoSpaceDN/>
      <w:adjustRightInd/>
      <w:spacing w:before="100" w:beforeAutospacing="1" w:after="100" w:afterAutospacing="1"/>
      <w:textAlignment w:val="auto"/>
    </w:pPr>
    <w:rPr>
      <w:rFonts w:eastAsia="Calibri"/>
      <w:szCs w:val="24"/>
      <w:lang w:eastAsia="en-AU"/>
    </w:rPr>
  </w:style>
  <w:style w:type="character" w:styleId="FollowedHyperlink">
    <w:name w:val="FollowedHyperlink"/>
    <w:uiPriority w:val="99"/>
    <w:semiHidden/>
    <w:rPr>
      <w:rFonts w:cs="Times New Roman"/>
      <w:color w:val="800080"/>
      <w:u w:val="single"/>
    </w:rPr>
  </w:style>
  <w:style w:type="character" w:styleId="Strong">
    <w:name w:val="Strong"/>
    <w:qFormat/>
    <w:locked/>
    <w:rPr>
      <w:b/>
      <w:bCs/>
    </w:rPr>
  </w:style>
  <w:style w:type="paragraph" w:styleId="Revision">
    <w:name w:val="Revision"/>
    <w:hidden/>
    <w:uiPriority w:val="99"/>
    <w:semiHidden/>
    <w:rPr>
      <w:rFonts w:ascii="Times New Roman" w:eastAsia="Times New Roman" w:hAnsi="Times New Roman"/>
      <w:sz w:val="24"/>
      <w:lang w:eastAsia="en-US"/>
    </w:rPr>
  </w:style>
  <w:style w:type="paragraph" w:styleId="TOCHeading">
    <w:name w:val="TOC Heading"/>
    <w:basedOn w:val="Heading1"/>
    <w:next w:val="Normal"/>
    <w:uiPriority w:val="39"/>
    <w:unhideWhenUsed/>
    <w:qFormat/>
    <w:pPr>
      <w:overflowPunct/>
      <w:autoSpaceDE/>
      <w:autoSpaceDN/>
      <w:adjustRightInd/>
      <w:textAlignment w:val="auto"/>
      <w:outlineLvl w:val="9"/>
    </w:pPr>
    <w:rPr>
      <w:rFonts w:eastAsia="Times New Roman"/>
      <w:color w:val="365F91"/>
      <w:sz w:val="28"/>
      <w:lang w:val="en-US" w:eastAsia="en-US"/>
    </w:rPr>
  </w:style>
  <w:style w:type="paragraph" w:styleId="TOC1">
    <w:name w:val="toc 1"/>
    <w:basedOn w:val="Normal"/>
    <w:next w:val="Normal"/>
    <w:autoRedefine/>
    <w:uiPriority w:val="39"/>
    <w:locked/>
    <w:pPr>
      <w:spacing w:after="100"/>
    </w:pPr>
  </w:style>
  <w:style w:type="paragraph" w:styleId="TOC2">
    <w:name w:val="toc 2"/>
    <w:basedOn w:val="Normal"/>
    <w:next w:val="Normal"/>
    <w:autoRedefine/>
    <w:uiPriority w:val="39"/>
    <w:locked/>
    <w:pPr>
      <w:spacing w:after="100"/>
      <w:ind w:left="240"/>
    </w:pPr>
  </w:style>
  <w:style w:type="character" w:customStyle="1" w:styleId="Heading3Char">
    <w:name w:val="Heading 3 Char"/>
    <w:link w:val="Heading3"/>
    <w:rPr>
      <w:rFonts w:ascii="Cambria" w:eastAsia="Times New Roman" w:hAnsi="Cambria" w:cs="Times New Roman"/>
      <w:b/>
      <w:bCs/>
      <w:sz w:val="26"/>
      <w:szCs w:val="26"/>
      <w:lang w:eastAsia="en-US"/>
    </w:rPr>
  </w:style>
  <w:style w:type="paragraph" w:styleId="BodyText">
    <w:name w:val="Body Text"/>
    <w:basedOn w:val="Normal"/>
    <w:link w:val="BodyTextChar"/>
    <w:uiPriority w:val="99"/>
    <w:unhideWhenUsed/>
    <w:pPr>
      <w:spacing w:before="120" w:after="240" w:line="240" w:lineRule="auto"/>
    </w:pPr>
  </w:style>
  <w:style w:type="character" w:customStyle="1" w:styleId="BodyTextChar">
    <w:name w:val="Body Text Char"/>
    <w:link w:val="BodyText"/>
    <w:uiPriority w:val="99"/>
    <w:rPr>
      <w:rFonts w:ascii="Times New Roman" w:eastAsia="Times New Roman" w:hAnsi="Times New Roman"/>
      <w:sz w:val="24"/>
      <w:lang w:eastAsia="en-US"/>
    </w:rPr>
  </w:style>
  <w:style w:type="paragraph" w:styleId="TOC3">
    <w:name w:val="toc 3"/>
    <w:basedOn w:val="Normal"/>
    <w:next w:val="Normal"/>
    <w:autoRedefine/>
    <w:uiPriority w:val="39"/>
    <w:locked/>
    <w:pPr>
      <w:ind w:left="480"/>
    </w:pPr>
  </w:style>
  <w:style w:type="paragraph" w:styleId="Quote">
    <w:name w:val="Quote"/>
    <w:basedOn w:val="Normal"/>
    <w:next w:val="Normal"/>
    <w:link w:val="QuoteChar"/>
    <w:uiPriority w:val="29"/>
    <w:qFormat/>
    <w:pPr>
      <w:ind w:left="567"/>
    </w:pPr>
    <w:rPr>
      <w:rFonts w:ascii="Calibri" w:hAnsi="Calibri"/>
      <w:i/>
      <w:iCs/>
      <w:color w:val="000000"/>
    </w:rPr>
  </w:style>
  <w:style w:type="character" w:customStyle="1" w:styleId="QuoteChar">
    <w:name w:val="Quote Char"/>
    <w:link w:val="Quote"/>
    <w:uiPriority w:val="29"/>
    <w:rPr>
      <w:rFonts w:ascii="Calibri" w:eastAsia="Times New Roman" w:hAnsi="Calibri"/>
      <w:i/>
      <w:iCs/>
      <w:color w:val="000000"/>
      <w:sz w:val="24"/>
      <w:lang w:eastAsia="en-US"/>
    </w:rPr>
  </w:style>
  <w:style w:type="paragraph" w:customStyle="1" w:styleId="Text">
    <w:name w:val="Text"/>
    <w:basedOn w:val="Normal"/>
    <w:qFormat/>
    <w:pPr>
      <w:spacing w:after="240" w:line="240" w:lineRule="auto"/>
    </w:pPr>
    <w:rPr>
      <w:rFonts w:ascii="Calibri" w:hAnsi="Calibri"/>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rFonts w:ascii="Times New Roman" w:eastAsia="Times New Roman" w:hAnsi="Times New Roman"/>
      <w:sz w:val="24"/>
      <w:lang w:eastAsia="en-US"/>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lang w:eastAsia="en-US"/>
    </w:rPr>
  </w:style>
  <w:style w:type="character" w:customStyle="1" w:styleId="Heading4Char">
    <w:name w:val="Heading 4 Char"/>
    <w:basedOn w:val="DefaultParagraphFont"/>
    <w:link w:val="Heading4"/>
    <w:rPr>
      <w:rFonts w:ascii="Times New Roman" w:eastAsia="Times New Roman" w:hAnsi="Times New Roman"/>
      <w:snapToGrid w:val="0"/>
      <w:color w:val="000000"/>
      <w:sz w:val="24"/>
      <w:lang w:val="en-GB" w:eastAsia="en-US"/>
    </w:rPr>
  </w:style>
  <w:style w:type="character" w:customStyle="1" w:styleId="Heading5Char">
    <w:name w:val="Heading 5 Char"/>
    <w:basedOn w:val="DefaultParagraphFont"/>
    <w:link w:val="Heading5"/>
    <w:rPr>
      <w:rFonts w:ascii="Times New Roman" w:eastAsia="Times New Roman" w:hAnsi="Times New Roman"/>
      <w:color w:val="000000"/>
      <w:sz w:val="24"/>
      <w:lang w:eastAsia="en-US"/>
    </w:rPr>
  </w:style>
  <w:style w:type="character" w:customStyle="1" w:styleId="Heading7Char">
    <w:name w:val="Heading 7 Char"/>
    <w:basedOn w:val="DefaultParagraphFont"/>
    <w:link w:val="Heading7"/>
    <w:rPr>
      <w:rFonts w:ascii="Times New Roman" w:eastAsia="Times New Roman" w:hAnsi="Times New Roman"/>
      <w:sz w:val="24"/>
      <w:lang w:eastAsia="en-US"/>
    </w:rPr>
  </w:style>
  <w:style w:type="character" w:customStyle="1" w:styleId="Heading9Char">
    <w:name w:val="Heading 9 Char"/>
    <w:basedOn w:val="DefaultParagraphFont"/>
    <w:link w:val="Heading9"/>
    <w:rPr>
      <w:rFonts w:ascii="Arial" w:eastAsia="Times New Roman" w:hAnsi="Arial"/>
      <w:b/>
      <w:i/>
      <w:sz w:val="18"/>
      <w:lang w:eastAsia="en-US"/>
    </w:rPr>
  </w:style>
  <w:style w:type="character" w:styleId="PageNumber">
    <w:name w:val="page number"/>
    <w:basedOn w:val="DefaultParagraphFont"/>
  </w:style>
  <w:style w:type="paragraph" w:styleId="ListBullet">
    <w:name w:val="List Bullet"/>
    <w:basedOn w:val="Normal"/>
    <w:uiPriority w:val="99"/>
    <w:unhideWhenUsed/>
    <w:pPr>
      <w:numPr>
        <w:numId w:val="1"/>
      </w:numPr>
      <w:spacing w:after="0" w:line="240" w:lineRule="auto"/>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spacing w:after="200" w:line="276" w:lineRule="auto"/>
      <w:textAlignment w:val="baseline"/>
    </w:pPr>
    <w:rPr>
      <w:rFonts w:ascii="Times New Roman" w:eastAsia="Times New Roman" w:hAnsi="Times New Roman"/>
      <w:sz w:val="24"/>
      <w:lang w:eastAsia="en-US"/>
    </w:rPr>
  </w:style>
  <w:style w:type="paragraph" w:styleId="Heading1">
    <w:name w:val="heading 1"/>
    <w:basedOn w:val="Normal"/>
    <w:next w:val="Normal"/>
    <w:link w:val="Heading1Char"/>
    <w:uiPriority w:val="99"/>
    <w:qFormat/>
    <w:pPr>
      <w:keepNext/>
      <w:keepLines/>
      <w:spacing w:before="480"/>
      <w:outlineLvl w:val="0"/>
    </w:pPr>
    <w:rPr>
      <w:rFonts w:ascii="Cambria" w:eastAsia="Calibri" w:hAnsi="Cambria"/>
      <w:b/>
      <w:bCs/>
      <w:color w:val="000000"/>
      <w:sz w:val="36"/>
      <w:szCs w:val="28"/>
      <w:lang w:eastAsia="en-AU"/>
    </w:rPr>
  </w:style>
  <w:style w:type="paragraph" w:styleId="Heading2">
    <w:name w:val="heading 2"/>
    <w:basedOn w:val="Normal"/>
    <w:next w:val="Normal"/>
    <w:link w:val="Heading2Char"/>
    <w:qFormat/>
    <w:pPr>
      <w:keepNext/>
      <w:spacing w:before="240" w:after="40"/>
      <w:outlineLvl w:val="1"/>
    </w:pPr>
    <w:rPr>
      <w:rFonts w:ascii="Cambria" w:eastAsia="Calibri" w:hAnsi="Cambria"/>
      <w:b/>
      <w:sz w:val="28"/>
      <w:szCs w:val="28"/>
      <w:lang w:eastAsia="en-AU"/>
    </w:rPr>
  </w:style>
  <w:style w:type="paragraph" w:styleId="Heading3">
    <w:name w:val="heading 3"/>
    <w:basedOn w:val="Normal"/>
    <w:next w:val="Normal"/>
    <w:link w:val="Heading3Char"/>
    <w:unhideWhenUsed/>
    <w:qFormat/>
    <w:locked/>
    <w:pPr>
      <w:keepNext/>
      <w:spacing w:before="240" w:after="60"/>
      <w:outlineLvl w:val="2"/>
    </w:pPr>
    <w:rPr>
      <w:rFonts w:ascii="Cambria" w:hAnsi="Cambria"/>
      <w:b/>
      <w:bCs/>
      <w:sz w:val="26"/>
      <w:szCs w:val="26"/>
    </w:rPr>
  </w:style>
  <w:style w:type="paragraph" w:styleId="Heading4">
    <w:name w:val="heading 4"/>
    <w:basedOn w:val="Normal"/>
    <w:link w:val="Heading4Char"/>
    <w:autoRedefine/>
    <w:qFormat/>
    <w:locked/>
    <w:pPr>
      <w:tabs>
        <w:tab w:val="num" w:pos="1418"/>
      </w:tabs>
      <w:overflowPunct/>
      <w:autoSpaceDE/>
      <w:autoSpaceDN/>
      <w:adjustRightInd/>
      <w:spacing w:before="120" w:after="120" w:line="240" w:lineRule="auto"/>
      <w:ind w:left="1431" w:hanging="711"/>
      <w:jc w:val="both"/>
      <w:textAlignment w:val="auto"/>
      <w:outlineLvl w:val="3"/>
    </w:pPr>
    <w:rPr>
      <w:snapToGrid w:val="0"/>
      <w:color w:val="000000"/>
      <w:lang w:val="en-GB"/>
    </w:rPr>
  </w:style>
  <w:style w:type="paragraph" w:styleId="Heading5">
    <w:name w:val="heading 5"/>
    <w:basedOn w:val="Normal"/>
    <w:link w:val="Heading5Char"/>
    <w:autoRedefine/>
    <w:qFormat/>
    <w:locked/>
    <w:pPr>
      <w:tabs>
        <w:tab w:val="num" w:pos="1985"/>
      </w:tabs>
      <w:overflowPunct/>
      <w:autoSpaceDE/>
      <w:autoSpaceDN/>
      <w:adjustRightInd/>
      <w:spacing w:after="120" w:line="240" w:lineRule="auto"/>
      <w:ind w:left="1985" w:hanging="567"/>
      <w:jc w:val="both"/>
      <w:textAlignment w:val="auto"/>
      <w:outlineLvl w:val="4"/>
    </w:pPr>
    <w:rPr>
      <w:color w:val="000000"/>
    </w:rPr>
  </w:style>
  <w:style w:type="paragraph" w:styleId="Heading7">
    <w:name w:val="heading 7"/>
    <w:basedOn w:val="Normal"/>
    <w:next w:val="Normal"/>
    <w:link w:val="Heading7Char"/>
    <w:autoRedefine/>
    <w:qFormat/>
    <w:locked/>
    <w:pPr>
      <w:tabs>
        <w:tab w:val="num" w:pos="1287"/>
      </w:tabs>
      <w:overflowPunct/>
      <w:autoSpaceDE/>
      <w:autoSpaceDN/>
      <w:adjustRightInd/>
      <w:spacing w:before="240" w:after="60" w:line="240" w:lineRule="auto"/>
      <w:ind w:left="927" w:hanging="360"/>
      <w:jc w:val="both"/>
      <w:textAlignment w:val="auto"/>
      <w:outlineLvl w:val="6"/>
    </w:pPr>
  </w:style>
  <w:style w:type="paragraph" w:styleId="Heading8">
    <w:name w:val="heading 8"/>
    <w:basedOn w:val="Normal"/>
    <w:next w:val="Normal"/>
    <w:link w:val="Heading8Char"/>
    <w:unhideWhenUsed/>
    <w:qFormat/>
    <w:locked/>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qFormat/>
    <w:locked/>
    <w:pPr>
      <w:tabs>
        <w:tab w:val="num" w:pos="2151"/>
      </w:tabs>
      <w:overflowPunct/>
      <w:autoSpaceDE/>
      <w:autoSpaceDN/>
      <w:adjustRightInd/>
      <w:spacing w:before="240" w:after="60" w:line="240" w:lineRule="auto"/>
      <w:ind w:left="2151" w:hanging="1584"/>
      <w:jc w:val="both"/>
      <w:textAlignment w:val="auto"/>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Pr>
      <w:rFonts w:ascii="Cambria" w:hAnsi="Cambria"/>
      <w:b/>
      <w:bCs/>
      <w:color w:val="000000"/>
      <w:sz w:val="36"/>
      <w:szCs w:val="28"/>
    </w:rPr>
  </w:style>
  <w:style w:type="character" w:customStyle="1" w:styleId="Heading2Char">
    <w:name w:val="Heading 2 Char"/>
    <w:link w:val="Heading2"/>
    <w:uiPriority w:val="99"/>
    <w:locked/>
    <w:rPr>
      <w:rFonts w:ascii="Cambria" w:hAnsi="Cambria"/>
      <w:b/>
      <w:sz w:val="28"/>
      <w:szCs w:val="28"/>
    </w:rPr>
  </w:style>
  <w:style w:type="character" w:styleId="Hyperlink">
    <w:name w:val="Hyperlink"/>
    <w:uiPriority w:val="99"/>
    <w:rPr>
      <w:rFonts w:cs="Times New Roman"/>
      <w:color w:val="0000FF"/>
      <w:u w:val="single"/>
    </w:rPr>
  </w:style>
  <w:style w:type="paragraph" w:styleId="ListParagraph">
    <w:name w:val="List Paragraph"/>
    <w:aliases w:val="List Paragraph1,Recommendation,List Paragraph11"/>
    <w:basedOn w:val="Normal"/>
    <w:link w:val="ListParagraphChar"/>
    <w:uiPriority w:val="99"/>
    <w:qFormat/>
    <w:pPr>
      <w:overflowPunct/>
      <w:autoSpaceDE/>
      <w:autoSpaceDN/>
      <w:adjustRightInd/>
      <w:ind w:left="720"/>
      <w:contextualSpacing/>
      <w:textAlignment w:val="auto"/>
    </w:pPr>
    <w:rPr>
      <w:rFonts w:ascii="Cambria" w:eastAsia="Calibri" w:hAnsi="Cambria"/>
    </w:rPr>
  </w:style>
  <w:style w:type="character" w:customStyle="1" w:styleId="ListParagraphChar">
    <w:name w:val="List Paragraph Char"/>
    <w:aliases w:val="List Paragraph1 Char,Recommendation Char,List Paragraph11 Char"/>
    <w:link w:val="ListParagraph"/>
    <w:uiPriority w:val="99"/>
    <w:locked/>
    <w:rPr>
      <w:rFonts w:ascii="Cambria" w:hAnsi="Cambria"/>
      <w:sz w:val="24"/>
    </w:rPr>
  </w:style>
  <w:style w:type="paragraph" w:styleId="Header">
    <w:name w:val="header"/>
    <w:basedOn w:val="Normal"/>
    <w:link w:val="HeaderChar"/>
    <w:pPr>
      <w:tabs>
        <w:tab w:val="center" w:pos="4513"/>
        <w:tab w:val="right" w:pos="9026"/>
      </w:tabs>
    </w:pPr>
    <w:rPr>
      <w:rFonts w:eastAsia="Calibri"/>
      <w:sz w:val="20"/>
      <w:lang w:eastAsia="en-AU"/>
    </w:rPr>
  </w:style>
  <w:style w:type="character" w:customStyle="1" w:styleId="HeaderChar">
    <w:name w:val="Header Char"/>
    <w:link w:val="Header"/>
    <w:uiPriority w:val="99"/>
    <w:locked/>
    <w:rPr>
      <w:rFonts w:ascii="Times New Roman" w:hAnsi="Times New Roman"/>
      <w:sz w:val="20"/>
    </w:rPr>
  </w:style>
  <w:style w:type="paragraph" w:styleId="Footer">
    <w:name w:val="footer"/>
    <w:basedOn w:val="Normal"/>
    <w:link w:val="FooterChar"/>
    <w:uiPriority w:val="99"/>
    <w:pPr>
      <w:tabs>
        <w:tab w:val="center" w:pos="4513"/>
        <w:tab w:val="right" w:pos="9026"/>
      </w:tabs>
    </w:pPr>
    <w:rPr>
      <w:rFonts w:eastAsia="Calibri"/>
      <w:sz w:val="20"/>
      <w:lang w:eastAsia="en-AU"/>
    </w:rPr>
  </w:style>
  <w:style w:type="character" w:customStyle="1" w:styleId="FooterChar">
    <w:name w:val="Footer Char"/>
    <w:link w:val="Footer"/>
    <w:uiPriority w:val="99"/>
    <w:locked/>
    <w:rPr>
      <w:rFonts w:ascii="Times New Roman" w:hAnsi="Times New Roman"/>
      <w:sz w:val="20"/>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pPr>
      <w:overflowPunct/>
      <w:autoSpaceDE/>
      <w:autoSpaceDN/>
      <w:adjustRightInd/>
      <w:spacing w:before="100" w:beforeAutospacing="1" w:after="100" w:afterAutospacing="1"/>
      <w:textAlignment w:val="auto"/>
    </w:pPr>
    <w:rPr>
      <w:szCs w:val="24"/>
      <w:lang w:eastAsia="en-AU"/>
    </w:rPr>
  </w:style>
  <w:style w:type="paragraph" w:customStyle="1" w:styleId="paragraphsub">
    <w:name w:val="paragraphsub"/>
    <w:basedOn w:val="Normal"/>
    <w:uiPriority w:val="99"/>
    <w:pPr>
      <w:overflowPunct/>
      <w:autoSpaceDE/>
      <w:autoSpaceDN/>
      <w:adjustRightInd/>
      <w:spacing w:before="100" w:beforeAutospacing="1" w:after="100" w:afterAutospacing="1"/>
      <w:textAlignment w:val="auto"/>
    </w:pPr>
    <w:rPr>
      <w:szCs w:val="24"/>
      <w:lang w:eastAsia="en-AU"/>
    </w:rPr>
  </w:style>
  <w:style w:type="paragraph" w:styleId="Title">
    <w:name w:val="Title"/>
    <w:basedOn w:val="Normal"/>
    <w:next w:val="Normal"/>
    <w:link w:val="TitleChar"/>
    <w:qFormat/>
    <w:pPr>
      <w:pBdr>
        <w:bottom w:val="single" w:sz="8" w:space="4" w:color="4F81BD"/>
      </w:pBdr>
      <w:spacing w:after="300"/>
      <w:contextualSpacing/>
    </w:pPr>
    <w:rPr>
      <w:rFonts w:ascii="Cambria" w:eastAsia="Calibri" w:hAnsi="Cambria"/>
      <w:color w:val="17365D"/>
      <w:spacing w:val="5"/>
      <w:kern w:val="28"/>
      <w:sz w:val="52"/>
      <w:szCs w:val="52"/>
      <w:lang w:eastAsia="en-AU"/>
    </w:rPr>
  </w:style>
  <w:style w:type="character" w:customStyle="1" w:styleId="TitleChar">
    <w:name w:val="Title Char"/>
    <w:link w:val="Title"/>
    <w:locked/>
    <w:rPr>
      <w:rFonts w:ascii="Cambria" w:hAnsi="Cambria"/>
      <w:color w:val="17365D"/>
      <w:spacing w:val="5"/>
      <w:kern w:val="28"/>
      <w:sz w:val="52"/>
    </w:rPr>
  </w:style>
  <w:style w:type="paragraph" w:styleId="Subtitle">
    <w:name w:val="Subtitle"/>
    <w:basedOn w:val="Normal"/>
    <w:next w:val="Normal"/>
    <w:link w:val="SubtitleChar"/>
    <w:uiPriority w:val="99"/>
    <w:qFormat/>
    <w:pPr>
      <w:numPr>
        <w:ilvl w:val="1"/>
      </w:numPr>
    </w:pPr>
    <w:rPr>
      <w:rFonts w:ascii="Cambria" w:eastAsia="Calibri" w:hAnsi="Cambria"/>
      <w:i/>
      <w:iCs/>
      <w:color w:val="4F81BD"/>
      <w:spacing w:val="15"/>
      <w:szCs w:val="24"/>
      <w:lang w:eastAsia="en-AU"/>
    </w:rPr>
  </w:style>
  <w:style w:type="character" w:customStyle="1" w:styleId="SubtitleChar">
    <w:name w:val="Subtitle Char"/>
    <w:link w:val="Subtitle"/>
    <w:uiPriority w:val="99"/>
    <w:locked/>
    <w:rPr>
      <w:rFonts w:ascii="Cambria" w:hAnsi="Cambria"/>
      <w:i/>
      <w:color w:val="4F81BD"/>
      <w:spacing w:val="15"/>
      <w:sz w:val="24"/>
    </w:rPr>
  </w:style>
  <w:style w:type="paragraph" w:styleId="FootnoteText">
    <w:name w:val="footnote text"/>
    <w:basedOn w:val="Normal"/>
    <w:link w:val="FootnoteTextChar"/>
    <w:uiPriority w:val="99"/>
    <w:semiHidden/>
    <w:rPr>
      <w:rFonts w:eastAsia="Calibri"/>
      <w:sz w:val="20"/>
      <w:lang w:eastAsia="en-AU"/>
    </w:rPr>
  </w:style>
  <w:style w:type="character" w:customStyle="1" w:styleId="FootnoteTextChar">
    <w:name w:val="Footnote Text Char"/>
    <w:link w:val="FootnoteText"/>
    <w:uiPriority w:val="99"/>
    <w:semiHidden/>
    <w:locked/>
    <w:rPr>
      <w:rFonts w:ascii="Times New Roman" w:hAnsi="Times New Roman"/>
      <w:sz w:val="20"/>
    </w:rPr>
  </w:style>
  <w:style w:type="character" w:styleId="FootnoteReference">
    <w:name w:val="footnote reference"/>
    <w:uiPriority w:val="99"/>
    <w:semiHidden/>
    <w:rPr>
      <w:rFonts w:cs="Times New Roman"/>
      <w:vertAlign w:val="superscript"/>
    </w:rPr>
  </w:style>
  <w:style w:type="paragraph" w:customStyle="1" w:styleId="Default">
    <w:name w:val="Default"/>
    <w:uiPriority w:val="99"/>
    <w:pPr>
      <w:autoSpaceDE w:val="0"/>
      <w:autoSpaceDN w:val="0"/>
      <w:adjustRightInd w:val="0"/>
    </w:pPr>
    <w:rPr>
      <w:rFonts w:ascii="Times New Roman" w:eastAsia="Times New Roman" w:hAnsi="Times New Roman"/>
      <w:color w:val="000000"/>
      <w:sz w:val="24"/>
      <w:szCs w:val="24"/>
    </w:rPr>
  </w:style>
  <w:style w:type="paragraph" w:customStyle="1" w:styleId="definition">
    <w:name w:val="definition"/>
    <w:basedOn w:val="Normal"/>
    <w:uiPriority w:val="99"/>
    <w:pPr>
      <w:overflowPunct/>
      <w:autoSpaceDE/>
      <w:autoSpaceDN/>
      <w:adjustRightInd/>
      <w:spacing w:before="100" w:beforeAutospacing="1" w:after="100" w:afterAutospacing="1"/>
      <w:textAlignment w:val="auto"/>
    </w:pPr>
    <w:rPr>
      <w:szCs w:val="24"/>
      <w:lang w:eastAsia="en-AU"/>
    </w:rPr>
  </w:style>
  <w:style w:type="paragraph" w:styleId="BalloonText">
    <w:name w:val="Balloon Text"/>
    <w:basedOn w:val="Normal"/>
    <w:link w:val="BalloonTextChar"/>
    <w:uiPriority w:val="99"/>
    <w:semiHidden/>
    <w:rPr>
      <w:rFonts w:ascii="Tahoma" w:eastAsia="Calibri" w:hAnsi="Tahoma"/>
      <w:sz w:val="16"/>
      <w:szCs w:val="16"/>
      <w:lang w:eastAsia="en-AU"/>
    </w:rPr>
  </w:style>
  <w:style w:type="character" w:customStyle="1" w:styleId="BalloonTextChar">
    <w:name w:val="Balloon Text Char"/>
    <w:link w:val="BalloonText"/>
    <w:uiPriority w:val="99"/>
    <w:semiHidden/>
    <w:locked/>
    <w:rPr>
      <w:rFonts w:ascii="Tahoma" w:hAnsi="Tahoma"/>
      <w:sz w:val="16"/>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semiHidden/>
    <w:rPr>
      <w:rFonts w:eastAsia="Calibri"/>
      <w:sz w:val="20"/>
      <w:lang w:eastAsia="en-AU"/>
    </w:rPr>
  </w:style>
  <w:style w:type="character" w:customStyle="1" w:styleId="CommentTextChar">
    <w:name w:val="Comment Text Char"/>
    <w:link w:val="CommentText"/>
    <w:uiPriority w:val="99"/>
    <w:semiHidden/>
    <w:locked/>
    <w:rPr>
      <w:rFonts w:ascii="Times New Roman" w:hAnsi="Times New Roman"/>
      <w:sz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ascii="Times New Roman" w:hAnsi="Times New Roman"/>
      <w:b/>
      <w:sz w:val="20"/>
    </w:rPr>
  </w:style>
  <w:style w:type="character" w:styleId="Emphasis">
    <w:name w:val="Emphasis"/>
    <w:uiPriority w:val="99"/>
    <w:qFormat/>
    <w:locked/>
    <w:rPr>
      <w:rFonts w:cs="Times New Roman"/>
      <w:i/>
    </w:rPr>
  </w:style>
  <w:style w:type="paragraph" w:styleId="NormalWeb">
    <w:name w:val="Normal (Web)"/>
    <w:basedOn w:val="Normal"/>
    <w:uiPriority w:val="99"/>
    <w:pPr>
      <w:overflowPunct/>
      <w:autoSpaceDE/>
      <w:autoSpaceDN/>
      <w:adjustRightInd/>
      <w:spacing w:before="100" w:beforeAutospacing="1" w:after="100" w:afterAutospacing="1"/>
      <w:textAlignment w:val="auto"/>
    </w:pPr>
    <w:rPr>
      <w:rFonts w:eastAsia="Calibri"/>
      <w:szCs w:val="24"/>
      <w:lang w:eastAsia="en-AU"/>
    </w:rPr>
  </w:style>
  <w:style w:type="character" w:styleId="FollowedHyperlink">
    <w:name w:val="FollowedHyperlink"/>
    <w:uiPriority w:val="99"/>
    <w:semiHidden/>
    <w:rPr>
      <w:rFonts w:cs="Times New Roman"/>
      <w:color w:val="800080"/>
      <w:u w:val="single"/>
    </w:rPr>
  </w:style>
  <w:style w:type="character" w:styleId="Strong">
    <w:name w:val="Strong"/>
    <w:qFormat/>
    <w:locked/>
    <w:rPr>
      <w:b/>
      <w:bCs/>
    </w:rPr>
  </w:style>
  <w:style w:type="paragraph" w:styleId="Revision">
    <w:name w:val="Revision"/>
    <w:hidden/>
    <w:uiPriority w:val="99"/>
    <w:semiHidden/>
    <w:rPr>
      <w:rFonts w:ascii="Times New Roman" w:eastAsia="Times New Roman" w:hAnsi="Times New Roman"/>
      <w:sz w:val="24"/>
      <w:lang w:eastAsia="en-US"/>
    </w:rPr>
  </w:style>
  <w:style w:type="paragraph" w:styleId="TOCHeading">
    <w:name w:val="TOC Heading"/>
    <w:basedOn w:val="Heading1"/>
    <w:next w:val="Normal"/>
    <w:uiPriority w:val="39"/>
    <w:unhideWhenUsed/>
    <w:qFormat/>
    <w:pPr>
      <w:overflowPunct/>
      <w:autoSpaceDE/>
      <w:autoSpaceDN/>
      <w:adjustRightInd/>
      <w:textAlignment w:val="auto"/>
      <w:outlineLvl w:val="9"/>
    </w:pPr>
    <w:rPr>
      <w:rFonts w:eastAsia="Times New Roman"/>
      <w:color w:val="365F91"/>
      <w:sz w:val="28"/>
      <w:lang w:val="en-US" w:eastAsia="en-US"/>
    </w:rPr>
  </w:style>
  <w:style w:type="paragraph" w:styleId="TOC1">
    <w:name w:val="toc 1"/>
    <w:basedOn w:val="Normal"/>
    <w:next w:val="Normal"/>
    <w:autoRedefine/>
    <w:uiPriority w:val="39"/>
    <w:locked/>
    <w:pPr>
      <w:spacing w:after="100"/>
    </w:pPr>
  </w:style>
  <w:style w:type="paragraph" w:styleId="TOC2">
    <w:name w:val="toc 2"/>
    <w:basedOn w:val="Normal"/>
    <w:next w:val="Normal"/>
    <w:autoRedefine/>
    <w:uiPriority w:val="39"/>
    <w:locked/>
    <w:pPr>
      <w:spacing w:after="100"/>
      <w:ind w:left="240"/>
    </w:pPr>
  </w:style>
  <w:style w:type="character" w:customStyle="1" w:styleId="Heading3Char">
    <w:name w:val="Heading 3 Char"/>
    <w:link w:val="Heading3"/>
    <w:rPr>
      <w:rFonts w:ascii="Cambria" w:eastAsia="Times New Roman" w:hAnsi="Cambria" w:cs="Times New Roman"/>
      <w:b/>
      <w:bCs/>
      <w:sz w:val="26"/>
      <w:szCs w:val="26"/>
      <w:lang w:eastAsia="en-US"/>
    </w:rPr>
  </w:style>
  <w:style w:type="paragraph" w:styleId="BodyText">
    <w:name w:val="Body Text"/>
    <w:basedOn w:val="Normal"/>
    <w:link w:val="BodyTextChar"/>
    <w:uiPriority w:val="99"/>
    <w:unhideWhenUsed/>
    <w:pPr>
      <w:spacing w:before="120" w:after="240" w:line="240" w:lineRule="auto"/>
    </w:pPr>
  </w:style>
  <w:style w:type="character" w:customStyle="1" w:styleId="BodyTextChar">
    <w:name w:val="Body Text Char"/>
    <w:link w:val="BodyText"/>
    <w:uiPriority w:val="99"/>
    <w:rPr>
      <w:rFonts w:ascii="Times New Roman" w:eastAsia="Times New Roman" w:hAnsi="Times New Roman"/>
      <w:sz w:val="24"/>
      <w:lang w:eastAsia="en-US"/>
    </w:rPr>
  </w:style>
  <w:style w:type="paragraph" w:styleId="TOC3">
    <w:name w:val="toc 3"/>
    <w:basedOn w:val="Normal"/>
    <w:next w:val="Normal"/>
    <w:autoRedefine/>
    <w:uiPriority w:val="39"/>
    <w:locked/>
    <w:pPr>
      <w:ind w:left="480"/>
    </w:pPr>
  </w:style>
  <w:style w:type="paragraph" w:styleId="Quote">
    <w:name w:val="Quote"/>
    <w:basedOn w:val="Normal"/>
    <w:next w:val="Normal"/>
    <w:link w:val="QuoteChar"/>
    <w:uiPriority w:val="29"/>
    <w:qFormat/>
    <w:pPr>
      <w:ind w:left="567"/>
    </w:pPr>
    <w:rPr>
      <w:rFonts w:ascii="Calibri" w:hAnsi="Calibri"/>
      <w:i/>
      <w:iCs/>
      <w:color w:val="000000"/>
    </w:rPr>
  </w:style>
  <w:style w:type="character" w:customStyle="1" w:styleId="QuoteChar">
    <w:name w:val="Quote Char"/>
    <w:link w:val="Quote"/>
    <w:uiPriority w:val="29"/>
    <w:rPr>
      <w:rFonts w:ascii="Calibri" w:eastAsia="Times New Roman" w:hAnsi="Calibri"/>
      <w:i/>
      <w:iCs/>
      <w:color w:val="000000"/>
      <w:sz w:val="24"/>
      <w:lang w:eastAsia="en-US"/>
    </w:rPr>
  </w:style>
  <w:style w:type="paragraph" w:customStyle="1" w:styleId="Text">
    <w:name w:val="Text"/>
    <w:basedOn w:val="Normal"/>
    <w:qFormat/>
    <w:pPr>
      <w:spacing w:after="240" w:line="240" w:lineRule="auto"/>
    </w:pPr>
    <w:rPr>
      <w:rFonts w:ascii="Calibri" w:hAnsi="Calibri"/>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rFonts w:ascii="Times New Roman" w:eastAsia="Times New Roman" w:hAnsi="Times New Roman"/>
      <w:sz w:val="24"/>
      <w:lang w:eastAsia="en-US"/>
    </w:rPr>
  </w:style>
  <w:style w:type="character" w:customStyle="1" w:styleId="Heading8Char">
    <w:name w:val="Heading 8 Char"/>
    <w:basedOn w:val="DefaultParagraphFont"/>
    <w:link w:val="Heading8"/>
    <w:semiHidden/>
    <w:rPr>
      <w:rFonts w:asciiTheme="majorHAnsi" w:eastAsiaTheme="majorEastAsia" w:hAnsiTheme="majorHAnsi" w:cstheme="majorBidi"/>
      <w:color w:val="404040" w:themeColor="text1" w:themeTint="BF"/>
      <w:lang w:eastAsia="en-US"/>
    </w:rPr>
  </w:style>
  <w:style w:type="character" w:customStyle="1" w:styleId="Heading4Char">
    <w:name w:val="Heading 4 Char"/>
    <w:basedOn w:val="DefaultParagraphFont"/>
    <w:link w:val="Heading4"/>
    <w:rPr>
      <w:rFonts w:ascii="Times New Roman" w:eastAsia="Times New Roman" w:hAnsi="Times New Roman"/>
      <w:snapToGrid w:val="0"/>
      <w:color w:val="000000"/>
      <w:sz w:val="24"/>
      <w:lang w:val="en-GB" w:eastAsia="en-US"/>
    </w:rPr>
  </w:style>
  <w:style w:type="character" w:customStyle="1" w:styleId="Heading5Char">
    <w:name w:val="Heading 5 Char"/>
    <w:basedOn w:val="DefaultParagraphFont"/>
    <w:link w:val="Heading5"/>
    <w:rPr>
      <w:rFonts w:ascii="Times New Roman" w:eastAsia="Times New Roman" w:hAnsi="Times New Roman"/>
      <w:color w:val="000000"/>
      <w:sz w:val="24"/>
      <w:lang w:eastAsia="en-US"/>
    </w:rPr>
  </w:style>
  <w:style w:type="character" w:customStyle="1" w:styleId="Heading7Char">
    <w:name w:val="Heading 7 Char"/>
    <w:basedOn w:val="DefaultParagraphFont"/>
    <w:link w:val="Heading7"/>
    <w:rPr>
      <w:rFonts w:ascii="Times New Roman" w:eastAsia="Times New Roman" w:hAnsi="Times New Roman"/>
      <w:sz w:val="24"/>
      <w:lang w:eastAsia="en-US"/>
    </w:rPr>
  </w:style>
  <w:style w:type="character" w:customStyle="1" w:styleId="Heading9Char">
    <w:name w:val="Heading 9 Char"/>
    <w:basedOn w:val="DefaultParagraphFont"/>
    <w:link w:val="Heading9"/>
    <w:rPr>
      <w:rFonts w:ascii="Arial" w:eastAsia="Times New Roman" w:hAnsi="Arial"/>
      <w:b/>
      <w:i/>
      <w:sz w:val="18"/>
      <w:lang w:eastAsia="en-US"/>
    </w:rPr>
  </w:style>
  <w:style w:type="character" w:styleId="PageNumber">
    <w:name w:val="page number"/>
    <w:basedOn w:val="DefaultParagraphFont"/>
  </w:style>
  <w:style w:type="paragraph" w:styleId="ListBullet">
    <w:name w:val="List Bullet"/>
    <w:basedOn w:val="Normal"/>
    <w:uiPriority w:val="99"/>
    <w:unhideWhenUsed/>
    <w:pPr>
      <w:numPr>
        <w:numId w:val="1"/>
      </w:numPr>
      <w:spacing w:after="0" w:line="240" w:lineRule="auto"/>
      <w:contextualSpacing/>
    </w:pPr>
  </w:style>
</w:styles>
</file>

<file path=word/webSettings.xml><?xml version="1.0" encoding="utf-8"?>
<w:webSettings xmlns:r="http://schemas.openxmlformats.org/officeDocument/2006/relationships" xmlns:w="http://schemas.openxmlformats.org/wordprocessingml/2006/main">
  <w:divs>
    <w:div w:id="32006524">
      <w:bodyDiv w:val="1"/>
      <w:marLeft w:val="0"/>
      <w:marRight w:val="0"/>
      <w:marTop w:val="0"/>
      <w:marBottom w:val="0"/>
      <w:divBdr>
        <w:top w:val="none" w:sz="0" w:space="0" w:color="auto"/>
        <w:left w:val="none" w:sz="0" w:space="0" w:color="auto"/>
        <w:bottom w:val="none" w:sz="0" w:space="0" w:color="auto"/>
        <w:right w:val="none" w:sz="0" w:space="0" w:color="auto"/>
      </w:divBdr>
    </w:div>
    <w:div w:id="256914661">
      <w:marLeft w:val="0"/>
      <w:marRight w:val="0"/>
      <w:marTop w:val="0"/>
      <w:marBottom w:val="0"/>
      <w:divBdr>
        <w:top w:val="none" w:sz="0" w:space="0" w:color="auto"/>
        <w:left w:val="none" w:sz="0" w:space="0" w:color="auto"/>
        <w:bottom w:val="none" w:sz="0" w:space="0" w:color="auto"/>
        <w:right w:val="none" w:sz="0" w:space="0" w:color="auto"/>
      </w:divBdr>
      <w:divsChild>
        <w:div w:id="256914662">
          <w:marLeft w:val="0"/>
          <w:marRight w:val="0"/>
          <w:marTop w:val="0"/>
          <w:marBottom w:val="0"/>
          <w:divBdr>
            <w:top w:val="none" w:sz="0" w:space="0" w:color="auto"/>
            <w:left w:val="none" w:sz="0" w:space="0" w:color="auto"/>
            <w:bottom w:val="none" w:sz="0" w:space="0" w:color="auto"/>
            <w:right w:val="none" w:sz="0" w:space="0" w:color="auto"/>
          </w:divBdr>
          <w:divsChild>
            <w:div w:id="256914655">
              <w:marLeft w:val="0"/>
              <w:marRight w:val="0"/>
              <w:marTop w:val="0"/>
              <w:marBottom w:val="0"/>
              <w:divBdr>
                <w:top w:val="none" w:sz="0" w:space="0" w:color="auto"/>
                <w:left w:val="none" w:sz="0" w:space="0" w:color="auto"/>
                <w:bottom w:val="none" w:sz="0" w:space="0" w:color="auto"/>
                <w:right w:val="none" w:sz="0" w:space="0" w:color="auto"/>
              </w:divBdr>
              <w:divsChild>
                <w:div w:id="256914652">
                  <w:marLeft w:val="0"/>
                  <w:marRight w:val="0"/>
                  <w:marTop w:val="0"/>
                  <w:marBottom w:val="0"/>
                  <w:divBdr>
                    <w:top w:val="none" w:sz="0" w:space="0" w:color="auto"/>
                    <w:left w:val="none" w:sz="0" w:space="0" w:color="auto"/>
                    <w:bottom w:val="none" w:sz="0" w:space="0" w:color="auto"/>
                    <w:right w:val="none" w:sz="0" w:space="0" w:color="auto"/>
                  </w:divBdr>
                  <w:divsChild>
                    <w:div w:id="256914656">
                      <w:marLeft w:val="0"/>
                      <w:marRight w:val="0"/>
                      <w:marTop w:val="0"/>
                      <w:marBottom w:val="0"/>
                      <w:divBdr>
                        <w:top w:val="none" w:sz="0" w:space="0" w:color="auto"/>
                        <w:left w:val="none" w:sz="0" w:space="0" w:color="auto"/>
                        <w:bottom w:val="none" w:sz="0" w:space="0" w:color="auto"/>
                        <w:right w:val="none" w:sz="0" w:space="0" w:color="auto"/>
                      </w:divBdr>
                      <w:divsChild>
                        <w:div w:id="256914653">
                          <w:marLeft w:val="0"/>
                          <w:marRight w:val="0"/>
                          <w:marTop w:val="0"/>
                          <w:marBottom w:val="0"/>
                          <w:divBdr>
                            <w:top w:val="single" w:sz="6" w:space="0" w:color="828282"/>
                            <w:left w:val="single" w:sz="6" w:space="0" w:color="828282"/>
                            <w:bottom w:val="single" w:sz="6" w:space="0" w:color="828282"/>
                            <w:right w:val="single" w:sz="6" w:space="0" w:color="828282"/>
                          </w:divBdr>
                          <w:divsChild>
                            <w:div w:id="256914660">
                              <w:marLeft w:val="0"/>
                              <w:marRight w:val="0"/>
                              <w:marTop w:val="0"/>
                              <w:marBottom w:val="0"/>
                              <w:divBdr>
                                <w:top w:val="none" w:sz="0" w:space="0" w:color="auto"/>
                                <w:left w:val="none" w:sz="0" w:space="0" w:color="auto"/>
                                <w:bottom w:val="none" w:sz="0" w:space="0" w:color="auto"/>
                                <w:right w:val="none" w:sz="0" w:space="0" w:color="auto"/>
                              </w:divBdr>
                              <w:divsChild>
                                <w:div w:id="256914663">
                                  <w:marLeft w:val="0"/>
                                  <w:marRight w:val="0"/>
                                  <w:marTop w:val="0"/>
                                  <w:marBottom w:val="0"/>
                                  <w:divBdr>
                                    <w:top w:val="none" w:sz="0" w:space="0" w:color="auto"/>
                                    <w:left w:val="none" w:sz="0" w:space="0" w:color="auto"/>
                                    <w:bottom w:val="none" w:sz="0" w:space="0" w:color="auto"/>
                                    <w:right w:val="none" w:sz="0" w:space="0" w:color="auto"/>
                                  </w:divBdr>
                                  <w:divsChild>
                                    <w:div w:id="256914658">
                                      <w:marLeft w:val="0"/>
                                      <w:marRight w:val="0"/>
                                      <w:marTop w:val="0"/>
                                      <w:marBottom w:val="0"/>
                                      <w:divBdr>
                                        <w:top w:val="none" w:sz="0" w:space="0" w:color="auto"/>
                                        <w:left w:val="none" w:sz="0" w:space="0" w:color="auto"/>
                                        <w:bottom w:val="none" w:sz="0" w:space="0" w:color="auto"/>
                                        <w:right w:val="none" w:sz="0" w:space="0" w:color="auto"/>
                                      </w:divBdr>
                                      <w:divsChild>
                                        <w:div w:id="256914659">
                                          <w:marLeft w:val="0"/>
                                          <w:marRight w:val="0"/>
                                          <w:marTop w:val="0"/>
                                          <w:marBottom w:val="0"/>
                                          <w:divBdr>
                                            <w:top w:val="none" w:sz="0" w:space="0" w:color="auto"/>
                                            <w:left w:val="none" w:sz="0" w:space="0" w:color="auto"/>
                                            <w:bottom w:val="none" w:sz="0" w:space="0" w:color="auto"/>
                                            <w:right w:val="none" w:sz="0" w:space="0" w:color="auto"/>
                                          </w:divBdr>
                                          <w:divsChild>
                                            <w:div w:id="256914657">
                                              <w:marLeft w:val="0"/>
                                              <w:marRight w:val="0"/>
                                              <w:marTop w:val="0"/>
                                              <w:marBottom w:val="0"/>
                                              <w:divBdr>
                                                <w:top w:val="none" w:sz="0" w:space="0" w:color="auto"/>
                                                <w:left w:val="none" w:sz="0" w:space="0" w:color="auto"/>
                                                <w:bottom w:val="none" w:sz="0" w:space="0" w:color="auto"/>
                                                <w:right w:val="none" w:sz="0" w:space="0" w:color="auto"/>
                                              </w:divBdr>
                                              <w:divsChild>
                                                <w:div w:id="2569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9833602">
      <w:bodyDiv w:val="1"/>
      <w:marLeft w:val="0"/>
      <w:marRight w:val="0"/>
      <w:marTop w:val="0"/>
      <w:marBottom w:val="0"/>
      <w:divBdr>
        <w:top w:val="none" w:sz="0" w:space="0" w:color="auto"/>
        <w:left w:val="none" w:sz="0" w:space="0" w:color="auto"/>
        <w:bottom w:val="none" w:sz="0" w:space="0" w:color="auto"/>
        <w:right w:val="none" w:sz="0" w:space="0" w:color="auto"/>
      </w:divBdr>
    </w:div>
    <w:div w:id="566843133">
      <w:bodyDiv w:val="1"/>
      <w:marLeft w:val="0"/>
      <w:marRight w:val="0"/>
      <w:marTop w:val="0"/>
      <w:marBottom w:val="0"/>
      <w:divBdr>
        <w:top w:val="none" w:sz="0" w:space="0" w:color="auto"/>
        <w:left w:val="none" w:sz="0" w:space="0" w:color="auto"/>
        <w:bottom w:val="none" w:sz="0" w:space="0" w:color="auto"/>
        <w:right w:val="none" w:sz="0" w:space="0" w:color="auto"/>
      </w:divBdr>
    </w:div>
    <w:div w:id="786199592">
      <w:bodyDiv w:val="1"/>
      <w:marLeft w:val="0"/>
      <w:marRight w:val="0"/>
      <w:marTop w:val="0"/>
      <w:marBottom w:val="0"/>
      <w:divBdr>
        <w:top w:val="none" w:sz="0" w:space="0" w:color="auto"/>
        <w:left w:val="none" w:sz="0" w:space="0" w:color="auto"/>
        <w:bottom w:val="none" w:sz="0" w:space="0" w:color="auto"/>
        <w:right w:val="none" w:sz="0" w:space="0" w:color="auto"/>
      </w:divBdr>
    </w:div>
    <w:div w:id="813371025">
      <w:bodyDiv w:val="1"/>
      <w:marLeft w:val="0"/>
      <w:marRight w:val="0"/>
      <w:marTop w:val="0"/>
      <w:marBottom w:val="0"/>
      <w:divBdr>
        <w:top w:val="none" w:sz="0" w:space="0" w:color="auto"/>
        <w:left w:val="none" w:sz="0" w:space="0" w:color="auto"/>
        <w:bottom w:val="none" w:sz="0" w:space="0" w:color="auto"/>
        <w:right w:val="none" w:sz="0" w:space="0" w:color="auto"/>
      </w:divBdr>
    </w:div>
    <w:div w:id="814491188">
      <w:bodyDiv w:val="1"/>
      <w:marLeft w:val="0"/>
      <w:marRight w:val="0"/>
      <w:marTop w:val="0"/>
      <w:marBottom w:val="0"/>
      <w:divBdr>
        <w:top w:val="none" w:sz="0" w:space="0" w:color="auto"/>
        <w:left w:val="none" w:sz="0" w:space="0" w:color="auto"/>
        <w:bottom w:val="none" w:sz="0" w:space="0" w:color="auto"/>
        <w:right w:val="none" w:sz="0" w:space="0" w:color="auto"/>
      </w:divBdr>
    </w:div>
    <w:div w:id="1039665951">
      <w:bodyDiv w:val="1"/>
      <w:marLeft w:val="0"/>
      <w:marRight w:val="0"/>
      <w:marTop w:val="0"/>
      <w:marBottom w:val="0"/>
      <w:divBdr>
        <w:top w:val="none" w:sz="0" w:space="0" w:color="auto"/>
        <w:left w:val="none" w:sz="0" w:space="0" w:color="auto"/>
        <w:bottom w:val="none" w:sz="0" w:space="0" w:color="auto"/>
        <w:right w:val="none" w:sz="0" w:space="0" w:color="auto"/>
      </w:divBdr>
    </w:div>
    <w:div w:id="1510178652">
      <w:bodyDiv w:val="1"/>
      <w:marLeft w:val="0"/>
      <w:marRight w:val="0"/>
      <w:marTop w:val="0"/>
      <w:marBottom w:val="0"/>
      <w:divBdr>
        <w:top w:val="none" w:sz="0" w:space="0" w:color="auto"/>
        <w:left w:val="none" w:sz="0" w:space="0" w:color="auto"/>
        <w:bottom w:val="none" w:sz="0" w:space="0" w:color="auto"/>
        <w:right w:val="none" w:sz="0" w:space="0" w:color="auto"/>
      </w:divBdr>
    </w:div>
    <w:div w:id="169673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u.fsc.org/" TargetMode="External"/><Relationship Id="rId18" Type="http://schemas.openxmlformats.org/officeDocument/2006/relationships/hyperlink" Target="https://www.legislation.qld.gov.au/LEGISLTN/CURRENT/L/LandA94.pdf" TargetMode="External"/><Relationship Id="rId26" Type="http://schemas.openxmlformats.org/officeDocument/2006/relationships/image" Target="media/image3.png"/><Relationship Id="rId39" Type="http://schemas.openxmlformats.org/officeDocument/2006/relationships/footer" Target="footer2.xml"/><Relationship Id="rId21" Type="http://schemas.openxmlformats.org/officeDocument/2006/relationships/hyperlink" Target="https://publications.qld.gov.au/storage/f/2014-08-04T23%3A17%3A15.199Z/managing-native-forest-practice-code.pdf"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qld.gov.a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qplantations.com.au" TargetMode="External"/><Relationship Id="rId24" Type="http://schemas.openxmlformats.org/officeDocument/2006/relationships/hyperlink" Target="http://www.agriculture.gov.au/illegallogging" TargetMode="External"/><Relationship Id="rId32" Type="http://schemas.openxmlformats.org/officeDocument/2006/relationships/image" Target="media/image7.emf"/><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ehp.qld.gov.au" TargetMode="External"/><Relationship Id="rId23" Type="http://schemas.openxmlformats.org/officeDocument/2006/relationships/hyperlink" Target="http://www.forestrystandard.org.au/find-certified/find-certified" TargetMode="External"/><Relationship Id="rId28" Type="http://schemas.openxmlformats.org/officeDocument/2006/relationships/header" Target="header1.xml"/><Relationship Id="rId36" Type="http://schemas.openxmlformats.org/officeDocument/2006/relationships/image" Target="media/image9.png"/><Relationship Id="rId10" Type="http://schemas.openxmlformats.org/officeDocument/2006/relationships/hyperlink" Target="http://www.agriculture.gov.au/illegallogging" TargetMode="External"/><Relationship Id="rId19" Type="http://schemas.openxmlformats.org/officeDocument/2006/relationships/hyperlink" Target="https://www.legislation.qld.gov.au/LEGISLTN/ACTS/1999/99AC090.pdf" TargetMode="External"/><Relationship Id="rId31" Type="http://schemas.openxmlformats.org/officeDocument/2006/relationships/image" Target="media/image6.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dnrm.qld.gov.au" TargetMode="External"/><Relationship Id="rId22" Type="http://schemas.openxmlformats.org/officeDocument/2006/relationships/hyperlink" Target="http://info.fsc.org/" TargetMode="External"/><Relationship Id="rId27" Type="http://schemas.openxmlformats.org/officeDocument/2006/relationships/image" Target="media/image4.png"/><Relationship Id="rId30" Type="http://schemas.openxmlformats.org/officeDocument/2006/relationships/image" Target="media/image5.emf"/><Relationship Id="rId35" Type="http://schemas.openxmlformats.org/officeDocument/2006/relationships/hyperlink" Target="http://ehp.qld.gov.au/licences-permits/plants-animals/documents/ap-wl-pp-harvesting.doc" TargetMode="External"/><Relationship Id="rId43" Type="http://schemas.microsoft.com/office/2007/relationships/stylesWithEffects" Target="stylesWithEffect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forestrystandard.org.au/home" TargetMode="External"/><Relationship Id="rId17" Type="http://schemas.openxmlformats.org/officeDocument/2006/relationships/hyperlink" Target="https://www.legislation.qld.gov.au/LEGISLTN/CURRENT/F/ForestryA59.pdf" TargetMode="External"/><Relationship Id="rId25" Type="http://schemas.openxmlformats.org/officeDocument/2006/relationships/hyperlink" Target="mailto:illegallogging@agriculture.gov.au" TargetMode="External"/><Relationship Id="rId33" Type="http://schemas.openxmlformats.org/officeDocument/2006/relationships/hyperlink" Target="http://www.dnrm.qld.gov.au/__data/assets/pdf_file/0020/111593/sac-notification-form.pdf" TargetMode="External"/><Relationship Id="rId38" Type="http://schemas.openxmlformats.org/officeDocument/2006/relationships/header" Target="header3.xml"/><Relationship Id="rId46" Type="http://schemas.openxmlformats.org/officeDocument/2006/relationships/customXml" Target="../customXml/item4.xml"/><Relationship Id="rId20" Type="http://schemas.openxmlformats.org/officeDocument/2006/relationships/hyperlink" Target="https://www.legislation.qld.gov.au/LEGISLTN/CURRENT/N/NatureConA92.pdf" TargetMode="Externa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92542A-D945-4B33-BC36-6A8CA2281291}"/>
</file>

<file path=customXml/itemProps2.xml><?xml version="1.0" encoding="utf-8"?>
<ds:datastoreItem xmlns:ds="http://schemas.openxmlformats.org/officeDocument/2006/customXml" ds:itemID="{980DE2CB-0B0A-4C55-A3AB-63E66B4E21BD}"/>
</file>

<file path=customXml/itemProps3.xml><?xml version="1.0" encoding="utf-8"?>
<ds:datastoreItem xmlns:ds="http://schemas.openxmlformats.org/officeDocument/2006/customXml" ds:itemID="{0942BE83-1CBC-4164-AB0A-B0151CEB543B}"/>
</file>

<file path=customXml/itemProps4.xml><?xml version="1.0" encoding="utf-8"?>
<ds:datastoreItem xmlns:ds="http://schemas.openxmlformats.org/officeDocument/2006/customXml" ds:itemID="{305A1004-2AF9-4A37-9BD2-E79BDBF3E793}"/>
</file>

<file path=docProps/app.xml><?xml version="1.0" encoding="utf-8"?>
<Properties xmlns="http://schemas.openxmlformats.org/officeDocument/2006/extended-properties" xmlns:vt="http://schemas.openxmlformats.org/officeDocument/2006/docPropsVTypes">
  <Template>Normal.dotm</Template>
  <TotalTime>17</TotalTime>
  <Pages>17</Pages>
  <Words>2262</Words>
  <Characters>16432</Characters>
  <Application>Microsoft Office Word</Application>
  <DocSecurity>0</DocSecurity>
  <Lines>136</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18657</CharactersWithSpaces>
  <SharedDoc>false</SharedDoc>
  <HLinks>
    <vt:vector size="156" baseType="variant">
      <vt:variant>
        <vt:i4>3735581</vt:i4>
      </vt:variant>
      <vt:variant>
        <vt:i4>123</vt:i4>
      </vt:variant>
      <vt:variant>
        <vt:i4>0</vt:i4>
      </vt:variant>
      <vt:variant>
        <vt:i4>5</vt:i4>
      </vt:variant>
      <vt:variant>
        <vt:lpwstr>mailto:forestproducts@daff.qld.gov.au</vt:lpwstr>
      </vt:variant>
      <vt:variant>
        <vt:lpwstr/>
      </vt:variant>
      <vt:variant>
        <vt:i4>3997770</vt:i4>
      </vt:variant>
      <vt:variant>
        <vt:i4>120</vt:i4>
      </vt:variant>
      <vt:variant>
        <vt:i4>0</vt:i4>
      </vt:variant>
      <vt:variant>
        <vt:i4>5</vt:i4>
      </vt:variant>
      <vt:variant>
        <vt:lpwstr>mailto:illegallogging@daff.gov.au</vt:lpwstr>
      </vt:variant>
      <vt:variant>
        <vt:lpwstr/>
      </vt:variant>
      <vt:variant>
        <vt:i4>5963778</vt:i4>
      </vt:variant>
      <vt:variant>
        <vt:i4>117</vt:i4>
      </vt:variant>
      <vt:variant>
        <vt:i4>0</vt:i4>
      </vt:variant>
      <vt:variant>
        <vt:i4>5</vt:i4>
      </vt:variant>
      <vt:variant>
        <vt:lpwstr>http://www.daff.gov.au/illegallogging</vt:lpwstr>
      </vt:variant>
      <vt:variant>
        <vt:lpwstr/>
      </vt:variant>
      <vt:variant>
        <vt:i4>6094913</vt:i4>
      </vt:variant>
      <vt:variant>
        <vt:i4>114</vt:i4>
      </vt:variant>
      <vt:variant>
        <vt:i4>0</vt:i4>
      </vt:variant>
      <vt:variant>
        <vt:i4>5</vt:i4>
      </vt:variant>
      <vt:variant>
        <vt:lpwstr>http://www.forestrystandard.org.au/find-certified/find-certified</vt:lpwstr>
      </vt:variant>
      <vt:variant>
        <vt:lpwstr/>
      </vt:variant>
      <vt:variant>
        <vt:i4>655365</vt:i4>
      </vt:variant>
      <vt:variant>
        <vt:i4>111</vt:i4>
      </vt:variant>
      <vt:variant>
        <vt:i4>0</vt:i4>
      </vt:variant>
      <vt:variant>
        <vt:i4>5</vt:i4>
      </vt:variant>
      <vt:variant>
        <vt:lpwstr>http://info.fsc.org/</vt:lpwstr>
      </vt:variant>
      <vt:variant>
        <vt:lpwstr/>
      </vt:variant>
      <vt:variant>
        <vt:i4>7602272</vt:i4>
      </vt:variant>
      <vt:variant>
        <vt:i4>108</vt:i4>
      </vt:variant>
      <vt:variant>
        <vt:i4>0</vt:i4>
      </vt:variant>
      <vt:variant>
        <vt:i4>5</vt:i4>
      </vt:variant>
      <vt:variant>
        <vt:lpwstr>http://www.ehp.qld.gov.au/</vt:lpwstr>
      </vt:variant>
      <vt:variant>
        <vt:lpwstr/>
      </vt:variant>
      <vt:variant>
        <vt:i4>6619190</vt:i4>
      </vt:variant>
      <vt:variant>
        <vt:i4>105</vt:i4>
      </vt:variant>
      <vt:variant>
        <vt:i4>0</vt:i4>
      </vt:variant>
      <vt:variant>
        <vt:i4>5</vt:i4>
      </vt:variant>
      <vt:variant>
        <vt:lpwstr>http://www.dnrm.qld.gov.au/</vt:lpwstr>
      </vt:variant>
      <vt:variant>
        <vt:lpwstr/>
      </vt:variant>
      <vt:variant>
        <vt:i4>6553713</vt:i4>
      </vt:variant>
      <vt:variant>
        <vt:i4>102</vt:i4>
      </vt:variant>
      <vt:variant>
        <vt:i4>0</vt:i4>
      </vt:variant>
      <vt:variant>
        <vt:i4>5</vt:i4>
      </vt:variant>
      <vt:variant>
        <vt:lpwstr>http://au.fsc.org/</vt:lpwstr>
      </vt:variant>
      <vt:variant>
        <vt:lpwstr/>
      </vt:variant>
      <vt:variant>
        <vt:i4>3670113</vt:i4>
      </vt:variant>
      <vt:variant>
        <vt:i4>99</vt:i4>
      </vt:variant>
      <vt:variant>
        <vt:i4>0</vt:i4>
      </vt:variant>
      <vt:variant>
        <vt:i4>5</vt:i4>
      </vt:variant>
      <vt:variant>
        <vt:lpwstr>http://www.forestrystandard.org.au/home</vt:lpwstr>
      </vt:variant>
      <vt:variant>
        <vt:lpwstr/>
      </vt:variant>
      <vt:variant>
        <vt:i4>917599</vt:i4>
      </vt:variant>
      <vt:variant>
        <vt:i4>96</vt:i4>
      </vt:variant>
      <vt:variant>
        <vt:i4>0</vt:i4>
      </vt:variant>
      <vt:variant>
        <vt:i4>5</vt:i4>
      </vt:variant>
      <vt:variant>
        <vt:lpwstr>http://www.hqplantations.com.au/</vt:lpwstr>
      </vt:variant>
      <vt:variant>
        <vt:lpwstr/>
      </vt:variant>
      <vt:variant>
        <vt:i4>5963778</vt:i4>
      </vt:variant>
      <vt:variant>
        <vt:i4>93</vt:i4>
      </vt:variant>
      <vt:variant>
        <vt:i4>0</vt:i4>
      </vt:variant>
      <vt:variant>
        <vt:i4>5</vt:i4>
      </vt:variant>
      <vt:variant>
        <vt:lpwstr>http://www.daff.gov.au/illegallogging</vt:lpwstr>
      </vt:variant>
      <vt:variant>
        <vt:lpwstr/>
      </vt:variant>
      <vt:variant>
        <vt:i4>1769525</vt:i4>
      </vt:variant>
      <vt:variant>
        <vt:i4>86</vt:i4>
      </vt:variant>
      <vt:variant>
        <vt:i4>0</vt:i4>
      </vt:variant>
      <vt:variant>
        <vt:i4>5</vt:i4>
      </vt:variant>
      <vt:variant>
        <vt:lpwstr/>
      </vt:variant>
      <vt:variant>
        <vt:lpwstr>_Toc396814193</vt:lpwstr>
      </vt:variant>
      <vt:variant>
        <vt:i4>1769525</vt:i4>
      </vt:variant>
      <vt:variant>
        <vt:i4>80</vt:i4>
      </vt:variant>
      <vt:variant>
        <vt:i4>0</vt:i4>
      </vt:variant>
      <vt:variant>
        <vt:i4>5</vt:i4>
      </vt:variant>
      <vt:variant>
        <vt:lpwstr/>
      </vt:variant>
      <vt:variant>
        <vt:lpwstr>_Toc396814192</vt:lpwstr>
      </vt:variant>
      <vt:variant>
        <vt:i4>1769525</vt:i4>
      </vt:variant>
      <vt:variant>
        <vt:i4>74</vt:i4>
      </vt:variant>
      <vt:variant>
        <vt:i4>0</vt:i4>
      </vt:variant>
      <vt:variant>
        <vt:i4>5</vt:i4>
      </vt:variant>
      <vt:variant>
        <vt:lpwstr/>
      </vt:variant>
      <vt:variant>
        <vt:lpwstr>_Toc396814191</vt:lpwstr>
      </vt:variant>
      <vt:variant>
        <vt:i4>1769525</vt:i4>
      </vt:variant>
      <vt:variant>
        <vt:i4>68</vt:i4>
      </vt:variant>
      <vt:variant>
        <vt:i4>0</vt:i4>
      </vt:variant>
      <vt:variant>
        <vt:i4>5</vt:i4>
      </vt:variant>
      <vt:variant>
        <vt:lpwstr/>
      </vt:variant>
      <vt:variant>
        <vt:lpwstr>_Toc396814190</vt:lpwstr>
      </vt:variant>
      <vt:variant>
        <vt:i4>1703989</vt:i4>
      </vt:variant>
      <vt:variant>
        <vt:i4>62</vt:i4>
      </vt:variant>
      <vt:variant>
        <vt:i4>0</vt:i4>
      </vt:variant>
      <vt:variant>
        <vt:i4>5</vt:i4>
      </vt:variant>
      <vt:variant>
        <vt:lpwstr/>
      </vt:variant>
      <vt:variant>
        <vt:lpwstr>_Toc396814189</vt:lpwstr>
      </vt:variant>
      <vt:variant>
        <vt:i4>1703989</vt:i4>
      </vt:variant>
      <vt:variant>
        <vt:i4>56</vt:i4>
      </vt:variant>
      <vt:variant>
        <vt:i4>0</vt:i4>
      </vt:variant>
      <vt:variant>
        <vt:i4>5</vt:i4>
      </vt:variant>
      <vt:variant>
        <vt:lpwstr/>
      </vt:variant>
      <vt:variant>
        <vt:lpwstr>_Toc396814188</vt:lpwstr>
      </vt:variant>
      <vt:variant>
        <vt:i4>1703989</vt:i4>
      </vt:variant>
      <vt:variant>
        <vt:i4>50</vt:i4>
      </vt:variant>
      <vt:variant>
        <vt:i4>0</vt:i4>
      </vt:variant>
      <vt:variant>
        <vt:i4>5</vt:i4>
      </vt:variant>
      <vt:variant>
        <vt:lpwstr/>
      </vt:variant>
      <vt:variant>
        <vt:lpwstr>_Toc396814187</vt:lpwstr>
      </vt:variant>
      <vt:variant>
        <vt:i4>1703989</vt:i4>
      </vt:variant>
      <vt:variant>
        <vt:i4>44</vt:i4>
      </vt:variant>
      <vt:variant>
        <vt:i4>0</vt:i4>
      </vt:variant>
      <vt:variant>
        <vt:i4>5</vt:i4>
      </vt:variant>
      <vt:variant>
        <vt:lpwstr/>
      </vt:variant>
      <vt:variant>
        <vt:lpwstr>_Toc396814186</vt:lpwstr>
      </vt:variant>
      <vt:variant>
        <vt:i4>1703989</vt:i4>
      </vt:variant>
      <vt:variant>
        <vt:i4>38</vt:i4>
      </vt:variant>
      <vt:variant>
        <vt:i4>0</vt:i4>
      </vt:variant>
      <vt:variant>
        <vt:i4>5</vt:i4>
      </vt:variant>
      <vt:variant>
        <vt:lpwstr/>
      </vt:variant>
      <vt:variant>
        <vt:lpwstr>_Toc396814185</vt:lpwstr>
      </vt:variant>
      <vt:variant>
        <vt:i4>1703989</vt:i4>
      </vt:variant>
      <vt:variant>
        <vt:i4>32</vt:i4>
      </vt:variant>
      <vt:variant>
        <vt:i4>0</vt:i4>
      </vt:variant>
      <vt:variant>
        <vt:i4>5</vt:i4>
      </vt:variant>
      <vt:variant>
        <vt:lpwstr/>
      </vt:variant>
      <vt:variant>
        <vt:lpwstr>_Toc396814184</vt:lpwstr>
      </vt:variant>
      <vt:variant>
        <vt:i4>1703989</vt:i4>
      </vt:variant>
      <vt:variant>
        <vt:i4>26</vt:i4>
      </vt:variant>
      <vt:variant>
        <vt:i4>0</vt:i4>
      </vt:variant>
      <vt:variant>
        <vt:i4>5</vt:i4>
      </vt:variant>
      <vt:variant>
        <vt:lpwstr/>
      </vt:variant>
      <vt:variant>
        <vt:lpwstr>_Toc396814183</vt:lpwstr>
      </vt:variant>
      <vt:variant>
        <vt:i4>1703989</vt:i4>
      </vt:variant>
      <vt:variant>
        <vt:i4>20</vt:i4>
      </vt:variant>
      <vt:variant>
        <vt:i4>0</vt:i4>
      </vt:variant>
      <vt:variant>
        <vt:i4>5</vt:i4>
      </vt:variant>
      <vt:variant>
        <vt:lpwstr/>
      </vt:variant>
      <vt:variant>
        <vt:lpwstr>_Toc396814182</vt:lpwstr>
      </vt:variant>
      <vt:variant>
        <vt:i4>1703989</vt:i4>
      </vt:variant>
      <vt:variant>
        <vt:i4>14</vt:i4>
      </vt:variant>
      <vt:variant>
        <vt:i4>0</vt:i4>
      </vt:variant>
      <vt:variant>
        <vt:i4>5</vt:i4>
      </vt:variant>
      <vt:variant>
        <vt:lpwstr/>
      </vt:variant>
      <vt:variant>
        <vt:lpwstr>_Toc396814181</vt:lpwstr>
      </vt:variant>
      <vt:variant>
        <vt:i4>1703989</vt:i4>
      </vt:variant>
      <vt:variant>
        <vt:i4>8</vt:i4>
      </vt:variant>
      <vt:variant>
        <vt:i4>0</vt:i4>
      </vt:variant>
      <vt:variant>
        <vt:i4>5</vt:i4>
      </vt:variant>
      <vt:variant>
        <vt:lpwstr/>
      </vt:variant>
      <vt:variant>
        <vt:lpwstr>_Toc396814180</vt:lpwstr>
      </vt:variant>
      <vt:variant>
        <vt:i4>1376309</vt:i4>
      </vt:variant>
      <vt:variant>
        <vt:i4>2</vt:i4>
      </vt:variant>
      <vt:variant>
        <vt:i4>0</vt:i4>
      </vt:variant>
      <vt:variant>
        <vt:i4>5</vt:i4>
      </vt:variant>
      <vt:variant>
        <vt:lpwstr/>
      </vt:variant>
      <vt:variant>
        <vt:lpwstr>_Toc396814179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Banks</dc:creator>
  <cp:lastModifiedBy>Martin Dallen</cp:lastModifiedBy>
  <cp:revision>7</cp:revision>
  <cp:lastPrinted>2014-11-18T02:32:00Z</cp:lastPrinted>
  <dcterms:created xsi:type="dcterms:W3CDTF">2015-05-15T05:50:00Z</dcterms:created>
  <dcterms:modified xsi:type="dcterms:W3CDTF">2015-06-19T03:21:00Z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