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5DA0" w14:textId="7C143595" w:rsidR="00B34EFA" w:rsidRDefault="00B34EFA">
      <w:pPr>
        <w:pStyle w:val="Subtitle"/>
        <w:rPr>
          <w:b/>
          <w:color w:val="auto"/>
          <w:sz w:val="52"/>
          <w:szCs w:val="28"/>
        </w:rPr>
      </w:pPr>
      <w:bookmarkStart w:id="0" w:name="_Hlk135300800"/>
      <w:r w:rsidRPr="00B34EFA">
        <w:rPr>
          <w:b/>
          <w:color w:val="auto"/>
          <w:sz w:val="52"/>
          <w:szCs w:val="28"/>
        </w:rPr>
        <w:t xml:space="preserve">Optional response template to a </w:t>
      </w:r>
      <w:r w:rsidR="008F0D77">
        <w:rPr>
          <w:b/>
          <w:color w:val="auto"/>
          <w:sz w:val="52"/>
          <w:szCs w:val="28"/>
        </w:rPr>
        <w:t>R</w:t>
      </w:r>
      <w:r w:rsidRPr="00B34EFA">
        <w:rPr>
          <w:b/>
          <w:color w:val="auto"/>
          <w:sz w:val="52"/>
          <w:szCs w:val="28"/>
        </w:rPr>
        <w:t xml:space="preserve">equest for </w:t>
      </w:r>
      <w:r w:rsidR="008F0D77">
        <w:rPr>
          <w:b/>
          <w:color w:val="auto"/>
          <w:sz w:val="52"/>
          <w:szCs w:val="28"/>
        </w:rPr>
        <w:t>I</w:t>
      </w:r>
      <w:r w:rsidRPr="00B34EFA">
        <w:rPr>
          <w:b/>
          <w:color w:val="auto"/>
          <w:sz w:val="52"/>
          <w:szCs w:val="28"/>
        </w:rPr>
        <w:t xml:space="preserve">nformation notice for importers </w:t>
      </w:r>
    </w:p>
    <w:p w14:paraId="2FC68342" w14:textId="6C0FC6E1" w:rsidR="00E362EF" w:rsidRDefault="00B34EFA">
      <w:pPr>
        <w:pStyle w:val="Subtitle"/>
      </w:pPr>
      <w:r>
        <w:t>Illegal logging prohibition Regulation 2012</w:t>
      </w:r>
    </w:p>
    <w:bookmarkEnd w:id="0"/>
    <w:p w14:paraId="21EC7FFD" w14:textId="77777777" w:rsidR="00B34EFA" w:rsidRDefault="00B34EFA" w:rsidP="001B1009">
      <w:pPr>
        <w:pStyle w:val="Heading2"/>
        <w:numPr>
          <w:ilvl w:val="0"/>
          <w:numId w:val="0"/>
        </w:numPr>
        <w:ind w:left="720" w:hanging="720"/>
      </w:pPr>
    </w:p>
    <w:p w14:paraId="7DD3F74D" w14:textId="612C9784" w:rsidR="00E362EF" w:rsidRDefault="00B34EFA" w:rsidP="001B1009">
      <w:pPr>
        <w:pStyle w:val="Heading2"/>
        <w:numPr>
          <w:ilvl w:val="0"/>
          <w:numId w:val="0"/>
        </w:numPr>
        <w:ind w:left="720" w:hanging="720"/>
      </w:pPr>
      <w:r>
        <w:t xml:space="preserve">General information </w:t>
      </w:r>
    </w:p>
    <w:p w14:paraId="6E3ACF12" w14:textId="679C2B92" w:rsidR="00E362EF" w:rsidRDefault="00B34EFA" w:rsidP="00B34EFA">
      <w:pPr>
        <w:pStyle w:val="Heading3"/>
        <w:numPr>
          <w:ilvl w:val="0"/>
          <w:numId w:val="0"/>
        </w:numPr>
        <w:ind w:left="964" w:hanging="964"/>
      </w:pPr>
      <w:r>
        <w:t>Purpose</w:t>
      </w:r>
    </w:p>
    <w:p w14:paraId="5D6AE8DE" w14:textId="74F923AC" w:rsidR="00B34EFA" w:rsidRPr="00B34EFA" w:rsidRDefault="00B34EFA" w:rsidP="00B34EFA">
      <w:r w:rsidRPr="00B34EFA">
        <w:t xml:space="preserve">This is an optional template that can be used by an importer of regulated timber products who has been issued a Request </w:t>
      </w:r>
      <w:r w:rsidR="002E51C5">
        <w:t>fo</w:t>
      </w:r>
      <w:r w:rsidRPr="00B34EFA">
        <w:t>r Information Notice by the</w:t>
      </w:r>
      <w:r>
        <w:t xml:space="preserve"> </w:t>
      </w:r>
      <w:r w:rsidRPr="00B34EFA">
        <w:t>Department of Agriculture, Fisheries and Forestry.</w:t>
      </w:r>
    </w:p>
    <w:p w14:paraId="69747A44" w14:textId="77777777" w:rsidR="00B34EFA" w:rsidRPr="00B34EFA" w:rsidRDefault="00B34EFA" w:rsidP="00B34EFA">
      <w:r w:rsidRPr="00B34EFA">
        <w:t>It should be used in addition to other documentary evidence and not used as your due diligence process.</w:t>
      </w:r>
    </w:p>
    <w:p w14:paraId="6D4078E5" w14:textId="4F6A6160" w:rsidR="00B34EFA" w:rsidRDefault="00B34EFA" w:rsidP="00B34EFA">
      <w:r w:rsidRPr="00B34EFA">
        <w:t>Where multiple regulated timber product imports have been selected for audit, additional template pages may be required to be completed.</w:t>
      </w:r>
    </w:p>
    <w:p w14:paraId="45B5C982" w14:textId="58873349" w:rsidR="00B34EFA" w:rsidRDefault="00B34EFA" w:rsidP="00B34EFA">
      <w:pPr>
        <w:pStyle w:val="Heading3"/>
        <w:numPr>
          <w:ilvl w:val="0"/>
          <w:numId w:val="0"/>
        </w:numPr>
        <w:ind w:left="964" w:hanging="964"/>
      </w:pPr>
      <w:r>
        <w:t xml:space="preserve">For more information </w:t>
      </w:r>
    </w:p>
    <w:p w14:paraId="489E804C" w14:textId="59F0B12C" w:rsidR="00B34EFA" w:rsidRDefault="00B34EFA" w:rsidP="00B34EFA">
      <w:pPr>
        <w:rPr>
          <w:lang w:eastAsia="ja-JP"/>
        </w:rPr>
      </w:pPr>
      <w:r>
        <w:rPr>
          <w:lang w:eastAsia="ja-JP"/>
        </w:rPr>
        <w:t xml:space="preserve">The department’s </w:t>
      </w:r>
      <w:hyperlink r:id="rId11" w:history="1">
        <w:r w:rsidRPr="003656EB">
          <w:rPr>
            <w:rStyle w:val="Hyperlink"/>
            <w:lang w:eastAsia="ja-JP"/>
          </w:rPr>
          <w:t>illegal logging compliance webpage</w:t>
        </w:r>
      </w:hyperlink>
      <w:r>
        <w:rPr>
          <w:lang w:eastAsia="ja-JP"/>
        </w:rPr>
        <w:t xml:space="preserve"> provides information to assist importers with how to respond to a Request for Information notice.</w:t>
      </w:r>
    </w:p>
    <w:p w14:paraId="361FFA01" w14:textId="77777777" w:rsidR="00B34EFA" w:rsidRDefault="00B34EFA" w:rsidP="00B34EFA">
      <w:pPr>
        <w:rPr>
          <w:rStyle w:val="Hyperlink"/>
        </w:rPr>
      </w:pPr>
      <w:r w:rsidRPr="00B34EFA">
        <w:t xml:space="preserve">To request an electronic copy of this document, email your request to the Illegal Logging Compliance Assessment Team at </w:t>
      </w:r>
      <w:hyperlink r:id="rId12" w:history="1">
        <w:r w:rsidRPr="00CD13C9">
          <w:rPr>
            <w:rStyle w:val="Hyperlink"/>
          </w:rPr>
          <w:t>ilca@agriculture.gov.au</w:t>
        </w:r>
      </w:hyperlink>
    </w:p>
    <w:p w14:paraId="10C5A313" w14:textId="77777777" w:rsidR="00481077" w:rsidRDefault="00481077" w:rsidP="008F0D77">
      <w:pPr>
        <w:rPr>
          <w:rFonts w:cstheme="minorHAnsi"/>
        </w:rPr>
      </w:pPr>
    </w:p>
    <w:p w14:paraId="6E89235E" w14:textId="77777777" w:rsidR="00481077" w:rsidRDefault="00481077" w:rsidP="008F0D77">
      <w:pPr>
        <w:rPr>
          <w:rFonts w:cstheme="minorHAnsi"/>
        </w:rPr>
      </w:pPr>
    </w:p>
    <w:p w14:paraId="1BCA8946" w14:textId="77777777" w:rsidR="00481077" w:rsidRDefault="00481077" w:rsidP="008F0D77">
      <w:pPr>
        <w:rPr>
          <w:rFonts w:cstheme="minorHAnsi"/>
        </w:rPr>
      </w:pPr>
    </w:p>
    <w:p w14:paraId="76229D37" w14:textId="77777777" w:rsidR="00481077" w:rsidRDefault="00481077" w:rsidP="008F0D77">
      <w:pPr>
        <w:rPr>
          <w:rFonts w:cstheme="minorHAnsi"/>
        </w:rPr>
      </w:pPr>
    </w:p>
    <w:p w14:paraId="08D9A17C" w14:textId="77777777" w:rsidR="00481077" w:rsidRDefault="00481077" w:rsidP="008F0D77">
      <w:pPr>
        <w:rPr>
          <w:rFonts w:cstheme="minorHAnsi"/>
        </w:rPr>
      </w:pPr>
    </w:p>
    <w:p w14:paraId="5A03FF2B" w14:textId="77777777" w:rsidR="00481077" w:rsidRDefault="00481077" w:rsidP="008F0D77">
      <w:pPr>
        <w:rPr>
          <w:rFonts w:cstheme="minorHAnsi"/>
        </w:rPr>
      </w:pPr>
    </w:p>
    <w:p w14:paraId="3948B3D5" w14:textId="6660EAA3" w:rsidR="00B34EFA" w:rsidRPr="00B34EFA" w:rsidRDefault="008F0D77" w:rsidP="008F0D77">
      <w:r w:rsidRPr="009A2EB0">
        <w:rPr>
          <w:rFonts w:asciiTheme="majorHAnsi" w:hAnsiTheme="majorHAnsi"/>
          <w:sz w:val="24"/>
        </w:rPr>
        <w:tab/>
      </w:r>
      <w:r>
        <w:rPr>
          <w:rFonts w:asciiTheme="majorHAnsi" w:hAnsiTheme="majorHAnsi"/>
          <w:sz w:val="24"/>
        </w:rPr>
        <w:t xml:space="preserve"> </w:t>
      </w:r>
    </w:p>
    <w:p w14:paraId="7B6C198F" w14:textId="77777777" w:rsidR="00481077" w:rsidRDefault="00481077" w:rsidP="008F0D77">
      <w:pPr>
        <w:pStyle w:val="Heading2"/>
        <w:numPr>
          <w:ilvl w:val="0"/>
          <w:numId w:val="0"/>
        </w:numPr>
        <w:sectPr w:rsidR="00481077">
          <w:headerReference w:type="even" r:id="rId13"/>
          <w:headerReference w:type="default"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pPr>
    </w:p>
    <w:p w14:paraId="35F7A139" w14:textId="6A0809AE" w:rsidR="008F0D77" w:rsidRDefault="008F0D77" w:rsidP="008F0D77">
      <w:pPr>
        <w:pStyle w:val="Heading2"/>
        <w:numPr>
          <w:ilvl w:val="0"/>
          <w:numId w:val="0"/>
        </w:numPr>
      </w:pPr>
      <w:r>
        <w:lastRenderedPageBreak/>
        <w:t xml:space="preserve">Providing information about your </w:t>
      </w:r>
      <w:r w:rsidRPr="008773FC">
        <w:rPr>
          <w:b/>
          <w:bCs w:val="0"/>
        </w:rPr>
        <w:t>due diligence system</w:t>
      </w:r>
      <w:r>
        <w:t xml:space="preserve"> for regulated timber products</w:t>
      </w:r>
    </w:p>
    <w:p w14:paraId="74A5E9DE" w14:textId="6FF9FFB8" w:rsidR="008F0D77" w:rsidRDefault="008F0D77" w:rsidP="008F0D77">
      <w:pPr>
        <w:pStyle w:val="Heading3"/>
        <w:numPr>
          <w:ilvl w:val="0"/>
          <w:numId w:val="0"/>
        </w:numPr>
        <w:ind w:left="964" w:hanging="964"/>
      </w:pPr>
      <w:r>
        <w:t xml:space="preserve">ITEM 1 – Documented due diligence </w:t>
      </w:r>
      <w:proofErr w:type="gramStart"/>
      <w:r>
        <w:t>system</w:t>
      </w:r>
      <w:proofErr w:type="gramEnd"/>
    </w:p>
    <w:p w14:paraId="384D6898" w14:textId="77777777" w:rsidR="008F0D77" w:rsidRPr="008F0D77" w:rsidRDefault="008F0D77" w:rsidP="008F0D77">
      <w:r w:rsidRPr="008F0D77">
        <w:t xml:space="preserve">A due diligence system is a written document that describes the range of processes and practices that an importer follows to meet the due diligence requirements for all imported regulated timber products. </w:t>
      </w:r>
    </w:p>
    <w:p w14:paraId="4BA66536" w14:textId="6C39A052" w:rsidR="009677FE" w:rsidRPr="009677FE" w:rsidRDefault="008F0D77" w:rsidP="009677FE">
      <w:pPr>
        <w:pStyle w:val="Heading4"/>
        <w:numPr>
          <w:ilvl w:val="0"/>
          <w:numId w:val="0"/>
        </w:numPr>
        <w:ind w:left="964" w:hanging="964"/>
      </w:pPr>
      <w:r>
        <w:t xml:space="preserve">Question: </w:t>
      </w:r>
      <w:r w:rsidR="00625B7F">
        <w:t xml:space="preserve">Did </w:t>
      </w:r>
      <w:r>
        <w:t>you (the importer) have a due diligence system in place?</w:t>
      </w:r>
      <w:r w:rsidR="009677FE">
        <w:br/>
      </w:r>
    </w:p>
    <w:p w14:paraId="5A73EC53" w14:textId="1EF55E81" w:rsidR="008F0D77" w:rsidRPr="008F0D77" w:rsidRDefault="008F0D77" w:rsidP="009677FE">
      <w:pPr>
        <w:ind w:left="284" w:hanging="142"/>
      </w:pPr>
      <w:r w:rsidRPr="00705339">
        <w:rPr>
          <w:rFonts w:asciiTheme="majorHAnsi" w:hAnsiTheme="majorHAnsi"/>
          <w:sz w:val="24"/>
          <w:szCs w:val="24"/>
        </w:rPr>
        <w:tab/>
      </w:r>
      <w:sdt>
        <w:sdtPr>
          <w:rPr>
            <w:rFonts w:asciiTheme="majorHAnsi" w:hAnsiTheme="majorHAnsi"/>
            <w:sz w:val="24"/>
            <w:szCs w:val="24"/>
          </w:rPr>
          <w:id w:val="1989274473"/>
          <w14:checkbox>
            <w14:checked w14:val="0"/>
            <w14:checkedState w14:val="2612" w14:font="MS Gothic"/>
            <w14:uncheckedState w14:val="2610" w14:font="MS Gothic"/>
          </w14:checkbox>
        </w:sdtPr>
        <w:sdtContent>
          <w:r w:rsidR="008773FC">
            <w:rPr>
              <w:rFonts w:ascii="MS Gothic" w:eastAsia="MS Gothic" w:hAnsi="MS Gothic" w:hint="eastAsia"/>
              <w:sz w:val="24"/>
              <w:szCs w:val="24"/>
            </w:rPr>
            <w:t>☐</w:t>
          </w:r>
        </w:sdtContent>
      </w:sdt>
      <w:r w:rsidRPr="00705339">
        <w:rPr>
          <w:rFonts w:asciiTheme="majorHAnsi" w:hAnsiTheme="majorHAnsi"/>
          <w:sz w:val="24"/>
          <w:szCs w:val="24"/>
        </w:rPr>
        <w:tab/>
      </w:r>
      <w:r w:rsidRPr="008F0D77">
        <w:t xml:space="preserve">Yes - Provide a copy of your company’s due diligence system </w:t>
      </w:r>
      <w:r w:rsidR="00625B7F">
        <w:t>as it existed at the time prior to import when due diligence was undertaken</w:t>
      </w:r>
      <w:r w:rsidRPr="008F0D77">
        <w:t>.</w:t>
      </w:r>
    </w:p>
    <w:p w14:paraId="69E57C92" w14:textId="352FE538" w:rsidR="008F0D77" w:rsidRPr="009677FE" w:rsidRDefault="00000000" w:rsidP="009677FE">
      <w:pPr>
        <w:ind w:left="284"/>
      </w:pPr>
      <w:sdt>
        <w:sdtPr>
          <w:rPr>
            <w:rFonts w:cstheme="minorHAnsi"/>
            <w:sz w:val="24"/>
            <w:szCs w:val="24"/>
          </w:rPr>
          <w:id w:val="-734625007"/>
          <w14:checkbox>
            <w14:checked w14:val="0"/>
            <w14:checkedState w14:val="2612" w14:font="MS Gothic"/>
            <w14:uncheckedState w14:val="2610" w14:font="MS Gothic"/>
          </w14:checkbox>
        </w:sdtPr>
        <w:sdtContent>
          <w:r w:rsidR="00EC6865">
            <w:rPr>
              <w:rFonts w:ascii="MS Gothic" w:eastAsia="MS Gothic" w:hAnsi="MS Gothic" w:cstheme="minorHAnsi" w:hint="eastAsia"/>
              <w:sz w:val="24"/>
              <w:szCs w:val="24"/>
            </w:rPr>
            <w:t>☐</w:t>
          </w:r>
        </w:sdtContent>
      </w:sdt>
      <w:r w:rsidR="008F0D77" w:rsidRPr="008F0D77">
        <w:tab/>
        <w:t>No – Please explain why in the text box below.</w:t>
      </w:r>
    </w:p>
    <w:tbl>
      <w:tblPr>
        <w:tblStyle w:val="TableGrid"/>
        <w:tblW w:w="9252" w:type="dxa"/>
        <w:tblLook w:val="04A0" w:firstRow="1" w:lastRow="0" w:firstColumn="1" w:lastColumn="0" w:noHBand="0" w:noVBand="1"/>
      </w:tblPr>
      <w:tblGrid>
        <w:gridCol w:w="9252"/>
      </w:tblGrid>
      <w:tr w:rsidR="008F0D77" w14:paraId="209BCBF5" w14:textId="77777777" w:rsidTr="00481077">
        <w:trPr>
          <w:trHeight w:val="8879"/>
        </w:trPr>
        <w:tc>
          <w:tcPr>
            <w:tcW w:w="9252" w:type="dxa"/>
          </w:tcPr>
          <w:p w14:paraId="263D8172" w14:textId="77777777" w:rsidR="008F0D77" w:rsidRDefault="008F0D77" w:rsidP="008F0D77">
            <w:pPr>
              <w:rPr>
                <w:lang w:eastAsia="ja-JP"/>
              </w:rPr>
            </w:pPr>
          </w:p>
        </w:tc>
      </w:tr>
    </w:tbl>
    <w:p w14:paraId="28A538A6" w14:textId="2EB4E97C" w:rsidR="008773FC" w:rsidRDefault="008773FC" w:rsidP="008773FC">
      <w:pPr>
        <w:pStyle w:val="Heading2"/>
        <w:numPr>
          <w:ilvl w:val="0"/>
          <w:numId w:val="0"/>
        </w:numPr>
      </w:pPr>
      <w:r>
        <w:lastRenderedPageBreak/>
        <w:t xml:space="preserve">Providing information about your </w:t>
      </w:r>
      <w:r w:rsidRPr="008773FC">
        <w:rPr>
          <w:b/>
          <w:bCs w:val="0"/>
        </w:rPr>
        <w:t>due diligence process</w:t>
      </w:r>
      <w:r>
        <w:t xml:space="preserve"> for the </w:t>
      </w:r>
      <w:r w:rsidRPr="008773FC">
        <w:t>identified regulated timber products</w:t>
      </w:r>
    </w:p>
    <w:p w14:paraId="03A0CAD1" w14:textId="06618D16" w:rsidR="008773FC" w:rsidRPr="008773FC" w:rsidRDefault="008773FC" w:rsidP="008773FC">
      <w:pPr>
        <w:shd w:val="clear" w:color="auto" w:fill="FFFFFF" w:themeFill="background1"/>
      </w:pPr>
      <w:r w:rsidRPr="008773FC">
        <w:t xml:space="preserve">Items 2, 3 and 4 relate to the regulated timber products identified in </w:t>
      </w:r>
      <w:r w:rsidR="002E51C5">
        <w:t>T</w:t>
      </w:r>
      <w:r w:rsidRPr="008773FC">
        <w:t xml:space="preserve">able 1 of the Request for Information Notice. </w:t>
      </w:r>
    </w:p>
    <w:p w14:paraId="4A91551E" w14:textId="1F98F2D8" w:rsidR="008773FC" w:rsidRPr="008773FC" w:rsidRDefault="008773FC" w:rsidP="008773FC">
      <w:pPr>
        <w:shd w:val="clear" w:color="auto" w:fill="FFFFFF" w:themeFill="background1"/>
      </w:pPr>
      <w:r w:rsidRPr="008773FC">
        <w:t>Further information on due diligence requirements is available on the</w:t>
      </w:r>
      <w:r w:rsidR="00073AD5">
        <w:t xml:space="preserve"> </w:t>
      </w:r>
      <w:hyperlink r:id="rId18" w:history="1">
        <w:r w:rsidR="00073AD5" w:rsidRPr="00073AD5">
          <w:rPr>
            <w:rStyle w:val="Hyperlink"/>
          </w:rPr>
          <w:t>department’s due diligence webpage</w:t>
        </w:r>
      </w:hyperlink>
      <w:r w:rsidRPr="008773FC">
        <w:t>.</w:t>
      </w:r>
    </w:p>
    <w:p w14:paraId="447B4BA5" w14:textId="77777777" w:rsidR="008773FC" w:rsidRPr="008773FC" w:rsidRDefault="008773FC" w:rsidP="008773FC">
      <w:pPr>
        <w:shd w:val="clear" w:color="auto" w:fill="FFFFFF" w:themeFill="background1"/>
      </w:pPr>
      <w:r w:rsidRPr="008773FC">
        <w:t>Provide a description of any attached documents at Appendix 1. There should be clear linkage from the documents provided to the regulated timber product. This may involve showing traceability between the documents and/or companies identified within the supply chain.</w:t>
      </w:r>
    </w:p>
    <w:p w14:paraId="3B0EDE3A" w14:textId="33337C7B" w:rsidR="008773FC" w:rsidRDefault="008773FC" w:rsidP="008773FC">
      <w:pPr>
        <w:pStyle w:val="Heading3"/>
        <w:numPr>
          <w:ilvl w:val="0"/>
          <w:numId w:val="0"/>
        </w:numPr>
        <w:ind w:left="964" w:hanging="964"/>
      </w:pPr>
      <w:r>
        <w:t xml:space="preserve">ITEM 2 – Information </w:t>
      </w:r>
      <w:proofErr w:type="gramStart"/>
      <w:r>
        <w:t>gathering</w:t>
      </w:r>
      <w:proofErr w:type="gramEnd"/>
    </w:p>
    <w:p w14:paraId="4D31E9AA" w14:textId="04D0E7D0" w:rsidR="008773FC" w:rsidRPr="008773FC" w:rsidRDefault="008773FC" w:rsidP="008773FC">
      <w:pPr>
        <w:spacing w:after="60"/>
      </w:pPr>
      <w:r w:rsidRPr="008773FC">
        <w:t xml:space="preserve">Provide copies of all the information that you gathered before importing the regulated timber product. </w:t>
      </w:r>
    </w:p>
    <w:p w14:paraId="571B3550" w14:textId="4D8E8964" w:rsidR="008773FC" w:rsidRDefault="008773FC" w:rsidP="008773FC">
      <w:pPr>
        <w:pStyle w:val="Heading3"/>
        <w:numPr>
          <w:ilvl w:val="0"/>
          <w:numId w:val="0"/>
        </w:numPr>
        <w:ind w:left="964" w:hanging="964"/>
      </w:pPr>
      <w:r>
        <w:t xml:space="preserve">ITEM 3 – Reasonable Risk Assessment </w:t>
      </w:r>
    </w:p>
    <w:p w14:paraId="3B95803C" w14:textId="52F660CD" w:rsidR="008773FC" w:rsidRDefault="008773FC" w:rsidP="008773FC">
      <w:r w:rsidRPr="008773FC">
        <w:t>Indicate the risk assessment option</w:t>
      </w:r>
      <w:r w:rsidR="00625B7F">
        <w:t>(s)</w:t>
      </w:r>
      <w:r w:rsidRPr="008773FC">
        <w:t xml:space="preserve"> you undertook before importing the regulated timber product and indicate which timber consignment</w:t>
      </w:r>
      <w:r w:rsidR="00625B7F">
        <w:t xml:space="preserve"> (give the</w:t>
      </w:r>
      <w:r w:rsidRPr="008773FC">
        <w:t xml:space="preserve"> import declaration number</w:t>
      </w:r>
      <w:r w:rsidR="00625B7F">
        <w:t>)</w:t>
      </w:r>
      <w:r w:rsidR="00625B7F" w:rsidRPr="008773FC">
        <w:t xml:space="preserve"> </w:t>
      </w:r>
      <w:r w:rsidRPr="008773FC">
        <w:t>this applies to:</w:t>
      </w:r>
    </w:p>
    <w:p w14:paraId="47FD54B6" w14:textId="4AD43A98" w:rsidR="008773FC" w:rsidRPr="00EC6865" w:rsidRDefault="00000000" w:rsidP="00EC6865">
      <w:pPr>
        <w:shd w:val="clear" w:color="auto" w:fill="FFFFFF" w:themeFill="background1"/>
        <w:spacing w:before="120"/>
        <w:ind w:left="284"/>
        <w:contextualSpacing/>
      </w:pPr>
      <w:sdt>
        <w:sdtPr>
          <w:rPr>
            <w:rFonts w:cstheme="minorHAnsi"/>
            <w:sz w:val="24"/>
            <w:szCs w:val="24"/>
          </w:rPr>
          <w:id w:val="315237224"/>
          <w14:checkbox>
            <w14:checked w14:val="0"/>
            <w14:checkedState w14:val="2612" w14:font="MS Gothic"/>
            <w14:uncheckedState w14:val="2610" w14:font="MS Gothic"/>
          </w14:checkbox>
        </w:sdtPr>
        <w:sdtContent>
          <w:r w:rsidR="00EC6865">
            <w:rPr>
              <w:rFonts w:ascii="MS Gothic" w:eastAsia="MS Gothic" w:hAnsi="MS Gothic" w:cstheme="minorHAnsi" w:hint="eastAsia"/>
              <w:sz w:val="24"/>
              <w:szCs w:val="24"/>
            </w:rPr>
            <w:t>☐</w:t>
          </w:r>
        </w:sdtContent>
      </w:sdt>
      <w:r w:rsidR="00EC6865" w:rsidRPr="00EC6865">
        <w:rPr>
          <w:b/>
          <w:bCs/>
        </w:rPr>
        <w:t xml:space="preserve"> </w:t>
      </w:r>
      <w:r w:rsidR="00EC6865">
        <w:rPr>
          <w:b/>
          <w:bCs/>
        </w:rPr>
        <w:t xml:space="preserve">   </w:t>
      </w:r>
      <w:r w:rsidR="008773FC" w:rsidRPr="00EC6865">
        <w:rPr>
          <w:b/>
          <w:bCs/>
        </w:rPr>
        <w:t>Option 1</w:t>
      </w:r>
      <w:r w:rsidR="008773FC" w:rsidRPr="00EC6865">
        <w:t xml:space="preserve"> Timber Legality Framework (product was FSC or PEFC certified)</w:t>
      </w:r>
    </w:p>
    <w:p w14:paraId="5CA7AA2D" w14:textId="002C9EC9" w:rsidR="008773FC" w:rsidRPr="00EC6865" w:rsidRDefault="00000000" w:rsidP="00EC6865">
      <w:pPr>
        <w:shd w:val="clear" w:color="auto" w:fill="FFFFFF" w:themeFill="background1"/>
        <w:spacing w:before="120"/>
        <w:ind w:left="284"/>
        <w:contextualSpacing/>
      </w:pPr>
      <w:sdt>
        <w:sdtPr>
          <w:rPr>
            <w:rFonts w:cstheme="minorHAnsi"/>
            <w:sz w:val="24"/>
            <w:szCs w:val="24"/>
          </w:rPr>
          <w:id w:val="-879316469"/>
          <w14:checkbox>
            <w14:checked w14:val="0"/>
            <w14:checkedState w14:val="2612" w14:font="MS Gothic"/>
            <w14:uncheckedState w14:val="2610" w14:font="MS Gothic"/>
          </w14:checkbox>
        </w:sdtPr>
        <w:sdtContent>
          <w:r w:rsidR="00EC6865">
            <w:rPr>
              <w:rFonts w:ascii="MS Gothic" w:eastAsia="MS Gothic" w:hAnsi="MS Gothic" w:cstheme="minorHAnsi" w:hint="eastAsia"/>
              <w:sz w:val="24"/>
              <w:szCs w:val="24"/>
            </w:rPr>
            <w:t>☐</w:t>
          </w:r>
        </w:sdtContent>
      </w:sdt>
      <w:r w:rsidR="00EC6865" w:rsidRPr="00EC6865">
        <w:rPr>
          <w:b/>
          <w:bCs/>
        </w:rPr>
        <w:t xml:space="preserve"> </w:t>
      </w:r>
      <w:r w:rsidR="00EC6865">
        <w:rPr>
          <w:b/>
          <w:bCs/>
        </w:rPr>
        <w:t xml:space="preserve">   </w:t>
      </w:r>
      <w:r w:rsidR="008773FC" w:rsidRPr="00EC6865">
        <w:rPr>
          <w:b/>
          <w:bCs/>
        </w:rPr>
        <w:t>Option 2</w:t>
      </w:r>
      <w:r w:rsidR="008773FC" w:rsidRPr="00EC6865">
        <w:t xml:space="preserve"> Country Specific Guideline</w:t>
      </w:r>
    </w:p>
    <w:p w14:paraId="273854F2" w14:textId="40AE7789" w:rsidR="008773FC" w:rsidRDefault="00000000" w:rsidP="00EC6865">
      <w:pPr>
        <w:shd w:val="clear" w:color="auto" w:fill="FFFFFF" w:themeFill="background1"/>
        <w:spacing w:before="120" w:after="120"/>
        <w:ind w:left="284"/>
        <w:contextualSpacing/>
      </w:pPr>
      <w:sdt>
        <w:sdtPr>
          <w:rPr>
            <w:rFonts w:cstheme="minorHAnsi"/>
            <w:sz w:val="24"/>
            <w:szCs w:val="24"/>
          </w:rPr>
          <w:id w:val="30626581"/>
          <w14:checkbox>
            <w14:checked w14:val="0"/>
            <w14:checkedState w14:val="2612" w14:font="MS Gothic"/>
            <w14:uncheckedState w14:val="2610" w14:font="MS Gothic"/>
          </w14:checkbox>
        </w:sdtPr>
        <w:sdtContent>
          <w:r w:rsidR="00EC6865">
            <w:rPr>
              <w:rFonts w:ascii="MS Gothic" w:eastAsia="MS Gothic" w:hAnsi="MS Gothic" w:cstheme="minorHAnsi" w:hint="eastAsia"/>
              <w:sz w:val="24"/>
              <w:szCs w:val="24"/>
            </w:rPr>
            <w:t>☐</w:t>
          </w:r>
        </w:sdtContent>
      </w:sdt>
      <w:r w:rsidR="00EC6865" w:rsidRPr="00EC6865">
        <w:rPr>
          <w:b/>
          <w:bCs/>
        </w:rPr>
        <w:t xml:space="preserve"> </w:t>
      </w:r>
      <w:r w:rsidR="00EC6865">
        <w:rPr>
          <w:b/>
          <w:bCs/>
        </w:rPr>
        <w:t xml:space="preserve">   </w:t>
      </w:r>
      <w:r w:rsidR="008773FC" w:rsidRPr="00EC6865">
        <w:rPr>
          <w:b/>
          <w:bCs/>
        </w:rPr>
        <w:t>Option 3</w:t>
      </w:r>
      <w:r w:rsidR="008773FC" w:rsidRPr="00EC6865">
        <w:t xml:space="preserve"> Regulated risk factors (also required to be undertaken when the risk assessment against Option 1 or 2 was not low)</w:t>
      </w:r>
    </w:p>
    <w:p w14:paraId="5D207144" w14:textId="77777777" w:rsidR="009A143A" w:rsidRDefault="009A143A" w:rsidP="00EC6865">
      <w:pPr>
        <w:shd w:val="clear" w:color="auto" w:fill="FFFFFF" w:themeFill="background1"/>
        <w:spacing w:before="120" w:after="120"/>
        <w:contextualSpacing/>
      </w:pPr>
    </w:p>
    <w:p w14:paraId="5CF892F8" w14:textId="445D9823" w:rsidR="00EC6865" w:rsidRPr="00EC6865" w:rsidRDefault="009A143A" w:rsidP="00EC6865">
      <w:pPr>
        <w:shd w:val="clear" w:color="auto" w:fill="FFFFFF" w:themeFill="background1"/>
        <w:spacing w:before="120" w:after="120"/>
        <w:contextualSpacing/>
      </w:pPr>
      <w:r>
        <w:t>Timber consignment: _______________________________________________________________</w:t>
      </w:r>
    </w:p>
    <w:p w14:paraId="48121861" w14:textId="77777777" w:rsidR="009A143A" w:rsidRDefault="009A143A" w:rsidP="00E435A0"/>
    <w:p w14:paraId="5431A66A" w14:textId="633374BB" w:rsidR="00E435A0" w:rsidRDefault="008773FC" w:rsidP="00E435A0">
      <w:r>
        <w:t xml:space="preserve">The level of risk that was determined for this product after conducting your risk assessment </w:t>
      </w:r>
      <w:proofErr w:type="gramStart"/>
      <w:r>
        <w:t>was</w:t>
      </w:r>
      <w:proofErr w:type="gramEnd"/>
      <w:r>
        <w:tab/>
      </w:r>
    </w:p>
    <w:p w14:paraId="4F54D2DF" w14:textId="45C81EB2" w:rsidR="008773FC" w:rsidRDefault="008773FC" w:rsidP="00E435A0">
      <w:pPr>
        <w:jc w:val="center"/>
      </w:pPr>
      <w:r>
        <w:t xml:space="preserve">Low  </w:t>
      </w:r>
      <w:sdt>
        <w:sdtPr>
          <w:rPr>
            <w:rFonts w:cstheme="minorHAnsi"/>
            <w:sz w:val="24"/>
            <w:szCs w:val="24"/>
          </w:rPr>
          <w:id w:val="-618298533"/>
          <w14:checkbox>
            <w14:checked w14:val="0"/>
            <w14:checkedState w14:val="2612" w14:font="MS Gothic"/>
            <w14:uncheckedState w14:val="2610" w14:font="MS Gothic"/>
          </w14:checkbox>
        </w:sdtPr>
        <w:sdtContent>
          <w:r w:rsidR="00E435A0">
            <w:rPr>
              <w:rFonts w:ascii="MS Gothic" w:eastAsia="MS Gothic" w:hAnsi="MS Gothic" w:cstheme="minorHAnsi" w:hint="eastAsia"/>
              <w:sz w:val="24"/>
              <w:szCs w:val="24"/>
            </w:rPr>
            <w:t>☐</w:t>
          </w:r>
        </w:sdtContent>
      </w:sdt>
      <w:r>
        <w:tab/>
      </w:r>
      <w:r w:rsidR="00E435A0">
        <w:t xml:space="preserve">               </w:t>
      </w:r>
      <w:r w:rsidR="00625B7F">
        <w:t xml:space="preserve">Greater than </w:t>
      </w:r>
      <w:r>
        <w:t xml:space="preserve">low  </w:t>
      </w:r>
      <w:sdt>
        <w:sdtPr>
          <w:rPr>
            <w:rFonts w:cstheme="minorHAnsi"/>
            <w:sz w:val="24"/>
            <w:szCs w:val="24"/>
          </w:rPr>
          <w:id w:val="78416432"/>
          <w14:checkbox>
            <w14:checked w14:val="0"/>
            <w14:checkedState w14:val="2612" w14:font="MS Gothic"/>
            <w14:uncheckedState w14:val="2610" w14:font="MS Gothic"/>
          </w14:checkbox>
        </w:sdtPr>
        <w:sdtContent>
          <w:r w:rsidR="00E435A0">
            <w:rPr>
              <w:rFonts w:ascii="MS Gothic" w:eastAsia="MS Gothic" w:hAnsi="MS Gothic" w:cstheme="minorHAnsi" w:hint="eastAsia"/>
              <w:sz w:val="24"/>
              <w:szCs w:val="24"/>
            </w:rPr>
            <w:t>☐</w:t>
          </w:r>
        </w:sdtContent>
      </w:sdt>
    </w:p>
    <w:p w14:paraId="46ABCDA7" w14:textId="042A9EAA" w:rsidR="008773FC" w:rsidRPr="008773FC" w:rsidRDefault="008773FC" w:rsidP="008773FC">
      <w:r>
        <w:t>Provide your risk assessment, risk conclusion and all the supporting documents you utilised to inform your risk assessment.</w:t>
      </w:r>
    </w:p>
    <w:p w14:paraId="5123EAD1" w14:textId="77777777" w:rsidR="008773FC" w:rsidRDefault="008773FC" w:rsidP="008773FC">
      <w:pPr>
        <w:pStyle w:val="Heading3"/>
        <w:numPr>
          <w:ilvl w:val="0"/>
          <w:numId w:val="0"/>
        </w:numPr>
        <w:ind w:left="964" w:hanging="964"/>
      </w:pPr>
      <w:r>
        <w:t>ITEM 4 – Risk mitigation</w:t>
      </w:r>
    </w:p>
    <w:p w14:paraId="53B4A4DA" w14:textId="77777777" w:rsidR="008773FC" w:rsidRPr="008773FC" w:rsidRDefault="008773FC" w:rsidP="008773FC">
      <w:pPr>
        <w:spacing w:after="60"/>
      </w:pPr>
      <w:r w:rsidRPr="008773FC">
        <w:t xml:space="preserve">Risk mitigation is required when you have undertaken a risk assessment against </w:t>
      </w:r>
      <w:r w:rsidRPr="00EC6865">
        <w:rPr>
          <w:i/>
          <w:iCs/>
        </w:rPr>
        <w:t>Option 3 Regulated Risk factors</w:t>
      </w:r>
      <w:r w:rsidRPr="008773FC">
        <w:t xml:space="preserve"> and determined the risk to be anything higher than low. </w:t>
      </w:r>
    </w:p>
    <w:p w14:paraId="54251D87" w14:textId="77777777" w:rsidR="008773FC" w:rsidRPr="008773FC" w:rsidRDefault="008773FC" w:rsidP="008773FC">
      <w:r w:rsidRPr="008773FC">
        <w:t>Provide copies of any risk mitigation steps you took before importing the regulated timber product, and all supporting documentation that relates to your risk mitigation steps.</w:t>
      </w:r>
    </w:p>
    <w:p w14:paraId="09687C21" w14:textId="7208A80D" w:rsidR="008773FC" w:rsidRDefault="008773FC" w:rsidP="008773FC">
      <w:pPr>
        <w:pStyle w:val="Heading3"/>
        <w:numPr>
          <w:ilvl w:val="0"/>
          <w:numId w:val="0"/>
        </w:numPr>
        <w:ind w:left="964" w:hanging="964"/>
      </w:pPr>
      <w:r>
        <w:t xml:space="preserve"> </w:t>
      </w:r>
    </w:p>
    <w:p w14:paraId="7039970B" w14:textId="4AD8AE30" w:rsidR="008773FC" w:rsidRDefault="008773FC" w:rsidP="008773FC"/>
    <w:p w14:paraId="759F4EE9" w14:textId="7BA33AED" w:rsidR="00EC6865" w:rsidRDefault="00EC6865" w:rsidP="008773FC"/>
    <w:p w14:paraId="401880B9" w14:textId="070EFEF8" w:rsidR="00EC6865" w:rsidRDefault="00EC6865" w:rsidP="008773FC"/>
    <w:p w14:paraId="459C9B89" w14:textId="77777777" w:rsidR="005C5F01" w:rsidRDefault="005C5F01" w:rsidP="00EC6865">
      <w:pPr>
        <w:pStyle w:val="Heading2"/>
        <w:numPr>
          <w:ilvl w:val="0"/>
          <w:numId w:val="0"/>
        </w:numPr>
        <w:rPr>
          <w:rFonts w:eastAsia="Times New Roman" w:cs="Times New Roman"/>
          <w:b/>
          <w:color w:val="auto"/>
          <w:sz w:val="28"/>
          <w:szCs w:val="24"/>
          <w:lang w:eastAsia="en-US"/>
        </w:rPr>
        <w:sectPr w:rsidR="005C5F01">
          <w:pgSz w:w="11906" w:h="16838"/>
          <w:pgMar w:top="1418" w:right="1418" w:bottom="1418" w:left="1418" w:header="567" w:footer="283" w:gutter="0"/>
          <w:cols w:space="708"/>
          <w:titlePg/>
          <w:docGrid w:linePitch="360"/>
        </w:sectPr>
      </w:pPr>
    </w:p>
    <w:p w14:paraId="6F4FE348" w14:textId="14323DE7" w:rsidR="00EC6865" w:rsidRDefault="00EC6865" w:rsidP="00EC6865">
      <w:pPr>
        <w:pStyle w:val="Heading2"/>
        <w:numPr>
          <w:ilvl w:val="0"/>
          <w:numId w:val="0"/>
        </w:numPr>
        <w:rPr>
          <w:rFonts w:eastAsia="Times New Roman" w:cs="Times New Roman"/>
          <w:b/>
          <w:color w:val="auto"/>
          <w:sz w:val="28"/>
          <w:szCs w:val="24"/>
          <w:lang w:eastAsia="en-US"/>
        </w:rPr>
      </w:pPr>
      <w:r w:rsidRPr="002E51C5">
        <w:rPr>
          <w:rFonts w:eastAsia="Times New Roman" w:cs="Times New Roman"/>
          <w:b/>
          <w:color w:val="auto"/>
          <w:sz w:val="28"/>
          <w:szCs w:val="24"/>
          <w:lang w:eastAsia="en-US"/>
        </w:rPr>
        <w:lastRenderedPageBreak/>
        <w:t xml:space="preserve">Appendix 1 – Description of the documents provided as your Request for Information Submission </w:t>
      </w:r>
    </w:p>
    <w:p w14:paraId="667D91EB" w14:textId="7E663CE4" w:rsidR="002E51C5" w:rsidRPr="002E51C5" w:rsidRDefault="002E51C5" w:rsidP="002E51C5">
      <w:r>
        <w:t>S</w:t>
      </w:r>
      <w:r w:rsidRPr="002E51C5">
        <w:t>ee above for explanation on what is required to be included here.</w:t>
      </w:r>
    </w:p>
    <w:tbl>
      <w:tblPr>
        <w:tblStyle w:val="TableGrid"/>
        <w:tblW w:w="9535" w:type="dxa"/>
        <w:tblLook w:val="04A0" w:firstRow="1" w:lastRow="0" w:firstColumn="1" w:lastColumn="0" w:noHBand="0" w:noVBand="1"/>
      </w:tblPr>
      <w:tblGrid>
        <w:gridCol w:w="9535"/>
      </w:tblGrid>
      <w:tr w:rsidR="00EC6865" w14:paraId="6334AAA5" w14:textId="77777777" w:rsidTr="00354B65">
        <w:trPr>
          <w:trHeight w:val="12160"/>
        </w:trPr>
        <w:tc>
          <w:tcPr>
            <w:tcW w:w="9535" w:type="dxa"/>
          </w:tcPr>
          <w:p w14:paraId="2E3931B5" w14:textId="77777777" w:rsidR="00EC6865" w:rsidRDefault="00EC6865" w:rsidP="00B34EFA"/>
        </w:tc>
      </w:tr>
    </w:tbl>
    <w:p w14:paraId="6D743C10" w14:textId="77777777" w:rsidR="00354B65" w:rsidRDefault="00354B65" w:rsidP="008D1B48">
      <w:pPr>
        <w:pStyle w:val="Normalsmall"/>
        <w:rPr>
          <w:rStyle w:val="Strong"/>
        </w:rPr>
        <w:sectPr w:rsidR="00354B65">
          <w:pgSz w:w="11906" w:h="16838"/>
          <w:pgMar w:top="1418" w:right="1418" w:bottom="1418" w:left="1418" w:header="567" w:footer="283" w:gutter="0"/>
          <w:cols w:space="708"/>
          <w:titlePg/>
          <w:docGrid w:linePitch="360"/>
        </w:sectPr>
      </w:pPr>
    </w:p>
    <w:p w14:paraId="7B6C0821" w14:textId="77777777" w:rsidR="008D1B48" w:rsidRDefault="008D1B48" w:rsidP="008D1B48">
      <w:pPr>
        <w:pStyle w:val="Normalsmall"/>
      </w:pPr>
      <w:r>
        <w:rPr>
          <w:rStyle w:val="Strong"/>
        </w:rPr>
        <w:lastRenderedPageBreak/>
        <w:t>Acknowledgement of Country</w:t>
      </w:r>
    </w:p>
    <w:p w14:paraId="7A80D10C"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3AE0AB53" w14:textId="77777777" w:rsidR="00262394" w:rsidRDefault="00262394" w:rsidP="00262394">
      <w:pPr>
        <w:pStyle w:val="Normalsmall"/>
        <w:spacing w:before="360"/>
      </w:pPr>
      <w:r>
        <w:t>© Commonwealth of Australia 202</w:t>
      </w:r>
      <w:r w:rsidR="00340820">
        <w:t>3</w:t>
      </w:r>
    </w:p>
    <w:p w14:paraId="581973A1"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375D794" w14:textId="77777777" w:rsidR="00262394" w:rsidRDefault="00262394" w:rsidP="00262394">
      <w:pPr>
        <w:pStyle w:val="Normalsmall"/>
      </w:pPr>
      <w:r>
        <w:t xml:space="preserve">All material in this publication is licensed under a </w:t>
      </w:r>
      <w:hyperlink r:id="rId19" w:history="1">
        <w:r>
          <w:rPr>
            <w:rStyle w:val="Hyperlink"/>
          </w:rPr>
          <w:t>Creative Commons Attribution 4.0 International Licence</w:t>
        </w:r>
      </w:hyperlink>
      <w:r>
        <w:t xml:space="preserve"> except content supplied by third parties, logos and the Commonwealth Coat of Arms.</w:t>
      </w:r>
    </w:p>
    <w:p w14:paraId="3ADC3EC7"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73AB" w14:textId="77777777" w:rsidR="003A101D" w:rsidRDefault="003A101D">
      <w:r>
        <w:separator/>
      </w:r>
    </w:p>
    <w:p w14:paraId="206135B9" w14:textId="77777777" w:rsidR="003A101D" w:rsidRDefault="003A101D"/>
    <w:p w14:paraId="4C56C270" w14:textId="77777777" w:rsidR="003A101D" w:rsidRDefault="003A101D"/>
  </w:endnote>
  <w:endnote w:type="continuationSeparator" w:id="0">
    <w:p w14:paraId="16DEB1FE" w14:textId="77777777" w:rsidR="003A101D" w:rsidRDefault="003A101D">
      <w:r>
        <w:continuationSeparator/>
      </w:r>
    </w:p>
    <w:p w14:paraId="785F202E" w14:textId="77777777" w:rsidR="003A101D" w:rsidRDefault="003A101D"/>
    <w:p w14:paraId="74628CC7" w14:textId="77777777" w:rsidR="003A101D" w:rsidRDefault="003A101D"/>
  </w:endnote>
  <w:endnote w:type="continuationNotice" w:id="1">
    <w:p w14:paraId="6AC71931" w14:textId="77777777" w:rsidR="003A101D" w:rsidRDefault="003A101D">
      <w:pPr>
        <w:pStyle w:val="Footer"/>
      </w:pPr>
    </w:p>
    <w:p w14:paraId="731E6954" w14:textId="77777777" w:rsidR="003A101D" w:rsidRDefault="003A101D"/>
    <w:p w14:paraId="70BBB785" w14:textId="77777777" w:rsidR="003A101D" w:rsidRDefault="003A1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23A2" w14:textId="77777777" w:rsidR="002A193C" w:rsidRDefault="007B1F92">
    <w:pPr>
      <w:pStyle w:val="Footer"/>
    </w:pPr>
    <w:r w:rsidRPr="007B1F92">
      <w:t>Department of Agriculture, Fisheries and Forestry</w:t>
    </w:r>
  </w:p>
  <w:p w14:paraId="07A0F8E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EE12" w14:textId="77777777" w:rsidR="002A193C" w:rsidRDefault="002A193C">
    <w:pPr>
      <w:pStyle w:val="Footer"/>
    </w:pPr>
    <w:r>
      <w:t xml:space="preserve">Department of Agriculture, </w:t>
    </w:r>
    <w:r w:rsidR="00A9002C">
      <w:t>Fisheries and Forestry</w:t>
    </w:r>
  </w:p>
  <w:p w14:paraId="6D2F1628"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E716" w14:textId="77777777" w:rsidR="003A101D" w:rsidRDefault="003A101D">
      <w:r>
        <w:separator/>
      </w:r>
    </w:p>
    <w:p w14:paraId="51DA2489" w14:textId="77777777" w:rsidR="003A101D" w:rsidRDefault="003A101D"/>
    <w:p w14:paraId="38B88B0A" w14:textId="77777777" w:rsidR="003A101D" w:rsidRDefault="003A101D"/>
  </w:footnote>
  <w:footnote w:type="continuationSeparator" w:id="0">
    <w:p w14:paraId="0B8B5D17" w14:textId="77777777" w:rsidR="003A101D" w:rsidRDefault="003A101D">
      <w:r>
        <w:continuationSeparator/>
      </w:r>
    </w:p>
    <w:p w14:paraId="7C7F01A3" w14:textId="77777777" w:rsidR="003A101D" w:rsidRDefault="003A101D"/>
    <w:p w14:paraId="2F6EB297" w14:textId="77777777" w:rsidR="003A101D" w:rsidRDefault="003A101D"/>
  </w:footnote>
  <w:footnote w:type="continuationNotice" w:id="1">
    <w:p w14:paraId="00A2D088" w14:textId="77777777" w:rsidR="003A101D" w:rsidRDefault="003A101D">
      <w:pPr>
        <w:pStyle w:val="Footer"/>
      </w:pPr>
    </w:p>
    <w:p w14:paraId="0126911B" w14:textId="77777777" w:rsidR="003A101D" w:rsidRDefault="003A101D"/>
    <w:p w14:paraId="3F9965EB" w14:textId="77777777" w:rsidR="003A101D" w:rsidRDefault="003A1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8165" w14:textId="77777777" w:rsidR="002A193C" w:rsidRDefault="00000000">
    <w:pPr>
      <w:pStyle w:val="Header"/>
    </w:pPr>
    <w:r>
      <w:rPr>
        <w:noProof/>
        <w:lang w:val="en-US"/>
      </w:rPr>
      <w:pict w14:anchorId="08E30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8BE4" w14:textId="56EE54E9" w:rsidR="002A193C" w:rsidRPr="008F0D77" w:rsidRDefault="008F0D77" w:rsidP="006A3D10">
    <w:pPr>
      <w:pStyle w:val="Header"/>
    </w:pPr>
    <w:r>
      <w:t xml:space="preserve">Optional response template to a Request for Information notice for importers  </w:t>
    </w:r>
    <w:r w:rsidR="006A3D10">
      <w:br/>
    </w:r>
    <w:r>
      <w:t>Illegal logging prohibition Regulation 2012</w:t>
    </w:r>
    <w:r w:rsidR="0046122A">
      <w:br/>
      <w:t>V.2 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9127" w14:textId="26A82CB0" w:rsidR="002A193C" w:rsidRDefault="00D36729">
    <w:pPr>
      <w:pStyle w:val="Header"/>
      <w:jc w:val="left"/>
    </w:pPr>
    <w:r>
      <w:rPr>
        <w:noProof/>
        <w:lang w:eastAsia="en-AU"/>
      </w:rPr>
      <w:drawing>
        <wp:inline distT="0" distB="0" distL="0" distR="0" wp14:anchorId="69F08BAD" wp14:editId="4C2B56C5">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0C54BC3"/>
    <w:multiLevelType w:val="hybridMultilevel"/>
    <w:tmpl w:val="B1F8F556"/>
    <w:lvl w:ilvl="0" w:tplc="A0EC2B82">
      <w:start w:val="1"/>
      <w:numFmt w:val="decimal"/>
      <w:lvlText w:val="%1."/>
      <w:lvlJc w:val="left"/>
      <w:pPr>
        <w:ind w:left="720" w:hanging="360"/>
      </w:pPr>
      <w:rPr>
        <w:rFonts w:hint="default"/>
      </w:rPr>
    </w:lvl>
    <w:lvl w:ilvl="1" w:tplc="AFFE1544">
      <w:start w:val="1"/>
      <w:numFmt w:val="bullet"/>
      <w:lvlText w:val="o"/>
      <w:lvlJc w:val="left"/>
      <w:pPr>
        <w:ind w:left="1353" w:hanging="360"/>
      </w:pPr>
      <w:rPr>
        <w:rFonts w:ascii="Wingdings" w:hAnsi="Wingdings" w:hint="default"/>
        <w:b w:val="0"/>
        <w:bCs w:val="0"/>
        <w:sz w:val="28"/>
        <w:szCs w:val="28"/>
      </w:rPr>
    </w:lvl>
    <w:lvl w:ilvl="2" w:tplc="077213B6">
      <w:start w:val="1"/>
      <w:numFmt w:val="bullet"/>
      <w:lvlText w:val=""/>
      <w:lvlJc w:val="left"/>
      <w:pPr>
        <w:ind w:left="2160" w:hanging="360"/>
      </w:pPr>
      <w:rPr>
        <w:rFonts w:ascii="Wingdings" w:hAnsi="Wingdings" w:hint="default"/>
      </w:rPr>
    </w:lvl>
    <w:lvl w:ilvl="3" w:tplc="7A64C730" w:tentative="1">
      <w:start w:val="1"/>
      <w:numFmt w:val="bullet"/>
      <w:lvlText w:val=""/>
      <w:lvlJc w:val="left"/>
      <w:pPr>
        <w:ind w:left="2880" w:hanging="360"/>
      </w:pPr>
      <w:rPr>
        <w:rFonts w:ascii="Symbol" w:hAnsi="Symbol" w:hint="default"/>
      </w:rPr>
    </w:lvl>
    <w:lvl w:ilvl="4" w:tplc="FA2E692E" w:tentative="1">
      <w:start w:val="1"/>
      <w:numFmt w:val="bullet"/>
      <w:lvlText w:val="o"/>
      <w:lvlJc w:val="left"/>
      <w:pPr>
        <w:ind w:left="3600" w:hanging="360"/>
      </w:pPr>
      <w:rPr>
        <w:rFonts w:ascii="Courier New" w:hAnsi="Courier New" w:cs="Courier New" w:hint="default"/>
      </w:rPr>
    </w:lvl>
    <w:lvl w:ilvl="5" w:tplc="A48AD66A" w:tentative="1">
      <w:start w:val="1"/>
      <w:numFmt w:val="bullet"/>
      <w:lvlText w:val=""/>
      <w:lvlJc w:val="left"/>
      <w:pPr>
        <w:ind w:left="4320" w:hanging="360"/>
      </w:pPr>
      <w:rPr>
        <w:rFonts w:ascii="Wingdings" w:hAnsi="Wingdings" w:hint="default"/>
      </w:rPr>
    </w:lvl>
    <w:lvl w:ilvl="6" w:tplc="5BD44CAA" w:tentative="1">
      <w:start w:val="1"/>
      <w:numFmt w:val="bullet"/>
      <w:lvlText w:val=""/>
      <w:lvlJc w:val="left"/>
      <w:pPr>
        <w:ind w:left="5040" w:hanging="360"/>
      </w:pPr>
      <w:rPr>
        <w:rFonts w:ascii="Symbol" w:hAnsi="Symbol" w:hint="default"/>
      </w:rPr>
    </w:lvl>
    <w:lvl w:ilvl="7" w:tplc="81180310" w:tentative="1">
      <w:start w:val="1"/>
      <w:numFmt w:val="bullet"/>
      <w:lvlText w:val="o"/>
      <w:lvlJc w:val="left"/>
      <w:pPr>
        <w:ind w:left="5760" w:hanging="360"/>
      </w:pPr>
      <w:rPr>
        <w:rFonts w:ascii="Courier New" w:hAnsi="Courier New" w:cs="Courier New" w:hint="default"/>
      </w:rPr>
    </w:lvl>
    <w:lvl w:ilvl="8" w:tplc="BA106864"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268471">
    <w:abstractNumId w:val="8"/>
  </w:num>
  <w:num w:numId="2" w16cid:durableId="1355770275">
    <w:abstractNumId w:val="9"/>
  </w:num>
  <w:num w:numId="3" w16cid:durableId="1882862685">
    <w:abstractNumId w:val="2"/>
  </w:num>
  <w:num w:numId="4" w16cid:durableId="3605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7"/>
  </w:num>
  <w:num w:numId="7" w16cid:durableId="951480071">
    <w:abstractNumId w:val="4"/>
  </w:num>
  <w:num w:numId="8" w16cid:durableId="844629787">
    <w:abstractNumId w:val="2"/>
    <w:lvlOverride w:ilvl="0">
      <w:lvl w:ilvl="0">
        <w:start w:val="1"/>
        <w:numFmt w:val="decimal"/>
        <w:pStyle w:val="Heading2"/>
        <w:lvlText w:val="%1"/>
        <w:lvlJc w:val="left"/>
        <w:pPr>
          <w:ind w:left="720" w:hanging="720"/>
        </w:pPr>
      </w:lvl>
    </w:lvlOverride>
  </w:num>
  <w:num w:numId="9" w16cid:durableId="1698308952">
    <w:abstractNumId w:val="8"/>
  </w:num>
  <w:num w:numId="10" w16cid:durableId="547035718">
    <w:abstractNumId w:val="9"/>
  </w:num>
  <w:num w:numId="11" w16cid:durableId="1145393031">
    <w:abstractNumId w:val="0"/>
  </w:num>
  <w:num w:numId="12" w16cid:durableId="919363984">
    <w:abstractNumId w:val="6"/>
  </w:num>
  <w:num w:numId="13" w16cid:durableId="645671681">
    <w:abstractNumId w:val="10"/>
  </w:num>
  <w:num w:numId="14" w16cid:durableId="68636928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28"/>
    <w:rsid w:val="000276B6"/>
    <w:rsid w:val="00070091"/>
    <w:rsid w:val="00073AD5"/>
    <w:rsid w:val="000D6DD8"/>
    <w:rsid w:val="00112B86"/>
    <w:rsid w:val="0011308F"/>
    <w:rsid w:val="001567E9"/>
    <w:rsid w:val="00183612"/>
    <w:rsid w:val="001A1F79"/>
    <w:rsid w:val="001B1009"/>
    <w:rsid w:val="001C3583"/>
    <w:rsid w:val="001D77BC"/>
    <w:rsid w:val="001E1C4C"/>
    <w:rsid w:val="00201500"/>
    <w:rsid w:val="00262394"/>
    <w:rsid w:val="002A193C"/>
    <w:rsid w:val="002B5445"/>
    <w:rsid w:val="002E51C5"/>
    <w:rsid w:val="00300420"/>
    <w:rsid w:val="00305911"/>
    <w:rsid w:val="00340820"/>
    <w:rsid w:val="00354B65"/>
    <w:rsid w:val="00357095"/>
    <w:rsid w:val="00362353"/>
    <w:rsid w:val="00381D23"/>
    <w:rsid w:val="00396339"/>
    <w:rsid w:val="003A101D"/>
    <w:rsid w:val="003A4B4A"/>
    <w:rsid w:val="003D3CE1"/>
    <w:rsid w:val="003D44DC"/>
    <w:rsid w:val="00402404"/>
    <w:rsid w:val="00405D24"/>
    <w:rsid w:val="00406AC2"/>
    <w:rsid w:val="00460750"/>
    <w:rsid w:val="0046122A"/>
    <w:rsid w:val="004705F2"/>
    <w:rsid w:val="00473964"/>
    <w:rsid w:val="00481077"/>
    <w:rsid w:val="004837B1"/>
    <w:rsid w:val="0048569E"/>
    <w:rsid w:val="00486C20"/>
    <w:rsid w:val="00490E7F"/>
    <w:rsid w:val="004C6362"/>
    <w:rsid w:val="004C6C47"/>
    <w:rsid w:val="00503DE5"/>
    <w:rsid w:val="005C5F01"/>
    <w:rsid w:val="005F0E4D"/>
    <w:rsid w:val="00611DA7"/>
    <w:rsid w:val="00625B7F"/>
    <w:rsid w:val="006416D4"/>
    <w:rsid w:val="006A3D10"/>
    <w:rsid w:val="006F4A7F"/>
    <w:rsid w:val="006F7586"/>
    <w:rsid w:val="007405CB"/>
    <w:rsid w:val="00783872"/>
    <w:rsid w:val="007B1F92"/>
    <w:rsid w:val="007C2728"/>
    <w:rsid w:val="007C5B94"/>
    <w:rsid w:val="008153FE"/>
    <w:rsid w:val="0082249A"/>
    <w:rsid w:val="00833933"/>
    <w:rsid w:val="008773FC"/>
    <w:rsid w:val="008A3190"/>
    <w:rsid w:val="008D1B48"/>
    <w:rsid w:val="008F0D77"/>
    <w:rsid w:val="00904B6E"/>
    <w:rsid w:val="0090774C"/>
    <w:rsid w:val="009677FE"/>
    <w:rsid w:val="009679F4"/>
    <w:rsid w:val="00991227"/>
    <w:rsid w:val="009A143A"/>
    <w:rsid w:val="009A7EDA"/>
    <w:rsid w:val="009F68C9"/>
    <w:rsid w:val="00A26D23"/>
    <w:rsid w:val="00A9002C"/>
    <w:rsid w:val="00AA70E3"/>
    <w:rsid w:val="00AB0FBE"/>
    <w:rsid w:val="00AF1EB9"/>
    <w:rsid w:val="00AF5211"/>
    <w:rsid w:val="00B01948"/>
    <w:rsid w:val="00B01FB8"/>
    <w:rsid w:val="00B34EFA"/>
    <w:rsid w:val="00B35721"/>
    <w:rsid w:val="00B43A41"/>
    <w:rsid w:val="00B5453F"/>
    <w:rsid w:val="00BA0707"/>
    <w:rsid w:val="00BA0AFF"/>
    <w:rsid w:val="00BB6ACE"/>
    <w:rsid w:val="00BC6BA3"/>
    <w:rsid w:val="00BD2275"/>
    <w:rsid w:val="00C00AAC"/>
    <w:rsid w:val="00C05EA8"/>
    <w:rsid w:val="00C06619"/>
    <w:rsid w:val="00C51E35"/>
    <w:rsid w:val="00C759F8"/>
    <w:rsid w:val="00D06356"/>
    <w:rsid w:val="00D36729"/>
    <w:rsid w:val="00D45274"/>
    <w:rsid w:val="00D45E0E"/>
    <w:rsid w:val="00D666DC"/>
    <w:rsid w:val="00D912A7"/>
    <w:rsid w:val="00DB7F47"/>
    <w:rsid w:val="00E05D92"/>
    <w:rsid w:val="00E362EF"/>
    <w:rsid w:val="00E435A0"/>
    <w:rsid w:val="00E44B07"/>
    <w:rsid w:val="00E732BE"/>
    <w:rsid w:val="00E96E54"/>
    <w:rsid w:val="00EC6865"/>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8645"/>
  <w15:docId w15:val="{1EE509D8-DE51-44FE-9E0F-675DBE44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character" w:customStyle="1" w:styleId="ui-provider">
    <w:name w:val="ui-provider"/>
    <w:basedOn w:val="DefaultParagraphFont"/>
    <w:rsid w:val="008F0D77"/>
  </w:style>
  <w:style w:type="table" w:styleId="TableGrid">
    <w:name w:val="Table Grid"/>
    <w:basedOn w:val="TableNormal"/>
    <w:rsid w:val="008F0D77"/>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
    <w:basedOn w:val="DefaultParagraphFont"/>
    <w:link w:val="ListParagraph"/>
    <w:uiPriority w:val="34"/>
    <w:locked/>
    <w:rsid w:val="008773FC"/>
    <w:rPr>
      <w:rFonts w:ascii="Calibri" w:eastAsiaTheme="minorHAnsi" w:hAnsi="Calibri" w:cs="Calibri"/>
      <w:sz w:val="22"/>
      <w:szCs w:val="22"/>
      <w:lang w:eastAsia="en-US"/>
    </w:rPr>
  </w:style>
  <w:style w:type="paragraph" w:styleId="Revision">
    <w:name w:val="Revision"/>
    <w:hidden/>
    <w:uiPriority w:val="99"/>
    <w:semiHidden/>
    <w:rsid w:val="006F758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griculture.gov.au/agriculture-land/forestry/policies/illegal-logging/importers/due-dilige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lca@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orestry/policies/illegal-logging/compliance-and-enforc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TotalTime>
  <Pages>5</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information notice - Response template</vt:lpstr>
    </vt:vector>
  </TitlesOfParts>
  <Company/>
  <LinksUpToDate>false</LinksUpToDate>
  <CharactersWithSpaces>5239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notice - Response template</dc:title>
  <dc:creator>Department of Agriculture, Fisheries and Forestry</dc:creator>
  <dc:description/>
  <cp:lastModifiedBy>Nov, Amanda</cp:lastModifiedBy>
  <cp:revision>4</cp:revision>
  <cp:lastPrinted>2023-05-25T01:41:00Z</cp:lastPrinted>
  <dcterms:created xsi:type="dcterms:W3CDTF">2023-05-26T04:41:00Z</dcterms:created>
  <dcterms:modified xsi:type="dcterms:W3CDTF">2023-05-26T06:43:00Z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